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80013pt;width:484.95pt;height:.1pt;mso-position-horizontal-relative:page;mso-position-vertical-relative:page;z-index:0" coordorigin="1104,982" coordsize="9699,2">
            <v:shape style="position:absolute;left:1104;top:982;width:9699;height:2" coordorigin="1104,982" coordsize="9699,0" path="m1104,982l10802,982e" filled="false" stroked="true" strokeweight=".71997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2175" w:lineRule="exact"/>
        <w:ind w:left="386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3"/>
          <w:sz w:val="20"/>
          <w:szCs w:val="20"/>
        </w:rPr>
        <w:drawing>
          <wp:inline distT="0" distB="0" distL="0" distR="0">
            <wp:extent cx="1410073" cy="138112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10073" cy="1381125"/>
                    </a:xfrm>
                    <a:prstGeom prst="rect">
                      <a:avLst/>
                    </a:prstGeom>
                  </pic:spPr>
                </pic:pic>
              </a:graphicData>
            </a:graphic>
          </wp:inline>
        </w:drawing>
      </w:r>
      <w:r>
        <w:rPr>
          <w:rFonts w:ascii="Times New Roman" w:hAnsi="Times New Roman" w:cs="Times New Roman" w:eastAsia="Times New Roman" w:hint="default"/>
          <w:position w:val="-43"/>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2243" w:right="3220" w:firstLine="0"/>
        <w:jc w:val="center"/>
        <w:rPr>
          <w:rFonts w:ascii="宋体" w:hAnsi="宋体" w:cs="宋体" w:eastAsia="宋体" w:hint="default"/>
          <w:sz w:val="36"/>
          <w:szCs w:val="36"/>
        </w:rPr>
      </w:pPr>
      <w:r>
        <w:rPr>
          <w:rFonts w:ascii="宋体" w:hAnsi="宋体" w:cs="宋体" w:eastAsia="宋体" w:hint="default"/>
          <w:b/>
          <w:bCs/>
          <w:sz w:val="36"/>
          <w:szCs w:val="36"/>
        </w:rPr>
        <w:t>厦门市美亚柏科信息股份有限公司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2243" w:right="322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6"/>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5"/>
        <w:rPr>
          <w:rFonts w:ascii="宋体" w:hAnsi="宋体" w:cs="宋体" w:eastAsia="宋体" w:hint="default"/>
          <w:b/>
          <w:bCs/>
          <w:sz w:val="32"/>
          <w:szCs w:val="32"/>
        </w:rPr>
      </w:pPr>
    </w:p>
    <w:p>
      <w:pPr>
        <w:spacing w:before="0"/>
        <w:ind w:left="2243" w:right="3219" w:firstLine="0"/>
        <w:jc w:val="center"/>
        <w:rPr>
          <w:rFonts w:ascii="Times New Roman" w:hAnsi="Times New Roman" w:cs="Times New Roman" w:eastAsia="Times New Roman" w:hint="default"/>
          <w:sz w:val="22"/>
          <w:szCs w:val="22"/>
        </w:rPr>
      </w:pPr>
      <w:r>
        <w:rPr>
          <w:rFonts w:ascii="Times New Roman"/>
          <w:b/>
          <w:sz w:val="22"/>
        </w:rPr>
        <w:t>2019-15</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8"/>
        <w:ind w:left="2243" w:right="321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82" w:top="1060" w:bottom="118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p>
      <w:pPr>
        <w:pStyle w:val="Heading1"/>
        <w:spacing w:line="240" w:lineRule="auto"/>
        <w:ind w:left="2804" w:right="0"/>
        <w:jc w:val="left"/>
        <w:rPr>
          <w:b w:val="0"/>
          <w:bCs w:val="0"/>
        </w:rPr>
      </w:pPr>
      <w:bookmarkStart w:name="_TOC_250011" w:id="1"/>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0"/>
        <w:ind w:left="153" w:right="112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公司董事会、监事会及董事、监事、高级管理人员保证年度报告内容的真</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131"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公司负责人滕达、主管会计工作负责人张乃军及会计机构负责人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陈志友声明：保证年度报告中财务报告的真实、准确、完整。</w:t>
      </w:r>
      <w:r>
        <w:rPr>
          <w:rFonts w:ascii="宋体" w:hAnsi="宋体" w:cs="宋体" w:eastAsia="宋体" w:hint="default"/>
          <w:sz w:val="28"/>
          <w:szCs w:val="28"/>
        </w:rPr>
      </w:r>
    </w:p>
    <w:p>
      <w:pPr>
        <w:spacing w:line="472" w:lineRule="auto" w:before="147"/>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spacing w:val="1"/>
          <w:w w:val="99"/>
          <w:sz w:val="28"/>
          <w:szCs w:val="28"/>
        </w:rPr>
        <w:t> </w:t>
      </w:r>
      <w:r>
        <w:rPr>
          <w:rFonts w:ascii="宋体" w:hAnsi="宋体" w:cs="宋体" w:eastAsia="宋体" w:hint="default"/>
          <w:b/>
          <w:bCs/>
          <w:spacing w:val="4"/>
          <w:w w:val="95"/>
          <w:sz w:val="28"/>
          <w:szCs w:val="28"/>
        </w:rPr>
        <w:t>本报告中有关未来计划、业绩预测等方面的内容，均不构成本公司对任何</w:t>
      </w:r>
      <w:r>
        <w:rPr>
          <w:rFonts w:ascii="宋体" w:hAnsi="宋体" w:cs="宋体" w:eastAsia="宋体" w:hint="default"/>
          <w:sz w:val="28"/>
          <w:szCs w:val="28"/>
        </w:rPr>
      </w:r>
    </w:p>
    <w:p>
      <w:pPr>
        <w:spacing w:line="393" w:lineRule="auto" w:before="0"/>
        <w:ind w:left="153" w:right="1128"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投资者及相关人士的实质承诺，投资者及相关人士均应当对此保持足够的风险</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1"/>
          <w:w w:val="95"/>
          <w:sz w:val="28"/>
          <w:szCs w:val="28"/>
        </w:rPr>
        <w:t>认识，并且应当理解计划、预测与承诺之间的差异。公司在本报告第四节</w:t>
      </w:r>
      <w:r>
        <w:rPr>
          <w:rFonts w:ascii="Times New Roman" w:hAnsi="Times New Roman" w:cs="Times New Roman" w:eastAsia="Times New Roman" w:hint="default"/>
          <w:b/>
          <w:bCs/>
          <w:spacing w:val="-1"/>
          <w:w w:val="95"/>
          <w:sz w:val="28"/>
          <w:szCs w:val="28"/>
        </w:rPr>
        <w:t>“</w:t>
      </w:r>
      <w:r>
        <w:rPr>
          <w:rFonts w:ascii="宋体" w:hAnsi="宋体" w:cs="宋体" w:eastAsia="宋体" w:hint="default"/>
          <w:b/>
          <w:bCs/>
          <w:spacing w:val="-1"/>
          <w:w w:val="95"/>
          <w:sz w:val="28"/>
          <w:szCs w:val="28"/>
        </w:rPr>
        <w:t>经营</w:t>
      </w:r>
      <w:r>
        <w:rPr>
          <w:rFonts w:ascii="宋体" w:hAnsi="宋体" w:cs="宋体" w:eastAsia="宋体" w:hint="default"/>
          <w:b/>
          <w:bCs/>
          <w:spacing w:val="44"/>
          <w:w w:val="95"/>
          <w:sz w:val="28"/>
          <w:szCs w:val="28"/>
        </w:rPr>
        <w:t> </w:t>
      </w:r>
      <w:r>
        <w:rPr>
          <w:rFonts w:ascii="宋体" w:hAnsi="宋体" w:cs="宋体" w:eastAsia="宋体" w:hint="default"/>
          <w:b/>
          <w:bCs/>
          <w:spacing w:val="-1"/>
          <w:w w:val="95"/>
          <w:sz w:val="28"/>
          <w:szCs w:val="28"/>
        </w:rPr>
        <w:t>情况讨论与分析</w:t>
      </w:r>
      <w:r>
        <w:rPr>
          <w:rFonts w:ascii="Times New Roman" w:hAnsi="Times New Roman" w:cs="Times New Roman" w:eastAsia="Times New Roman" w:hint="default"/>
          <w:b/>
          <w:bCs/>
          <w:spacing w:val="-1"/>
          <w:w w:val="95"/>
          <w:sz w:val="28"/>
          <w:szCs w:val="28"/>
        </w:rPr>
        <w:t>”</w:t>
      </w:r>
      <w:r>
        <w:rPr>
          <w:rFonts w:ascii="宋体" w:hAnsi="宋体" w:cs="宋体" w:eastAsia="宋体" w:hint="default"/>
          <w:b/>
          <w:bCs/>
          <w:spacing w:val="-1"/>
          <w:w w:val="95"/>
          <w:sz w:val="28"/>
          <w:szCs w:val="28"/>
        </w:rPr>
        <w:t>中</w:t>
      </w:r>
      <w:r>
        <w:rPr>
          <w:rFonts w:ascii="Times New Roman" w:hAnsi="Times New Roman" w:cs="Times New Roman" w:eastAsia="Times New Roman" w:hint="default"/>
          <w:b/>
          <w:bCs/>
          <w:spacing w:val="-1"/>
          <w:w w:val="95"/>
          <w:sz w:val="28"/>
          <w:szCs w:val="28"/>
        </w:rPr>
        <w:t>“</w:t>
      </w:r>
      <w:r>
        <w:rPr>
          <w:rFonts w:ascii="宋体" w:hAnsi="宋体" w:cs="宋体" w:eastAsia="宋体" w:hint="default"/>
          <w:b/>
          <w:bCs/>
          <w:spacing w:val="-1"/>
          <w:w w:val="95"/>
          <w:sz w:val="28"/>
          <w:szCs w:val="28"/>
        </w:rPr>
        <w:t>九、公司未来发展的展望</w:t>
      </w:r>
      <w:r>
        <w:rPr>
          <w:rFonts w:ascii="Times New Roman" w:hAnsi="Times New Roman" w:cs="Times New Roman" w:eastAsia="Times New Roman" w:hint="default"/>
          <w:b/>
          <w:bCs/>
          <w:spacing w:val="-1"/>
          <w:w w:val="95"/>
          <w:sz w:val="28"/>
          <w:szCs w:val="28"/>
        </w:rPr>
        <w:t>”</w:t>
      </w:r>
      <w:r>
        <w:rPr>
          <w:rFonts w:ascii="宋体" w:hAnsi="宋体" w:cs="宋体" w:eastAsia="宋体" w:hint="default"/>
          <w:b/>
          <w:bCs/>
          <w:spacing w:val="-1"/>
          <w:w w:val="95"/>
          <w:sz w:val="28"/>
          <w:szCs w:val="28"/>
        </w:rPr>
        <w:t>部分，详细描述了公司经营中可</w:t>
      </w:r>
      <w:r>
        <w:rPr>
          <w:rFonts w:ascii="宋体" w:hAnsi="宋体" w:cs="宋体" w:eastAsia="宋体" w:hint="default"/>
          <w:b/>
          <w:bCs/>
          <w:spacing w:val="41"/>
          <w:w w:val="95"/>
          <w:sz w:val="28"/>
          <w:szCs w:val="28"/>
        </w:rPr>
        <w:t> </w:t>
      </w:r>
      <w:r>
        <w:rPr>
          <w:rFonts w:ascii="宋体" w:hAnsi="宋体" w:cs="宋体" w:eastAsia="宋体" w:hint="default"/>
          <w:b/>
          <w:bCs/>
          <w:spacing w:val="41"/>
          <w:w w:val="95"/>
          <w:sz w:val="28"/>
          <w:szCs w:val="28"/>
        </w:rPr>
      </w:r>
      <w:r>
        <w:rPr>
          <w:rFonts w:ascii="宋体" w:hAnsi="宋体" w:cs="宋体" w:eastAsia="宋体" w:hint="default"/>
          <w:b/>
          <w:bCs/>
          <w:sz w:val="28"/>
          <w:szCs w:val="28"/>
        </w:rPr>
        <w:t>能存在的风险及应对措施，敬请投资者关注相关内容。</w:t>
      </w:r>
      <w:r>
        <w:rPr>
          <w:rFonts w:ascii="宋体" w:hAnsi="宋体" w:cs="宋体" w:eastAsia="宋体" w:hint="default"/>
          <w:sz w:val="28"/>
          <w:szCs w:val="28"/>
        </w:rPr>
      </w:r>
    </w:p>
    <w:p>
      <w:pPr>
        <w:spacing w:before="178"/>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94"/>
          <w:sz w:val="28"/>
          <w:szCs w:val="28"/>
        </w:rPr>
        <w:t> </w:t>
      </w:r>
      <w:r>
        <w:rPr>
          <w:rFonts w:ascii="Times New Roman" w:hAnsi="Times New Roman" w:cs="Times New Roman" w:eastAsia="Times New Roman" w:hint="default"/>
          <w:b/>
          <w:bCs/>
          <w:sz w:val="28"/>
          <w:szCs w:val="28"/>
        </w:rPr>
        <w:t>794,832,809</w:t>
      </w:r>
      <w:r>
        <w:rPr>
          <w:rFonts w:ascii="Times New Roman" w:hAnsi="Times New Roman" w:cs="Times New Roman" w:eastAsia="Times New Roman" w:hint="default"/>
          <w:b/>
          <w:bCs/>
          <w:spacing w:val="-24"/>
          <w:sz w:val="28"/>
          <w:szCs w:val="28"/>
        </w:rPr>
        <w:t> </w:t>
      </w:r>
      <w:r>
        <w:rPr>
          <w:rFonts w:ascii="宋体" w:hAnsi="宋体" w:cs="宋体" w:eastAsia="宋体" w:hint="default"/>
          <w:b/>
          <w:bCs/>
          <w:spacing w:val="-5"/>
          <w:sz w:val="28"/>
          <w:szCs w:val="28"/>
        </w:rPr>
        <w:t>为基数，向</w:t>
      </w:r>
      <w:r>
        <w:rPr>
          <w:rFonts w:ascii="宋体" w:hAnsi="宋体" w:cs="宋体" w:eastAsia="宋体" w:hint="default"/>
          <w:spacing w:val="-5"/>
          <w:sz w:val="28"/>
          <w:szCs w:val="28"/>
        </w:rPr>
      </w:r>
    </w:p>
    <w:p>
      <w:pPr>
        <w:spacing w:before="236"/>
        <w:ind w:left="153" w:right="0" w:firstLine="0"/>
        <w:jc w:val="both"/>
        <w:rPr>
          <w:rFonts w:ascii="宋体" w:hAnsi="宋体" w:cs="宋体" w:eastAsia="宋体" w:hint="default"/>
          <w:sz w:val="28"/>
          <w:szCs w:val="28"/>
        </w:rPr>
      </w:pPr>
      <w:r>
        <w:rPr>
          <w:rFonts w:ascii="宋体" w:hAnsi="宋体" w:cs="宋体" w:eastAsia="宋体" w:hint="default"/>
          <w:b/>
          <w:bCs/>
          <w:spacing w:val="1"/>
          <w:w w:val="99"/>
          <w:sz w:val="28"/>
          <w:szCs w:val="28"/>
        </w:rPr>
        <w:t>全体股东</w:t>
      </w:r>
      <w:r>
        <w:rPr>
          <w:rFonts w:ascii="宋体" w:hAnsi="宋体" w:cs="宋体" w:eastAsia="宋体" w:hint="default"/>
          <w:b/>
          <w:bCs/>
          <w:w w:val="99"/>
          <w:sz w:val="28"/>
          <w:szCs w:val="28"/>
        </w:rPr>
        <w:t>每</w:t>
      </w:r>
      <w:r>
        <w:rPr>
          <w:rFonts w:ascii="宋体" w:hAnsi="宋体" w:cs="宋体" w:eastAsia="宋体" w:hint="default"/>
          <w:b/>
          <w:bCs/>
          <w:spacing w:val="-70"/>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1"/>
          <w:w w:val="99"/>
          <w:sz w:val="28"/>
          <w:szCs w:val="28"/>
        </w:rPr>
        <w:t>股派发现金红</w:t>
      </w:r>
      <w:r>
        <w:rPr>
          <w:rFonts w:ascii="宋体" w:hAnsi="宋体" w:cs="宋体" w:eastAsia="宋体" w:hint="default"/>
          <w:b/>
          <w:bCs/>
          <w:w w:val="99"/>
          <w:sz w:val="28"/>
          <w:szCs w:val="28"/>
        </w:rPr>
        <w:t>利</w:t>
      </w:r>
      <w:r>
        <w:rPr>
          <w:rFonts w:ascii="宋体" w:hAnsi="宋体" w:cs="宋体" w:eastAsia="宋体" w:hint="default"/>
          <w:b/>
          <w:bCs/>
          <w:spacing w:val="-70"/>
          <w:sz w:val="28"/>
          <w:szCs w:val="28"/>
        </w:rPr>
        <w:t> </w:t>
      </w:r>
      <w:r>
        <w:rPr>
          <w:rFonts w:ascii="Times New Roman" w:hAnsi="Times New Roman" w:cs="Times New Roman" w:eastAsia="Times New Roman" w:hint="default"/>
          <w:b/>
          <w:bCs/>
          <w:w w:val="99"/>
          <w:sz w:val="28"/>
          <w:szCs w:val="28"/>
        </w:rPr>
        <w:t>0.80</w:t>
      </w:r>
      <w:r>
        <w:rPr>
          <w:rFonts w:ascii="Times New Roman" w:hAnsi="Times New Roman" w:cs="Times New Roman" w:eastAsia="Times New Roman" w:hint="default"/>
          <w:b/>
          <w:bCs/>
          <w:sz w:val="28"/>
          <w:szCs w:val="28"/>
        </w:rPr>
        <w:t> </w:t>
      </w:r>
      <w:r>
        <w:rPr>
          <w:rFonts w:ascii="宋体" w:hAnsi="宋体" w:cs="宋体" w:eastAsia="宋体" w:hint="default"/>
          <w:b/>
          <w:bCs/>
          <w:spacing w:val="-28"/>
          <w:w w:val="99"/>
          <w:sz w:val="28"/>
          <w:szCs w:val="28"/>
        </w:rPr>
        <w:t>元</w:t>
      </w:r>
      <w:r>
        <w:rPr>
          <w:rFonts w:ascii="宋体" w:hAnsi="宋体" w:cs="宋体" w:eastAsia="宋体" w:hint="default"/>
          <w:b/>
          <w:bCs/>
          <w:spacing w:val="1"/>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28"/>
          <w:w w:val="99"/>
          <w:sz w:val="28"/>
          <w:szCs w:val="28"/>
        </w:rPr>
        <w:t>，</w:t>
      </w:r>
      <w:r>
        <w:rPr>
          <w:rFonts w:ascii="宋体" w:hAnsi="宋体" w:cs="宋体" w:eastAsia="宋体" w:hint="default"/>
          <w:b/>
          <w:bCs/>
          <w:spacing w:val="1"/>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70"/>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0"/>
          <w:sz w:val="28"/>
          <w:szCs w:val="28"/>
        </w:rPr>
        <w:t> </w:t>
      </w:r>
      <w:r>
        <w:rPr>
          <w:rFonts w:ascii="宋体" w:hAnsi="宋体" w:cs="宋体" w:eastAsia="宋体" w:hint="default"/>
          <w:b/>
          <w:bCs/>
          <w:spacing w:val="-28"/>
          <w:w w:val="99"/>
          <w:sz w:val="28"/>
          <w:szCs w:val="28"/>
        </w:rPr>
        <w:t>股</w:t>
      </w:r>
      <w:r>
        <w:rPr>
          <w:rFonts w:ascii="宋体" w:hAnsi="宋体" w:cs="宋体" w:eastAsia="宋体" w:hint="default"/>
          <w:b/>
          <w:bCs/>
          <w:spacing w:val="1"/>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27"/>
          <w:w w:val="99"/>
          <w:sz w:val="28"/>
          <w:szCs w:val="28"/>
        </w:rPr>
        <w:t>，</w:t>
      </w:r>
      <w:r>
        <w:rPr>
          <w:rFonts w:ascii="宋体" w:hAnsi="宋体" w:cs="宋体" w:eastAsia="宋体" w:hint="default"/>
          <w:b/>
          <w:bCs/>
          <w:spacing w:val="1"/>
          <w:w w:val="99"/>
          <w:sz w:val="28"/>
          <w:szCs w:val="28"/>
        </w:rPr>
        <w:t>以资本公</w:t>
      </w:r>
      <w:r>
        <w:rPr>
          <w:rFonts w:ascii="宋体" w:hAnsi="宋体" w:cs="宋体" w:eastAsia="宋体" w:hint="default"/>
          <w:sz w:val="28"/>
          <w:szCs w:val="28"/>
        </w:rPr>
      </w:r>
    </w:p>
    <w:p>
      <w:pPr>
        <w:spacing w:before="237"/>
        <w:ind w:left="153" w:right="0" w:firstLine="0"/>
        <w:jc w:val="both"/>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股转增</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1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footerReference w:type="default" r:id="rId8"/>
          <w:pgSz w:w="11910" w:h="16840"/>
          <w:pgMar w:footer="982" w:header="747" w:top="1060" w:bottom="118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243" w:right="321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3"/>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1" w:val="right" w:leader="dot"/>
            </w:tabs>
            <w:spacing w:line="240" w:lineRule="auto" w:before="0"/>
            <w:ind w:left="154"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1">
            <w:r>
              <w:rPr/>
              <w:t>第一节 重要提示、目录和释义</w:t>
            </w:r>
            <w:r>
              <w:rPr>
                <w:rFonts w:ascii="Times New Roman" w:hAnsi="Times New Roman" w:cs="Times New Roman" w:eastAsia="Times New Roman" w:hint="default"/>
              </w:rPr>
              <w:tab/>
              <w:t>2</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10">
            <w:r>
              <w:rPr/>
              <w:t>第二节 公司简介和主要财务指标</w:t>
            </w:r>
            <w:r>
              <w:rPr>
                <w:rFonts w:ascii="Times New Roman" w:hAnsi="Times New Roman" w:cs="Times New Roman" w:eastAsia="Times New Roman" w:hint="default"/>
              </w:rPr>
              <w:tab/>
              <w:t>6</w:t>
            </w:r>
          </w:hyperlink>
        </w:p>
        <w:p>
          <w:pPr>
            <w:pStyle w:val="TOC1"/>
            <w:tabs>
              <w:tab w:pos="9781" w:val="right" w:leader="dot"/>
            </w:tabs>
            <w:spacing w:line="240" w:lineRule="auto" w:before="176"/>
            <w:ind w:right="0"/>
            <w:jc w:val="left"/>
            <w:rPr>
              <w:rFonts w:ascii="Times New Roman" w:hAnsi="Times New Roman" w:cs="Times New Roman" w:eastAsia="Times New Roman" w:hint="default"/>
            </w:rPr>
          </w:pPr>
          <w:hyperlink w:history="true" w:anchor="_TOC_250009">
            <w:r>
              <w:rPr/>
              <w:t>第三节 公司业务概要</w:t>
            </w:r>
            <w:r>
              <w:rPr>
                <w:rFonts w:ascii="Times New Roman" w:hAnsi="Times New Roman" w:cs="Times New Roman" w:eastAsia="Times New Roman" w:hint="default"/>
              </w:rPr>
              <w:tab/>
              <w:t>10</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8">
            <w:r>
              <w:rPr/>
              <w:t>第四节 经营情况讨论与分析</w:t>
            </w:r>
            <w:r>
              <w:rPr>
                <w:rFonts w:ascii="Times New Roman" w:hAnsi="Times New Roman" w:cs="Times New Roman" w:eastAsia="Times New Roman" w:hint="default"/>
              </w:rPr>
              <w:tab/>
              <w:t>17</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7">
            <w:r>
              <w:rPr/>
              <w:t>第五节 重要事项</w:t>
            </w:r>
            <w:r>
              <w:rPr>
                <w:rFonts w:ascii="Times New Roman" w:hAnsi="Times New Roman" w:cs="Times New Roman" w:eastAsia="Times New Roman" w:hint="default"/>
              </w:rPr>
              <w:tab/>
              <w:t>47</w:t>
            </w:r>
          </w:hyperlink>
        </w:p>
        <w:p>
          <w:pPr>
            <w:pStyle w:val="TOC1"/>
            <w:tabs>
              <w:tab w:pos="9781" w:val="right" w:leader="dot"/>
            </w:tabs>
            <w:spacing w:line="240" w:lineRule="auto" w:before="176"/>
            <w:ind w:right="0"/>
            <w:jc w:val="left"/>
            <w:rPr>
              <w:rFonts w:ascii="Times New Roman" w:hAnsi="Times New Roman" w:cs="Times New Roman" w:eastAsia="Times New Roman" w:hint="default"/>
            </w:rPr>
          </w:pPr>
          <w:hyperlink w:history="true" w:anchor="_TOC_250006">
            <w:r>
              <w:rPr/>
              <w:t>第六节 股份变动及股东情况</w:t>
            </w:r>
            <w:r>
              <w:rPr>
                <w:rFonts w:ascii="Times New Roman" w:hAnsi="Times New Roman" w:cs="Times New Roman" w:eastAsia="Times New Roman" w:hint="default"/>
              </w:rPr>
              <w:tab/>
              <w:t>82</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5">
            <w:r>
              <w:rPr/>
              <w:t>第七节 优先股相关情况</w:t>
            </w:r>
            <w:r>
              <w:rPr>
                <w:rFonts w:ascii="Times New Roman" w:hAnsi="Times New Roman" w:cs="Times New Roman" w:eastAsia="Times New Roman" w:hint="default"/>
              </w:rPr>
              <w:tab/>
              <w:t>92</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4">
            <w:r>
              <w:rPr/>
              <w:t>第八节 董事、监事、高级管理人员和员工情况</w:t>
            </w:r>
            <w:r>
              <w:rPr>
                <w:rFonts w:ascii="Times New Roman" w:hAnsi="Times New Roman" w:cs="Times New Roman" w:eastAsia="Times New Roman" w:hint="default"/>
              </w:rPr>
              <w:tab/>
              <w:t>93</w:t>
            </w:r>
          </w:hyperlink>
        </w:p>
        <w:p>
          <w:pPr>
            <w:pStyle w:val="TOC1"/>
            <w:tabs>
              <w:tab w:pos="9781" w:val="right" w:leader="dot"/>
            </w:tabs>
            <w:spacing w:line="240" w:lineRule="auto" w:before="176"/>
            <w:ind w:right="0"/>
            <w:jc w:val="left"/>
            <w:rPr>
              <w:rFonts w:ascii="Times New Roman" w:hAnsi="Times New Roman" w:cs="Times New Roman" w:eastAsia="Times New Roman" w:hint="default"/>
            </w:rPr>
          </w:pPr>
          <w:hyperlink w:history="true" w:anchor="_TOC_250003">
            <w:r>
              <w:rPr/>
              <w:t>第九节 公司治理</w:t>
            </w:r>
            <w:r>
              <w:rPr>
                <w:rFonts w:ascii="Times New Roman" w:hAnsi="Times New Roman" w:cs="Times New Roman" w:eastAsia="Times New Roman" w:hint="default"/>
              </w:rPr>
              <w:tab/>
              <w:t>103</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2">
            <w:r>
              <w:rPr/>
              <w:t>第十节 公司债券相关情况</w:t>
            </w:r>
            <w:r>
              <w:rPr>
                <w:rFonts w:ascii="Times New Roman" w:hAnsi="Times New Roman" w:cs="Times New Roman" w:eastAsia="Times New Roman" w:hint="default"/>
              </w:rPr>
              <w:tab/>
              <w:t>109</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1">
            <w:r>
              <w:rPr/>
              <w:t>第十一节 财务报告</w:t>
            </w:r>
            <w:r>
              <w:rPr>
                <w:rFonts w:ascii="Times New Roman" w:hAnsi="Times New Roman" w:cs="Times New Roman" w:eastAsia="Times New Roman" w:hint="default"/>
              </w:rPr>
              <w:tab/>
            </w:r>
            <w:r>
              <w:rPr>
                <w:rFonts w:ascii="Times New Roman" w:hAnsi="Times New Roman" w:cs="Times New Roman" w:eastAsia="Times New Roman" w:hint="default"/>
                <w:spacing w:val="-3"/>
              </w:rPr>
              <w:t>110</w:t>
            </w:r>
          </w:hyperlink>
        </w:p>
        <w:p>
          <w:pPr>
            <w:pStyle w:val="TOC1"/>
            <w:tabs>
              <w:tab w:pos="9781" w:val="right" w:leader="dot"/>
            </w:tabs>
            <w:spacing w:line="240" w:lineRule="auto" w:before="176"/>
            <w:ind w:right="0"/>
            <w:jc w:val="left"/>
            <w:rPr>
              <w:rFonts w:ascii="Times New Roman" w:hAnsi="Times New Roman" w:cs="Times New Roman" w:eastAsia="Times New Roman" w:hint="default"/>
            </w:rPr>
          </w:pPr>
          <w:hyperlink w:history="true" w:anchor="_TOC_250000">
            <w:r>
              <w:rPr/>
              <w:t>第十二节 备查文件目录</w:t>
            </w:r>
            <w:r>
              <w:rPr>
                <w:rFonts w:ascii="Times New Roman" w:hAnsi="Times New Roman" w:cs="Times New Roman" w:eastAsia="Times New Roman" w:hint="default"/>
              </w:rPr>
              <w:tab/>
              <w:t>241</w:t>
            </w:r>
          </w:hyperlink>
        </w:p>
        <w:p>
          <w:pPr/>
          <w:r>
            <w:fldChar w:fldCharType="end"/>
          </w:r>
        </w:p>
      </w:sdtContent>
    </w:sdt>
    <w:p>
      <w:pPr>
        <w:spacing w:after="0"/>
        <w:sectPr>
          <w:pgSz w:w="11910" w:h="16840"/>
          <w:pgMar w:header="747" w:footer="982" w:top="1060" w:bottom="1180" w:left="980" w:right="0"/>
        </w:sectPr>
      </w:pPr>
    </w:p>
    <w:p>
      <w:pPr>
        <w:spacing w:before="946"/>
        <w:ind w:left="2243" w:right="321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68"/>
        <w:gridCol w:w="568"/>
        <w:gridCol w:w="6733"/>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美亚柏科、公司或本公司</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厦门市美亚柏科信息股份有限公司</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美亚柏科信息安全研究所</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厦门市美亚柏科信息安全研究所有限公司，公司的全资子公司</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厦门服云</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厦门服云信息科技有限公司，公司的参股公司</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美亚中敏</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厦门美亚中敏科技有限公司，公司的控股子公司</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香港鼎永泰克</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香港鼎永泰克科技有限公司，公司的控股子公司</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杭州攀克</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杭州攀克网络技术有限公司，公司的参股公司</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巨龙信息</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厦门市巨龙信息科技有限公司，公司的参股公司</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福建宏创</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福建宏创信息科技有限公司，公司的参股公司</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珠海新德汇</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珠海市新德汇信息技术有限公司，公司的全资子公司</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万诚信用</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北京万诚信用评价有限公司，公司的参股子公司</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海峡国家版权交易中心</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海峡国家版权交易中心有限公司，公司的参股公司</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武汉大千</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武汉大千信息技术有限公司，公司的控股子公司</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中新赛克</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深圳市中新赛克科技股份有限公司，公司的参股公司</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正信世纪</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厦门正信世纪信息科技有限公司，公司的参股公司</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安胜网络</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厦门安胜网络科技有限公司，公司的控股子公司</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江苏税软</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江苏税软软件科技有限公司，公司的全资子公司</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美亚宏数</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北京美亚宏数科技有限责任公司，公司的控股子公司</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国信宏数</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北京国信宏数科技有限责任公司，美亚宏数的控股子公司</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基金管理公司</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厦门市美亚梧桐投资管理有限公司，公司的参股公司</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SPV</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厦门市亚桐投资管理合伙企业（有限合伙</w:t>
            </w:r>
            <w:r>
              <w:rPr>
                <w:rFonts w:ascii="宋体" w:hAnsi="宋体" w:cs="宋体" w:eastAsia="宋体" w:hint="default"/>
                <w:spacing w:val="-90"/>
                <w:sz w:val="18"/>
                <w:szCs w:val="18"/>
              </w:rPr>
              <w:t>）</w:t>
            </w:r>
            <w:r>
              <w:rPr>
                <w:rFonts w:ascii="宋体" w:hAnsi="宋体" w:cs="宋体" w:eastAsia="宋体" w:hint="default"/>
                <w:sz w:val="18"/>
                <w:szCs w:val="18"/>
              </w:rPr>
              <w:t>，由</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S</w:t>
            </w:r>
            <w:r>
              <w:rPr>
                <w:rFonts w:ascii="Times New Roman" w:hAnsi="Times New Roman" w:cs="Times New Roman" w:eastAsia="Times New Roman" w:hint="default"/>
                <w:sz w:val="18"/>
                <w:szCs w:val="18"/>
              </w:rPr>
              <w:t>PV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发</w:t>
            </w:r>
            <w:r>
              <w:rPr>
                <w:rFonts w:ascii="宋体" w:hAnsi="宋体" w:cs="宋体" w:eastAsia="宋体" w:hint="default"/>
                <w:spacing w:val="1"/>
                <w:sz w:val="18"/>
                <w:szCs w:val="18"/>
              </w:rPr>
              <w:t>起</w:t>
            </w:r>
            <w:r>
              <w:rPr>
                <w:rFonts w:ascii="宋体" w:hAnsi="宋体" w:cs="宋体" w:eastAsia="宋体" w:hint="default"/>
                <w:sz w:val="18"/>
                <w:szCs w:val="18"/>
              </w:rPr>
              <w:t>设立美亚梧桐产业并购基金</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美亚智讯</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北京美亚智讯信息技术有限公司，公司的控股子公司</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美亚商鼎</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厦门美亚商鼎信息科技有限公司，公司的控股子公司</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万方智讯</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北京万方智讯信息技术有限公司，美亚智讯的参股公司</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保荐机构、国信证券</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国信证券股份有限公司，公司首次公开发行股票的保荐机构</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致同</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r>
              <w:rPr>
                <w:rFonts w:ascii="宋体" w:hAnsi="宋体" w:cs="宋体" w:eastAsia="宋体" w:hint="default"/>
                <w:spacing w:val="-90"/>
                <w:sz w:val="18"/>
                <w:szCs w:val="18"/>
              </w:rPr>
              <w:t>）</w:t>
            </w:r>
            <w:r>
              <w:rPr>
                <w:rFonts w:ascii="宋体" w:hAnsi="宋体" w:cs="宋体" w:eastAsia="宋体" w:hint="default"/>
                <w:sz w:val="18"/>
                <w:szCs w:val="18"/>
              </w:rPr>
              <w:t>，公司年度审计机构</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首次公开发行股票</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发行人首次发行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股的行为</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限制性股票激励计划</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厦门市美亚柏科信息股份有限公司第二期限制性股票激励计划</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重大资产重组</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美亚柏科发行股份购买江苏税软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股权及珠海新德汇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股权的交易统称</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斯坦道</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厦门斯坦道科学仪器股份有限公司，公司的参股公司</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68"/>
        <w:gridCol w:w="567"/>
        <w:gridCol w:w="6734"/>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股份回购</w:t>
            </w:r>
          </w:p>
        </w:tc>
        <w:tc>
          <w:tcPr>
            <w:tcW w:w="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回购注销部分离职激励对象已获授尚未解锁的限制性股票</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美桐贰期基金</w:t>
            </w:r>
          </w:p>
        </w:tc>
        <w:tc>
          <w:tcPr>
            <w:tcW w:w="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厦门市美桐贰期股权投资合伙企业（有限合伙</w:t>
            </w:r>
            <w:r>
              <w:rPr>
                <w:rFonts w:ascii="宋体" w:hAnsi="宋体" w:cs="宋体" w:eastAsia="宋体" w:hint="default"/>
                <w:spacing w:val="-90"/>
                <w:sz w:val="18"/>
                <w:szCs w:val="18"/>
              </w:rPr>
              <w:t>）</w:t>
            </w:r>
            <w:r>
              <w:rPr>
                <w:rFonts w:ascii="宋体" w:hAnsi="宋体" w:cs="宋体" w:eastAsia="宋体" w:hint="default"/>
                <w:sz w:val="18"/>
                <w:szCs w:val="18"/>
              </w:rPr>
              <w:t>，公司拟参与认购基金</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美亚天信</w:t>
            </w:r>
          </w:p>
        </w:tc>
        <w:tc>
          <w:tcPr>
            <w:tcW w:w="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厦门美亚天信会议服务有限公司，公司的全资子公司</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美亚京安</w:t>
            </w:r>
          </w:p>
        </w:tc>
        <w:tc>
          <w:tcPr>
            <w:tcW w:w="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北京美亚京安科技有限公司，公司的全资子公司</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美银智投</w:t>
            </w:r>
          </w:p>
        </w:tc>
        <w:tc>
          <w:tcPr>
            <w:tcW w:w="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厦门美银智投科技有限公司，公司的全资子公司</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美亚榕安</w:t>
            </w:r>
          </w:p>
        </w:tc>
        <w:tc>
          <w:tcPr>
            <w:tcW w:w="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福建美亚榕安科技有限公司，公司的全资子公司</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美亚亿安</w:t>
            </w:r>
          </w:p>
        </w:tc>
        <w:tc>
          <w:tcPr>
            <w:tcW w:w="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厦门美亚亿安信息科技有限公司，公司的控股子公司</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美银壹号基金</w:t>
            </w:r>
          </w:p>
        </w:tc>
        <w:tc>
          <w:tcPr>
            <w:tcW w:w="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厦门市美银壹号股权投资合伙企业（有限合伙</w:t>
            </w:r>
            <w:r>
              <w:rPr>
                <w:rFonts w:ascii="宋体" w:hAnsi="宋体" w:cs="宋体" w:eastAsia="宋体" w:hint="default"/>
                <w:spacing w:val="-90"/>
                <w:sz w:val="18"/>
                <w:szCs w:val="18"/>
              </w:rPr>
              <w:t>）</w:t>
            </w:r>
            <w:r>
              <w:rPr>
                <w:rFonts w:ascii="宋体" w:hAnsi="宋体" w:cs="宋体" w:eastAsia="宋体" w:hint="default"/>
                <w:sz w:val="18"/>
                <w:szCs w:val="18"/>
              </w:rPr>
              <w:t>，公司发起设立的基金</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华易智美</w:t>
            </w:r>
          </w:p>
        </w:tc>
        <w:tc>
          <w:tcPr>
            <w:tcW w:w="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厦门华易智美信息咨询合伙企业（有限合伙</w:t>
            </w:r>
            <w:r>
              <w:rPr>
                <w:rFonts w:ascii="宋体" w:hAnsi="宋体" w:cs="宋体" w:eastAsia="宋体" w:hint="default"/>
                <w:spacing w:val="-90"/>
                <w:sz w:val="18"/>
                <w:szCs w:val="18"/>
              </w:rPr>
              <w:t>）</w:t>
            </w:r>
            <w:r>
              <w:rPr>
                <w:rFonts w:ascii="宋体" w:hAnsi="宋体" w:cs="宋体" w:eastAsia="宋体" w:hint="default"/>
                <w:sz w:val="18"/>
                <w:szCs w:val="18"/>
              </w:rPr>
              <w:t>，公司的参股公司</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2644" w:right="0"/>
        <w:jc w:val="left"/>
        <w:rPr>
          <w:b w:val="0"/>
          <w:bCs w:val="0"/>
        </w:rPr>
      </w:pPr>
      <w:bookmarkStart w:name="_TOC_250010" w:id="2"/>
      <w:r>
        <w:rPr/>
        <w:t>第二节</w:t>
      </w:r>
      <w:r>
        <w:rPr>
          <w:spacing w:val="-11"/>
        </w:rPr>
        <w:t> </w:t>
      </w:r>
      <w:r>
        <w:rPr/>
        <w:t>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Heading2"/>
        <w:spacing w:line="240" w:lineRule="auto" w:before="26"/>
        <w:ind w:right="0"/>
        <w:jc w:val="left"/>
        <w:rPr>
          <w:b w:val="0"/>
          <w:bCs w:val="0"/>
        </w:rPr>
      </w:pPr>
      <w:r>
        <w:rPr/>
        <w:pict>
          <v:shape style="position:absolute;margin-left:138pt;margin-top:114.735931pt;width:396.9pt;height:19.650pt;mso-position-horizontal-relative:page;mso-position-vertical-relative:paragraph;z-index:-1298440"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t>一、公司信息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3"/>
        <w:gridCol w:w="2156"/>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美亚柏科</w:t>
            </w:r>
          </w:p>
        </w:tc>
        <w:tc>
          <w:tcPr>
            <w:tcW w:w="21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300188</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厦门市美亚柏科信息股份有限公司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美亚柏科</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Xiamen Meiya Pico Information</w:t>
            </w:r>
            <w:r>
              <w:rPr>
                <w:rFonts w:ascii="Times New Roman"/>
                <w:spacing w:val="-3"/>
                <w:sz w:val="18"/>
              </w:rPr>
              <w:t> Co.,LTD.</w:t>
            </w:r>
          </w:p>
        </w:tc>
      </w:tr>
      <w:tr>
        <w:trPr>
          <w:trHeight w:val="402" w:hRule="exact"/>
        </w:trPr>
        <w:tc>
          <w:tcPr>
            <w:tcW w:w="2284" w:type="dxa"/>
            <w:tcBorders>
              <w:top w:val="single" w:sz="4" w:space="0" w:color="000000"/>
              <w:left w:val="single" w:sz="4" w:space="0" w:color="000000"/>
              <w:bottom w:val="single" w:sz="4" w:space="0" w:color="000000"/>
              <w:right w:val="single" w:sz="10" w:space="0" w:color="FFFFFF"/>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5" w:type="dxa"/>
            <w:gridSpan w:val="3"/>
            <w:tcBorders>
              <w:top w:val="single" w:sz="4" w:space="0" w:color="000000"/>
              <w:left w:val="single" w:sz="10" w:space="0" w:color="FFFFFF"/>
              <w:bottom w:val="single" w:sz="4" w:space="0" w:color="000000"/>
              <w:right w:val="single" w:sz="9" w:space="0" w:color="FFFFFF"/>
            </w:tcBorders>
          </w:tcPr>
          <w:p>
            <w:pPr>
              <w:pStyle w:val="TableParagraph"/>
              <w:spacing w:line="240" w:lineRule="auto" w:before="91"/>
              <w:ind w:left="16" w:right="0"/>
              <w:jc w:val="left"/>
              <w:rPr>
                <w:rFonts w:ascii="Times New Roman" w:hAnsi="Times New Roman" w:cs="Times New Roman" w:eastAsia="Times New Roman" w:hint="default"/>
                <w:sz w:val="18"/>
                <w:szCs w:val="18"/>
              </w:rPr>
            </w:pPr>
            <w:r>
              <w:rPr>
                <w:rFonts w:ascii="Times New Roman"/>
                <w:spacing w:val="-3"/>
                <w:sz w:val="18"/>
              </w:rPr>
              <w:t>MEIYAPICO </w:t>
            </w:r>
            <w:r>
              <w:rPr>
                <w:rFonts w:ascii="Times New Roman"/>
                <w:sz w:val="18"/>
              </w:rPr>
              <w:t>INC.</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滕达</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厦门市软件园二期观日路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102-402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单元</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361008</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厦门市软件园二期观日路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102-402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单元</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361008</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www.300188.cn</w:t>
              </w:r>
            </w:hyperlink>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tzzgx@300188.cn</w:t>
              </w:r>
            </w:hyperlink>
          </w:p>
        </w:tc>
      </w:tr>
    </w:tbl>
    <w:p>
      <w:pPr>
        <w:spacing w:line="240" w:lineRule="auto" w:before="12"/>
        <w:rPr>
          <w:rFonts w:ascii="宋体" w:hAnsi="宋体" w:cs="宋体" w:eastAsia="宋体" w:hint="default"/>
          <w:b/>
          <w:bCs/>
          <w:sz w:val="17"/>
          <w:szCs w:val="17"/>
        </w:rPr>
      </w:pPr>
    </w:p>
    <w:p>
      <w:pPr>
        <w:pStyle w:val="Heading2"/>
        <w:spacing w:line="240" w:lineRule="auto" w:before="26"/>
        <w:ind w:right="0"/>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51"/>
        <w:gridCol w:w="4394"/>
        <w:gridCol w:w="4324"/>
      </w:tblGrid>
      <w:tr>
        <w:trPr>
          <w:trHeight w:val="401"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4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蔡志评</w:t>
            </w:r>
          </w:p>
        </w:tc>
        <w:tc>
          <w:tcPr>
            <w:tcW w:w="4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陈琼</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厦门市软件园二期观日路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号美亚柏科董事会办公室</w:t>
            </w:r>
          </w:p>
        </w:tc>
        <w:tc>
          <w:tcPr>
            <w:tcW w:w="4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厦门市软件园二期观日路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号美亚柏科董事会办公室</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0592-3698792</w:t>
            </w:r>
          </w:p>
        </w:tc>
        <w:tc>
          <w:tcPr>
            <w:tcW w:w="4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0592-3698792</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0592-2519335</w:t>
            </w:r>
          </w:p>
        </w:tc>
        <w:tc>
          <w:tcPr>
            <w:tcW w:w="4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0592-2519335</w:t>
            </w:r>
          </w:p>
        </w:tc>
      </w:tr>
      <w:tr>
        <w:trPr>
          <w:trHeight w:val="403"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0">
              <w:r>
                <w:rPr>
                  <w:rFonts w:ascii="Times New Roman"/>
                  <w:sz w:val="18"/>
                </w:rPr>
                <w:t>tzzgx@300188.cn</w:t>
              </w:r>
            </w:hyperlink>
          </w:p>
        </w:tc>
        <w:tc>
          <w:tcPr>
            <w:tcW w:w="4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0">
              <w:r>
                <w:rPr>
                  <w:rFonts w:ascii="Times New Roman"/>
                  <w:sz w:val="18"/>
                </w:rPr>
                <w:t>tzzgx@300188.cn</w:t>
              </w:r>
            </w:hyperlink>
          </w:p>
        </w:tc>
      </w:tr>
    </w:tbl>
    <w:p>
      <w:pPr>
        <w:spacing w:line="240" w:lineRule="auto" w:before="12"/>
        <w:rPr>
          <w:rFonts w:ascii="宋体" w:hAnsi="宋体" w:cs="宋体" w:eastAsia="宋体" w:hint="default"/>
          <w:b/>
          <w:bCs/>
          <w:sz w:val="17"/>
          <w:szCs w:val="17"/>
        </w:rPr>
      </w:pPr>
    </w:p>
    <w:p>
      <w:pPr>
        <w:pStyle w:val="Heading2"/>
        <w:spacing w:line="240" w:lineRule="auto" w:before="26"/>
        <w:ind w:right="0"/>
        <w:jc w:val="left"/>
        <w:rPr>
          <w:b w:val="0"/>
          <w:bCs w:val="0"/>
        </w:rPr>
      </w:pPr>
      <w:r>
        <w:rPr/>
        <w:t>三、信息披露及备置地点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2"/>
        <w:gridCol w:w="5575"/>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《证券日报》和《上海证券报》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3"/>
                <w:sz w:val="18"/>
                <w:szCs w:val="18"/>
              </w:rPr>
              <w:t> </w:t>
            </w:r>
            <w:hyperlink r:id="rId11">
              <w:r>
                <w:rPr>
                  <w:rFonts w:ascii="Times New Roman" w:hAnsi="Times New Roman" w:cs="Times New Roman" w:eastAsia="Times New Roman" w:hint="default"/>
                  <w:sz w:val="18"/>
                  <w:szCs w:val="18"/>
                </w:rPr>
                <w:t>http://www.cninfo.com.cn</w:t>
              </w:r>
            </w:hyperlink>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福建省厦门市软件园二期观日路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号美亚柏科董事会办公室</w:t>
            </w:r>
          </w:p>
        </w:tc>
      </w:tr>
    </w:tbl>
    <w:p>
      <w:pPr>
        <w:spacing w:line="240" w:lineRule="auto" w:before="12"/>
        <w:rPr>
          <w:rFonts w:ascii="宋体" w:hAnsi="宋体" w:cs="宋体" w:eastAsia="宋体" w:hint="default"/>
          <w:b/>
          <w:bCs/>
          <w:sz w:val="17"/>
          <w:szCs w:val="17"/>
        </w:rPr>
      </w:pPr>
    </w:p>
    <w:p>
      <w:pPr>
        <w:pStyle w:val="Heading2"/>
        <w:spacing w:line="240" w:lineRule="auto" w:before="26"/>
        <w:ind w:right="0"/>
        <w:jc w:val="left"/>
        <w:rPr>
          <w:b w:val="0"/>
          <w:bCs w:val="0"/>
        </w:rPr>
      </w:pPr>
      <w:r>
        <w:rPr/>
        <w:t>四、其他有关资料</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after="0"/>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福建省厦门市思明区曾厝垵软件园创新大厦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12-15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周俊超、余道前</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38" w:lineRule="auto" w:before="117"/>
        <w:ind w:left="154" w:right="67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公司聘请的报告期内履行持续督导职责的财务顾问</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3"/>
          <w:szCs w:val="23"/>
        </w:rPr>
      </w:pPr>
    </w:p>
    <w:p>
      <w:pPr>
        <w:pStyle w:val="Heading2"/>
        <w:spacing w:line="240" w:lineRule="auto"/>
        <w:ind w:right="0"/>
        <w:jc w:val="left"/>
        <w:rPr>
          <w:b w:val="0"/>
          <w:bCs w:val="0"/>
        </w:rPr>
      </w:pPr>
      <w:r>
        <w:rPr/>
        <w:t>五、主要会计数据和财务指标</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262"/>
        <w:gridCol w:w="1700"/>
        <w:gridCol w:w="1417"/>
        <w:gridCol w:w="1700"/>
        <w:gridCol w:w="1489"/>
      </w:tblGrid>
      <w:tr>
        <w:trPr>
          <w:trHeight w:val="401" w:hRule="exact"/>
        </w:trPr>
        <w:tc>
          <w:tcPr>
            <w:tcW w:w="32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4"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4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1,600,584,391.00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1,336,640,411.37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19.75%</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997,908,503.38</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303,214,679.83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271,716,271.45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11.59%</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182,624,041.44</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67"/>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 益的净利润（元）</w:t>
            </w:r>
          </w:p>
        </w:tc>
        <w:tc>
          <w:tcPr>
            <w:tcW w:w="17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214,701,444.00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250,767,061.62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-14.38%</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166,895,695.12</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71,849,254.67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199,944,188.01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-64.07%</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344,623,649.37</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0.350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8.57%</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0.2375</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0.350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8.57%</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0.2375</w:t>
            </w:r>
          </w:p>
        </w:tc>
      </w:tr>
      <w:tr>
        <w:trPr>
          <w:trHeight w:val="403" w:hRule="exact"/>
        </w:trPr>
        <w:tc>
          <w:tcPr>
            <w:tcW w:w="3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12.30%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13.56%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-1.26%</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10.39%</w:t>
            </w:r>
          </w:p>
        </w:tc>
      </w:tr>
      <w:tr>
        <w:trPr>
          <w:trHeight w:val="401" w:hRule="exact"/>
        </w:trPr>
        <w:tc>
          <w:tcPr>
            <w:tcW w:w="32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35"/>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4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Narrow" w:hAnsi="Arial Narrow" w:cs="Arial Narrow" w:eastAsia="Arial Narrow" w:hint="default"/>
                <w:sz w:val="18"/>
                <w:szCs w:val="18"/>
              </w:rPr>
            </w:pPr>
            <w:r>
              <w:rPr>
                <w:rFonts w:ascii="Arial Narrow"/>
                <w:spacing w:val="-1"/>
                <w:sz w:val="18"/>
              </w:rPr>
              <w:t>3,444,140,529.17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3,111,938,828.79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10.68%</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2,626,752,979.00</w:t>
            </w:r>
          </w:p>
        </w:tc>
      </w:tr>
      <w:tr>
        <w:trPr>
          <w:trHeight w:val="403" w:hRule="exact"/>
        </w:trPr>
        <w:tc>
          <w:tcPr>
            <w:tcW w:w="3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Narrow" w:hAnsi="Arial Narrow" w:cs="Arial Narrow" w:eastAsia="Arial Narrow" w:hint="default"/>
                <w:sz w:val="18"/>
                <w:szCs w:val="18"/>
              </w:rPr>
            </w:pPr>
            <w:r>
              <w:rPr>
                <w:rFonts w:ascii="Arial Narrow"/>
                <w:spacing w:val="-1"/>
                <w:sz w:val="18"/>
              </w:rPr>
              <w:t>2,550,684,558.80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2,326,621,414.02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9.63%</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1,866,388,433.39</w:t>
            </w:r>
          </w:p>
        </w:tc>
      </w:tr>
    </w:tbl>
    <w:p>
      <w:pPr>
        <w:spacing w:line="240" w:lineRule="auto" w:before="12"/>
        <w:rPr>
          <w:rFonts w:ascii="宋体" w:hAnsi="宋体" w:cs="宋体" w:eastAsia="宋体" w:hint="default"/>
          <w:sz w:val="17"/>
          <w:szCs w:val="17"/>
        </w:rPr>
      </w:pPr>
    </w:p>
    <w:p>
      <w:pPr>
        <w:pStyle w:val="Heading2"/>
        <w:spacing w:line="240" w:lineRule="auto" w:before="26"/>
        <w:ind w:right="0"/>
        <w:jc w:val="left"/>
        <w:rPr>
          <w:b w:val="0"/>
          <w:bCs w:val="0"/>
        </w:rPr>
      </w:pPr>
      <w:r>
        <w:rPr/>
        <w:t>六、分季度主要财务指标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3262"/>
        <w:gridCol w:w="1559"/>
        <w:gridCol w:w="1559"/>
        <w:gridCol w:w="1702"/>
        <w:gridCol w:w="1489"/>
      </w:tblGrid>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4"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184,705,580.53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297,297,203.18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241,671,590.40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876,910,016.89</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5,174,687.49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34,590,589.38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7,607,227.24</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255,842,175.72</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 损益的净利润</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2,418,211.98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20,940,237.11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4,656,655.60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186,686,339.31</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-308,139,686.77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-22,315,356.82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-122,523,307.32</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524,827,605.58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7"/>
        <w:rPr>
          <w:rFonts w:ascii="宋体" w:hAnsi="宋体" w:cs="宋体" w:eastAsia="宋体" w:hint="default"/>
          <w:sz w:val="23"/>
          <w:szCs w:val="23"/>
        </w:rPr>
      </w:pPr>
    </w:p>
    <w:p>
      <w:pPr>
        <w:pStyle w:val="Heading2"/>
        <w:spacing w:line="240" w:lineRule="auto" w:before="26"/>
        <w:ind w:right="0"/>
        <w:jc w:val="left"/>
        <w:rPr>
          <w:b w:val="0"/>
          <w:bCs w:val="0"/>
        </w:rPr>
      </w:pP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13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54" w:right="26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1"/>
        <w:rPr>
          <w:rFonts w:ascii="宋体" w:hAnsi="宋体" w:cs="宋体" w:eastAsia="宋体" w:hint="default"/>
          <w:sz w:val="19"/>
          <w:szCs w:val="19"/>
        </w:rPr>
      </w:pPr>
    </w:p>
    <w:p>
      <w:pPr>
        <w:pStyle w:val="Heading2"/>
        <w:spacing w:line="240" w:lineRule="auto"/>
        <w:ind w:right="0"/>
        <w:jc w:val="left"/>
        <w:rPr>
          <w:b w:val="0"/>
          <w:bCs w:val="0"/>
        </w:rPr>
      </w:pPr>
      <w:r>
        <w:rPr/>
        <w:t>八、非经常性损益项目及金额</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83" w:type="dxa"/>
        <w:tblLayout w:type="fixed"/>
        <w:tblCellMar>
          <w:top w:w="0" w:type="dxa"/>
          <w:left w:w="0" w:type="dxa"/>
          <w:bottom w:w="0" w:type="dxa"/>
          <w:right w:w="0" w:type="dxa"/>
        </w:tblCellMar>
        <w:tblLook w:val="01E0"/>
      </w:tblPr>
      <w:tblGrid>
        <w:gridCol w:w="3652"/>
        <w:gridCol w:w="1417"/>
        <w:gridCol w:w="1276"/>
        <w:gridCol w:w="1276"/>
        <w:gridCol w:w="1949"/>
      </w:tblGrid>
      <w:tr>
        <w:trPr>
          <w:trHeight w:val="40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16"/>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 准备的冲销部分）</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32,978.14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-201,165.13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-120,798.37</w:t>
            </w: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16"/>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计入当期损益的政府补助（与企业业务密切 相关，按照国家统一标准定额或定量享受的 政府补助除外）</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29,790,872.69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24,578,433.19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19,319,081.45</w:t>
            </w: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36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w:t>
            </w:r>
          </w:p>
        </w:tc>
        <w:tc>
          <w:tcPr>
            <w:tcW w:w="1417" w:type="dxa"/>
            <w:tcBorders>
              <w:top w:val="single" w:sz="4" w:space="0" w:color="000000"/>
              <w:left w:val="single" w:sz="4" w:space="0" w:color="000000"/>
              <w:bottom w:val="nil" w:sz="6" w:space="0" w:color="auto"/>
              <w:right w:val="single" w:sz="4" w:space="0" w:color="000000"/>
            </w:tcBorders>
          </w:tcPr>
          <w:p>
            <w:pPr/>
          </w:p>
        </w:tc>
        <w:tc>
          <w:tcPr>
            <w:tcW w:w="1276" w:type="dxa"/>
            <w:vMerge w:val="restart"/>
            <w:tcBorders>
              <w:top w:val="single" w:sz="4" w:space="0" w:color="000000"/>
              <w:left w:val="single" w:sz="4" w:space="0" w:color="000000"/>
              <w:right w:val="single" w:sz="4" w:space="0" w:color="000000"/>
            </w:tcBorders>
          </w:tcPr>
          <w:p>
            <w:pPr/>
          </w:p>
        </w:tc>
        <w:tc>
          <w:tcPr>
            <w:tcW w:w="1276" w:type="dxa"/>
            <w:vMerge w:val="restart"/>
            <w:tcBorders>
              <w:top w:val="single" w:sz="4" w:space="0" w:color="000000"/>
              <w:left w:val="single" w:sz="4" w:space="0" w:color="000000"/>
              <w:right w:val="single" w:sz="4" w:space="0" w:color="000000"/>
            </w:tcBorders>
          </w:tcPr>
          <w:p>
            <w:pPr/>
          </w:p>
        </w:tc>
        <w:tc>
          <w:tcPr>
            <w:tcW w:w="1949" w:type="dxa"/>
            <w:vMerge w:val="restart"/>
            <w:tcBorders>
              <w:top w:val="single" w:sz="4" w:space="0" w:color="000000"/>
              <w:left w:val="single" w:sz="4" w:space="0" w:color="000000"/>
              <w:right w:val="single" w:sz="4" w:space="0" w:color="000000"/>
            </w:tcBorders>
          </w:tcPr>
          <w:p>
            <w:pPr/>
          </w:p>
        </w:tc>
      </w:tr>
      <w:tr>
        <w:trPr>
          <w:trHeight w:val="311" w:hRule="exact"/>
        </w:trPr>
        <w:tc>
          <w:tcPr>
            <w:tcW w:w="36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业务外，持有交易性金融资产、交易性金融</w:t>
            </w:r>
          </w:p>
        </w:tc>
        <w:tc>
          <w:tcPr>
            <w:tcW w:w="1417"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949" w:type="dxa"/>
            <w:vMerge/>
            <w:tcBorders>
              <w:left w:val="single" w:sz="4" w:space="0" w:color="000000"/>
              <w:right w:val="single" w:sz="4" w:space="0" w:color="000000"/>
            </w:tcBorders>
          </w:tcPr>
          <w:p>
            <w:pPr/>
          </w:p>
        </w:tc>
      </w:tr>
      <w:tr>
        <w:trPr>
          <w:trHeight w:val="316" w:hRule="exact"/>
        </w:trPr>
        <w:tc>
          <w:tcPr>
            <w:tcW w:w="36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负债产生的公允价值变动损益，以及处置交</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65,449,779.62</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949" w:type="dxa"/>
            <w:vMerge/>
            <w:tcBorders>
              <w:left w:val="single" w:sz="4" w:space="0" w:color="000000"/>
              <w:right w:val="single" w:sz="4" w:space="0" w:color="000000"/>
            </w:tcBorders>
          </w:tcPr>
          <w:p>
            <w:pPr/>
          </w:p>
        </w:tc>
      </w:tr>
      <w:tr>
        <w:trPr>
          <w:trHeight w:val="308" w:hRule="exact"/>
        </w:trPr>
        <w:tc>
          <w:tcPr>
            <w:tcW w:w="36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易性金融资产、交易性金融负债和可供出售</w:t>
            </w:r>
          </w:p>
        </w:tc>
        <w:tc>
          <w:tcPr>
            <w:tcW w:w="1417"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949" w:type="dxa"/>
            <w:vMerge/>
            <w:tcBorders>
              <w:left w:val="single" w:sz="4" w:space="0" w:color="000000"/>
              <w:right w:val="single" w:sz="4" w:space="0" w:color="000000"/>
            </w:tcBorders>
          </w:tcPr>
          <w:p>
            <w:pPr/>
          </w:p>
        </w:tc>
      </w:tr>
      <w:tr>
        <w:trPr>
          <w:trHeight w:val="356" w:hRule="exact"/>
        </w:trPr>
        <w:tc>
          <w:tcPr>
            <w:tcW w:w="36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金融资产取得的投资收益</w:t>
            </w:r>
          </w:p>
        </w:tc>
        <w:tc>
          <w:tcPr>
            <w:tcW w:w="1417" w:type="dxa"/>
            <w:tcBorders>
              <w:top w:val="nil" w:sz="6" w:space="0" w:color="auto"/>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949" w:type="dxa"/>
            <w:vMerge/>
            <w:tcBorders>
              <w:left w:val="single" w:sz="4" w:space="0" w:color="000000"/>
              <w:bottom w:val="single" w:sz="4" w:space="0" w:color="000000"/>
              <w:right w:val="single" w:sz="4" w:space="0" w:color="000000"/>
            </w:tcBorders>
          </w:tcPr>
          <w:p>
            <w:pPr/>
          </w:p>
        </w:tc>
      </w:tr>
      <w:tr>
        <w:trPr>
          <w:trHeight w:val="40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-4,160,865.79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-28,833.10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-1,041,726.84</w:t>
            </w: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363" w:hRule="exact"/>
        </w:trPr>
        <w:tc>
          <w:tcPr>
            <w:tcW w:w="3652"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276" w:type="dxa"/>
            <w:vMerge w:val="restart"/>
            <w:tcBorders>
              <w:top w:val="single" w:sz="4" w:space="0" w:color="000000"/>
              <w:left w:val="single" w:sz="4" w:space="0" w:color="000000"/>
              <w:right w:val="single" w:sz="4" w:space="0" w:color="000000"/>
            </w:tcBorders>
          </w:tcPr>
          <w:p>
            <w:pPr/>
          </w:p>
        </w:tc>
        <w:tc>
          <w:tcPr>
            <w:tcW w:w="1276" w:type="dxa"/>
            <w:vMerge w:val="restart"/>
            <w:tcBorders>
              <w:top w:val="single" w:sz="4" w:space="0" w:color="000000"/>
              <w:left w:val="single" w:sz="4" w:space="0" w:color="000000"/>
              <w:right w:val="single" w:sz="4" w:space="0" w:color="000000"/>
            </w:tcBorders>
          </w:tcPr>
          <w:p>
            <w:pPr/>
          </w:p>
        </w:tc>
        <w:tc>
          <w:tcPr>
            <w:tcW w:w="19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为本公司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年收购</w:t>
            </w:r>
          </w:p>
        </w:tc>
      </w:tr>
      <w:tr>
        <w:trPr>
          <w:trHeight w:val="311" w:hRule="exact"/>
        </w:trPr>
        <w:tc>
          <w:tcPr>
            <w:tcW w:w="3652"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94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武汉大千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w:t>
            </w:r>
            <w:r>
              <w:rPr>
                <w:rFonts w:ascii="宋体" w:hAnsi="宋体" w:cs="宋体" w:eastAsia="宋体" w:hint="default"/>
                <w:spacing w:val="-83"/>
                <w:sz w:val="18"/>
                <w:szCs w:val="18"/>
              </w:rPr>
              <w:t>，</w:t>
            </w:r>
            <w:r>
              <w:rPr>
                <w:rFonts w:ascii="宋体" w:hAnsi="宋体" w:cs="宋体" w:eastAsia="宋体" w:hint="default"/>
                <w:sz w:val="18"/>
                <w:szCs w:val="18"/>
              </w:rPr>
              <w:t>武</w:t>
            </w:r>
          </w:p>
        </w:tc>
      </w:tr>
      <w:tr>
        <w:trPr>
          <w:trHeight w:val="311" w:hRule="exact"/>
        </w:trPr>
        <w:tc>
          <w:tcPr>
            <w:tcW w:w="36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pacing w:val="-1"/>
                <w:sz w:val="18"/>
              </w:rPr>
              <w:t>10,045,572.00</w:t>
            </w: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94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汉大千原股东业绩承</w:t>
            </w:r>
          </w:p>
        </w:tc>
      </w:tr>
      <w:tr>
        <w:trPr>
          <w:trHeight w:val="308" w:hRule="exact"/>
        </w:trPr>
        <w:tc>
          <w:tcPr>
            <w:tcW w:w="3652"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94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诺未实现需补偿本公</w:t>
            </w:r>
          </w:p>
        </w:tc>
      </w:tr>
      <w:tr>
        <w:trPr>
          <w:trHeight w:val="356" w:hRule="exact"/>
        </w:trPr>
        <w:tc>
          <w:tcPr>
            <w:tcW w:w="3652"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9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司的补偿款</w:t>
            </w:r>
          </w:p>
        </w:tc>
      </w:tr>
      <w:tr>
        <w:trPr>
          <w:trHeight w:val="40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11,109,971.63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2,672,113.47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1,940,539.21</w:t>
            </w: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1,535,129.19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2"/>
                <w:sz w:val="18"/>
              </w:rPr>
              <w:t>727,111.66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487,670.71</w:t>
            </w: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88,513,235.83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20,949,209.83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15,728,346.32</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7"/>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r>
        <w:rPr>
          <w:rFonts w:ascii="宋体" w:hAnsi="宋体" w:cs="宋体" w:eastAsia="宋体" w:hint="default"/>
          <w:sz w:val="18"/>
          <w:szCs w:val="18"/>
        </w:rPr>
      </w:r>
    </w:p>
    <w:p>
      <w:pPr>
        <w:spacing w:line="302" w:lineRule="auto" w:before="61"/>
        <w:ind w:left="154" w:right="1117"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2"/>
        <w:gridCol w:w="2126"/>
        <w:gridCol w:w="5740"/>
      </w:tblGrid>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8"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软件增值税退税</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9" w:right="0"/>
              <w:jc w:val="left"/>
              <w:rPr>
                <w:rFonts w:ascii="Times New Roman" w:hAnsi="Times New Roman" w:cs="Times New Roman" w:eastAsia="Times New Roman" w:hint="default"/>
                <w:sz w:val="18"/>
                <w:szCs w:val="18"/>
              </w:rPr>
            </w:pPr>
            <w:r>
              <w:rPr>
                <w:rFonts w:ascii="Times New Roman"/>
                <w:sz w:val="18"/>
              </w:rPr>
              <w:t>48,585,751.02</w:t>
            </w:r>
          </w:p>
        </w:tc>
        <w:tc>
          <w:tcPr>
            <w:tcW w:w="5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退税政策为长期的政策，本集团的软件退税属于经常性发生的补助</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right="3219"/>
        <w:jc w:val="center"/>
        <w:rPr>
          <w:b w:val="0"/>
          <w:bCs w:val="0"/>
        </w:rPr>
      </w:pPr>
      <w:bookmarkStart w:name="_TOC_250009" w:id="3"/>
      <w:r>
        <w:rPr/>
        <w:t>第三节</w:t>
      </w:r>
      <w:r>
        <w:rPr>
          <w:spacing w:val="-1"/>
        </w:rPr>
        <w:t> </w:t>
      </w:r>
      <w:r>
        <w:rPr/>
        <w:t>公司业务概要</w:t>
      </w:r>
      <w:bookmarkEnd w:id="3"/>
      <w:r>
        <w:rPr>
          <w:b w:val="0"/>
          <w:bCs w:val="0"/>
        </w:rPr>
      </w:r>
    </w:p>
    <w:p>
      <w:pPr>
        <w:spacing w:line="240" w:lineRule="auto" w:before="9"/>
        <w:rPr>
          <w:rFonts w:ascii="宋体" w:hAnsi="宋体" w:cs="宋体" w:eastAsia="宋体" w:hint="default"/>
          <w:b/>
          <w:bCs/>
          <w:sz w:val="38"/>
          <w:szCs w:val="38"/>
        </w:rPr>
      </w:pPr>
    </w:p>
    <w:p>
      <w:pPr>
        <w:pStyle w:val="Heading2"/>
        <w:spacing w:line="240" w:lineRule="auto"/>
        <w:ind w:right="0"/>
        <w:jc w:val="left"/>
        <w:rPr>
          <w:b w:val="0"/>
          <w:bCs w:val="0"/>
        </w:rPr>
      </w:pPr>
      <w:r>
        <w:rPr/>
        <w:t>一、报告期内公司从事的主要业务</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7691"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9"/>
        <w:ind w:left="153" w:right="0"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before="116"/>
        <w:ind w:left="153" w:right="0"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9"/>
        <w:rPr>
          <w:rFonts w:ascii="宋体" w:hAnsi="宋体" w:cs="宋体" w:eastAsia="宋体" w:hint="default"/>
          <w:sz w:val="14"/>
          <w:szCs w:val="14"/>
        </w:rPr>
      </w:pPr>
    </w:p>
    <w:p>
      <w:pPr>
        <w:pStyle w:val="BodyText"/>
        <w:spacing w:line="477" w:lineRule="auto"/>
        <w:ind w:left="573" w:right="1091" w:hanging="105"/>
        <w:jc w:val="left"/>
      </w:pPr>
      <w:r>
        <w:rPr>
          <w:rFonts w:ascii="宋体" w:hAnsi="宋体" w:cs="宋体" w:eastAsia="宋体" w:hint="default"/>
          <w:b/>
          <w:bCs/>
        </w:rPr>
        <w:t>1、公司主要业务</w:t>
      </w:r>
      <w:r>
        <w:rPr>
          <w:rFonts w:ascii="宋体" w:hAnsi="宋体" w:cs="宋体" w:eastAsia="宋体" w:hint="default"/>
          <w:b/>
          <w:bCs/>
          <w:spacing w:val="1"/>
          <w:w w:val="99"/>
        </w:rPr>
        <w:t> </w:t>
      </w:r>
      <w:r>
        <w:rPr/>
        <w:t>美亚柏科是国内电子数据取证领域龙头企业，网络空间安全及大数据信息化专家。公司自成立以来，</w:t>
      </w:r>
    </w:p>
    <w:p>
      <w:pPr>
        <w:pStyle w:val="BodyText"/>
        <w:spacing w:line="260" w:lineRule="exact"/>
        <w:ind w:left="153" w:right="0"/>
        <w:jc w:val="left"/>
      </w:pPr>
      <w:r>
        <w:rPr/>
        <w:t>致力于为各级司法机关和行政执法部门实现社会治理和政务信息化服务，提供电子数据取证设备及网络信</w:t>
      </w:r>
    </w:p>
    <w:p>
      <w:pPr>
        <w:spacing w:line="240" w:lineRule="auto" w:before="10"/>
        <w:rPr>
          <w:rFonts w:ascii="宋体" w:hAnsi="宋体" w:cs="宋体" w:eastAsia="宋体" w:hint="default"/>
          <w:sz w:val="14"/>
          <w:szCs w:val="14"/>
        </w:rPr>
      </w:pPr>
    </w:p>
    <w:p>
      <w:pPr>
        <w:pStyle w:val="BodyText"/>
        <w:spacing w:line="386" w:lineRule="auto"/>
        <w:ind w:left="153" w:right="0"/>
        <w:jc w:val="left"/>
      </w:pPr>
      <w:r>
        <w:rPr/>
        <w:t>息安全解决方案。公司现拥有</w:t>
      </w:r>
      <w:r>
        <w:rPr>
          <w:rFonts w:ascii="Times New Roman" w:hAnsi="Times New Roman" w:cs="Times New Roman" w:eastAsia="Times New Roman" w:hint="default"/>
        </w:rPr>
        <w:t>8</w:t>
      </w:r>
      <w:r>
        <w:rPr/>
        <w:t>家全资子公司，</w:t>
      </w:r>
      <w:r>
        <w:rPr>
          <w:rFonts w:ascii="Times New Roman" w:hAnsi="Times New Roman" w:cs="Times New Roman" w:eastAsia="Times New Roman" w:hint="default"/>
        </w:rPr>
        <w:t>8</w:t>
      </w:r>
      <w:r>
        <w:rPr/>
        <w:t>家控股子公司，</w:t>
      </w:r>
      <w:r>
        <w:rPr>
          <w:rFonts w:ascii="Times New Roman" w:hAnsi="Times New Roman" w:cs="Times New Roman" w:eastAsia="Times New Roman" w:hint="default"/>
        </w:rPr>
        <w:t>10</w:t>
      </w:r>
      <w:r>
        <w:rPr/>
        <w:t>家参股公司，</w:t>
      </w:r>
      <w:r>
        <w:rPr>
          <w:rFonts w:ascii="Times New Roman" w:hAnsi="Times New Roman" w:cs="Times New Roman" w:eastAsia="Times New Roman" w:hint="default"/>
        </w:rPr>
        <w:t>1</w:t>
      </w:r>
      <w:r>
        <w:rPr/>
        <w:t>家分公司，在全国建立 </w:t>
      </w:r>
      <w:r>
        <w:rPr>
          <w:spacing w:val="-4"/>
        </w:rPr>
        <w:t>了</w:t>
      </w:r>
      <w:r>
        <w:rPr>
          <w:rFonts w:ascii="Times New Roman" w:hAnsi="Times New Roman" w:cs="Times New Roman" w:eastAsia="Times New Roman" w:hint="default"/>
          <w:spacing w:val="-4"/>
        </w:rPr>
        <w:t>26</w:t>
      </w:r>
      <w:r>
        <w:rPr>
          <w:spacing w:val="-4"/>
        </w:rPr>
        <w:t>个分支机构，为全国客户提供技术支持服务，并先后为北京奥运会、上海世博会、杭州</w:t>
      </w:r>
      <w:r>
        <w:rPr>
          <w:rFonts w:ascii="Times New Roman" w:hAnsi="Times New Roman" w:cs="Times New Roman" w:eastAsia="Times New Roman" w:hint="default"/>
          <w:spacing w:val="-4"/>
        </w:rPr>
        <w:t>G20</w:t>
      </w:r>
      <w:r>
        <w:rPr>
          <w:spacing w:val="-4"/>
        </w:rPr>
        <w:t>峰会、“一</w:t>
      </w:r>
      <w:r>
        <w:rPr>
          <w:spacing w:val="-87"/>
        </w:rPr>
        <w:t> </w:t>
      </w:r>
      <w:r>
        <w:rPr>
          <w:spacing w:val="-87"/>
        </w:rPr>
      </w:r>
      <w:r>
        <w:rPr/>
        <w:t>带一路”高峰论坛、厦门金砖会晤、联合国世界地理信息大会等大型活动安保提供信息安全保障工作。</w:t>
      </w:r>
    </w:p>
    <w:p>
      <w:pPr>
        <w:pStyle w:val="BodyText"/>
        <w:spacing w:line="398" w:lineRule="auto" w:before="65"/>
        <w:ind w:left="153" w:right="1128" w:firstLine="420"/>
        <w:jc w:val="both"/>
      </w:pPr>
      <w:r>
        <w:rPr>
          <w:spacing w:val="-1"/>
        </w:rPr>
        <w:t>公司的主营业务为“四大产品”和“四大服务”。“四大产品”包括电子数据取证、大数据信息化产</w:t>
      </w:r>
      <w:r>
        <w:rPr/>
        <w:t> 品、网络空间安全及专项执法装备；“四大服务”在四大产品的基础上衍生发展而来，即存证云</w:t>
      </w:r>
      <w:r>
        <w:rPr>
          <w:rFonts w:ascii="Times New Roman" w:hAnsi="Times New Roman" w:cs="Times New Roman" w:eastAsia="Times New Roman" w:hint="default"/>
        </w:rPr>
        <w:t>+</w:t>
      </w:r>
      <w:r>
        <w:rPr/>
        <w:t>、网络 空间安全服务、数据服务、培训及技术支持增值服务。</w:t>
      </w:r>
    </w:p>
    <w:p>
      <w:pPr>
        <w:pStyle w:val="BodyText"/>
        <w:spacing w:line="408" w:lineRule="auto" w:before="54"/>
        <w:ind w:left="153" w:right="1108" w:firstLine="420"/>
        <w:jc w:val="both"/>
      </w:pPr>
      <w:r>
        <w:rPr>
          <w:spacing w:val="-1"/>
        </w:rPr>
        <w:t>报告期内，公司将大数据、人工智能和装备技术三大技术作为公司的技术支撑体系，与公司持续研究</w:t>
      </w:r>
      <w:r>
        <w:rPr/>
        <w:t> 的电子数据取证技术、互联网搜索技术、网络安全技术相结合，进一步提升公司产品的智能化、装备化、 </w:t>
      </w:r>
      <w:r>
        <w:rPr>
          <w:spacing w:val="-1"/>
        </w:rPr>
        <w:t>网络化及平台化。同时，公司持续加强超算中心、人才教育平台、创业平台、投资平台即四大平台的能力</w:t>
      </w:r>
      <w:r>
        <w:rPr>
          <w:spacing w:val="-83"/>
        </w:rPr>
        <w:t> </w:t>
      </w:r>
      <w:r>
        <w:rPr>
          <w:spacing w:val="-83"/>
        </w:rPr>
      </w:r>
      <w:r>
        <w:rPr>
          <w:spacing w:val="-1"/>
        </w:rPr>
        <w:t>建设，助推公司业务向前发展；慈善公益、非公党建支撑公司业务及平台稳定健康发展。公司业务覆盖全</w:t>
      </w:r>
      <w:r>
        <w:rPr>
          <w:spacing w:val="-82"/>
        </w:rPr>
        <w:t> </w:t>
      </w:r>
      <w:r>
        <w:rPr>
          <w:spacing w:val="-82"/>
        </w:rPr>
      </w:r>
      <w:r>
        <w:rPr/>
        <w:t>国各省、市、自治区及部分“一带一路”沿线国家。</w:t>
      </w:r>
    </w:p>
    <w:p>
      <w:pPr>
        <w:spacing w:line="386" w:lineRule="auto" w:before="46"/>
        <w:ind w:left="576" w:right="1125" w:hanging="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Times New Roman" w:hAnsi="Times New Roman" w:cs="Times New Roman" w:eastAsia="Times New Roman" w:hint="default"/>
          <w:b/>
          <w:bCs/>
          <w:spacing w:val="36"/>
          <w:sz w:val="21"/>
          <w:szCs w:val="21"/>
        </w:rPr>
        <w:t> </w:t>
      </w:r>
      <w:r>
        <w:rPr>
          <w:rFonts w:ascii="宋体" w:hAnsi="宋体" w:cs="宋体" w:eastAsia="宋体" w:hint="default"/>
          <w:b/>
          <w:bCs/>
          <w:sz w:val="21"/>
          <w:szCs w:val="21"/>
        </w:rPr>
        <w:t>四大产品情况</w:t>
      </w:r>
      <w:r>
        <w:rPr>
          <w:rFonts w:ascii="宋体" w:hAnsi="宋体" w:cs="宋体" w:eastAsia="宋体" w:hint="default"/>
          <w:b/>
          <w:bCs/>
          <w:spacing w:val="1"/>
          <w:w w:val="99"/>
          <w:sz w:val="21"/>
          <w:szCs w:val="21"/>
        </w:rPr>
        <w:t> </w:t>
      </w:r>
      <w:r>
        <w:rPr>
          <w:rFonts w:ascii="宋体" w:hAnsi="宋体" w:cs="宋体" w:eastAsia="宋体" w:hint="default"/>
          <w:b/>
          <w:bCs/>
          <w:spacing w:val="-1"/>
          <w:sz w:val="21"/>
          <w:szCs w:val="21"/>
        </w:rPr>
        <w:t>电子数据取证产品</w:t>
      </w:r>
      <w:r>
        <w:rPr>
          <w:rFonts w:ascii="宋体" w:hAnsi="宋体" w:cs="宋体" w:eastAsia="宋体" w:hint="default"/>
          <w:spacing w:val="-1"/>
          <w:sz w:val="21"/>
          <w:szCs w:val="21"/>
        </w:rPr>
        <w:t>：涵盖电子数据获取、电子数据分析及电子数据销毁等系列，提供现场勘查、实验</w:t>
      </w:r>
    </w:p>
    <w:p>
      <w:pPr>
        <w:pStyle w:val="BodyText"/>
        <w:spacing w:line="408" w:lineRule="auto" w:before="65"/>
        <w:ind w:left="153" w:right="0"/>
        <w:jc w:val="left"/>
      </w:pPr>
      <w:r>
        <w:rPr>
          <w:spacing w:val="-1"/>
        </w:rPr>
        <w:t>室分析等一站式解决方案。随着移动互联网和物联网的快速发展，及人工智能技术在电子数据取证产品中</w:t>
      </w:r>
      <w:r>
        <w:rPr>
          <w:spacing w:val="-81"/>
        </w:rPr>
        <w:t> </w:t>
      </w:r>
      <w:r>
        <w:rPr>
          <w:spacing w:val="-81"/>
        </w:rPr>
      </w:r>
      <w:r>
        <w:rPr/>
        <w:t>广泛应用，电子数据产品形态已逐渐从传统的实验室取证产品向智能装备化、平台化转变。</w:t>
      </w:r>
    </w:p>
    <w:p>
      <w:pPr>
        <w:pStyle w:val="BodyText"/>
        <w:spacing w:line="400" w:lineRule="auto" w:before="46"/>
        <w:ind w:left="153" w:right="1106" w:firstLine="422"/>
        <w:jc w:val="both"/>
      </w:pPr>
      <w:r>
        <w:rPr/>
        <w:t>报告期内，公司电子数据取证技术实现了创新突破，研究出多款新产品及实现原有产品的升级换代。 包括</w:t>
      </w:r>
      <w:r>
        <w:rPr>
          <w:rFonts w:ascii="Times New Roman" w:hAnsi="Times New Roman" w:cs="Times New Roman" w:eastAsia="Times New Roman" w:hint="default"/>
        </w:rPr>
        <w:t>1</w:t>
      </w:r>
      <w:r>
        <w:rPr/>
        <w:t>）研发出首个面对物联网设备的取证产品“汽车取证大师”，“汽车取证大师”主要客户为司法机</w:t>
      </w:r>
      <w:r>
        <w:rPr>
          <w:spacing w:val="-34"/>
        </w:rPr>
        <w:t> </w:t>
      </w:r>
      <w:r>
        <w:rPr>
          <w:spacing w:val="-34"/>
        </w:rPr>
      </w:r>
      <w:r>
        <w:rPr>
          <w:spacing w:val="-1"/>
        </w:rPr>
        <w:t>关、车管所、保险公司等，随着汽车保有量和智能能力的不断增加，与汽车相关的取证和鉴定需求也会越</w:t>
      </w:r>
      <w:r>
        <w:rPr>
          <w:spacing w:val="-82"/>
        </w:rPr>
        <w:t> </w:t>
      </w:r>
      <w:r>
        <w:rPr>
          <w:spacing w:val="-82"/>
        </w:rPr>
      </w:r>
      <w:r>
        <w:rPr/>
        <w:t>来越多。</w:t>
      </w:r>
      <w:r>
        <w:rPr>
          <w:rFonts w:ascii="Times New Roman" w:hAnsi="Times New Roman" w:cs="Times New Roman" w:eastAsia="Times New Roman" w:hint="default"/>
        </w:rPr>
        <w:t>2</w:t>
      </w:r>
      <w:r>
        <w:rPr/>
        <w:t>）强化了人工智能技术的图像识别、语音识别和语义分析及可视化功能的自主化，推出智能化</w:t>
      </w:r>
    </w:p>
    <w:p>
      <w:pPr>
        <w:spacing w:after="0" w:line="400" w:lineRule="auto"/>
        <w:jc w:val="both"/>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393" w:lineRule="auto" w:before="174"/>
        <w:ind w:left="153" w:right="1127"/>
        <w:jc w:val="both"/>
      </w:pPr>
      <w:r>
        <w:rPr>
          <w:spacing w:val="-1"/>
        </w:rPr>
        <w:t>的电子数据取证系列产品，增强内容识别、解析和分析等能力，丰富产品应用场景并将业务延伸到军工和</w:t>
      </w:r>
      <w:r>
        <w:rPr>
          <w:spacing w:val="-83"/>
        </w:rPr>
        <w:t> </w:t>
      </w:r>
      <w:r>
        <w:rPr>
          <w:spacing w:val="-83"/>
        </w:rPr>
      </w:r>
      <w:r>
        <w:rPr/>
        <w:t>监察等业务领域。</w:t>
      </w:r>
      <w:r>
        <w:rPr>
          <w:rFonts w:ascii="Times New Roman" w:hAnsi="Times New Roman" w:cs="Times New Roman" w:eastAsia="Times New Roman" w:hint="default"/>
        </w:rPr>
        <w:t>3</w:t>
      </w:r>
      <w:r>
        <w:rPr/>
        <w:t>）研发出针对手机云数据的取证产品“手机云勘大师”和计算机服务器取证的“云勘</w:t>
      </w:r>
      <w:r>
        <w:rPr>
          <w:spacing w:val="-35"/>
        </w:rPr>
        <w:t> </w:t>
      </w:r>
      <w:r>
        <w:rPr>
          <w:spacing w:val="-35"/>
        </w:rPr>
      </w:r>
      <w:r>
        <w:rPr>
          <w:spacing w:val="-1"/>
        </w:rPr>
        <w:t>大师”、满足新增的云取证的产品需求。</w:t>
      </w:r>
      <w:r>
        <w:rPr>
          <w:rFonts w:ascii="Times New Roman" w:hAnsi="Times New Roman" w:cs="Times New Roman" w:eastAsia="Times New Roman" w:hint="default"/>
          <w:spacing w:val="-1"/>
        </w:rPr>
        <w:t>4</w:t>
      </w:r>
      <w:r>
        <w:rPr>
          <w:spacing w:val="-1"/>
        </w:rPr>
        <w:t>）依托人工智能和大数据的行业应用优势，研发取证3.0产品系</w:t>
      </w:r>
      <w:r>
        <w:rPr>
          <w:spacing w:val="-81"/>
        </w:rPr>
        <w:t> </w:t>
      </w:r>
      <w:r>
        <w:rPr>
          <w:spacing w:val="-81"/>
        </w:rPr>
      </w:r>
      <w:r>
        <w:rPr/>
        <w:t>列，提升前端取证和后端大数据的联动、协同和应用能力。</w:t>
      </w:r>
    </w:p>
    <w:p>
      <w:pPr>
        <w:pStyle w:val="BodyText"/>
        <w:spacing w:line="408" w:lineRule="auto" w:before="59"/>
        <w:ind w:left="153" w:right="1108" w:firstLine="420"/>
        <w:jc w:val="both"/>
      </w:pPr>
      <w:r>
        <w:rPr>
          <w:rFonts w:ascii="宋体" w:hAnsi="宋体" w:cs="宋体" w:eastAsia="宋体" w:hint="default"/>
          <w:b/>
          <w:bCs/>
          <w:spacing w:val="-1"/>
        </w:rPr>
        <w:t>大数据信息化产品</w:t>
      </w:r>
      <w:r>
        <w:rPr>
          <w:spacing w:val="-1"/>
        </w:rPr>
        <w:t>：为司法机关及行政执法部门建设大数据信息化平台，通过进行数据获取、数据治</w:t>
      </w:r>
      <w:r>
        <w:rPr/>
        <w:t> </w:t>
      </w:r>
      <w:r>
        <w:rPr>
          <w:spacing w:val="-1"/>
        </w:rPr>
        <w:t>理、数据分析和数据应用，提升客户信息化执法能力，从而更好的进行社会治理与服务人民群众。基于公</w:t>
      </w:r>
      <w:r>
        <w:rPr>
          <w:spacing w:val="-82"/>
        </w:rPr>
        <w:t> </w:t>
      </w:r>
      <w:r>
        <w:rPr>
          <w:spacing w:val="-82"/>
        </w:rPr>
      </w:r>
      <w:r>
        <w:rPr>
          <w:spacing w:val="-1"/>
        </w:rPr>
        <w:t>司在司法机关的全面布局，及对各执法部门大数据业务需求的深刻理解，公司大数据平台的汇聚融合能力</w:t>
      </w:r>
      <w:r>
        <w:rPr>
          <w:spacing w:val="-81"/>
        </w:rPr>
        <w:t> </w:t>
      </w:r>
      <w:r>
        <w:rPr>
          <w:spacing w:val="-81"/>
        </w:rPr>
      </w:r>
      <w:r>
        <w:rPr>
          <w:spacing w:val="-1"/>
        </w:rPr>
        <w:t>也得到客户的认可。依托公司在司法大数据的建设能力和建设经验，公司还积极开拓市场监管、海关等其</w:t>
      </w:r>
      <w:r>
        <w:rPr>
          <w:spacing w:val="-83"/>
        </w:rPr>
        <w:t> </w:t>
      </w:r>
      <w:r>
        <w:rPr>
          <w:spacing w:val="-83"/>
        </w:rPr>
      </w:r>
      <w:r>
        <w:rPr/>
        <w:t>他行业市场，实现了大数据平台建设的跨行业复制。公司的大数据平台业务现已涵盖司法机关、监察委、 </w:t>
      </w:r>
      <w:r>
        <w:rPr>
          <w:spacing w:val="-1"/>
        </w:rPr>
        <w:t>海关、市场监管和税务稽查等行业，产品包括司法大数据平台、城市公共安全平台及海关、市场监管、涉</w:t>
      </w:r>
      <w:r>
        <w:rPr>
          <w:spacing w:val="-83"/>
        </w:rPr>
        <w:t> </w:t>
      </w:r>
      <w:r>
        <w:rPr>
          <w:spacing w:val="-83"/>
        </w:rPr>
      </w:r>
      <w:r>
        <w:rPr/>
        <w:t>税评估等领域的大数据解决方案。</w:t>
      </w:r>
    </w:p>
    <w:p>
      <w:pPr>
        <w:pStyle w:val="BodyText"/>
        <w:spacing w:line="408" w:lineRule="auto" w:before="46"/>
        <w:ind w:left="153" w:right="1131" w:firstLine="420"/>
        <w:jc w:val="both"/>
      </w:pPr>
      <w:r>
        <w:rPr>
          <w:spacing w:val="-1"/>
        </w:rPr>
        <w:t>报告期内，公司持续加大研发投入，着力提升公司大数据处理及应用等能力，提高大数据信息化产品</w:t>
      </w:r>
      <w:r>
        <w:rPr/>
        <w:t> </w:t>
      </w:r>
      <w:r>
        <w:rPr>
          <w:spacing w:val="-1"/>
        </w:rPr>
        <w:t>的核心竞争力。尤其是在大数据汇聚融合平台的建设上，为客户实现不同地区、不同部门、不同业务的资</w:t>
      </w:r>
      <w:r>
        <w:rPr>
          <w:spacing w:val="-82"/>
        </w:rPr>
        <w:t> </w:t>
      </w:r>
      <w:r>
        <w:rPr>
          <w:spacing w:val="-82"/>
        </w:rPr>
      </w:r>
      <w:r>
        <w:rPr>
          <w:spacing w:val="-1"/>
        </w:rPr>
        <w:t>源共享与业务协同，最大限度地提升信息应用效能上作用明显，因此进一步提升了公司在大数据领域的地</w:t>
      </w:r>
      <w:r>
        <w:rPr>
          <w:spacing w:val="-81"/>
        </w:rPr>
        <w:t> </w:t>
      </w:r>
      <w:r>
        <w:rPr>
          <w:spacing w:val="-81"/>
        </w:rPr>
      </w:r>
      <w:r>
        <w:rPr>
          <w:spacing w:val="-1"/>
        </w:rPr>
        <w:t>位及优势，产品和解决方案也进入了一线和更多的省会城市。在市场监督行业，重点推出了网络交易监管</w:t>
      </w:r>
      <w:r>
        <w:rPr>
          <w:spacing w:val="-83"/>
        </w:rPr>
        <w:t> </w:t>
      </w:r>
      <w:r>
        <w:rPr>
          <w:spacing w:val="-83"/>
        </w:rPr>
      </w:r>
      <w:r>
        <w:rPr/>
        <w:t>大数据平台、网络食药安全大数据平台等行业大数据解决方案。</w:t>
      </w:r>
    </w:p>
    <w:p>
      <w:pPr>
        <w:pStyle w:val="BodyText"/>
        <w:spacing w:line="408" w:lineRule="auto" w:before="46"/>
        <w:ind w:left="153" w:right="1022" w:firstLine="420"/>
        <w:jc w:val="left"/>
      </w:pPr>
      <w:r>
        <w:rPr>
          <w:rFonts w:ascii="宋体" w:hAnsi="宋体" w:cs="宋体" w:eastAsia="宋体" w:hint="default"/>
          <w:b/>
          <w:bCs/>
        </w:rPr>
        <w:t>网络空间安全产品</w:t>
      </w:r>
      <w:r>
        <w:rPr/>
        <w:t>：应用大搜索、网络安全检测及网络安全防护等技术，对行业信息进行检测及风险 </w:t>
      </w:r>
      <w:r>
        <w:rPr>
          <w:spacing w:val="-3"/>
        </w:rPr>
        <w:t>预警。主要产品包括美亚柏科的金融风险防控预警系统、舆情检测系统、“信使云”舆情信息报送平台等，</w:t>
      </w:r>
      <w:r>
        <w:rPr>
          <w:spacing w:val="-93"/>
        </w:rPr>
        <w:t> </w:t>
      </w:r>
      <w:r>
        <w:rPr>
          <w:spacing w:val="-93"/>
        </w:rPr>
      </w:r>
      <w:r>
        <w:rPr/>
        <w:t>及控股子公司安胜网络的计算机与移动终端安全检测系统等。</w:t>
      </w:r>
    </w:p>
    <w:p>
      <w:pPr>
        <w:pStyle w:val="BodyText"/>
        <w:spacing w:line="408" w:lineRule="auto" w:before="46"/>
        <w:ind w:left="153" w:right="1108" w:firstLine="420"/>
        <w:jc w:val="both"/>
      </w:pPr>
      <w:r>
        <w:rPr/>
        <w:t>报告期内，公司围绕互联网应急指挥平台、金融风险防控预警平台、社会稳定指数信息系统等产品， </w:t>
      </w:r>
      <w:r>
        <w:rPr>
          <w:spacing w:val="-1"/>
        </w:rPr>
        <w:t>采取纵深开拓和横向扩展两个维度展开产品市场开发，纵深加强三四线城市和区县级客户的开拓力度，横</w:t>
      </w:r>
      <w:r>
        <w:rPr>
          <w:spacing w:val="-81"/>
        </w:rPr>
        <w:t> </w:t>
      </w:r>
      <w:r>
        <w:rPr>
          <w:spacing w:val="-81"/>
        </w:rPr>
      </w:r>
      <w:r>
        <w:rPr/>
        <w:t>向扩展企业等新行业市场，持续促进产品的培育和发展。</w:t>
      </w:r>
    </w:p>
    <w:p>
      <w:pPr>
        <w:pStyle w:val="BodyText"/>
        <w:spacing w:line="408" w:lineRule="auto" w:before="46"/>
        <w:ind w:right="1131" w:firstLine="420"/>
        <w:jc w:val="both"/>
      </w:pPr>
      <w:r>
        <w:rPr>
          <w:rFonts w:ascii="宋体" w:hAnsi="宋体" w:cs="宋体" w:eastAsia="宋体" w:hint="default"/>
          <w:b/>
          <w:bCs/>
          <w:spacing w:val="-1"/>
        </w:rPr>
        <w:t>专项执法设备</w:t>
      </w:r>
      <w:r>
        <w:rPr>
          <w:spacing w:val="-1"/>
        </w:rPr>
        <w:t>：集取证，人脸识别，图像比对，智能转码等多项技术为一体的装备化产品。包括警用</w:t>
      </w:r>
      <w:r>
        <w:rPr/>
        <w:t> </w:t>
      </w:r>
      <w:r>
        <w:rPr>
          <w:spacing w:val="-1"/>
        </w:rPr>
        <w:t>机器人、无人机反制设备、视频获取设备及全警通、出入境自助办证一体机、驾驶证自助办证一体机等自</w:t>
      </w:r>
      <w:r>
        <w:rPr>
          <w:spacing w:val="-82"/>
        </w:rPr>
        <w:t> </w:t>
      </w:r>
      <w:r>
        <w:rPr>
          <w:spacing w:val="-82"/>
        </w:rPr>
      </w:r>
      <w:r>
        <w:rPr/>
        <w:t>助便民惠民设备。</w:t>
      </w:r>
    </w:p>
    <w:p>
      <w:pPr>
        <w:pStyle w:val="BodyText"/>
        <w:spacing w:line="408" w:lineRule="auto" w:before="46"/>
        <w:ind w:left="153" w:right="1022" w:firstLine="420"/>
        <w:jc w:val="left"/>
      </w:pPr>
      <w:r>
        <w:rPr/>
        <w:t>报告期内，为深化政府机关“放管服”改革要求，公司与全资子公司新德汇聚焦市场机遇，充分利用 </w:t>
      </w:r>
      <w:r>
        <w:rPr>
          <w:spacing w:val="-3"/>
        </w:rPr>
        <w:t>行业市场优势和技术优势，推出了一系列涵盖出入境办证业务、交管业务、户政业务等各类自助便民设备，</w:t>
      </w:r>
      <w:r>
        <w:rPr>
          <w:spacing w:val="-90"/>
        </w:rPr>
        <w:t> </w:t>
      </w:r>
      <w:r>
        <w:rPr>
          <w:spacing w:val="-90"/>
        </w:rPr>
      </w:r>
      <w:r>
        <w:rPr/>
        <w:t>如出入境自助办证一体机、车驾宝、居民证签到机、乘车实名认证自助机、综合政务一体机等，促进司法</w:t>
      </w:r>
      <w:r>
        <w:rPr/>
        <w:t> 各部门将十六项便民利民措施落到实处，最大限度实现群众“最多跑一趟”和“一趟不用跑”的目标，解 决老百姓“办证多、办事难”问题，助力执法部门不断创新公共服务方式。自助办证产品线通过近几年的</w:t>
      </w:r>
    </w:p>
    <w:p>
      <w:pPr>
        <w:spacing w:after="0" w:line="408"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拓展，产品已渗透到全国十多个省市。</w:t>
      </w:r>
    </w:p>
    <w:p>
      <w:pPr>
        <w:spacing w:line="240" w:lineRule="auto" w:before="10"/>
        <w:rPr>
          <w:rFonts w:ascii="宋体" w:hAnsi="宋体" w:cs="宋体" w:eastAsia="宋体" w:hint="default"/>
          <w:sz w:val="14"/>
          <w:szCs w:val="14"/>
        </w:rPr>
      </w:pPr>
    </w:p>
    <w:p>
      <w:pPr>
        <w:spacing w:line="386" w:lineRule="auto" w:before="0"/>
        <w:ind w:left="573" w:right="115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6"/>
          <w:sz w:val="21"/>
          <w:szCs w:val="21"/>
        </w:rPr>
        <w:t> </w:t>
      </w:r>
      <w:r>
        <w:rPr>
          <w:rFonts w:ascii="宋体" w:hAnsi="宋体" w:cs="宋体" w:eastAsia="宋体" w:hint="default"/>
          <w:b/>
          <w:bCs/>
          <w:sz w:val="21"/>
          <w:szCs w:val="21"/>
        </w:rPr>
        <w:t>四大服务情况</w:t>
      </w:r>
      <w:r>
        <w:rPr>
          <w:rFonts w:ascii="宋体" w:hAnsi="宋体" w:cs="宋体" w:eastAsia="宋体" w:hint="default"/>
          <w:b/>
          <w:bCs/>
          <w:spacing w:val="1"/>
          <w:w w:val="99"/>
          <w:sz w:val="21"/>
          <w:szCs w:val="21"/>
        </w:rPr>
        <w:t> </w:t>
      </w:r>
      <w:r>
        <w:rPr>
          <w:rFonts w:ascii="宋体" w:hAnsi="宋体" w:cs="宋体" w:eastAsia="宋体" w:hint="default"/>
          <w:b/>
          <w:bCs/>
          <w:sz w:val="21"/>
          <w:szCs w:val="21"/>
        </w:rPr>
        <w:t>存证云</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：为“公证</w:t>
      </w:r>
      <w:r>
        <w:rPr>
          <w:rFonts w:ascii="Times New Roman" w:hAnsi="Times New Roman" w:cs="Times New Roman" w:eastAsia="Times New Roman" w:hint="default"/>
          <w:sz w:val="21"/>
          <w:szCs w:val="21"/>
        </w:rPr>
        <w:t>+</w:t>
      </w:r>
      <w:r>
        <w:rPr>
          <w:rFonts w:ascii="宋体" w:hAnsi="宋体" w:cs="宋体" w:eastAsia="宋体" w:hint="default"/>
          <w:sz w:val="21"/>
          <w:szCs w:val="21"/>
        </w:rPr>
        <w:t>鉴定”电子证据综合服务平台，在“互联网</w:t>
      </w:r>
      <w:r>
        <w:rPr>
          <w:rFonts w:ascii="Times New Roman" w:hAnsi="Times New Roman" w:cs="Times New Roman" w:eastAsia="Times New Roman" w:hint="default"/>
          <w:sz w:val="21"/>
          <w:szCs w:val="21"/>
        </w:rPr>
        <w:t>+</w:t>
      </w:r>
      <w:r>
        <w:rPr>
          <w:rFonts w:ascii="宋体" w:hAnsi="宋体" w:cs="宋体" w:eastAsia="宋体" w:hint="default"/>
          <w:sz w:val="21"/>
          <w:szCs w:val="21"/>
        </w:rPr>
        <w:t>司法鉴定”服务平台基础上，实现</w:t>
      </w:r>
    </w:p>
    <w:p>
      <w:pPr>
        <w:pStyle w:val="BodyText"/>
        <w:spacing w:line="408" w:lineRule="auto" w:before="35"/>
        <w:ind w:left="153" w:right="0"/>
        <w:jc w:val="left"/>
      </w:pPr>
      <w:r>
        <w:rPr>
          <w:spacing w:val="-1"/>
        </w:rPr>
        <w:t>了电子证据采集、固定、应用的闭环。有效保证了存证云平台电子证据的合法性、真实性和客观性，同时</w:t>
      </w:r>
      <w:r>
        <w:rPr>
          <w:spacing w:val="-83"/>
        </w:rPr>
        <w:t> </w:t>
      </w:r>
      <w:r>
        <w:rPr>
          <w:spacing w:val="-83"/>
        </w:rPr>
      </w:r>
      <w:r>
        <w:rPr/>
        <w:t>提高了电子数据服务行业的取证便捷度、存证技术专业度以及司法采信率。</w:t>
      </w:r>
    </w:p>
    <w:p>
      <w:pPr>
        <w:pStyle w:val="BodyText"/>
        <w:spacing w:line="408" w:lineRule="auto" w:before="46"/>
        <w:ind w:left="153" w:right="1129" w:firstLine="420"/>
        <w:jc w:val="both"/>
      </w:pPr>
      <w:r>
        <w:rPr>
          <w:spacing w:val="-1"/>
        </w:rPr>
        <w:t>报告期内，公司在维护现有客户保证续签率的同时，加大了对知名企业的拓展力度，开拓了苏宁、顺</w:t>
      </w:r>
      <w:r>
        <w:rPr/>
        <w:t> </w:t>
      </w:r>
      <w:r>
        <w:rPr>
          <w:spacing w:val="-1"/>
        </w:rPr>
        <w:t>丰、小红书等知名企业客户，目前存证云客户群体已涵盖银行、互联网、互联网金融、传统制造、科技等</w:t>
      </w:r>
      <w:r>
        <w:rPr>
          <w:spacing w:val="-83"/>
        </w:rPr>
        <w:t> </w:t>
      </w:r>
      <w:r>
        <w:rPr>
          <w:spacing w:val="-83"/>
        </w:rPr>
      </w:r>
      <w:r>
        <w:rPr/>
        <w:t>行业。</w:t>
      </w:r>
    </w:p>
    <w:p>
      <w:pPr>
        <w:pStyle w:val="BodyText"/>
        <w:spacing w:line="408" w:lineRule="auto" w:before="46"/>
        <w:ind w:left="153" w:right="1128" w:firstLine="420"/>
        <w:jc w:val="left"/>
      </w:pPr>
      <w:r>
        <w:rPr>
          <w:rFonts w:ascii="宋体" w:hAnsi="宋体" w:cs="宋体" w:eastAsia="宋体" w:hint="default"/>
          <w:b/>
          <w:bCs/>
          <w:spacing w:val="-1"/>
        </w:rPr>
        <w:t>网络空间安全服务</w:t>
      </w:r>
      <w:r>
        <w:rPr>
          <w:spacing w:val="-1"/>
        </w:rPr>
        <w:t>：基于公司云端搜索资源和服务器安全产品及网络安全大数据技术，提供可实现的</w:t>
      </w:r>
      <w:r>
        <w:rPr/>
        <w:t> 网络安全事件和风险态势感知。包括搜索云服务、互联网线索服务、舆情报告服务等。</w:t>
      </w:r>
    </w:p>
    <w:p>
      <w:pPr>
        <w:pStyle w:val="BodyText"/>
        <w:spacing w:line="408" w:lineRule="auto" w:before="46"/>
        <w:ind w:left="153" w:right="0" w:firstLine="420"/>
        <w:jc w:val="left"/>
      </w:pPr>
      <w:r>
        <w:rPr>
          <w:spacing w:val="-1"/>
        </w:rPr>
        <w:t>报告期内，公司在传统舆情报告基础上，还为客户提供大数据分析报告和专题分析报告，并利用互联</w:t>
      </w:r>
      <w:r>
        <w:rPr/>
        <w:t> 网大数据技术优势，将客户关注的互联网信息推送至客户的手机</w:t>
      </w:r>
      <w:r>
        <w:rPr>
          <w:rFonts w:ascii="Times New Roman" w:hAnsi="Times New Roman" w:cs="Times New Roman" w:eastAsia="Times New Roman" w:hint="default"/>
        </w:rPr>
        <w:t>/PC</w:t>
      </w:r>
      <w:r>
        <w:rPr/>
        <w:t>端，进一步提升了服务范围和深度。</w:t>
      </w:r>
    </w:p>
    <w:p>
      <w:pPr>
        <w:pStyle w:val="BodyText"/>
        <w:spacing w:line="408" w:lineRule="auto" w:before="14"/>
        <w:ind w:left="153" w:right="1088" w:firstLine="420"/>
        <w:jc w:val="left"/>
      </w:pPr>
      <w:r>
        <w:rPr>
          <w:rFonts w:ascii="宋体" w:hAnsi="宋体" w:cs="宋体" w:eastAsia="宋体" w:hint="default"/>
          <w:b/>
          <w:bCs/>
        </w:rPr>
        <w:t>数据服务</w:t>
      </w:r>
      <w:r>
        <w:rPr/>
        <w:t>：报告期内，公司在基于大数据资源基础上，为客户提供大数据分析服务、政策信息分析、 大数据宏观经济分析等数据服务。</w:t>
      </w:r>
    </w:p>
    <w:p>
      <w:pPr>
        <w:pStyle w:val="BodyText"/>
        <w:spacing w:line="398" w:lineRule="auto" w:before="46"/>
        <w:ind w:left="153" w:right="1126" w:firstLine="420"/>
        <w:jc w:val="left"/>
      </w:pPr>
      <w:r>
        <w:rPr>
          <w:rFonts w:ascii="宋体" w:hAnsi="宋体" w:cs="宋体" w:eastAsia="宋体" w:hint="default"/>
          <w:b/>
          <w:bCs/>
          <w:spacing w:val="-1"/>
        </w:rPr>
        <w:t>培训及技术支持增值服务</w:t>
      </w:r>
      <w:r>
        <w:rPr>
          <w:spacing w:val="-1"/>
        </w:rPr>
        <w:t>：报告期内，公司在北京、甘肃、云南、广东、福州等地建设培训基地，为</w:t>
      </w:r>
      <w:r>
        <w:rPr/>
        <w:t> 学员提供电子数据取证产品、大数据信息化产品等专业产品技术培训，培训学员近</w:t>
      </w:r>
      <w:r>
        <w:rPr>
          <w:rFonts w:ascii="Times New Roman" w:hAnsi="Times New Roman" w:cs="Times New Roman" w:eastAsia="Times New Roman" w:hint="default"/>
        </w:rPr>
        <w:t>3</w:t>
      </w:r>
      <w:r>
        <w:rPr/>
        <w:t>万人。同时，公司继 续完善技术支持服务体系，为客户提供</w:t>
      </w:r>
      <w:r>
        <w:rPr>
          <w:rFonts w:ascii="Times New Roman" w:hAnsi="Times New Roman" w:cs="Times New Roman" w:eastAsia="Times New Roman" w:hint="default"/>
        </w:rPr>
        <w:t>7*24</w:t>
      </w:r>
      <w:r>
        <w:rPr/>
        <w:t>小时技术支持服务，不断提升客户服务满意度。</w:t>
      </w:r>
    </w:p>
    <w:p>
      <w:pPr>
        <w:pStyle w:val="Heading3"/>
        <w:spacing w:line="240" w:lineRule="auto" w:before="24"/>
        <w:ind w:left="573" w:right="0"/>
        <w:jc w:val="left"/>
        <w:rPr>
          <w:b w:val="0"/>
          <w:bCs w:val="0"/>
        </w:rPr>
      </w:pPr>
      <w:r>
        <w:rPr>
          <w:rFonts w:ascii="Times New Roman" w:hAnsi="Times New Roman" w:cs="Times New Roman" w:eastAsia="Times New Roman" w:hint="default"/>
        </w:rPr>
        <w:t>1.3</w:t>
      </w:r>
      <w:r>
        <w:rPr>
          <w:rFonts w:ascii="Times New Roman" w:hAnsi="Times New Roman" w:cs="Times New Roman" w:eastAsia="Times New Roman" w:hint="default"/>
          <w:spacing w:val="35"/>
        </w:rPr>
        <w:t> </w:t>
      </w:r>
      <w:r>
        <w:rPr/>
        <w:t>主要业绩驱动因素</w:t>
      </w:r>
      <w:r>
        <w:rPr>
          <w:b w:val="0"/>
          <w:bCs w:val="0"/>
        </w:rPr>
      </w:r>
    </w:p>
    <w:p>
      <w:pPr>
        <w:pStyle w:val="BodyText"/>
        <w:spacing w:line="400" w:lineRule="auto" w:before="177"/>
        <w:ind w:left="153" w:right="0" w:firstLine="420"/>
        <w:jc w:val="left"/>
      </w:pPr>
      <w:r>
        <w:rPr>
          <w:rFonts w:ascii="Times New Roman" w:hAnsi="Times New Roman" w:cs="Times New Roman" w:eastAsia="Times New Roman" w:hint="default"/>
        </w:rPr>
        <w:t>2018</w:t>
      </w:r>
      <w:r>
        <w:rPr/>
        <w:t>年3月份启动的国务院机构改革，如司法体制改革、国地税合并、监察委体制改革、组建市场监 </w:t>
      </w:r>
      <w:r>
        <w:rPr>
          <w:spacing w:val="-1"/>
        </w:rPr>
        <w:t>督管理局、应急管理部等市场环境的变化，对公司的业务存在一定的影响。面对这些短期的偶发性因素影</w:t>
      </w:r>
      <w:r>
        <w:rPr>
          <w:spacing w:val="-83"/>
        </w:rPr>
        <w:t> </w:t>
      </w:r>
      <w:r>
        <w:rPr>
          <w:spacing w:val="-83"/>
        </w:rPr>
      </w:r>
      <w:r>
        <w:rPr>
          <w:spacing w:val="-1"/>
        </w:rPr>
        <w:t>响，公司深化“以客户为中心、以结果为导向、持续为客户创造价值”的经营服务理念，积极加强人才储</w:t>
      </w:r>
      <w:r>
        <w:rPr>
          <w:spacing w:val="-83"/>
        </w:rPr>
        <w:t> </w:t>
      </w:r>
      <w:r>
        <w:rPr>
          <w:spacing w:val="-83"/>
        </w:rPr>
      </w:r>
      <w:r>
        <w:rPr/>
        <w:t>备、技术积累及集团市场资源整合，加大公司主营业务产品的技术变革及市场推广力度。</w:t>
      </w:r>
    </w:p>
    <w:p>
      <w:pPr>
        <w:pStyle w:val="BodyText"/>
        <w:spacing w:line="403" w:lineRule="auto" w:before="52"/>
        <w:ind w:left="153" w:right="1022" w:firstLine="42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电子数据取证产品，已由传统的计算机取证设备向移动化及一体化方向发展，推动线下取证分析设</w:t>
      </w:r>
      <w:r>
        <w:rPr>
          <w:w w:val="99"/>
        </w:rPr>
        <w:t> </w:t>
      </w:r>
      <w:r>
        <w:rPr/>
        <w:t>备到线上大数据信息化平台建设的业务衍化，逐渐实现从事后取证到事中监管和事前预警的产业布局。同</w:t>
      </w:r>
      <w:r>
        <w:rPr>
          <w:w w:val="99"/>
        </w:rPr>
        <w:t> </w:t>
      </w:r>
      <w:r>
        <w:rPr>
          <w:spacing w:val="-3"/>
        </w:rPr>
        <w:t>时，积极探索研究云数据取证及物联网取证相关技术，推出智能化的、符合客户取证需求的新型取证产品。</w:t>
      </w:r>
      <w:r>
        <w:rPr>
          <w:spacing w:val="-91"/>
        </w:rPr>
        <w:t> </w:t>
      </w:r>
      <w:r>
        <w:rPr>
          <w:spacing w:val="-91"/>
        </w:rPr>
      </w:r>
      <w:r>
        <w:rPr/>
        <w:t>在深挖司法机关市场机会的同时，积极拓展市场监督、海关和监察委等新市场，确保在市场环境变化的情</w:t>
      </w:r>
      <w:r>
        <w:rPr>
          <w:w w:val="99"/>
        </w:rPr>
        <w:t> </w:t>
      </w:r>
      <w:r>
        <w:rPr/>
        <w:t>况下，电子数据取证产品保持市场领先地位及比较平稳的业务发展水平。</w:t>
      </w:r>
    </w:p>
    <w:p>
      <w:pPr>
        <w:pStyle w:val="BodyText"/>
        <w:spacing w:line="398" w:lineRule="auto" w:before="50"/>
        <w:ind w:left="153" w:right="1130" w:firstLine="420"/>
        <w:jc w:val="both"/>
      </w:pPr>
      <w:r>
        <w:rPr>
          <w:rFonts w:ascii="Times New Roman" w:hAnsi="Times New Roman" w:cs="Times New Roman" w:eastAsia="Times New Roman" w:hint="default"/>
        </w:rPr>
        <w:t>●</w:t>
      </w:r>
      <w:r>
        <w:rPr>
          <w:rFonts w:ascii="Times New Roman" w:hAnsi="Times New Roman" w:cs="Times New Roman" w:eastAsia="Times New Roman" w:hint="default"/>
          <w:spacing w:val="10"/>
        </w:rPr>
        <w:t> </w:t>
      </w:r>
      <w:r>
        <w:rPr/>
        <w:t>大数据信息化业务，通过建设大数据平台，有效整合行业数据及互联网数据等各种资源，构建种类</w:t>
      </w:r>
      <w:r>
        <w:rPr>
          <w:w w:val="99"/>
        </w:rPr>
        <w:t> </w:t>
      </w:r>
      <w:r>
        <w:rPr>
          <w:spacing w:val="-1"/>
        </w:rPr>
        <w:t>丰富的数据库体系，分析挖掘数据价值，对数据进行整合分析应用。公司的大数据信息化业务包括司法大</w:t>
      </w:r>
      <w:r>
        <w:rPr>
          <w:spacing w:val="-84"/>
        </w:rPr>
        <w:t> </w:t>
      </w:r>
      <w:r>
        <w:rPr>
          <w:spacing w:val="-84"/>
        </w:rPr>
      </w:r>
      <w:r>
        <w:rPr>
          <w:spacing w:val="-1"/>
        </w:rPr>
        <w:t>数据平台、城市公共安全平台、海关、税务、市场监管等大数据平台。报告期内，公司为更好的抓住大数</w:t>
      </w:r>
    </w:p>
    <w:p>
      <w:pPr>
        <w:spacing w:after="0" w:line="398" w:lineRule="auto"/>
        <w:jc w:val="both"/>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398" w:lineRule="auto" w:before="174"/>
        <w:ind w:left="153" w:right="1022"/>
        <w:jc w:val="left"/>
      </w:pPr>
      <w:r>
        <w:rPr>
          <w:spacing w:val="-3"/>
        </w:rPr>
        <w:t>据业务发展机遇，提前在市场、人才和技术上进行布局，积极参与部省市三级大数据智能化建设方案规划，</w:t>
      </w:r>
      <w:r>
        <w:rPr>
          <w:spacing w:val="-90"/>
        </w:rPr>
        <w:t> </w:t>
      </w:r>
      <w:r>
        <w:rPr>
          <w:spacing w:val="-90"/>
        </w:rPr>
      </w:r>
      <w:r>
        <w:rPr/>
        <w:t>加强大数据汇聚融合平台业务的建设，</w:t>
      </w:r>
      <w:r>
        <w:rPr>
          <w:rFonts w:ascii="Times New Roman" w:hAnsi="Times New Roman" w:cs="Times New Roman" w:eastAsia="Times New Roman" w:hint="default"/>
        </w:rPr>
        <w:t>2018</w:t>
      </w:r>
      <w:r>
        <w:rPr/>
        <w:t>年大数据信息化业务收入实现较高增长，对比去年同期增长 </w:t>
      </w:r>
      <w:r>
        <w:rPr>
          <w:rFonts w:ascii="Times New Roman" w:hAnsi="Times New Roman" w:cs="Times New Roman" w:eastAsia="Times New Roman" w:hint="default"/>
        </w:rPr>
        <w:t>100.74%</w:t>
      </w:r>
      <w:r>
        <w:rPr/>
        <w:t>。</w:t>
      </w:r>
    </w:p>
    <w:p>
      <w:pPr>
        <w:pStyle w:val="BodyText"/>
        <w:spacing w:line="393" w:lineRule="auto" w:before="24"/>
        <w:ind w:left="153" w:right="1131" w:firstLine="420"/>
        <w:jc w:val="both"/>
      </w:pPr>
      <w:r>
        <w:rPr>
          <w:rFonts w:ascii="Times New Roman" w:hAnsi="Times New Roman" w:cs="Times New Roman" w:eastAsia="Times New Roman" w:hint="default"/>
        </w:rPr>
        <w:t>●</w:t>
      </w:r>
      <w:r>
        <w:rPr>
          <w:rFonts w:ascii="Times New Roman" w:hAnsi="Times New Roman" w:cs="Times New Roman" w:eastAsia="Times New Roman" w:hint="default"/>
          <w:spacing w:val="10"/>
        </w:rPr>
        <w:t> </w:t>
      </w:r>
      <w:r>
        <w:rPr/>
        <w:t>专项执法设备业务，公司及全资子公司新德汇为深化司法机关“放管服”改革政策需求，加大了在</w:t>
      </w:r>
      <w:r>
        <w:rPr>
          <w:w w:val="99"/>
        </w:rPr>
        <w:t> </w:t>
      </w:r>
      <w:r>
        <w:rPr>
          <w:spacing w:val="-1"/>
        </w:rPr>
        <w:t>便民惠民设备的研发投入及市场拓展力度。自助便民惠民设备产品已在广东、福建、广西、山西等十多个</w:t>
      </w:r>
      <w:r>
        <w:rPr>
          <w:spacing w:val="-83"/>
        </w:rPr>
        <w:t> </w:t>
      </w:r>
      <w:r>
        <w:rPr>
          <w:spacing w:val="-83"/>
        </w:rPr>
      </w:r>
      <w:r>
        <w:rPr>
          <w:spacing w:val="-1"/>
        </w:rPr>
        <w:t>省市上线应用。江苏税软由于受国地税合并因素影响，订单出现落地延缓的影响，</w:t>
      </w:r>
      <w:r>
        <w:rPr>
          <w:rFonts w:ascii="Times New Roman" w:hAnsi="Times New Roman" w:cs="Times New Roman" w:eastAsia="Times New Roman" w:hint="default"/>
          <w:spacing w:val="-1"/>
        </w:rPr>
        <w:t>2018</w:t>
      </w:r>
      <w:r>
        <w:rPr>
          <w:spacing w:val="-1"/>
        </w:rPr>
        <w:t>年税务稽查设备收</w:t>
      </w:r>
      <w:r>
        <w:rPr>
          <w:spacing w:val="-85"/>
        </w:rPr>
        <w:t> </w:t>
      </w:r>
      <w:r>
        <w:rPr>
          <w:spacing w:val="-85"/>
        </w:rPr>
      </w:r>
      <w:r>
        <w:rPr/>
        <w:t>入出现一定程度的下降。</w:t>
      </w:r>
      <w:r>
        <w:rPr>
          <w:rFonts w:ascii="Times New Roman" w:hAnsi="Times New Roman" w:cs="Times New Roman" w:eastAsia="Times New Roman" w:hint="default"/>
        </w:rPr>
        <w:t>2018</w:t>
      </w:r>
      <w:r>
        <w:rPr/>
        <w:t>年专项执法设备收入对比去年同期减少</w:t>
      </w:r>
      <w:r>
        <w:rPr>
          <w:rFonts w:ascii="Times New Roman" w:hAnsi="Times New Roman" w:cs="Times New Roman" w:eastAsia="Times New Roman" w:hint="default"/>
        </w:rPr>
        <w:t>18.99%</w:t>
      </w:r>
      <w:r>
        <w:rPr/>
        <w:t>。</w:t>
      </w:r>
    </w:p>
    <w:p>
      <w:pPr>
        <w:spacing w:line="386" w:lineRule="auto" w:before="28"/>
        <w:ind w:left="57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Times New Roman" w:hAnsi="Times New Roman" w:cs="Times New Roman" w:eastAsia="Times New Roman" w:hint="default"/>
          <w:b/>
          <w:bCs/>
          <w:spacing w:val="36"/>
          <w:sz w:val="21"/>
          <w:szCs w:val="21"/>
        </w:rPr>
        <w:t> </w:t>
      </w:r>
      <w:r>
        <w:rPr>
          <w:rFonts w:ascii="宋体" w:hAnsi="宋体" w:cs="宋体" w:eastAsia="宋体" w:hint="default"/>
          <w:b/>
          <w:bCs/>
          <w:sz w:val="21"/>
          <w:szCs w:val="21"/>
        </w:rPr>
        <w:t>公司行业地位及所属行业发展变化情况</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公司是全球电子数据取证行业两家上市企业之一，自成立以来深耕电子数据取证及大数据信息化等业</w:t>
      </w:r>
    </w:p>
    <w:p>
      <w:pPr>
        <w:pStyle w:val="BodyText"/>
        <w:spacing w:line="408" w:lineRule="auto" w:before="65"/>
        <w:ind w:left="153" w:right="0"/>
        <w:jc w:val="left"/>
      </w:pPr>
      <w:r>
        <w:rPr>
          <w:spacing w:val="-1"/>
        </w:rPr>
        <w:t>务，逐步成长为电子数据取证行业龙头企业、网络空间安全及大数据信息化专家，为各级司法机关及行政</w:t>
      </w:r>
      <w:r>
        <w:rPr>
          <w:spacing w:val="-83"/>
        </w:rPr>
        <w:t> </w:t>
      </w:r>
      <w:r>
        <w:rPr>
          <w:spacing w:val="-83"/>
        </w:rPr>
      </w:r>
      <w:r>
        <w:rPr/>
        <w:t>执法部门提供产品及专业服务。公司所处行业情况如下：</w:t>
      </w:r>
    </w:p>
    <w:p>
      <w:pPr>
        <w:pStyle w:val="BodyText"/>
        <w:spacing w:line="408" w:lineRule="auto" w:before="46"/>
        <w:ind w:left="153" w:right="1130" w:firstLine="420"/>
        <w:jc w:val="both"/>
      </w:pPr>
      <w:r>
        <w:rPr>
          <w:rFonts w:ascii="宋体" w:hAnsi="宋体" w:cs="宋体" w:eastAsia="宋体" w:hint="default"/>
          <w:b/>
          <w:bCs/>
          <w:spacing w:val="-1"/>
        </w:rPr>
        <w:t>电子数据取证行业</w:t>
      </w:r>
      <w:r>
        <w:rPr>
          <w:spacing w:val="-1"/>
        </w:rPr>
        <w:t>：电子数据取证行业缘起于网络安全，即网络安全的威胁。互联网的快速发展推动</w:t>
      </w:r>
      <w:r>
        <w:rPr/>
        <w:t> </w:t>
      </w:r>
      <w:r>
        <w:rPr>
          <w:spacing w:val="-1"/>
        </w:rPr>
        <w:t>网络安全事件日趋多发，网络安全在英美等国已成为第一大社会治理难题，亚太等新兴国家由于网络安全</w:t>
      </w:r>
      <w:r>
        <w:rPr>
          <w:spacing w:val="-81"/>
        </w:rPr>
        <w:t> </w:t>
      </w:r>
      <w:r>
        <w:rPr>
          <w:spacing w:val="-81"/>
        </w:rPr>
      </w:r>
      <w:r>
        <w:rPr>
          <w:spacing w:val="-1"/>
        </w:rPr>
        <w:t>设施和法规投入滞后，面临较为严重的网络安全威胁，电子数据取证逐步成为司法机关和执法部门的基础</w:t>
      </w:r>
      <w:r>
        <w:rPr>
          <w:spacing w:val="-81"/>
        </w:rPr>
        <w:t> </w:t>
      </w:r>
      <w:r>
        <w:rPr>
          <w:spacing w:val="-81"/>
        </w:rPr>
      </w:r>
      <w:r>
        <w:rPr>
          <w:spacing w:val="-1"/>
        </w:rPr>
        <w:t>能力和工作。同时，随着移动互联网、云计算、物联网等技术的发展，也催生了电子数据取证产品更多的</w:t>
      </w:r>
      <w:r>
        <w:rPr>
          <w:spacing w:val="-83"/>
        </w:rPr>
        <w:t> </w:t>
      </w:r>
      <w:r>
        <w:rPr>
          <w:spacing w:val="-83"/>
        </w:rPr>
      </w:r>
      <w:r>
        <w:rPr>
          <w:spacing w:val="-1"/>
        </w:rPr>
        <w:t>应用及需求，电子数据取证产品需要不断创新和更新换代以满足各类数据载体的技术发展要求。多家第三</w:t>
      </w:r>
      <w:r>
        <w:rPr>
          <w:spacing w:val="-81"/>
        </w:rPr>
        <w:t> </w:t>
      </w:r>
      <w:r>
        <w:rPr>
          <w:spacing w:val="-81"/>
        </w:rPr>
      </w:r>
      <w:r>
        <w:rPr/>
        <w:t>方行业研究报告及统计数据显示，未来国内电子数据取证市场仍具有较大的市场空间。</w:t>
      </w:r>
    </w:p>
    <w:p>
      <w:pPr>
        <w:pStyle w:val="ListParagraph"/>
        <w:numPr>
          <w:ilvl w:val="0"/>
          <w:numId w:val="1"/>
        </w:numPr>
        <w:tabs>
          <w:tab w:pos="787" w:val="left" w:leader="none"/>
        </w:tabs>
        <w:spacing w:line="386" w:lineRule="auto" w:before="46" w:after="0"/>
        <w:ind w:left="153" w:right="1179" w:firstLine="420"/>
        <w:jc w:val="both"/>
        <w:rPr>
          <w:rFonts w:ascii="宋体" w:hAnsi="宋体" w:cs="宋体" w:eastAsia="宋体" w:hint="default"/>
          <w:sz w:val="21"/>
          <w:szCs w:val="21"/>
        </w:rPr>
      </w:pPr>
      <w:r>
        <w:rPr>
          <w:rFonts w:ascii="宋体" w:hAnsi="宋体" w:cs="宋体" w:eastAsia="宋体" w:hint="default"/>
          <w:sz w:val="21"/>
          <w:szCs w:val="21"/>
        </w:rPr>
        <w:t>美国纽约</w:t>
      </w:r>
      <w:r>
        <w:rPr>
          <w:rFonts w:ascii="Times New Roman" w:hAnsi="Times New Roman" w:cs="Times New Roman" w:eastAsia="Times New Roman" w:hint="default"/>
          <w:sz w:val="21"/>
          <w:szCs w:val="21"/>
        </w:rPr>
        <w:t>TMR</w:t>
      </w:r>
      <w:r>
        <w:rPr>
          <w:rFonts w:ascii="宋体" w:hAnsi="宋体" w:cs="宋体" w:eastAsia="宋体" w:hint="default"/>
          <w:sz w:val="21"/>
          <w:szCs w:val="21"/>
        </w:rPr>
        <w:t>（</w:t>
      </w:r>
      <w:r>
        <w:rPr>
          <w:rFonts w:ascii="Times New Roman" w:hAnsi="Times New Roman" w:cs="Times New Roman" w:eastAsia="Times New Roman" w:hint="default"/>
          <w:sz w:val="21"/>
          <w:szCs w:val="21"/>
        </w:rPr>
        <w:t>Transparency Market</w:t>
      </w:r>
      <w:r>
        <w:rPr>
          <w:rFonts w:ascii="Times New Roman" w:hAnsi="Times New Roman" w:cs="Times New Roman" w:eastAsia="Times New Roman" w:hint="default"/>
          <w:spacing w:val="-13"/>
          <w:sz w:val="21"/>
          <w:szCs w:val="21"/>
        </w:rPr>
        <w:t> </w:t>
      </w:r>
      <w:r>
        <w:rPr>
          <w:rFonts w:ascii="Times New Roman" w:hAnsi="Times New Roman" w:cs="Times New Roman" w:eastAsia="Times New Roman" w:hint="default"/>
          <w:sz w:val="21"/>
          <w:szCs w:val="21"/>
        </w:rPr>
        <w:t>Research</w:t>
      </w:r>
      <w:r>
        <w:rPr>
          <w:rFonts w:ascii="宋体" w:hAnsi="宋体" w:cs="宋体" w:eastAsia="宋体" w:hint="default"/>
          <w:sz w:val="21"/>
          <w:szCs w:val="21"/>
        </w:rPr>
        <w:t>）研究机构的电子取证市场行业报告：全球电子数据</w:t>
      </w:r>
      <w:r>
        <w:rPr>
          <w:rFonts w:ascii="宋体" w:hAnsi="宋体" w:cs="宋体" w:eastAsia="宋体" w:hint="default"/>
          <w:w w:val="99"/>
          <w:sz w:val="21"/>
          <w:szCs w:val="21"/>
        </w:rPr>
        <w:t> </w:t>
      </w:r>
      <w:r>
        <w:rPr>
          <w:rFonts w:ascii="宋体" w:hAnsi="宋体" w:cs="宋体" w:eastAsia="宋体" w:hint="default"/>
          <w:sz w:val="21"/>
          <w:szCs w:val="21"/>
        </w:rPr>
        <w:t>取证</w:t>
      </w:r>
      <w:r>
        <w:rPr>
          <w:rFonts w:ascii="Times New Roman" w:hAnsi="Times New Roman" w:cs="Times New Roman" w:eastAsia="Times New Roman" w:hint="default"/>
          <w:sz w:val="21"/>
          <w:szCs w:val="21"/>
        </w:rPr>
        <w:t>2016</w:t>
      </w:r>
      <w:r>
        <w:rPr>
          <w:rFonts w:ascii="宋体" w:hAnsi="宋体" w:cs="宋体" w:eastAsia="宋体" w:hint="default"/>
          <w:sz w:val="21"/>
          <w:szCs w:val="21"/>
        </w:rPr>
        <w:t>年市场规模接近</w:t>
      </w:r>
      <w:r>
        <w:rPr>
          <w:rFonts w:ascii="Times New Roman" w:hAnsi="Times New Roman" w:cs="Times New Roman" w:eastAsia="Times New Roman" w:hint="default"/>
          <w:sz w:val="21"/>
          <w:szCs w:val="21"/>
        </w:rPr>
        <w:t>28.7</w:t>
      </w:r>
      <w:r>
        <w:rPr>
          <w:rFonts w:ascii="宋体" w:hAnsi="宋体" w:cs="宋体" w:eastAsia="宋体" w:hint="default"/>
          <w:sz w:val="21"/>
          <w:szCs w:val="21"/>
        </w:rPr>
        <w:t>亿美金，预计</w:t>
      </w:r>
      <w:r>
        <w:rPr>
          <w:rFonts w:ascii="Times New Roman" w:hAnsi="Times New Roman" w:cs="Times New Roman" w:eastAsia="Times New Roman" w:hint="default"/>
          <w:sz w:val="21"/>
          <w:szCs w:val="21"/>
        </w:rPr>
        <w:t>2025</w:t>
      </w:r>
      <w:r>
        <w:rPr>
          <w:rFonts w:ascii="宋体" w:hAnsi="宋体" w:cs="宋体" w:eastAsia="宋体" w:hint="default"/>
          <w:sz w:val="21"/>
          <w:szCs w:val="21"/>
        </w:rPr>
        <w:t>年可达到</w:t>
      </w:r>
      <w:r>
        <w:rPr>
          <w:rFonts w:ascii="Times New Roman" w:hAnsi="Times New Roman" w:cs="Times New Roman" w:eastAsia="Times New Roman" w:hint="default"/>
          <w:sz w:val="21"/>
          <w:szCs w:val="21"/>
        </w:rPr>
        <w:t>66.5</w:t>
      </w:r>
      <w:r>
        <w:rPr>
          <w:rFonts w:ascii="宋体" w:hAnsi="宋体" w:cs="宋体" w:eastAsia="宋体" w:hint="default"/>
          <w:sz w:val="21"/>
          <w:szCs w:val="21"/>
        </w:rPr>
        <w:t>亿美金规模。在全球市场分布上，美国世界</w:t>
      </w:r>
      <w:r>
        <w:rPr>
          <w:rFonts w:ascii="宋体" w:hAnsi="宋体" w:cs="宋体" w:eastAsia="宋体" w:hint="default"/>
          <w:w w:val="99"/>
          <w:sz w:val="21"/>
          <w:szCs w:val="21"/>
        </w:rPr>
        <w:t> </w:t>
      </w:r>
      <w:r>
        <w:rPr>
          <w:rFonts w:ascii="宋体" w:hAnsi="宋体" w:cs="宋体" w:eastAsia="宋体" w:hint="default"/>
          <w:sz w:val="21"/>
          <w:szCs w:val="21"/>
        </w:rPr>
        <w:t>领先，欧洲紧随其后，亚太地区快速发展并将在未来持续贡献可观收入。</w:t>
      </w:r>
    </w:p>
    <w:p>
      <w:pPr>
        <w:pStyle w:val="BodyText"/>
        <w:spacing w:line="386" w:lineRule="auto" w:before="65"/>
        <w:ind w:left="153" w:right="1130" w:firstLine="420"/>
        <w:jc w:val="both"/>
      </w:pPr>
      <w:r>
        <w:rPr>
          <w:rFonts w:ascii="Times New Roman" w:hAnsi="Times New Roman" w:cs="Times New Roman" w:eastAsia="Times New Roman" w:hint="default"/>
        </w:rPr>
        <w:t>●</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2"/>
        </w:rPr>
        <w:t>2017</w:t>
      </w:r>
      <w:r>
        <w:rPr>
          <w:spacing w:val="-2"/>
        </w:rPr>
        <w:t>年智研咨询在中国信息产业网发布的《</w:t>
      </w:r>
      <w:r>
        <w:rPr>
          <w:rFonts w:ascii="Times New Roman" w:hAnsi="Times New Roman" w:cs="Times New Roman" w:eastAsia="Times New Roman" w:hint="default"/>
          <w:spacing w:val="-2"/>
        </w:rPr>
        <w:t>2017-2023</w:t>
      </w:r>
      <w:r>
        <w:rPr>
          <w:spacing w:val="-2"/>
        </w:rPr>
        <w:t>年中国电子数据取证行业市场运营态势及发展</w:t>
      </w:r>
      <w:r>
        <w:rPr>
          <w:w w:val="99"/>
        </w:rPr>
        <w:t> </w:t>
      </w:r>
      <w:r>
        <w:rPr/>
        <w:t>前景预测报告》预测，至</w:t>
      </w:r>
      <w:r>
        <w:rPr>
          <w:rFonts w:ascii="Times New Roman" w:hAnsi="Times New Roman" w:cs="Times New Roman" w:eastAsia="Times New Roman" w:hint="default"/>
        </w:rPr>
        <w:t>2023</w:t>
      </w:r>
      <w:r>
        <w:rPr/>
        <w:t>年我国电子数据取证市场规模将达到</w:t>
      </w:r>
      <w:r>
        <w:rPr>
          <w:rFonts w:ascii="Times New Roman" w:hAnsi="Times New Roman" w:cs="Times New Roman" w:eastAsia="Times New Roman" w:hint="default"/>
        </w:rPr>
        <w:t>35.62</w:t>
      </w:r>
      <w:r>
        <w:rPr/>
        <w:t>亿。</w:t>
      </w:r>
    </w:p>
    <w:p>
      <w:pPr>
        <w:pStyle w:val="BodyText"/>
        <w:spacing w:line="386" w:lineRule="auto" w:before="35"/>
        <w:ind w:left="153" w:right="1131" w:firstLine="419"/>
        <w:jc w:val="both"/>
      </w:pPr>
      <w:r>
        <w:rPr>
          <w:rFonts w:ascii="Times New Roman" w:hAnsi="Times New Roman" w:cs="Times New Roman" w:eastAsia="Times New Roman" w:hint="default"/>
        </w:rPr>
        <w:t>●</w:t>
      </w:r>
      <w:r>
        <w:rPr>
          <w:rFonts w:ascii="Times New Roman" w:hAnsi="Times New Roman" w:cs="Times New Roman" w:eastAsia="Times New Roman" w:hint="default"/>
          <w:spacing w:val="-16"/>
        </w:rPr>
        <w:t> </w:t>
      </w:r>
      <w:r>
        <w:rPr/>
        <w:t>中国互联网信息中心（</w:t>
      </w:r>
      <w:r>
        <w:rPr>
          <w:rFonts w:ascii="Times New Roman" w:hAnsi="Times New Roman" w:cs="Times New Roman" w:eastAsia="Times New Roman" w:hint="default"/>
        </w:rPr>
        <w:t>CNNIC</w:t>
      </w:r>
      <w:r>
        <w:rPr/>
        <w:t>）发布的《第</w:t>
      </w:r>
      <w:r>
        <w:rPr>
          <w:rFonts w:ascii="Times New Roman" w:hAnsi="Times New Roman" w:cs="Times New Roman" w:eastAsia="Times New Roman" w:hint="default"/>
        </w:rPr>
        <w:t>43</w:t>
      </w:r>
      <w:r>
        <w:rPr/>
        <w:t>次中国互联网络发展状况统计报告》，截至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1"/>
          <w:w w:val="99"/>
        </w:rPr>
        <w:t> </w:t>
      </w:r>
      <w:r>
        <w:rPr>
          <w:spacing w:val="-2"/>
        </w:rPr>
        <w:t>月，中国网民数量为</w:t>
      </w:r>
      <w:r>
        <w:rPr>
          <w:rFonts w:ascii="Times New Roman" w:hAnsi="Times New Roman" w:cs="Times New Roman" w:eastAsia="Times New Roman" w:hint="default"/>
          <w:spacing w:val="-2"/>
        </w:rPr>
        <w:t>8.29</w:t>
      </w:r>
      <w:r>
        <w:rPr>
          <w:spacing w:val="-2"/>
        </w:rPr>
        <w:t>亿，普及率</w:t>
      </w:r>
      <w:r>
        <w:rPr>
          <w:rFonts w:ascii="Times New Roman" w:hAnsi="Times New Roman" w:cs="Times New Roman" w:eastAsia="Times New Roman" w:hint="default"/>
          <w:spacing w:val="-2"/>
        </w:rPr>
        <w:t>59.6%</w:t>
      </w:r>
      <w:r>
        <w:rPr>
          <w:spacing w:val="-2"/>
        </w:rPr>
        <w:t>，较</w:t>
      </w:r>
      <w:r>
        <w:rPr>
          <w:rFonts w:ascii="Times New Roman" w:hAnsi="Times New Roman" w:cs="Times New Roman" w:eastAsia="Times New Roman" w:hint="default"/>
          <w:spacing w:val="-2"/>
        </w:rPr>
        <w:t>2017</w:t>
      </w:r>
      <w:r>
        <w:rPr>
          <w:spacing w:val="-2"/>
        </w:rPr>
        <w:t>年底提升</w:t>
      </w:r>
      <w:r>
        <w:rPr>
          <w:rFonts w:ascii="Times New Roman" w:hAnsi="Times New Roman" w:cs="Times New Roman" w:eastAsia="Times New Roman" w:hint="default"/>
          <w:spacing w:val="-2"/>
        </w:rPr>
        <w:t>3.8%</w:t>
      </w:r>
      <w:r>
        <w:rPr>
          <w:spacing w:val="-2"/>
        </w:rPr>
        <w:t>，其中手机用户规模达</w:t>
      </w:r>
      <w:r>
        <w:rPr>
          <w:rFonts w:ascii="Times New Roman" w:hAnsi="Times New Roman" w:cs="Times New Roman" w:eastAsia="Times New Roman" w:hint="default"/>
          <w:spacing w:val="-2"/>
        </w:rPr>
        <w:t>8.17</w:t>
      </w:r>
      <w:r>
        <w:rPr>
          <w:spacing w:val="-2"/>
        </w:rPr>
        <w:t>亿，网民通过</w:t>
      </w:r>
      <w:r>
        <w:rPr>
          <w:spacing w:val="-62"/>
        </w:rPr>
        <w:t> </w:t>
      </w:r>
      <w:r>
        <w:rPr>
          <w:spacing w:val="-62"/>
        </w:rPr>
      </w:r>
      <w:r>
        <w:rPr/>
        <w:t>手机接入互联网的比例高达</w:t>
      </w:r>
      <w:r>
        <w:rPr>
          <w:rFonts w:ascii="Times New Roman" w:hAnsi="Times New Roman" w:cs="Times New Roman" w:eastAsia="Times New Roman" w:hint="default"/>
        </w:rPr>
        <w:t>98.6%</w:t>
      </w:r>
      <w:r>
        <w:rPr/>
        <w:t>。</w:t>
      </w:r>
    </w:p>
    <w:p>
      <w:pPr>
        <w:pStyle w:val="BodyText"/>
        <w:spacing w:line="398" w:lineRule="auto" w:before="35"/>
        <w:ind w:right="1131" w:firstLine="419"/>
        <w:jc w:val="both"/>
      </w:pPr>
      <w:r>
        <w:rPr>
          <w:rFonts w:ascii="Times New Roman" w:hAnsi="Times New Roman" w:cs="Times New Roman" w:eastAsia="Times New Roman" w:hint="default"/>
        </w:rPr>
        <w:t>●</w:t>
      </w:r>
      <w:r>
        <w:rPr>
          <w:rFonts w:ascii="Times New Roman" w:hAnsi="Times New Roman" w:cs="Times New Roman" w:eastAsia="Times New Roman" w:hint="default"/>
          <w:spacing w:val="-5"/>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w:t>
      </w:r>
      <w:r>
        <w:rPr/>
        <w:t>日，公安部发布了《公安机关办理刑事案件电子数据取证规则》，规范公安机关办理刑</w:t>
      </w:r>
      <w:r>
        <w:rPr>
          <w:w w:val="99"/>
        </w:rPr>
        <w:t> </w:t>
      </w:r>
      <w:r>
        <w:rPr>
          <w:spacing w:val="-1"/>
        </w:rPr>
        <w:t>事案件电子数据取证作用，要求公安机关办理刑事案件应当遵守法定程序，遵循有关技术标准，全面、客</w:t>
      </w:r>
      <w:r>
        <w:rPr>
          <w:spacing w:val="-83"/>
        </w:rPr>
        <w:t> </w:t>
      </w:r>
      <w:r>
        <w:rPr>
          <w:spacing w:val="-83"/>
        </w:rPr>
      </w:r>
      <w:r>
        <w:rPr/>
        <w:t>观、及时地搜集和提取涉案电子数据，确保电子数据的真实、完整。</w:t>
      </w:r>
    </w:p>
    <w:p>
      <w:pPr>
        <w:pStyle w:val="BodyText"/>
        <w:spacing w:line="386" w:lineRule="auto" w:before="54"/>
        <w:ind w:right="1131" w:firstLine="420"/>
        <w:jc w:val="both"/>
      </w:pPr>
      <w:r>
        <w:rPr>
          <w:rFonts w:ascii="宋体" w:hAnsi="宋体" w:cs="宋体" w:eastAsia="宋体" w:hint="default"/>
          <w:b/>
          <w:bCs/>
        </w:rPr>
        <w:t>大数据信息化行业</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月，工业和信息化部发布《大数据产业发展规划（</w:t>
      </w:r>
      <w:r>
        <w:rPr>
          <w:rFonts w:ascii="Times New Roman" w:hAnsi="Times New Roman" w:cs="Times New Roman" w:eastAsia="Times New Roman" w:hint="default"/>
        </w:rPr>
        <w:t>2016-2020</w:t>
      </w:r>
      <w:r>
        <w:rPr/>
        <w:t>年）》，加 </w:t>
      </w:r>
      <w:r>
        <w:rPr>
          <w:spacing w:val="-1"/>
        </w:rPr>
        <w:t>快实施国家大数据战略，实现大数据应用需要数据开放和共享，推动大数据产业健康快速发展。各司法机</w:t>
      </w:r>
    </w:p>
    <w:p>
      <w:pPr>
        <w:spacing w:after="0" w:line="386" w:lineRule="auto"/>
        <w:jc w:val="both"/>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393" w:lineRule="auto" w:before="174"/>
        <w:ind w:right="1131" w:hanging="1"/>
        <w:jc w:val="both"/>
      </w:pPr>
      <w:r>
        <w:rPr>
          <w:spacing w:val="-1"/>
        </w:rPr>
        <w:t>关也成立大数据工作领导小组，大力实施大数据战略。</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w:t>
      </w:r>
      <w:r>
        <w:rPr>
          <w:spacing w:val="-1"/>
        </w:rPr>
        <w:t>日，全国司法机关深化“放管服”改革</w:t>
      </w:r>
      <w:r>
        <w:rPr>
          <w:spacing w:val="-84"/>
        </w:rPr>
        <w:t> </w:t>
      </w:r>
      <w:r>
        <w:rPr>
          <w:spacing w:val="-84"/>
        </w:rPr>
      </w:r>
      <w:r>
        <w:rPr/>
        <w:t>电视电话会议召开，会议强调要进一步深化“互联网</w:t>
      </w:r>
      <w:r>
        <w:rPr>
          <w:rFonts w:ascii="Times New Roman" w:hAnsi="Times New Roman" w:cs="Times New Roman" w:eastAsia="Times New Roman" w:hint="default"/>
        </w:rPr>
        <w:t>+</w:t>
      </w:r>
      <w:r>
        <w:rPr/>
        <w:t>司法政务服务”，紧密结合实施大数据战略，加快 </w:t>
      </w:r>
      <w:r>
        <w:rPr>
          <w:spacing w:val="-1"/>
        </w:rPr>
        <w:t>推进司法政务服务平台建设，健全完善与相关部门的信息共享制度，努力实现审批服务事项网上办，真正</w:t>
      </w:r>
      <w:r>
        <w:rPr>
          <w:spacing w:val="-84"/>
        </w:rPr>
        <w:t> </w:t>
      </w:r>
      <w:r>
        <w:rPr>
          <w:spacing w:val="-84"/>
        </w:rPr>
      </w:r>
      <w:r>
        <w:rPr/>
        <w:t>让数据多跑路，让群众少跑腿。</w:t>
      </w:r>
    </w:p>
    <w:p>
      <w:pPr>
        <w:pStyle w:val="BodyText"/>
        <w:spacing w:line="396" w:lineRule="auto" w:before="59"/>
        <w:ind w:right="1128" w:firstLine="420"/>
        <w:jc w:val="both"/>
      </w:pPr>
      <w:r>
        <w:rPr>
          <w:spacing w:val="-1"/>
        </w:rPr>
        <w:t>大数据战略已上升为国家战略高度，各部委从战略规划、技术能力提升、应用管理三个层面积极落实</w:t>
      </w:r>
      <w:r>
        <w:rPr/>
        <w:t> </w:t>
      </w:r>
      <w:r>
        <w:rPr>
          <w:spacing w:val="-1"/>
        </w:rPr>
        <w:t>推进大数据发展政策。在国家政策持续推动下，大数据产业落地进程加快，产业价值被进一步发掘。根据</w:t>
      </w:r>
      <w:r>
        <w:rPr>
          <w:spacing w:val="-82"/>
        </w:rPr>
        <w:t> </w:t>
      </w:r>
      <w:r>
        <w:rPr>
          <w:spacing w:val="-82"/>
        </w:rPr>
      </w:r>
      <w:r>
        <w:rPr/>
        <w:t>中国信通院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月发布的《中国大数据发展调查报告》显示，</w:t>
      </w:r>
      <w:r>
        <w:rPr>
          <w:rFonts w:ascii="Times New Roman" w:hAnsi="Times New Roman" w:cs="Times New Roman" w:eastAsia="Times New Roman" w:hint="default"/>
        </w:rPr>
        <w:t>2017</w:t>
      </w:r>
      <w:r>
        <w:rPr/>
        <w:t>年国内大数据产业总体规模达</w:t>
      </w:r>
      <w:r>
        <w:rPr>
          <w:rFonts w:ascii="Times New Roman" w:hAnsi="Times New Roman" w:cs="Times New Roman" w:eastAsia="Times New Roman" w:hint="default"/>
        </w:rPr>
        <w:t>4,700 </w:t>
      </w:r>
      <w:r>
        <w:rPr>
          <w:spacing w:val="-2"/>
        </w:rPr>
        <w:t>亿元，同比增长</w:t>
      </w:r>
      <w:r>
        <w:rPr>
          <w:rFonts w:ascii="Times New Roman" w:hAnsi="Times New Roman" w:cs="Times New Roman" w:eastAsia="Times New Roman" w:hint="default"/>
          <w:spacing w:val="-2"/>
        </w:rPr>
        <w:t>30%</w:t>
      </w:r>
      <w:r>
        <w:rPr>
          <w:spacing w:val="-2"/>
        </w:rPr>
        <w:t>；</w:t>
      </w:r>
      <w:r>
        <w:rPr>
          <w:rFonts w:ascii="Times New Roman" w:hAnsi="Times New Roman" w:cs="Times New Roman" w:eastAsia="Times New Roman" w:hint="default"/>
          <w:spacing w:val="-2"/>
        </w:rPr>
        <w:t>2017</w:t>
      </w:r>
      <w:r>
        <w:rPr>
          <w:spacing w:val="-2"/>
        </w:rPr>
        <w:t>年大数据核心产业规模为</w:t>
      </w:r>
      <w:r>
        <w:rPr>
          <w:rFonts w:ascii="Times New Roman" w:hAnsi="Times New Roman" w:cs="Times New Roman" w:eastAsia="Times New Roman" w:hint="default"/>
          <w:spacing w:val="-2"/>
        </w:rPr>
        <w:t>236</w:t>
      </w:r>
      <w:r>
        <w:rPr>
          <w:spacing w:val="-2"/>
        </w:rPr>
        <w:t>亿元人民币，增速达到</w:t>
      </w:r>
      <w:r>
        <w:rPr>
          <w:rFonts w:ascii="Times New Roman" w:hAnsi="Times New Roman" w:cs="Times New Roman" w:eastAsia="Times New Roman" w:hint="default"/>
          <w:spacing w:val="-2"/>
        </w:rPr>
        <w:t>40.5%</w:t>
      </w:r>
      <w:r>
        <w:rPr>
          <w:spacing w:val="-2"/>
        </w:rPr>
        <w:t>，预计</w:t>
      </w:r>
      <w:r>
        <w:rPr>
          <w:rFonts w:ascii="Times New Roman" w:hAnsi="Times New Roman" w:cs="Times New Roman" w:eastAsia="Times New Roman" w:hint="default"/>
          <w:spacing w:val="-2"/>
        </w:rPr>
        <w:t>2018-2020</w:t>
      </w:r>
      <w:r>
        <w:rPr>
          <w:spacing w:val="-2"/>
        </w:rPr>
        <w:t>年增</w:t>
      </w:r>
      <w:r>
        <w:rPr>
          <w:spacing w:val="-77"/>
        </w:rPr>
        <w:t> </w:t>
      </w:r>
      <w:r>
        <w:rPr/>
        <w:t>速将保持在</w:t>
      </w:r>
      <w:r>
        <w:rPr>
          <w:rFonts w:ascii="Times New Roman" w:hAnsi="Times New Roman" w:cs="Times New Roman" w:eastAsia="Times New Roman" w:hint="default"/>
        </w:rPr>
        <w:t>30%</w:t>
      </w:r>
      <w:r>
        <w:rPr/>
        <w:t>以上。根据</w:t>
      </w:r>
      <w:r>
        <w:rPr>
          <w:rFonts w:ascii="Times New Roman" w:hAnsi="Times New Roman" w:cs="Times New Roman" w:eastAsia="Times New Roman" w:hint="default"/>
        </w:rPr>
        <w:t>IDC</w:t>
      </w:r>
      <w:r>
        <w:rPr/>
        <w:t>的数据，截至</w:t>
      </w:r>
      <w:r>
        <w:rPr>
          <w:rFonts w:ascii="Times New Roman" w:hAnsi="Times New Roman" w:cs="Times New Roman" w:eastAsia="Times New Roman" w:hint="default"/>
        </w:rPr>
        <w:t>2018</w:t>
      </w:r>
      <w:r>
        <w:rPr/>
        <w:t>年年底，中国大数据解决方案市场软硬服总额达到</w:t>
      </w:r>
      <w:r>
        <w:rPr>
          <w:rFonts w:ascii="Times New Roman" w:hAnsi="Times New Roman" w:cs="Times New Roman" w:eastAsia="Times New Roman" w:hint="default"/>
        </w:rPr>
        <w:t>388.8 </w:t>
      </w:r>
      <w:r>
        <w:rPr/>
        <w:t>亿元人民币。中国大数据市场预计未来</w:t>
      </w:r>
      <w:r>
        <w:rPr>
          <w:rFonts w:ascii="Times New Roman" w:hAnsi="Times New Roman" w:cs="Times New Roman" w:eastAsia="Times New Roman" w:hint="default"/>
        </w:rPr>
        <w:t>5</w:t>
      </w:r>
      <w:r>
        <w:rPr/>
        <w:t>年将保持持续增长的趋势，年复合增长率将达到</w:t>
      </w:r>
      <w:r>
        <w:rPr>
          <w:rFonts w:ascii="Times New Roman" w:hAnsi="Times New Roman" w:cs="Times New Roman" w:eastAsia="Times New Roman" w:hint="default"/>
        </w:rPr>
        <w:t>17.3%</w:t>
      </w:r>
      <w:r>
        <w:rPr/>
        <w:t>。</w:t>
      </w:r>
    </w:p>
    <w:p>
      <w:pPr>
        <w:pStyle w:val="BodyText"/>
        <w:spacing w:line="398" w:lineRule="auto" w:before="26"/>
        <w:ind w:right="1025" w:firstLine="420"/>
        <w:jc w:val="left"/>
      </w:pPr>
      <w:r>
        <w:rPr>
          <w:rFonts w:ascii="宋体" w:hAnsi="宋体" w:cs="宋体" w:eastAsia="宋体" w:hint="default"/>
          <w:b/>
          <w:bCs/>
        </w:rPr>
        <w:t>网络空间安全行业</w:t>
      </w:r>
      <w:r>
        <w:rPr/>
        <w:t>：习近平总书记在</w:t>
      </w:r>
      <w:r>
        <w:rPr>
          <w:rFonts w:ascii="Times New Roman" w:hAnsi="Times New Roman" w:cs="Times New Roman" w:eastAsia="Times New Roman" w:hint="default"/>
        </w:rPr>
        <w:t>2014</w:t>
      </w:r>
      <w:r>
        <w:rPr/>
        <w:t>年中央网络安全和信息化领导小组第一次会议上指出“没有 </w:t>
      </w:r>
      <w:r>
        <w:rPr>
          <w:spacing w:val="-3"/>
        </w:rPr>
        <w:t>网络安全就没有国家安全，没有信息化就没有现代化”。各级政府及企事业单位也逐渐提高网络安全意识，</w:t>
      </w:r>
      <w:r>
        <w:rPr>
          <w:spacing w:val="-92"/>
        </w:rPr>
        <w:t> </w:t>
      </w:r>
      <w:r>
        <w:rPr>
          <w:spacing w:val="-92"/>
        </w:rPr>
      </w:r>
      <w:r>
        <w:rPr/>
        <w:t>加大网络安全投入力度，网络信息安全行业迎来更大的发展机会。《“十三五”国家信息化规划》提出， 要完善国家网络安全保证体系，保障国家信息安全。国家已把信息化和网络信息安全列入了国家发展战略</w:t>
      </w:r>
      <w:r>
        <w:rPr/>
        <w:t> </w:t>
      </w:r>
      <w:r>
        <w:rPr>
          <w:spacing w:val="-2"/>
        </w:rPr>
        <w:t>方向之一。根据中国产业信息网发布的《</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-2024</w:t>
      </w:r>
      <w:r>
        <w:rPr>
          <w:spacing w:val="-2"/>
        </w:rPr>
        <w:t>年中国信息安全行业分析及投资前景预测报告》，预</w:t>
      </w:r>
      <w:r>
        <w:rPr>
          <w:spacing w:val="-100"/>
        </w:rPr>
        <w:t> </w:t>
      </w:r>
      <w:r>
        <w:rPr>
          <w:spacing w:val="-100"/>
        </w:rPr>
      </w:r>
      <w:r>
        <w:rPr/>
        <w:t>测国内信息安全市场规模预计在</w:t>
      </w:r>
      <w:r>
        <w:rPr>
          <w:rFonts w:ascii="Times New Roman" w:hAnsi="Times New Roman" w:cs="Times New Roman" w:eastAsia="Times New Roman" w:hint="default"/>
        </w:rPr>
        <w:t>2020</w:t>
      </w:r>
      <w:r>
        <w:rPr/>
        <w:t>年将达到</w:t>
      </w:r>
      <w:r>
        <w:rPr>
          <w:rFonts w:ascii="Times New Roman" w:hAnsi="Times New Roman" w:cs="Times New Roman" w:eastAsia="Times New Roman" w:hint="default"/>
        </w:rPr>
        <w:t>69</w:t>
      </w:r>
      <w:r>
        <w:rPr/>
        <w:t>亿美元，全球安全产业规模从</w:t>
      </w:r>
      <w:r>
        <w:rPr>
          <w:rFonts w:ascii="Times New Roman" w:hAnsi="Times New Roman" w:cs="Times New Roman" w:eastAsia="Times New Roman" w:hint="default"/>
        </w:rPr>
        <w:t>2016</w:t>
      </w:r>
      <w:r>
        <w:rPr/>
        <w:t>年至</w:t>
      </w:r>
      <w:r>
        <w:rPr>
          <w:rFonts w:ascii="Times New Roman" w:hAnsi="Times New Roman" w:cs="Times New Roman" w:eastAsia="Times New Roman" w:hint="default"/>
        </w:rPr>
        <w:t>2019</w:t>
      </w:r>
      <w:r>
        <w:rPr/>
        <w:t>年有望保持超 过</w:t>
      </w:r>
      <w:r>
        <w:rPr>
          <w:rFonts w:ascii="Times New Roman" w:hAnsi="Times New Roman" w:cs="Times New Roman" w:eastAsia="Times New Roman" w:hint="default"/>
        </w:rPr>
        <w:t>8%</w:t>
      </w:r>
      <w:r>
        <w:rPr/>
        <w:t>的增长速率。与美、日等国家相比，中国信息安全投入仍有较大增长空间。</w:t>
      </w:r>
    </w:p>
    <w:p>
      <w:pPr>
        <w:spacing w:line="240" w:lineRule="auto" w:before="12"/>
        <w:rPr>
          <w:rFonts w:ascii="宋体" w:hAnsi="宋体" w:cs="宋体" w:eastAsia="宋体" w:hint="default"/>
          <w:sz w:val="16"/>
          <w:szCs w:val="16"/>
        </w:rPr>
      </w:pPr>
    </w:p>
    <w:p>
      <w:pPr>
        <w:pStyle w:val="Heading2"/>
        <w:spacing w:line="240" w:lineRule="auto"/>
        <w:ind w:right="0"/>
        <w:jc w:val="both"/>
        <w:rPr>
          <w:b w:val="0"/>
          <w:bCs w:val="0"/>
        </w:rPr>
      </w:pP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5"/>
          <w:szCs w:val="25"/>
        </w:rPr>
      </w:pPr>
    </w:p>
    <w:p>
      <w:pPr>
        <w:spacing w:before="44"/>
        <w:ind w:left="0" w:right="1138" w:firstLine="0"/>
        <w:jc w:val="right"/>
        <w:rPr>
          <w:rFonts w:ascii="宋体" w:hAnsi="宋体" w:cs="宋体" w:eastAsia="宋体" w:hint="default"/>
          <w:sz w:val="18"/>
          <w:szCs w:val="18"/>
        </w:rPr>
      </w:pPr>
      <w:r>
        <w:rPr/>
        <w:pict>
          <v:shape style="position:absolute;margin-left:56.459999pt;margin-top:-39.067955pt;width:479.1pt;height:190.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8008"/>
                  </w:tblGrid>
                  <w:tr>
                    <w:trPr>
                      <w:trHeight w:val="186" w:hRule="exact"/>
                    </w:trPr>
                    <w:tc>
                      <w:tcPr>
                        <w:tcW w:w="15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800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1560" w:type="dxa"/>
                        <w:vMerge/>
                        <w:tcBorders>
                          <w:left w:val="single" w:sz="4" w:space="0" w:color="000000"/>
                          <w:right w:val="single" w:sz="4" w:space="0" w:color="000000"/>
                        </w:tcBorders>
                        <w:shd w:val="clear" w:color="auto" w:fill="D3D3D3"/>
                      </w:tcPr>
                      <w:p>
                        <w:pPr/>
                      </w:p>
                    </w:tc>
                    <w:tc>
                      <w:tcPr>
                        <w:tcW w:w="800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1560" w:type="dxa"/>
                        <w:vMerge/>
                        <w:tcBorders>
                          <w:left w:val="single" w:sz="4" w:space="0" w:color="000000"/>
                          <w:bottom w:val="single" w:sz="4" w:space="0" w:color="000000"/>
                          <w:right w:val="single" w:sz="4" w:space="0" w:color="000000"/>
                        </w:tcBorders>
                        <w:shd w:val="clear" w:color="auto" w:fill="D3D3D3"/>
                      </w:tcPr>
                      <w:p>
                        <w:pPr/>
                      </w:p>
                    </w:tc>
                    <w:tc>
                      <w:tcPr>
                        <w:tcW w:w="800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长期股权投资较年初增加</w:t>
                        </w:r>
                        <w:r>
                          <w:rPr>
                            <w:rFonts w:ascii="宋体" w:hAnsi="宋体" w:cs="宋体" w:eastAsia="宋体" w:hint="default"/>
                            <w:spacing w:val="-27"/>
                            <w:sz w:val="18"/>
                            <w:szCs w:val="18"/>
                          </w:rPr>
                          <w:t> </w:t>
                        </w:r>
                        <w:r>
                          <w:rPr>
                            <w:rFonts w:ascii="Times New Roman" w:hAnsi="Times New Roman" w:cs="Times New Roman" w:eastAsia="Times New Roman" w:hint="default"/>
                            <w:spacing w:val="-4"/>
                            <w:sz w:val="18"/>
                            <w:szCs w:val="18"/>
                          </w:rPr>
                          <w:t>67.95%</w:t>
                        </w:r>
                        <w:r>
                          <w:rPr>
                            <w:rFonts w:ascii="宋体" w:hAnsi="宋体" w:cs="宋体" w:eastAsia="宋体" w:hint="default"/>
                            <w:spacing w:val="-4"/>
                            <w:sz w:val="18"/>
                            <w:szCs w:val="18"/>
                          </w:rPr>
                          <w:t>，主要是由于公司参股公司服云科技引入投资者，引起其他权益变动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公司长期股权投资账面价值增加所致。</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期末固定资产较年初减少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1.16%</w:t>
                        </w:r>
                        <w:r>
                          <w:rPr>
                            <w:rFonts w:ascii="宋体" w:hAnsi="宋体" w:cs="宋体" w:eastAsia="宋体" w:hint="default"/>
                            <w:sz w:val="18"/>
                            <w:szCs w:val="18"/>
                          </w:rPr>
                          <w:t>，主要是由于本年度固定资产折旧所致。</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期末无形资产较年初增加</w:t>
                        </w:r>
                        <w:r>
                          <w:rPr>
                            <w:rFonts w:ascii="宋体" w:hAnsi="宋体" w:cs="宋体" w:eastAsia="宋体" w:hint="default"/>
                            <w:spacing w:val="-20"/>
                            <w:sz w:val="18"/>
                            <w:szCs w:val="18"/>
                          </w:rPr>
                          <w:t> </w:t>
                        </w:r>
                        <w:r>
                          <w:rPr>
                            <w:rFonts w:ascii="Times New Roman" w:hAnsi="Times New Roman" w:cs="Times New Roman" w:eastAsia="Times New Roman" w:hint="default"/>
                            <w:spacing w:val="-4"/>
                            <w:sz w:val="18"/>
                            <w:szCs w:val="18"/>
                          </w:rPr>
                          <w:t>12.05%</w:t>
                        </w:r>
                        <w:r>
                          <w:rPr>
                            <w:rFonts w:ascii="宋体" w:hAnsi="宋体" w:cs="宋体" w:eastAsia="宋体" w:hint="default"/>
                            <w:spacing w:val="-4"/>
                            <w:sz w:val="18"/>
                            <w:szCs w:val="18"/>
                          </w:rPr>
                          <w:t>，主要是由于公司部分开发项目完结，由开发支出转为无形资产所致</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期末在建工程较年初增加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141.55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万元，主要是由于本期公司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大楼部分楼层装修尚未完工所致。</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可供出售金融资产较年初下降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16.83%</w:t>
                        </w:r>
                        <w:r>
                          <w:rPr>
                            <w:rFonts w:ascii="宋体" w:hAnsi="宋体" w:cs="宋体" w:eastAsia="宋体" w:hint="default"/>
                            <w:sz w:val="18"/>
                            <w:szCs w:val="18"/>
                          </w:rPr>
                          <w:t>，主要是由于公司处置部分中新赛克股票所致。</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期末其他非流动资产较年初增加</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12,850.51</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万元，主要为公司预付人才房、西安研发大楼、福州办公楼</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购房款。</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44"/>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82" w:top="1060" w:bottom="118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18"/>
        <w:gridCol w:w="1134"/>
        <w:gridCol w:w="1134"/>
        <w:gridCol w:w="850"/>
        <w:gridCol w:w="782"/>
        <w:gridCol w:w="1063"/>
        <w:gridCol w:w="1064"/>
        <w:gridCol w:w="1064"/>
        <w:gridCol w:w="1058"/>
      </w:tblGrid>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73" w:right="0"/>
              <w:jc w:val="left"/>
              <w:rPr>
                <w:rFonts w:ascii="宋体" w:hAnsi="宋体" w:cs="宋体" w:eastAsia="宋体" w:hint="default"/>
                <w:sz w:val="18"/>
                <w:szCs w:val="18"/>
              </w:rPr>
            </w:pPr>
            <w:r>
              <w:rPr>
                <w:rFonts w:ascii="宋体" w:hAnsi="宋体" w:cs="宋体" w:eastAsia="宋体" w:hint="default"/>
                <w:sz w:val="18"/>
                <w:szCs w:val="18"/>
              </w:rPr>
              <w:t>资产的具体内容</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资产规模</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所在地</w:t>
            </w: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5"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收益状况</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6" w:right="77"/>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74" w:right="72"/>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53" w:right="73" w:hanging="180"/>
              <w:jc w:val="left"/>
              <w:rPr>
                <w:rFonts w:ascii="宋体" w:hAnsi="宋体" w:cs="宋体" w:eastAsia="宋体" w:hint="default"/>
                <w:sz w:val="18"/>
                <w:szCs w:val="18"/>
              </w:rPr>
            </w:pPr>
            <w:r>
              <w:rPr>
                <w:rFonts w:ascii="宋体" w:hAnsi="宋体" w:cs="宋体" w:eastAsia="宋体" w:hint="default"/>
                <w:sz w:val="18"/>
                <w:szCs w:val="18"/>
              </w:rPr>
              <w:t>香港鼎永泰克科 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4,818,043.88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自主经营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正常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93" w:right="0"/>
              <w:jc w:val="left"/>
              <w:rPr>
                <w:rFonts w:ascii="Times New Roman" w:hAnsi="Times New Roman" w:cs="Times New Roman" w:eastAsia="Times New Roman" w:hint="default"/>
                <w:sz w:val="18"/>
                <w:szCs w:val="18"/>
              </w:rPr>
            </w:pPr>
            <w:r>
              <w:rPr>
                <w:rFonts w:ascii="Times New Roman"/>
                <w:sz w:val="18"/>
              </w:rPr>
              <w:t>0.19%</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其他情况说明</w:t>
            </w:r>
          </w:p>
        </w:tc>
        <w:tc>
          <w:tcPr>
            <w:tcW w:w="81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香港鼎永的资产主要为货币资金和应收账款</w:t>
            </w:r>
          </w:p>
        </w:tc>
      </w:tr>
    </w:tbl>
    <w:p>
      <w:pPr>
        <w:spacing w:line="240" w:lineRule="auto" w:before="12"/>
        <w:rPr>
          <w:rFonts w:ascii="宋体" w:hAnsi="宋体" w:cs="宋体" w:eastAsia="宋体" w:hint="default"/>
          <w:b/>
          <w:bCs/>
          <w:sz w:val="17"/>
          <w:szCs w:val="17"/>
        </w:rPr>
      </w:pPr>
    </w:p>
    <w:p>
      <w:pPr>
        <w:pStyle w:val="Heading2"/>
        <w:spacing w:line="240" w:lineRule="auto" w:before="26"/>
        <w:ind w:right="0"/>
        <w:jc w:val="both"/>
        <w:rPr>
          <w:b w:val="0"/>
          <w:bCs w:val="0"/>
        </w:rPr>
      </w:pPr>
      <w:r>
        <w:rPr/>
        <w:t>三、核心竞争力分析</w:t>
      </w:r>
      <w:r>
        <w:rPr>
          <w:b w:val="0"/>
          <w:bCs w:val="0"/>
        </w:rPr>
      </w:r>
    </w:p>
    <w:p>
      <w:pPr>
        <w:spacing w:line="240" w:lineRule="auto" w:before="9"/>
        <w:rPr>
          <w:rFonts w:ascii="宋体" w:hAnsi="宋体" w:cs="宋体" w:eastAsia="宋体" w:hint="default"/>
          <w:b/>
          <w:bCs/>
          <w:sz w:val="26"/>
          <w:szCs w:val="26"/>
        </w:rPr>
      </w:pPr>
    </w:p>
    <w:p>
      <w:pPr>
        <w:spacing w:line="360" w:lineRule="auto" w:before="0"/>
        <w:ind w:left="153" w:right="7691"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6"/>
        <w:ind w:left="153" w:right="0" w:firstLine="0"/>
        <w:jc w:val="both"/>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line="240" w:lineRule="auto" w:before="10"/>
        <w:rPr>
          <w:rFonts w:ascii="宋体" w:hAnsi="宋体" w:cs="宋体" w:eastAsia="宋体" w:hint="default"/>
          <w:sz w:val="12"/>
          <w:szCs w:val="12"/>
        </w:rPr>
      </w:pPr>
    </w:p>
    <w:p>
      <w:pPr>
        <w:pStyle w:val="BodyText"/>
        <w:spacing w:line="398" w:lineRule="auto"/>
        <w:ind w:left="153" w:right="1014" w:firstLine="422"/>
        <w:jc w:val="left"/>
      </w:pPr>
      <w:r>
        <w:rPr>
          <w:rFonts w:ascii="Times New Roman" w:hAnsi="Times New Roman" w:cs="Times New Roman" w:eastAsia="Times New Roman" w:hint="default"/>
          <w:b/>
          <w:bCs/>
        </w:rPr>
        <w:t>1</w:t>
      </w:r>
      <w:r>
        <w:rPr>
          <w:rFonts w:ascii="宋体" w:hAnsi="宋体" w:cs="宋体" w:eastAsia="宋体" w:hint="default"/>
          <w:b/>
          <w:bCs/>
        </w:rPr>
        <w:t>、坚持研发投入和技术创新：</w:t>
      </w:r>
      <w:r>
        <w:rPr/>
        <w:t>公司高度重视产品研发，围绕电子数据取证、大数据和人工智能等核 心技术开展技术研究，并积极探索物联网取证、云取证等新技术，不断实现技术创新和突破。报告期内， 公司成立技术管理委员会，负责制定技术与产品的总体规则，提升整体平台研发和不同业务板块间的工具 和模块复用能力。技术管理委员会下设大数据组、人工智能组、装备组、产品组和质量组五个专业小组。 </w:t>
      </w:r>
      <w:r>
        <w:rPr>
          <w:spacing w:val="-2"/>
        </w:rPr>
        <w:t>公司还积极与政法类大学、山东政法学院、厦门大学、等机构开展校企</w:t>
      </w:r>
      <w:r>
        <w:rPr>
          <w:rFonts w:ascii="Times New Roman" w:hAnsi="Times New Roman" w:cs="Times New Roman" w:eastAsia="Times New Roman" w:hint="default"/>
          <w:spacing w:val="-2"/>
        </w:rPr>
        <w:t>/</w:t>
      </w:r>
      <w:r>
        <w:rPr>
          <w:spacing w:val="-2"/>
        </w:rPr>
        <w:t>警企合作，通过发挥各自优势，共</w:t>
      </w:r>
      <w:r>
        <w:rPr>
          <w:spacing w:val="-92"/>
        </w:rPr>
        <w:t> </w:t>
      </w:r>
      <w:r>
        <w:rPr>
          <w:spacing w:val="-92"/>
        </w:rPr>
      </w:r>
      <w:r>
        <w:rPr>
          <w:spacing w:val="-5"/>
        </w:rPr>
        <w:t>同深化科技、人才、数据等资源的合作交流。</w:t>
      </w:r>
      <w:r>
        <w:rPr>
          <w:rFonts w:ascii="Times New Roman" w:hAnsi="Times New Roman" w:cs="Times New Roman" w:eastAsia="Times New Roman" w:hint="default"/>
          <w:spacing w:val="-5"/>
        </w:rPr>
        <w:t>2018</w:t>
      </w:r>
      <w:r>
        <w:rPr>
          <w:spacing w:val="-5"/>
        </w:rPr>
        <w:t>年公司的“城市公共安全管理平台”先后入选工信部</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spacing w:val="-5"/>
        </w:rPr>
        <w:t>大数据优秀产品和应用解决方案（十佳大数据案例）和</w:t>
      </w:r>
      <w:r>
        <w:rPr>
          <w:rFonts w:ascii="Times New Roman" w:hAnsi="Times New Roman" w:cs="Times New Roman" w:eastAsia="Times New Roman" w:hint="default"/>
          <w:spacing w:val="-5"/>
        </w:rPr>
        <w:t>2018</w:t>
      </w:r>
      <w:r>
        <w:rPr>
          <w:spacing w:val="-5"/>
        </w:rPr>
        <w:t>年大数据产业发展试点示范项目；“取证金刚</w:t>
      </w:r>
      <w:r>
        <w:rPr>
          <w:spacing w:val="2"/>
        </w:rPr>
        <w:t> </w:t>
      </w:r>
      <w:r>
        <w:rPr/>
        <w:t>”</w:t>
      </w:r>
      <w:r>
        <w:rPr/>
        <w:t> 被福建省工业和信息化厅认定为国内首台智能制造装备；“虎鲸号取证车”入选福建省智能制造装备项目 库；全资子公司新德汇的“全警通警务大数据便民服务平台”入选工信部民生服务大数据应用试点示范项 目。公司在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月获批“国家企业技术中心”，</w:t>
      </w:r>
      <w:r>
        <w:rPr>
          <w:rFonts w:ascii="Times New Roman" w:hAnsi="Times New Roman" w:cs="Times New Roman" w:eastAsia="Times New Roman" w:hint="default"/>
        </w:rPr>
        <w:t>6</w:t>
      </w:r>
      <w:r>
        <w:rPr/>
        <w:t>月份获批建立“福建省院士工作站”，</w:t>
      </w:r>
      <w:r>
        <w:rPr>
          <w:rFonts w:ascii="Times New Roman" w:hAnsi="Times New Roman" w:cs="Times New Roman" w:eastAsia="Times New Roman" w:hint="default"/>
        </w:rPr>
        <w:t>12</w:t>
      </w:r>
      <w:r>
        <w:rPr/>
        <w:t>月获批“全 国信用大数据创新应用重点实验室”。</w:t>
      </w:r>
    </w:p>
    <w:p>
      <w:pPr>
        <w:pStyle w:val="BodyText"/>
        <w:spacing w:line="240" w:lineRule="auto" w:before="95"/>
        <w:ind w:left="574" w:right="0"/>
        <w:jc w:val="left"/>
      </w:pPr>
      <w:r>
        <w:rPr/>
        <w:t>近几年，公司研发费用支出均占公司当年度总收入的</w:t>
      </w:r>
      <w:r>
        <w:rPr>
          <w:rFonts w:ascii="Times New Roman" w:hAnsi="Times New Roman" w:cs="Times New Roman" w:eastAsia="Times New Roman" w:hint="default"/>
        </w:rPr>
        <w:t>15%</w:t>
      </w:r>
      <w:r>
        <w:rPr/>
        <w:t>以上，其中</w:t>
      </w:r>
      <w:r>
        <w:rPr>
          <w:rFonts w:ascii="Times New Roman" w:hAnsi="Times New Roman" w:cs="Times New Roman" w:eastAsia="Times New Roman" w:hint="default"/>
        </w:rPr>
        <w:t>2018</w:t>
      </w:r>
      <w:r>
        <w:rPr/>
        <w:t>年研发支出占公司总收入的</w:t>
      </w:r>
    </w:p>
    <w:p>
      <w:pPr>
        <w:pStyle w:val="BodyText"/>
        <w:spacing w:line="240" w:lineRule="auto" w:before="177"/>
        <w:ind w:right="0"/>
        <w:jc w:val="both"/>
      </w:pPr>
      <w:r>
        <w:rPr>
          <w:rFonts w:ascii="Times New Roman" w:hAnsi="Times New Roman" w:cs="Times New Roman" w:eastAsia="Times New Roman" w:hint="default"/>
        </w:rPr>
        <w:t>16.35%</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日，公司研发和技术人员共</w:t>
      </w:r>
      <w:r>
        <w:rPr>
          <w:rFonts w:ascii="Times New Roman" w:hAnsi="Times New Roman" w:cs="Times New Roman" w:eastAsia="Times New Roman" w:hint="default"/>
        </w:rPr>
        <w:t>2103</w:t>
      </w:r>
      <w:r>
        <w:rPr/>
        <w:t>人，占公司总人数的</w:t>
      </w:r>
      <w:r>
        <w:rPr>
          <w:rFonts w:ascii="Times New Roman" w:hAnsi="Times New Roman" w:cs="Times New Roman" w:eastAsia="Times New Roman" w:hint="default"/>
        </w:rPr>
        <w:t>70.19%</w:t>
      </w:r>
      <w:r>
        <w:rPr/>
        <w:t>，相比</w:t>
      </w:r>
      <w:r>
        <w:rPr>
          <w:rFonts w:ascii="Times New Roman" w:hAnsi="Times New Roman" w:cs="Times New Roman" w:eastAsia="Times New Roman" w:hint="default"/>
        </w:rPr>
        <w:t>2017</w:t>
      </w:r>
      <w:r>
        <w:rPr/>
        <w:t>年底的</w:t>
      </w:r>
    </w:p>
    <w:p>
      <w:pPr>
        <w:pStyle w:val="BodyText"/>
        <w:spacing w:line="386" w:lineRule="auto" w:before="177"/>
        <w:ind w:left="153" w:right="1126"/>
        <w:jc w:val="both"/>
      </w:pPr>
      <w:r>
        <w:rPr>
          <w:rFonts w:ascii="Times New Roman" w:hAnsi="Times New Roman" w:cs="Times New Roman" w:eastAsia="Times New Roman" w:hint="default"/>
        </w:rPr>
        <w:t>1,622</w:t>
      </w:r>
      <w:r>
        <w:rPr/>
        <w:t>人增加</w:t>
      </w:r>
      <w:r>
        <w:rPr>
          <w:rFonts w:ascii="Times New Roman" w:hAnsi="Times New Roman" w:cs="Times New Roman" w:eastAsia="Times New Roman" w:hint="default"/>
        </w:rPr>
        <w:t>481</w:t>
      </w:r>
      <w:r>
        <w:rPr/>
        <w:t>人。截至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日，公司共取得授权专利</w:t>
      </w:r>
      <w:r>
        <w:rPr>
          <w:rFonts w:ascii="Times New Roman" w:hAnsi="Times New Roman" w:cs="Times New Roman" w:eastAsia="Times New Roman" w:hint="default"/>
        </w:rPr>
        <w:t>222</w:t>
      </w:r>
      <w:r>
        <w:rPr/>
        <w:t>项，其中发明专利</w:t>
      </w:r>
      <w:r>
        <w:rPr>
          <w:rFonts w:ascii="Times New Roman" w:hAnsi="Times New Roman" w:cs="Times New Roman" w:eastAsia="Times New Roman" w:hint="default"/>
        </w:rPr>
        <w:t>142</w:t>
      </w:r>
      <w:r>
        <w:rPr/>
        <w:t>项，实用新型专</w:t>
      </w:r>
      <w:r>
        <w:rPr>
          <w:spacing w:val="-88"/>
        </w:rPr>
        <w:t> </w:t>
      </w:r>
      <w:r>
        <w:rPr>
          <w:spacing w:val="-88"/>
        </w:rPr>
      </w:r>
      <w:r>
        <w:rPr/>
        <w:t>利</w:t>
      </w:r>
      <w:r>
        <w:rPr>
          <w:rFonts w:ascii="Times New Roman" w:hAnsi="Times New Roman" w:cs="Times New Roman" w:eastAsia="Times New Roman" w:hint="default"/>
        </w:rPr>
        <w:t>43</w:t>
      </w:r>
      <w:r>
        <w:rPr/>
        <w:t>项，外观专利</w:t>
      </w:r>
      <w:r>
        <w:rPr>
          <w:rFonts w:ascii="Times New Roman" w:hAnsi="Times New Roman" w:cs="Times New Roman" w:eastAsia="Times New Roman" w:hint="default"/>
        </w:rPr>
        <w:t>37</w:t>
      </w:r>
      <w:r>
        <w:rPr/>
        <w:t>项；有效注册商标</w:t>
      </w:r>
      <w:r>
        <w:rPr>
          <w:rFonts w:ascii="Times New Roman" w:hAnsi="Times New Roman" w:cs="Times New Roman" w:eastAsia="Times New Roman" w:hint="default"/>
        </w:rPr>
        <w:t>49</w:t>
      </w:r>
      <w:r>
        <w:rPr/>
        <w:t>项，软件著作权</w:t>
      </w:r>
      <w:r>
        <w:rPr>
          <w:rFonts w:ascii="Times New Roman" w:hAnsi="Times New Roman" w:cs="Times New Roman" w:eastAsia="Times New Roman" w:hint="default"/>
        </w:rPr>
        <w:t>393</w:t>
      </w:r>
      <w:r>
        <w:rPr/>
        <w:t>项。报告期内，公司新增授权专利</w:t>
      </w:r>
      <w:r>
        <w:rPr>
          <w:rFonts w:ascii="Times New Roman" w:hAnsi="Times New Roman" w:cs="Times New Roman" w:eastAsia="Times New Roman" w:hint="default"/>
        </w:rPr>
        <w:t>36</w:t>
      </w:r>
      <w:r>
        <w:rPr/>
        <w:t>项，其</w:t>
      </w:r>
      <w:r>
        <w:rPr>
          <w:spacing w:val="-38"/>
        </w:rPr>
        <w:t> </w:t>
      </w:r>
      <w:r>
        <w:rPr>
          <w:spacing w:val="-38"/>
        </w:rPr>
      </w:r>
      <w:r>
        <w:rPr/>
        <w:t>中发明专利</w:t>
      </w:r>
      <w:r>
        <w:rPr>
          <w:rFonts w:ascii="Times New Roman" w:hAnsi="Times New Roman" w:cs="Times New Roman" w:eastAsia="Times New Roman" w:hint="default"/>
        </w:rPr>
        <w:t>21</w:t>
      </w:r>
      <w:r>
        <w:rPr/>
        <w:t>项，实用新型专利</w:t>
      </w:r>
      <w:r>
        <w:rPr>
          <w:rFonts w:ascii="Times New Roman" w:hAnsi="Times New Roman" w:cs="Times New Roman" w:eastAsia="Times New Roman" w:hint="default"/>
        </w:rPr>
        <w:t>5</w:t>
      </w:r>
      <w:r>
        <w:rPr/>
        <w:t>项，外观专利</w:t>
      </w:r>
      <w:r>
        <w:rPr>
          <w:rFonts w:ascii="Times New Roman" w:hAnsi="Times New Roman" w:cs="Times New Roman" w:eastAsia="Times New Roman" w:hint="default"/>
        </w:rPr>
        <w:t>10</w:t>
      </w:r>
      <w:r>
        <w:rPr/>
        <w:t>项；新增软件著作权</w:t>
      </w:r>
      <w:r>
        <w:rPr>
          <w:rFonts w:ascii="Times New Roman" w:hAnsi="Times New Roman" w:cs="Times New Roman" w:eastAsia="Times New Roman" w:hint="default"/>
        </w:rPr>
        <w:t>60</w:t>
      </w:r>
      <w:r>
        <w:rPr/>
        <w:t>项。</w:t>
      </w:r>
    </w:p>
    <w:p>
      <w:pPr>
        <w:spacing w:line="398" w:lineRule="auto" w:before="74"/>
        <w:ind w:left="154" w:right="1021" w:firstLine="41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、以培训带动销售的营销模式，</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以客户为中心</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的服务理念：</w:t>
      </w:r>
      <w:r>
        <w:rPr>
          <w:rFonts w:ascii="宋体" w:hAnsi="宋体" w:cs="宋体" w:eastAsia="宋体" w:hint="default"/>
          <w:sz w:val="21"/>
          <w:szCs w:val="21"/>
        </w:rPr>
        <w:t>以培训得市场、促服务、获需求。培 </w:t>
      </w:r>
      <w:r>
        <w:rPr>
          <w:rFonts w:ascii="宋体" w:hAnsi="宋体" w:cs="宋体" w:eastAsia="宋体" w:hint="default"/>
          <w:spacing w:val="-3"/>
          <w:sz w:val="21"/>
          <w:szCs w:val="21"/>
        </w:rPr>
        <w:t>训带动销售，为客户培养专业技术人才及提升专业技术水平，快速实现行业覆盖，是公司独特的营销模式。</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公司持续贯彻“以客户为中心，以结果为导向，为客户创造价值”的经营服务理念，加强内部培训和干部</w:t>
      </w:r>
    </w:p>
    <w:p>
      <w:pPr>
        <w:spacing w:after="0" w:line="398" w:lineRule="auto"/>
        <w:jc w:val="left"/>
        <w:rPr>
          <w:rFonts w:ascii="宋体" w:hAnsi="宋体" w:cs="宋体" w:eastAsia="宋体" w:hint="default"/>
          <w:sz w:val="21"/>
          <w:szCs w:val="21"/>
        </w:rPr>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398" w:lineRule="auto" w:before="174"/>
        <w:ind w:left="153" w:right="1130"/>
        <w:jc w:val="both"/>
      </w:pPr>
      <w:r>
        <w:rPr>
          <w:spacing w:val="-1"/>
        </w:rPr>
        <w:t>队伍的培养和建设，强化“以客户为中心，艰苦奋斗，持续创新，极致执行，协作共赢”的企业文化价值</w:t>
      </w:r>
      <w:r>
        <w:rPr>
          <w:spacing w:val="-85"/>
        </w:rPr>
        <w:t> </w:t>
      </w:r>
      <w:r>
        <w:rPr>
          <w:spacing w:val="-85"/>
        </w:rPr>
      </w:r>
      <w:r>
        <w:rPr>
          <w:spacing w:val="-1"/>
        </w:rPr>
        <w:t>观和行为规范的建设，将客户满意度和是否为客户创造价值作为衡量一切工作的标准。</w:t>
      </w:r>
      <w:r>
        <w:rPr>
          <w:rFonts w:ascii="Times New Roman" w:hAnsi="Times New Roman" w:cs="Times New Roman" w:eastAsia="Times New Roman" w:hint="default"/>
          <w:spacing w:val="-1"/>
        </w:rPr>
        <w:t>2018</w:t>
      </w:r>
      <w:r>
        <w:rPr>
          <w:spacing w:val="-1"/>
        </w:rPr>
        <w:t>年公司成立了</w:t>
      </w:r>
      <w:r>
        <w:rPr>
          <w:spacing w:val="-81"/>
        </w:rPr>
        <w:t> </w:t>
      </w:r>
      <w:r>
        <w:rPr/>
        <w:t>业务支撑委员会，下设培训服务组和技术支持组。</w:t>
      </w:r>
    </w:p>
    <w:p>
      <w:pPr>
        <w:pStyle w:val="BodyText"/>
        <w:spacing w:line="408" w:lineRule="auto" w:before="54"/>
        <w:ind w:left="153" w:right="1131" w:firstLine="420"/>
        <w:jc w:val="both"/>
      </w:pPr>
      <w:r>
        <w:rPr>
          <w:spacing w:val="-1"/>
        </w:rPr>
        <w:t>培训服务组：负责制定统一的培训考核、质量体系、讲师资格认证体系，推动课程共建、高端人才引</w:t>
      </w:r>
      <w:r>
        <w:rPr/>
        <w:t> </w:t>
      </w:r>
      <w:r>
        <w:rPr>
          <w:spacing w:val="-1"/>
        </w:rPr>
        <w:t>进、优秀讲师培养、人才结构优化等工作的进度。依托公司的美亚柏科信息安全学院开展培训工作，信息</w:t>
      </w:r>
      <w:r>
        <w:rPr>
          <w:spacing w:val="-82"/>
        </w:rPr>
        <w:t> </w:t>
      </w:r>
      <w:r>
        <w:rPr>
          <w:spacing w:val="-82"/>
        </w:rPr>
      </w:r>
      <w:r>
        <w:rPr>
          <w:spacing w:val="-1"/>
        </w:rPr>
        <w:t>安全学院已建立了一套完整的培训体系，包括课程开发建设、师资团队、培训质量考核等。成立至今累计</w:t>
      </w:r>
      <w:r>
        <w:rPr>
          <w:spacing w:val="-82"/>
        </w:rPr>
        <w:t> </w:t>
      </w:r>
      <w:r>
        <w:rPr>
          <w:spacing w:val="-82"/>
        </w:rPr>
      </w:r>
      <w:r>
        <w:rPr/>
        <w:t>已培训学员近十万人。</w:t>
      </w:r>
    </w:p>
    <w:p>
      <w:pPr>
        <w:pStyle w:val="BodyText"/>
        <w:spacing w:line="398" w:lineRule="auto" w:before="46"/>
        <w:ind w:left="153" w:right="0" w:firstLine="420"/>
        <w:jc w:val="left"/>
      </w:pPr>
      <w:r>
        <w:rPr/>
        <w:t>技术支持组：公司拥有一支</w:t>
      </w:r>
      <w:r>
        <w:rPr>
          <w:rFonts w:ascii="Times New Roman" w:hAnsi="Times New Roman" w:cs="Times New Roman" w:eastAsia="Times New Roman" w:hint="default"/>
        </w:rPr>
        <w:t>300</w:t>
      </w:r>
      <w:r>
        <w:rPr/>
        <w:t>多人的专业技术支持团队，建立了集团技术支持服务平台，平台融合 </w:t>
      </w:r>
      <w:r>
        <w:rPr>
          <w:spacing w:val="-1"/>
        </w:rPr>
        <w:t>了子公司技术支持需求，在派工资源调度、任务管理、激励考核等方面实现集团化管理并不断优化。同时</w:t>
      </w:r>
      <w:r>
        <w:rPr>
          <w:spacing w:val="-82"/>
        </w:rPr>
        <w:t> </w:t>
      </w:r>
      <w:r>
        <w:rPr>
          <w:spacing w:val="-82"/>
        </w:rPr>
      </w:r>
      <w:r>
        <w:rPr/>
        <w:t>应用</w:t>
      </w:r>
      <w:r>
        <w:rPr>
          <w:rFonts w:ascii="Times New Roman" w:hAnsi="Times New Roman" w:cs="Times New Roman" w:eastAsia="Times New Roman" w:hint="default"/>
        </w:rPr>
        <w:t>400</w:t>
      </w:r>
      <w:r>
        <w:rPr/>
        <w:t>电话、论坛、微信群和美亚通等移动互联网方式为全国客户提供</w:t>
      </w:r>
      <w:r>
        <w:rPr>
          <w:rFonts w:ascii="Times New Roman" w:hAnsi="Times New Roman" w:cs="Times New Roman" w:eastAsia="Times New Roman" w:hint="default"/>
        </w:rPr>
        <w:t>7*24</w:t>
      </w:r>
      <w:r>
        <w:rPr/>
        <w:t>小时的技术支持服务。</w:t>
      </w:r>
    </w:p>
    <w:p>
      <w:pPr>
        <w:pStyle w:val="BodyText"/>
        <w:spacing w:line="400" w:lineRule="auto" w:before="24"/>
        <w:ind w:left="153" w:right="1022" w:firstLine="422"/>
        <w:jc w:val="left"/>
      </w:pPr>
      <w:r>
        <w:rPr>
          <w:rFonts w:ascii="Times New Roman" w:hAnsi="Times New Roman" w:cs="Times New Roman" w:eastAsia="Times New Roman" w:hint="default"/>
          <w:b/>
          <w:bCs/>
        </w:rPr>
        <w:t>3</w:t>
      </w:r>
      <w:r>
        <w:rPr>
          <w:rFonts w:ascii="宋体" w:hAnsi="宋体" w:cs="宋体" w:eastAsia="宋体" w:hint="default"/>
          <w:b/>
          <w:bCs/>
        </w:rPr>
        <w:t>、人才培养优势：</w:t>
      </w:r>
      <w:r>
        <w:rPr/>
        <w:t>作为“知本密集型”的企业，人才是公司的核心竞争力，公司通过持续健全人才 激励机制，优化组织绩效管理，建立“学习型的组织”，挖掘和培养人才。公司非常重视干部管理能力和 员工技能的培养和提升，鼓励全员参与培训学习，并将培训作为绩效考核的重要指标之一。培训方式包括 邀请外部知名讲师及公司内部高管现场授课或美课</w:t>
      </w:r>
      <w:r>
        <w:rPr>
          <w:rFonts w:ascii="Times New Roman" w:hAnsi="Times New Roman" w:cs="Times New Roman" w:eastAsia="Times New Roman" w:hint="default"/>
        </w:rPr>
        <w:t>APP</w:t>
      </w:r>
      <w:r>
        <w:rPr/>
        <w:t>线上培训等，培训内容涉及人工智能、大数据等行 </w:t>
      </w:r>
      <w:r>
        <w:rPr>
          <w:spacing w:val="-3"/>
        </w:rPr>
        <w:t>业技术交流及企业治理、人才干部培养等管理方面的课程，同时将培训结果与员工职位晋升及薪酬相挂钩。</w:t>
      </w:r>
      <w:r>
        <w:rPr>
          <w:spacing w:val="-92"/>
        </w:rPr>
        <w:t> </w:t>
      </w:r>
      <w:r>
        <w:rPr>
          <w:spacing w:val="-92"/>
        </w:rPr>
      </w:r>
      <w:r>
        <w:rPr>
          <w:spacing w:val="-3"/>
        </w:rPr>
        <w:t>建立人才梯队培养机制，通过线上的翔鹰计划和线下新晋经理培训班等方式，培养出业绩优秀、勇于担当、</w:t>
      </w:r>
      <w:r>
        <w:rPr>
          <w:spacing w:val="-90"/>
        </w:rPr>
        <w:t> </w:t>
      </w:r>
      <w:r>
        <w:rPr>
          <w:spacing w:val="-90"/>
        </w:rPr>
      </w:r>
      <w:r>
        <w:rPr/>
        <w:t>有使命感的干部。</w:t>
      </w:r>
    </w:p>
    <w:p>
      <w:pPr>
        <w:pStyle w:val="BodyText"/>
        <w:spacing w:line="400" w:lineRule="auto" w:before="93"/>
        <w:ind w:right="1129" w:firstLine="422"/>
        <w:jc w:val="both"/>
      </w:pPr>
      <w:r>
        <w:rPr>
          <w:rFonts w:ascii="Times New Roman" w:hAnsi="Times New Roman" w:cs="Times New Roman" w:eastAsia="Times New Roman" w:hint="default"/>
          <w:b/>
          <w:bCs/>
          <w:spacing w:val="-1"/>
        </w:rPr>
        <w:t>4</w:t>
      </w:r>
      <w:r>
        <w:rPr>
          <w:rFonts w:ascii="宋体" w:hAnsi="宋体" w:cs="宋体" w:eastAsia="宋体" w:hint="default"/>
          <w:b/>
          <w:bCs/>
          <w:spacing w:val="-1"/>
        </w:rPr>
        <w:t>、党建引领公司发展：</w:t>
      </w:r>
      <w:r>
        <w:rPr>
          <w:spacing w:val="-1"/>
        </w:rPr>
        <w:t>公司于</w:t>
      </w:r>
      <w:r>
        <w:rPr>
          <w:rFonts w:ascii="Times New Roman" w:hAnsi="Times New Roman" w:cs="Times New Roman" w:eastAsia="Times New Roman" w:hint="default"/>
          <w:spacing w:val="-1"/>
        </w:rPr>
        <w:t>2007</w:t>
      </w:r>
      <w:r>
        <w:rPr>
          <w:spacing w:val="-1"/>
        </w:rPr>
        <w:t>年正式成立美亚柏科党支部，</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8</w:t>
      </w:r>
      <w:r>
        <w:rPr>
          <w:spacing w:val="-1"/>
        </w:rPr>
        <w:t>月正式升格为党委，</w:t>
      </w:r>
      <w:r>
        <w:rPr>
          <w:rFonts w:ascii="Times New Roman" w:hAnsi="Times New Roman" w:cs="Times New Roman" w:eastAsia="Times New Roman" w:hint="default"/>
          <w:spacing w:val="-1"/>
        </w:rPr>
        <w:t>2016</w:t>
      </w:r>
      <w:r>
        <w:rPr>
          <w:spacing w:val="-1"/>
        </w:rPr>
        <w:t>年</w:t>
      </w:r>
      <w:r>
        <w:rPr/>
        <w:t> 荣获“全国先进基层党组织”称号，下设</w:t>
      </w:r>
      <w:r>
        <w:rPr>
          <w:rFonts w:ascii="Times New Roman" w:hAnsi="Times New Roman" w:cs="Times New Roman" w:eastAsia="Times New Roman" w:hint="default"/>
        </w:rPr>
        <w:t>23</w:t>
      </w:r>
      <w:r>
        <w:rPr/>
        <w:t>个党支部，现有党员</w:t>
      </w:r>
      <w:r>
        <w:rPr>
          <w:rFonts w:ascii="Times New Roman" w:hAnsi="Times New Roman" w:cs="Times New Roman" w:eastAsia="Times New Roman" w:hint="default"/>
        </w:rPr>
        <w:t>400</w:t>
      </w:r>
      <w:r>
        <w:rPr/>
        <w:t>多人。</w:t>
      </w:r>
      <w:r>
        <w:rPr>
          <w:rFonts w:ascii="Times New Roman" w:hAnsi="Times New Roman" w:cs="Times New Roman" w:eastAsia="Times New Roman" w:hint="default"/>
        </w:rPr>
        <w:t>2018</w:t>
      </w:r>
      <w:r>
        <w:rPr/>
        <w:t>年公司将党建工作要求写</w:t>
      </w:r>
      <w:r>
        <w:rPr>
          <w:spacing w:val="-40"/>
        </w:rPr>
        <w:t> </w:t>
      </w:r>
      <w:r>
        <w:rPr>
          <w:spacing w:val="-40"/>
        </w:rPr>
      </w:r>
      <w:r>
        <w:rPr>
          <w:spacing w:val="-1"/>
        </w:rPr>
        <w:t>入公司章程，明确党委在公司的政治核心和思想引领作用。通过党建引领方向，创新驱动发展，探索一条</w:t>
      </w:r>
      <w:r>
        <w:rPr>
          <w:spacing w:val="-82"/>
        </w:rPr>
        <w:t> </w:t>
      </w:r>
      <w:r>
        <w:rPr>
          <w:spacing w:val="-82"/>
        </w:rPr>
      </w:r>
      <w:r>
        <w:rPr>
          <w:spacing w:val="-1"/>
        </w:rPr>
        <w:t>党企融合共生，互促共进的成功之路。报告期内，公司在各中心成立了“指导员”团队，进一步完善党组</w:t>
      </w:r>
      <w:r>
        <w:rPr>
          <w:spacing w:val="-83"/>
        </w:rPr>
        <w:t> </w:t>
      </w:r>
      <w:r>
        <w:rPr>
          <w:spacing w:val="-83"/>
        </w:rPr>
      </w:r>
      <w:r>
        <w:rPr>
          <w:spacing w:val="-1"/>
        </w:rPr>
        <w:t>织工作运行机制，助力公司健康发展。美亚柏科党委把党建工作和保密建设作为企业持续健康发展的生命</w:t>
      </w:r>
      <w:r>
        <w:rPr>
          <w:spacing w:val="-81"/>
        </w:rPr>
        <w:t> </w:t>
      </w:r>
      <w:r>
        <w:rPr>
          <w:spacing w:val="-81"/>
        </w:rPr>
      </w:r>
      <w:r>
        <w:rPr>
          <w:spacing w:val="-1"/>
        </w:rPr>
        <w:t>线，推动与企业经营管理有机结合，融为一体，充分发挥党组织和党员在筑牢安全屏障、引领技术创新等</w:t>
      </w:r>
      <w:r>
        <w:rPr>
          <w:spacing w:val="-82"/>
        </w:rPr>
        <w:t> </w:t>
      </w:r>
      <w:r>
        <w:rPr>
          <w:spacing w:val="-82"/>
        </w:rPr>
      </w:r>
      <w:r>
        <w:rPr/>
        <w:t>方面的攻坚作用。</w:t>
      </w:r>
    </w:p>
    <w:p>
      <w:pPr>
        <w:spacing w:after="0" w:line="400" w:lineRule="auto"/>
        <w:jc w:val="both"/>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2965" w:right="0"/>
        <w:jc w:val="left"/>
        <w:rPr>
          <w:b w:val="0"/>
          <w:bCs w:val="0"/>
        </w:rPr>
      </w:pPr>
      <w:bookmarkStart w:name="_TOC_250008" w:id="4"/>
      <w:r>
        <w:rPr/>
        <w:t>第四节</w:t>
      </w:r>
      <w:r>
        <w:rPr>
          <w:spacing w:val="-10"/>
        </w:rPr>
        <w:t> </w:t>
      </w:r>
      <w:r>
        <w:rPr/>
        <w:t>经营情况讨论与分析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6"/>
          <w:szCs w:val="16"/>
        </w:rPr>
      </w:pPr>
    </w:p>
    <w:p>
      <w:pPr>
        <w:pStyle w:val="Heading2"/>
        <w:spacing w:line="240" w:lineRule="auto" w:before="26"/>
        <w:ind w:right="0"/>
        <w:jc w:val="both"/>
        <w:rPr>
          <w:b w:val="0"/>
          <w:bCs w:val="0"/>
        </w:rPr>
      </w:pPr>
      <w:r>
        <w:rPr/>
        <w:t>一、概述</w:t>
      </w:r>
      <w:r>
        <w:rPr>
          <w:b w:val="0"/>
          <w:bCs w:val="0"/>
        </w:rPr>
      </w:r>
    </w:p>
    <w:p>
      <w:pPr>
        <w:spacing w:line="240" w:lineRule="auto" w:before="8"/>
        <w:rPr>
          <w:rFonts w:ascii="宋体" w:hAnsi="宋体" w:cs="宋体" w:eastAsia="宋体" w:hint="default"/>
          <w:b/>
          <w:bCs/>
          <w:sz w:val="30"/>
          <w:szCs w:val="30"/>
        </w:rPr>
      </w:pPr>
    </w:p>
    <w:p>
      <w:pPr>
        <w:pStyle w:val="BodyText"/>
        <w:spacing w:line="403" w:lineRule="auto"/>
        <w:ind w:left="153" w:right="1091" w:firstLine="525"/>
        <w:jc w:val="left"/>
      </w:pPr>
      <w:r>
        <w:rPr/>
        <w:t>公司业务存在明显的季节性特点，业绩主要集中在第四季度。报告期内，国务院机构改革，比如司 </w:t>
      </w:r>
      <w:r>
        <w:rPr>
          <w:spacing w:val="-1"/>
        </w:rPr>
        <w:t>法体制改革、国地税合并等，带来采购需求的波动和不确定性，对公司的整体业务产生了一定的影响。但</w:t>
      </w:r>
      <w:r>
        <w:rPr>
          <w:spacing w:val="-82"/>
        </w:rPr>
        <w:t> </w:t>
      </w:r>
      <w:r>
        <w:rPr>
          <w:spacing w:val="-82"/>
        </w:rPr>
      </w:r>
      <w:r>
        <w:rPr>
          <w:spacing w:val="-1"/>
        </w:rPr>
        <w:t>公司始终坚持“以客户为中心”的服务理念，围绕公司年度经营计划目标，持续增加研发投入，根据客户</w:t>
      </w:r>
      <w:r>
        <w:rPr>
          <w:spacing w:val="-83"/>
        </w:rPr>
        <w:t> </w:t>
      </w:r>
      <w:r>
        <w:rPr>
          <w:spacing w:val="-83"/>
        </w:rPr>
      </w:r>
      <w:r>
        <w:rPr/>
        <w:t>需求进行产品研发和迭代升级，积极抓住行业发展机会，通过加强集团分子公司的资源整合和协同发展， 提升公司综合竞争力，促进公司整体收入的增长。</w:t>
      </w:r>
      <w:r>
        <w:rPr>
          <w:rFonts w:ascii="Times New Roman" w:hAnsi="Times New Roman" w:cs="Times New Roman" w:eastAsia="Times New Roman" w:hint="default"/>
        </w:rPr>
        <w:t>2018</w:t>
      </w:r>
      <w:r>
        <w:rPr/>
        <w:t>年公司实现销售收入</w:t>
      </w:r>
      <w:r>
        <w:rPr>
          <w:rFonts w:ascii="Times New Roman" w:hAnsi="Times New Roman" w:cs="Times New Roman" w:eastAsia="Times New Roman" w:hint="default"/>
        </w:rPr>
        <w:t>160,058.44</w:t>
      </w:r>
      <w:r>
        <w:rPr/>
        <w:t>万元，利润总额 32,799.39万元，归属于上市公司股东的净利润30,321.47万元，较去年同期分别增加</w:t>
      </w:r>
      <w:r>
        <w:rPr>
          <w:rFonts w:ascii="Times New Roman" w:hAnsi="Times New Roman" w:cs="Times New Roman" w:eastAsia="Times New Roman" w:hint="default"/>
        </w:rPr>
        <w:t>19.75%</w:t>
      </w:r>
      <w:r>
        <w:rPr/>
        <w:t>、</w:t>
      </w:r>
      <w:r>
        <w:rPr>
          <w:rFonts w:ascii="Times New Roman" w:hAnsi="Times New Roman" w:cs="Times New Roman" w:eastAsia="Times New Roman" w:hint="default"/>
        </w:rPr>
        <w:t>10.50%</w:t>
      </w:r>
      <w:r>
        <w:rPr/>
        <w:t>和</w:t>
      </w:r>
    </w:p>
    <w:p>
      <w:pPr>
        <w:pStyle w:val="BodyText"/>
        <w:spacing w:line="240" w:lineRule="auto" w:before="20"/>
        <w:ind w:left="153" w:right="0"/>
        <w:jc w:val="both"/>
      </w:pPr>
      <w:r>
        <w:rPr>
          <w:rFonts w:ascii="Times New Roman" w:hAnsi="Times New Roman" w:cs="Times New Roman" w:eastAsia="Times New Roman" w:hint="default"/>
        </w:rPr>
        <w:t>11.59%</w:t>
      </w:r>
      <w:r>
        <w:rPr/>
        <w:t>。</w:t>
      </w:r>
    </w:p>
    <w:p>
      <w:pPr>
        <w:spacing w:line="240" w:lineRule="auto" w:before="8"/>
        <w:rPr>
          <w:rFonts w:ascii="宋体" w:hAnsi="宋体" w:cs="宋体" w:eastAsia="宋体" w:hint="default"/>
          <w:sz w:val="16"/>
          <w:szCs w:val="16"/>
        </w:rPr>
      </w:pPr>
    </w:p>
    <w:p>
      <w:pPr>
        <w:pStyle w:val="BodyText"/>
        <w:spacing w:line="408" w:lineRule="auto"/>
        <w:ind w:left="153" w:right="1022" w:firstLine="420"/>
        <w:jc w:val="left"/>
      </w:pPr>
      <w:r>
        <w:rPr/>
        <w:t>2018年公司产品整体毛利率为59.5%，对比去年下降4.68%，主要原因为：公司大数据信息化产品毛利 率相比去年下降19.58%。由于产业地位及市场规模的不断扩大，公司的大数据信息化产品市场已由二三线</w:t>
      </w:r>
      <w:r>
        <w:rPr>
          <w:spacing w:val="-1"/>
        </w:rPr>
        <w:t> </w:t>
      </w:r>
      <w:r>
        <w:rPr>
          <w:spacing w:val="-3"/>
        </w:rPr>
        <w:t>向省部市级拓展，项目形态已逐渐由软件产品向整体解决方案、软硬件一体化模式转变。硬件比重的增加，</w:t>
      </w:r>
      <w:r>
        <w:rPr>
          <w:spacing w:val="-90"/>
        </w:rPr>
        <w:t> </w:t>
      </w:r>
      <w:r>
        <w:rPr>
          <w:spacing w:val="-90"/>
        </w:rPr>
      </w:r>
      <w:r>
        <w:rPr/>
        <w:t>导致整体毛利率的下降。</w:t>
      </w:r>
    </w:p>
    <w:p>
      <w:pPr>
        <w:pStyle w:val="BodyText"/>
        <w:spacing w:line="410" w:lineRule="auto" w:before="84"/>
        <w:ind w:left="153" w:right="1129" w:firstLine="420"/>
        <w:jc w:val="both"/>
      </w:pPr>
      <w:r>
        <w:rPr>
          <w:spacing w:val="-1"/>
        </w:rPr>
        <w:t>扣除非经常性损益后的净利润同比去年同期下降14.38%，主要原因为：报告期内，公司加强了人员储</w:t>
      </w:r>
      <w:r>
        <w:rPr/>
        <w:t> </w:t>
      </w:r>
      <w:r>
        <w:rPr>
          <w:spacing w:val="-1"/>
        </w:rPr>
        <w:t>备和市场拓展，费用对比去年有比较大的增长，其中销售费用增加27.07%，管理费用增加23.65%，研发费</w:t>
      </w:r>
      <w:r>
        <w:rPr>
          <w:spacing w:val="-76"/>
        </w:rPr>
        <w:t> </w:t>
      </w:r>
      <w:r>
        <w:rPr>
          <w:spacing w:val="-76"/>
        </w:rPr>
      </w:r>
      <w:r>
        <w:rPr/>
        <w:t>用增加31.07%；2018年公司产品整体毛利率对比去年同期下降。</w:t>
      </w:r>
    </w:p>
    <w:p>
      <w:pPr>
        <w:pStyle w:val="BodyText"/>
        <w:spacing w:line="240" w:lineRule="auto" w:before="83"/>
        <w:ind w:left="573" w:right="0"/>
        <w:jc w:val="left"/>
      </w:pPr>
      <w:r>
        <w:rPr/>
        <w:t>报告期内，公司主要经营情况如下：</w:t>
      </w:r>
    </w:p>
    <w:p>
      <w:pPr>
        <w:spacing w:line="240" w:lineRule="auto" w:before="12"/>
        <w:rPr>
          <w:rFonts w:ascii="宋体" w:hAnsi="宋体" w:cs="宋体" w:eastAsia="宋体" w:hint="default"/>
          <w:sz w:val="17"/>
          <w:szCs w:val="17"/>
        </w:rPr>
      </w:pPr>
    </w:p>
    <w:p>
      <w:pPr>
        <w:spacing w:line="417" w:lineRule="auto" w:before="0"/>
        <w:ind w:left="576" w:right="1193" w:hanging="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、优化提升公司集团化治理和管理的能力</w:t>
      </w:r>
      <w:r>
        <w:rPr>
          <w:rFonts w:ascii="宋体" w:hAnsi="宋体" w:cs="宋体" w:eastAsia="宋体" w:hint="default"/>
          <w:b/>
          <w:bCs/>
          <w:spacing w:val="1"/>
          <w:w w:val="99"/>
          <w:sz w:val="21"/>
          <w:szCs w:val="21"/>
        </w:rPr>
        <w:t> </w:t>
      </w:r>
      <w:r>
        <w:rPr>
          <w:rFonts w:ascii="宋体" w:hAnsi="宋体" w:cs="宋体" w:eastAsia="宋体" w:hint="default"/>
          <w:sz w:val="21"/>
          <w:szCs w:val="21"/>
        </w:rPr>
        <w:t>在集团化治理和管理方面，</w:t>
      </w:r>
      <w:r>
        <w:rPr>
          <w:rFonts w:ascii="Times New Roman" w:hAnsi="Times New Roman" w:cs="Times New Roman" w:eastAsia="Times New Roman" w:hint="default"/>
          <w:sz w:val="21"/>
          <w:szCs w:val="21"/>
        </w:rPr>
        <w:t>2018</w:t>
      </w:r>
      <w:r>
        <w:rPr>
          <w:rFonts w:ascii="宋体" w:hAnsi="宋体" w:cs="宋体" w:eastAsia="宋体" w:hint="default"/>
          <w:sz w:val="21"/>
          <w:szCs w:val="21"/>
        </w:rPr>
        <w:t>年公司共设立了</w:t>
      </w:r>
      <w:r>
        <w:rPr>
          <w:rFonts w:ascii="Times New Roman" w:hAnsi="Times New Roman" w:cs="Times New Roman" w:eastAsia="Times New Roman" w:hint="default"/>
          <w:sz w:val="21"/>
          <w:szCs w:val="21"/>
        </w:rPr>
        <w:t>5</w:t>
      </w:r>
      <w:r>
        <w:rPr>
          <w:rFonts w:ascii="宋体" w:hAnsi="宋体" w:cs="宋体" w:eastAsia="宋体" w:hint="default"/>
          <w:sz w:val="21"/>
          <w:szCs w:val="21"/>
        </w:rPr>
        <w:t>大委员会：技术管理委员会、行业管理委员、营销</w:t>
      </w:r>
    </w:p>
    <w:p>
      <w:pPr>
        <w:pStyle w:val="BodyText"/>
        <w:spacing w:line="408" w:lineRule="auto" w:before="5"/>
        <w:ind w:right="1131"/>
        <w:jc w:val="both"/>
      </w:pPr>
      <w:r>
        <w:rPr>
          <w:spacing w:val="-1"/>
        </w:rPr>
        <w:t>管理委员会、业务支撑委员会和运营管理委员会。各委员会从集团大局出发，设置统一标准，集团内开放</w:t>
      </w:r>
      <w:r>
        <w:rPr>
          <w:spacing w:val="-82"/>
        </w:rPr>
        <w:t> </w:t>
      </w:r>
      <w:r>
        <w:rPr>
          <w:spacing w:val="-82"/>
        </w:rPr>
      </w:r>
      <w:r>
        <w:rPr>
          <w:spacing w:val="-1"/>
        </w:rPr>
        <w:t>复用，专业分工有机协作，从为客户创造价值的角度开展标准化管理和差异化管理。委员会成员为公司核</w:t>
      </w:r>
      <w:r>
        <w:rPr>
          <w:spacing w:val="-83"/>
        </w:rPr>
        <w:t> </w:t>
      </w:r>
      <w:r>
        <w:rPr>
          <w:spacing w:val="-83"/>
        </w:rPr>
      </w:r>
      <w:r>
        <w:rPr>
          <w:spacing w:val="-1"/>
        </w:rPr>
        <w:t>心业务带头人，通过定期组织主题研讨会的方式，促进了知识、经验和研发资源的共享，提升了新技术的</w:t>
      </w:r>
      <w:r>
        <w:rPr>
          <w:spacing w:val="-82"/>
        </w:rPr>
        <w:t> </w:t>
      </w:r>
      <w:r>
        <w:rPr>
          <w:spacing w:val="-82"/>
        </w:rPr>
      </w:r>
      <w:r>
        <w:rPr>
          <w:spacing w:val="-1"/>
        </w:rPr>
        <w:t>应用速度和产品研发核心竞争力。委员会形式的集团化管理，促进公司与各子公司之间的融合和协同，推</w:t>
      </w:r>
      <w:r>
        <w:rPr>
          <w:spacing w:val="-83"/>
        </w:rPr>
        <w:t> </w:t>
      </w:r>
      <w:r>
        <w:rPr>
          <w:spacing w:val="-83"/>
        </w:rPr>
      </w:r>
      <w:r>
        <w:rPr/>
        <w:t>动公司不断开拓进取，创新发展。</w:t>
      </w:r>
    </w:p>
    <w:p>
      <w:pPr>
        <w:pStyle w:val="Heading3"/>
        <w:spacing w:line="240" w:lineRule="auto" w:before="85"/>
        <w:ind w:left="576" w:right="0"/>
        <w:jc w:val="left"/>
        <w:rPr>
          <w:b w:val="0"/>
          <w:bCs w:val="0"/>
        </w:rPr>
      </w:pPr>
      <w:r>
        <w:rPr>
          <w:rFonts w:ascii="Times New Roman" w:hAnsi="Times New Roman" w:cs="Times New Roman" w:eastAsia="Times New Roman" w:hint="default"/>
        </w:rPr>
        <w:t>2</w:t>
      </w:r>
      <w:r>
        <w:rPr/>
        <w:t>、加强主要技术研究及产品创新</w:t>
      </w:r>
      <w:r>
        <w:rPr>
          <w:b w:val="0"/>
          <w:bCs w:val="0"/>
        </w:rPr>
      </w:r>
    </w:p>
    <w:p>
      <w:pPr>
        <w:spacing w:line="240" w:lineRule="auto" w:before="8"/>
        <w:rPr>
          <w:rFonts w:ascii="宋体" w:hAnsi="宋体" w:cs="宋体" w:eastAsia="宋体" w:hint="default"/>
          <w:b/>
          <w:bCs/>
          <w:sz w:val="16"/>
          <w:szCs w:val="16"/>
        </w:rPr>
      </w:pPr>
    </w:p>
    <w:p>
      <w:pPr>
        <w:pStyle w:val="BodyText"/>
        <w:spacing w:line="386" w:lineRule="auto"/>
        <w:ind w:right="1021" w:firstLine="420"/>
        <w:jc w:val="left"/>
      </w:pPr>
      <w:r>
        <w:rPr>
          <w:rFonts w:ascii="Times New Roman" w:hAnsi="Times New Roman" w:cs="Times New Roman" w:eastAsia="Times New Roman" w:hint="default"/>
        </w:rPr>
        <w:t>(1)</w:t>
      </w:r>
      <w:r>
        <w:rPr/>
        <w:t>大数据信息化已成为公司重要战略发展方向之一，为加强公司大数据研发体系内部资源的整合，公 </w:t>
      </w:r>
      <w:r>
        <w:rPr>
          <w:spacing w:val="-3"/>
        </w:rPr>
        <w:t>司在技术管理委员会下设立大数据组，负责统筹管理集团大数据平台的整合和统一，实现有效的资源复用。</w:t>
      </w:r>
    </w:p>
    <w:p>
      <w:pPr>
        <w:spacing w:after="0" w:line="386"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405" w:lineRule="auto" w:before="174"/>
        <w:ind w:left="153" w:right="1022"/>
        <w:jc w:val="left"/>
      </w:pPr>
      <w:r>
        <w:rPr/>
        <w:t>公司在数据业务方面已积累了丰富的经验，具备科技研发、技术支撑和产品输出的核心能力。报告期内， </w:t>
      </w:r>
      <w:r>
        <w:rPr>
          <w:spacing w:val="-3"/>
        </w:rPr>
        <w:t>公司积极抓住大数据业务发展机会，在产品研发、人才储备和市场推广上提前做了布局。围绕“智慧司法”</w:t>
      </w:r>
      <w:r>
        <w:rPr>
          <w:spacing w:val="-95"/>
        </w:rPr>
        <w:t> </w:t>
      </w:r>
      <w:r>
        <w:rPr>
          <w:spacing w:val="-95"/>
        </w:rPr>
      </w:r>
      <w:r>
        <w:rPr/>
        <w:t>大力推进大数据业务，并积极参与行业大数据智能化建设方案规划，获得相关部门的认可。</w:t>
      </w:r>
      <w:r>
        <w:rPr>
          <w:rFonts w:ascii="Times New Roman" w:hAnsi="Times New Roman" w:cs="Times New Roman" w:eastAsia="Times New Roman" w:hint="default"/>
        </w:rPr>
        <w:t>2018</w:t>
      </w:r>
      <w:r>
        <w:rPr/>
        <w:t>年，公司 </w:t>
      </w:r>
      <w:r>
        <w:rPr>
          <w:spacing w:val="-3"/>
        </w:rPr>
        <w:t>还联合全资子公司新德汇设立以大数据智能为核心的科研基地—“广东大数据研究院”，深耕行业大数据，</w:t>
      </w:r>
      <w:r>
        <w:rPr>
          <w:spacing w:val="-92"/>
        </w:rPr>
        <w:t> </w:t>
      </w:r>
      <w:r>
        <w:rPr>
          <w:spacing w:val="-92"/>
        </w:rPr>
      </w:r>
      <w:r>
        <w:rPr/>
        <w:t>推动新技术在智慧司法的应用。公司以司法大数据平台为基础，培育了城市公共安全平台运营管理能力、 市场监管大数据平台建设能力，积极参与“交通大数据”、“信用大数据”、“大数据智能查账”等数据</w:t>
      </w:r>
      <w:r>
        <w:rPr/>
        <w:t> 平台建设。</w:t>
      </w:r>
      <w:r>
        <w:rPr>
          <w:rFonts w:ascii="Times New Roman" w:hAnsi="Times New Roman" w:cs="Times New Roman" w:eastAsia="Times New Roman" w:hint="default"/>
        </w:rPr>
        <w:t>2018</w:t>
      </w:r>
      <w:r>
        <w:rPr/>
        <w:t>年公司大数据信息化业务收入对比去年同期实现了大幅增长，增长</w:t>
      </w:r>
      <w:r>
        <w:rPr>
          <w:rFonts w:ascii="Times New Roman" w:hAnsi="Times New Roman" w:cs="Times New Roman" w:eastAsia="Times New Roman" w:hint="default"/>
        </w:rPr>
        <w:t>100.74%</w:t>
      </w:r>
      <w:r>
        <w:rPr/>
        <w:t>。</w:t>
      </w:r>
    </w:p>
    <w:p>
      <w:pPr>
        <w:pStyle w:val="BodyText"/>
        <w:spacing w:line="403" w:lineRule="auto" w:before="55"/>
        <w:ind w:right="1127" w:firstLine="315"/>
        <w:jc w:val="both"/>
      </w:pPr>
      <w:r>
        <w:rPr>
          <w:spacing w:val="-1"/>
        </w:rPr>
        <w:t>（</w:t>
      </w:r>
      <w:r>
        <w:rPr>
          <w:rFonts w:ascii="Times New Roman" w:hAnsi="Times New Roman" w:cs="Times New Roman" w:eastAsia="Times New Roman" w:hint="default"/>
          <w:spacing w:val="-1"/>
        </w:rPr>
        <w:t>2</w:t>
      </w:r>
      <w:r>
        <w:rPr>
          <w:spacing w:val="-1"/>
        </w:rPr>
        <w:t>）电子数据取证业务是公司长期深耕的业务，也是公司收入重要组成部分。报告期内，公司加大云</w:t>
      </w:r>
      <w:r>
        <w:rPr/>
        <w:t> </w:t>
      </w:r>
      <w:r>
        <w:rPr>
          <w:spacing w:val="-1"/>
        </w:rPr>
        <w:t>取证研发投入，紧跟云计算发展，积极打造云取证生态链，研发推出针对手机云数据取证设备“手机云勘</w:t>
      </w:r>
      <w:r>
        <w:rPr>
          <w:spacing w:val="-82"/>
        </w:rPr>
        <w:t> </w:t>
      </w:r>
      <w:r>
        <w:rPr>
          <w:spacing w:val="-82"/>
        </w:rPr>
      </w:r>
      <w:r>
        <w:rPr/>
        <w:t>大师</w:t>
      </w:r>
      <w:r>
        <w:rPr>
          <w:spacing w:val="60"/>
        </w:rPr>
        <w:t> </w:t>
      </w:r>
      <w:r>
        <w:rPr/>
        <w:t>”，面向计算机服务器取证的“云勘大师”；实验室装备研发方面，打造新型取证实验室，进行了</w:t>
      </w:r>
      <w:r>
        <w:rPr>
          <w:spacing w:val="-94"/>
        </w:rPr>
        <w:t> </w:t>
      </w:r>
      <w:r>
        <w:rPr>
          <w:spacing w:val="-94"/>
        </w:rPr>
      </w:r>
      <w:r>
        <w:rPr>
          <w:spacing w:val="-1"/>
        </w:rPr>
        <w:t>实验室产品的升级换代，推出一系列新的取证工作台，实现实验室设备互联互通、数据汇聚融合；国际化</w:t>
      </w:r>
      <w:r>
        <w:rPr>
          <w:spacing w:val="-82"/>
        </w:rPr>
        <w:t> </w:t>
      </w:r>
      <w:r>
        <w:rPr>
          <w:spacing w:val="-82"/>
        </w:rPr>
      </w:r>
      <w:r>
        <w:rPr>
          <w:spacing w:val="-1"/>
        </w:rPr>
        <w:t>方面，组建国际化产品研发团队，顺应国家“一带一路”政策趋势，建设国际化取证实验室，完成手机取</w:t>
      </w:r>
      <w:r>
        <w:rPr>
          <w:spacing w:val="-83"/>
        </w:rPr>
        <w:t> </w:t>
      </w:r>
      <w:r>
        <w:rPr>
          <w:spacing w:val="-83"/>
        </w:rPr>
      </w:r>
      <w:r>
        <w:rPr>
          <w:spacing w:val="-1"/>
        </w:rPr>
        <w:t>证、手机云取证、取证航母等产品的国际版本的开发；行业拓展方面，根据行业需求，不断探索新行业新</w:t>
      </w:r>
      <w:r>
        <w:rPr>
          <w:spacing w:val="-83"/>
        </w:rPr>
        <w:t> </w:t>
      </w:r>
      <w:r>
        <w:rPr>
          <w:spacing w:val="-83"/>
        </w:rPr>
      </w:r>
      <w:r>
        <w:rPr>
          <w:spacing w:val="-1"/>
        </w:rPr>
        <w:t>技术，在行业内率先成立汽车取证技术团队，推出国内首款针对物联网设备取证的“汽车取证大师”；推</w:t>
      </w:r>
      <w:r>
        <w:rPr>
          <w:spacing w:val="-83"/>
        </w:rPr>
        <w:t> </w:t>
      </w:r>
      <w:r>
        <w:rPr>
          <w:spacing w:val="-83"/>
        </w:rPr>
      </w:r>
      <w:r>
        <w:rPr/>
        <w:t>出针对海量邮件的高速分析系统“云邮</w:t>
      </w:r>
      <w:r>
        <w:rPr>
          <w:rFonts w:ascii="Times New Roman" w:hAnsi="Times New Roman" w:cs="Times New Roman" w:eastAsia="Times New Roman" w:hint="default"/>
        </w:rPr>
        <w:t>·</w:t>
      </w:r>
      <w:r>
        <w:rPr/>
        <w:t>邮件分析系统”等新产品；完成“取证塔”、“手机取证系统</w:t>
      </w:r>
      <w:r>
        <w:rPr>
          <w:spacing w:val="6"/>
        </w:rPr>
        <w:t> </w:t>
      </w:r>
      <w:r>
        <w:rPr/>
        <w:t>”</w:t>
      </w:r>
      <w:r>
        <w:rPr/>
        <w:t> 等产品的更新换代。</w:t>
      </w:r>
    </w:p>
    <w:p>
      <w:pPr>
        <w:pStyle w:val="BodyText"/>
        <w:spacing w:line="400" w:lineRule="auto" w:before="90"/>
        <w:ind w:right="1108" w:firstLine="420"/>
        <w:jc w:val="both"/>
      </w:pPr>
      <w:r>
        <w:rPr>
          <w:spacing w:val="-2"/>
        </w:rPr>
        <w:t>（</w:t>
      </w:r>
      <w:r>
        <w:rPr>
          <w:rFonts w:ascii="Times New Roman" w:hAnsi="Times New Roman" w:cs="Times New Roman" w:eastAsia="Times New Roman" w:hint="default"/>
          <w:spacing w:val="-2"/>
        </w:rPr>
        <w:t>3</w:t>
      </w:r>
      <w:r>
        <w:rPr>
          <w:spacing w:val="-2"/>
        </w:rPr>
        <w:t>）人工智能是公司三大核心技术之一，公司已建立人工智能公共服务平台</w:t>
      </w:r>
      <w:r>
        <w:rPr>
          <w:rFonts w:ascii="Times New Roman" w:hAnsi="Times New Roman" w:cs="Times New Roman" w:eastAsia="Times New Roman" w:hint="default"/>
          <w:spacing w:val="-2"/>
        </w:rPr>
        <w:t>MiaAI</w:t>
      </w:r>
      <w:r>
        <w:rPr>
          <w:spacing w:val="-2"/>
        </w:rPr>
        <w:t>，该平台通过引进</w:t>
      </w:r>
      <w:r>
        <w:rPr/>
        <w:t> </w:t>
      </w:r>
      <w:r>
        <w:rPr>
          <w:spacing w:val="-1"/>
        </w:rPr>
        <w:t>先进的</w:t>
      </w:r>
      <w:r>
        <w:rPr>
          <w:rFonts w:ascii="Times New Roman" w:hAnsi="Times New Roman" w:cs="Times New Roman" w:eastAsia="Times New Roman" w:hint="default"/>
          <w:spacing w:val="-1"/>
        </w:rPr>
        <w:t>AI</w:t>
      </w:r>
      <w:r>
        <w:rPr>
          <w:spacing w:val="-1"/>
        </w:rPr>
        <w:t>软件生态框架，结合人工智能人才培养和引进，联合科研机构、院校，打造AI服务云平台，共同</w:t>
      </w:r>
      <w:r>
        <w:rPr>
          <w:spacing w:val="-98"/>
        </w:rPr>
        <w:t> </w:t>
      </w:r>
      <w:r>
        <w:rPr>
          <w:spacing w:val="-98"/>
        </w:rPr>
      </w:r>
      <w:r>
        <w:rPr>
          <w:spacing w:val="-1"/>
        </w:rPr>
        <w:t>提升人工智能产业整体研发能力，推动人工智能生态链发展。公司人工智能产品已具备语音转文字、人脸</w:t>
      </w:r>
      <w:r>
        <w:rPr>
          <w:spacing w:val="-83"/>
        </w:rPr>
        <w:t> </w:t>
      </w:r>
      <w:r>
        <w:rPr>
          <w:spacing w:val="-83"/>
        </w:rPr>
      </w:r>
      <w:r>
        <w:rPr/>
        <w:t>识别分类、人群态势感知、模式分析、小语种翻译、智能客服等功能，已应用到包括智能移动取证设备、 </w:t>
      </w:r>
      <w:r>
        <w:rPr>
          <w:spacing w:val="-1"/>
        </w:rPr>
        <w:t>城市公共安全平台、车辆大数据综合应用平台、取证金刚、智能视频工作站、人脸识别系统等产品中。公</w:t>
      </w:r>
      <w:r>
        <w:rPr>
          <w:spacing w:val="-83"/>
        </w:rPr>
        <w:t> </w:t>
      </w:r>
      <w:r>
        <w:rPr>
          <w:spacing w:val="-83"/>
        </w:rPr>
      </w:r>
      <w:r>
        <w:rPr>
          <w:spacing w:val="-1"/>
        </w:rPr>
        <w:t>司与网宿科技、上海交通大学、上海计算机软件技术开发中心联合申报的人工智能项目“基于多信源感知</w:t>
      </w:r>
      <w:r>
        <w:rPr>
          <w:spacing w:val="-83"/>
        </w:rPr>
        <w:t> </w:t>
      </w:r>
      <w:r>
        <w:rPr>
          <w:spacing w:val="-83"/>
        </w:rPr>
      </w:r>
      <w:r>
        <w:rPr/>
        <w:t>的网络安全云防护关键技术研究及应用”荣获上海市科技进步二等奖。</w:t>
      </w:r>
    </w:p>
    <w:p>
      <w:pPr>
        <w:pStyle w:val="BodyText"/>
        <w:spacing w:line="400" w:lineRule="auto" w:before="91"/>
        <w:ind w:right="1127" w:firstLine="420"/>
        <w:jc w:val="both"/>
      </w:pPr>
      <w:r>
        <w:rPr/>
        <w:t>（</w:t>
      </w:r>
      <w:r>
        <w:rPr>
          <w:rFonts w:ascii="Times New Roman" w:hAnsi="Times New Roman" w:cs="Times New Roman" w:eastAsia="Times New Roman" w:hint="default"/>
        </w:rPr>
        <w:t>4</w:t>
      </w:r>
      <w:r>
        <w:rPr/>
        <w:t>）专项设备上，为响应全国司法机关深化“放管服”改革要求，落实司法部门提出的十六项便民</w:t>
      </w:r>
      <w:r>
        <w:rPr>
          <w:spacing w:val="2"/>
        </w:rPr>
        <w:t> </w:t>
      </w:r>
      <w:r>
        <w:rPr>
          <w:spacing w:val="-1"/>
        </w:rPr>
        <w:t>利民措施，全资子公司新德汇大力推进“出入境自助办证一体机”、“驾驶证自助换证一体机”、“户政</w:t>
      </w:r>
      <w:r>
        <w:rPr>
          <w:spacing w:val="-84"/>
        </w:rPr>
        <w:t> </w:t>
      </w:r>
      <w:r>
        <w:rPr>
          <w:spacing w:val="-84"/>
        </w:rPr>
      </w:r>
      <w:r>
        <w:rPr>
          <w:spacing w:val="-1"/>
        </w:rPr>
        <w:t>自助办证一体机”等便民设备的产品研发和推广；全资子公司江苏税软积极升级“电子查账软件”的应用</w:t>
      </w:r>
      <w:r>
        <w:rPr>
          <w:spacing w:val="-82"/>
        </w:rPr>
        <w:t> </w:t>
      </w:r>
      <w:r>
        <w:rPr>
          <w:spacing w:val="-82"/>
        </w:rPr>
      </w:r>
      <w:r>
        <w:rPr>
          <w:spacing w:val="-1"/>
        </w:rPr>
        <w:t>效果，建立“智能电子查账平台”，通过融合多类业务数据及互联网数据，新增更多智能分析模型来精准</w:t>
      </w:r>
      <w:r>
        <w:rPr>
          <w:spacing w:val="-83"/>
        </w:rPr>
        <w:t> </w:t>
      </w:r>
      <w:r>
        <w:rPr>
          <w:spacing w:val="-83"/>
        </w:rPr>
      </w:r>
      <w:r>
        <w:rPr>
          <w:spacing w:val="-1"/>
        </w:rPr>
        <w:t>的查找涉税问题；控股子公司武汉大千基于</w:t>
      </w:r>
      <w:r>
        <w:rPr>
          <w:rFonts w:ascii="Times New Roman" w:hAnsi="Times New Roman" w:cs="Times New Roman" w:eastAsia="Times New Roman" w:hint="default"/>
          <w:spacing w:val="-1"/>
        </w:rPr>
        <w:t>AI</w:t>
      </w:r>
      <w:r>
        <w:rPr>
          <w:spacing w:val="-1"/>
        </w:rPr>
        <w:t>深度学习技术研发出全新一代智能单兵系统“视频智能工作</w:t>
      </w:r>
      <w:r>
        <w:rPr>
          <w:spacing w:val="-93"/>
        </w:rPr>
        <w:t> </w:t>
      </w:r>
      <w:r>
        <w:rPr>
          <w:spacing w:val="-93"/>
        </w:rPr>
      </w:r>
      <w:r>
        <w:rPr/>
        <w:t>站”。</w:t>
      </w:r>
    </w:p>
    <w:p>
      <w:pPr>
        <w:spacing w:after="0" w:line="400" w:lineRule="auto"/>
        <w:jc w:val="both"/>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417" w:lineRule="auto" w:before="175"/>
        <w:ind w:left="679" w:right="1195" w:hanging="104"/>
        <w:jc w:val="left"/>
      </w:pPr>
      <w:r>
        <w:rPr>
          <w:rFonts w:ascii="Times New Roman" w:hAnsi="Times New Roman" w:cs="Times New Roman" w:eastAsia="Times New Roman" w:hint="default"/>
          <w:b/>
          <w:bCs/>
        </w:rPr>
        <w:t>3</w:t>
      </w:r>
      <w:r>
        <w:rPr>
          <w:rFonts w:ascii="宋体" w:hAnsi="宋体" w:cs="宋体" w:eastAsia="宋体" w:hint="default"/>
          <w:b/>
          <w:bCs/>
        </w:rPr>
        <w:t>、行业推广</w:t>
      </w:r>
      <w:r>
        <w:rPr>
          <w:rFonts w:ascii="宋体" w:hAnsi="宋体" w:cs="宋体" w:eastAsia="宋体" w:hint="default"/>
          <w:b/>
          <w:bCs/>
          <w:spacing w:val="1"/>
          <w:w w:val="99"/>
        </w:rPr>
        <w:t> </w:t>
      </w:r>
      <w:r>
        <w:rPr/>
        <w:t>公司客户主要为国内各级司法机关及政府行政执法部门。2018年国务院机构改革，对公司的业务市</w:t>
      </w:r>
    </w:p>
    <w:p>
      <w:pPr>
        <w:pStyle w:val="BodyText"/>
        <w:spacing w:line="408" w:lineRule="auto" w:before="38"/>
        <w:ind w:left="153" w:right="1130"/>
        <w:jc w:val="both"/>
      </w:pPr>
      <w:r>
        <w:rPr>
          <w:spacing w:val="-1"/>
        </w:rPr>
        <w:t>场产生了的一定的影响。但随着改革的深入推进，如监察委组织架构重设、国地税合并等基本完成后，新</w:t>
      </w:r>
      <w:r>
        <w:rPr>
          <w:spacing w:val="-82"/>
        </w:rPr>
        <w:t> </w:t>
      </w:r>
      <w:r>
        <w:rPr>
          <w:spacing w:val="-82"/>
        </w:rPr>
      </w:r>
      <w:r>
        <w:rPr>
          <w:spacing w:val="-1"/>
        </w:rPr>
        <w:t>的组织机构在产品功能、技术性能等方面都有了新的要求，从而对新产品采购和原有产品更新提出了新的</w:t>
      </w:r>
      <w:r>
        <w:rPr>
          <w:spacing w:val="-81"/>
        </w:rPr>
        <w:t> </w:t>
      </w:r>
      <w:r>
        <w:rPr>
          <w:spacing w:val="-81"/>
        </w:rPr>
      </w:r>
      <w:r>
        <w:rPr>
          <w:spacing w:val="-1"/>
        </w:rPr>
        <w:t>需求。公司紧密关注客户行业动态，增加市场开拓力度，不断提升营销团队的市场开拓能力，使前线营销</w:t>
      </w:r>
      <w:r>
        <w:rPr>
          <w:spacing w:val="-82"/>
        </w:rPr>
        <w:t> </w:t>
      </w:r>
      <w:r>
        <w:rPr>
          <w:spacing w:val="-82"/>
        </w:rPr>
      </w:r>
      <w:r>
        <w:rPr>
          <w:spacing w:val="-1"/>
        </w:rPr>
        <w:t>与技术团队高效对接，有效把握客户需求变化，积极推进新技术、新产品的落地，真正做到了以客户为中</w:t>
      </w:r>
      <w:r>
        <w:rPr>
          <w:spacing w:val="-82"/>
        </w:rPr>
        <w:t> </w:t>
      </w:r>
      <w:r>
        <w:rPr>
          <w:spacing w:val="-82"/>
        </w:rPr>
      </w:r>
      <w:r>
        <w:rPr/>
        <w:t>心，快速响应客户需求的同时保证了商机的及时落地和转化。</w:t>
      </w:r>
    </w:p>
    <w:p>
      <w:pPr>
        <w:pStyle w:val="BodyText"/>
        <w:spacing w:line="408" w:lineRule="auto" w:before="85"/>
        <w:ind w:left="153" w:right="1091" w:firstLine="525"/>
        <w:jc w:val="left"/>
      </w:pPr>
      <w:r>
        <w:rPr/>
        <w:t>公司通过内生式增长和外延式并购的双向发展，行业已由司法机关逐渐进入监察委、市场监督局、 </w:t>
      </w:r>
      <w:r>
        <w:rPr>
          <w:spacing w:val="-1"/>
        </w:rPr>
        <w:t>企业等领域。为更好抓住行业发展机会，公司对销售体系进行了调整，建立了以产品事业部销售和区域销</w:t>
      </w:r>
      <w:r>
        <w:rPr>
          <w:spacing w:val="-83"/>
        </w:rPr>
        <w:t> </w:t>
      </w:r>
      <w:r>
        <w:rPr>
          <w:spacing w:val="-83"/>
        </w:rPr>
      </w:r>
      <w:r>
        <w:rPr>
          <w:spacing w:val="-1"/>
        </w:rPr>
        <w:t>售相结合的销售体系，并在各大区增设部分专区和办事处，积极对各行业进行市场调研，及时搜集行业需</w:t>
      </w:r>
      <w:r>
        <w:rPr>
          <w:spacing w:val="-83"/>
        </w:rPr>
        <w:t> </w:t>
      </w:r>
      <w:r>
        <w:rPr>
          <w:spacing w:val="-83"/>
        </w:rPr>
      </w:r>
      <w:r>
        <w:rPr>
          <w:spacing w:val="-1"/>
        </w:rPr>
        <w:t>求，并采用信息化的手段进行销售管理，保证已签单业务的有序维护和新商机的持续落地。为加强与子公</w:t>
      </w:r>
      <w:r>
        <w:rPr>
          <w:spacing w:val="-83"/>
        </w:rPr>
        <w:t> </w:t>
      </w:r>
      <w:r>
        <w:rPr>
          <w:spacing w:val="-83"/>
        </w:rPr>
      </w:r>
      <w:r>
        <w:rPr/>
        <w:t>司及产业链相关企业的汇聚融合，报告期内，公司举办了“美亚峰会”和“美亚智会”战略合作研讨会， 通过研究课题的深度探讨，经验和技术能力的分享，从而共同打造具有一定凝聚力的业务合作平台。</w:t>
      </w:r>
    </w:p>
    <w:p>
      <w:pPr>
        <w:pStyle w:val="BodyText"/>
        <w:spacing w:line="400" w:lineRule="auto" w:before="84"/>
        <w:ind w:left="153" w:right="1108" w:firstLine="420"/>
        <w:jc w:val="both"/>
      </w:pPr>
      <w:r>
        <w:rPr>
          <w:spacing w:val="-1"/>
        </w:rPr>
        <w:t>公司对重点行业加大拓展力度，如针对刑侦电子物证实验室建设规划，公司结合刑侦细分行业的客户</w:t>
      </w:r>
      <w:r>
        <w:rPr/>
        <w:t> 需求，进行了整体实验室解决方案的适应性开发，推出了</w:t>
      </w:r>
      <w:r>
        <w:rPr>
          <w:rFonts w:ascii="Times New Roman" w:hAnsi="Times New Roman" w:cs="Times New Roman" w:eastAsia="Times New Roman" w:hint="default"/>
        </w:rPr>
        <w:t>U</w:t>
      </w:r>
      <w:r>
        <w:rPr/>
        <w:t>型工作台、圆形数据恢复台、受理工作台和鉴</w:t>
      </w:r>
      <w:r>
        <w:rPr>
          <w:spacing w:val="-76"/>
        </w:rPr>
        <w:t> </w:t>
      </w:r>
      <w:r>
        <w:rPr>
          <w:spacing w:val="-76"/>
        </w:rPr>
      </w:r>
      <w:r>
        <w:rPr>
          <w:spacing w:val="-1"/>
        </w:rPr>
        <w:t>定工作台等系列新产品，针对刑侦市场渠道也加强了客户潜在需求的沟通和跟进；在经侦领域，研发和升</w:t>
      </w:r>
      <w:r>
        <w:rPr>
          <w:spacing w:val="-83"/>
        </w:rPr>
        <w:t> </w:t>
      </w:r>
      <w:r>
        <w:rPr>
          <w:spacing w:val="-83"/>
        </w:rPr>
      </w:r>
      <w:r>
        <w:rPr>
          <w:spacing w:val="-1"/>
        </w:rPr>
        <w:t>级了资金查控工具箱、资金查控工作台和资金追查与分析系统等；在军民融合领域，积极推动军工信息化</w:t>
      </w:r>
      <w:r>
        <w:rPr>
          <w:spacing w:val="-83"/>
        </w:rPr>
        <w:t> </w:t>
      </w:r>
      <w:r>
        <w:rPr>
          <w:spacing w:val="-83"/>
        </w:rPr>
      </w:r>
      <w:r>
        <w:rPr/>
        <w:t>建设；在民用市场，公司提供存证云、知识产权保护、企业信息风险管控等</w:t>
      </w:r>
      <w:r>
        <w:rPr>
          <w:rFonts w:ascii="Times New Roman" w:hAnsi="Times New Roman" w:cs="Times New Roman" w:eastAsia="Times New Roman" w:hint="default"/>
        </w:rPr>
        <w:t>SaaS</w:t>
      </w:r>
      <w:r>
        <w:rPr/>
        <w:t>服务，其中存证云业务， </w:t>
      </w:r>
      <w:r>
        <w:rPr>
          <w:spacing w:val="-1"/>
        </w:rPr>
        <w:t>主要是通过云平台为客户提供电子合同在线签约，业务数据、网页、拍照、录音录像等实时证据保全及在</w:t>
      </w:r>
      <w:r>
        <w:rPr>
          <w:spacing w:val="-82"/>
        </w:rPr>
        <w:t> </w:t>
      </w:r>
      <w:r>
        <w:rPr>
          <w:spacing w:val="-82"/>
        </w:rPr>
      </w:r>
      <w:r>
        <w:rPr/>
        <w:t>线司法鉴定服务，旨在预防和解决电子数据取证难及自证效力低的问题。</w:t>
      </w:r>
    </w:p>
    <w:p>
      <w:pPr>
        <w:pStyle w:val="BodyText"/>
        <w:spacing w:line="400" w:lineRule="auto" w:before="91"/>
        <w:ind w:left="153" w:right="1126" w:firstLine="420"/>
        <w:jc w:val="both"/>
      </w:pPr>
      <w:r>
        <w:rPr>
          <w:spacing w:val="-1"/>
        </w:rPr>
        <w:t>国际市场上，紧跟国家倡议大力开拓以“一带一路”为主的国际市场。为满足符合国际市场客户需求</w:t>
      </w:r>
      <w:r>
        <w:rPr/>
        <w:t> </w:t>
      </w:r>
      <w:r>
        <w:rPr>
          <w:spacing w:val="-1"/>
        </w:rPr>
        <w:t>的产品，公司在西安研发中心建立了专门的国际化技术服务团队，在“一带一路”国家推进电子数据取证</w:t>
      </w:r>
      <w:r>
        <w:rPr>
          <w:spacing w:val="-82"/>
        </w:rPr>
        <w:t> </w:t>
      </w:r>
      <w:r>
        <w:rPr>
          <w:spacing w:val="-82"/>
        </w:rPr>
      </w:r>
      <w:r>
        <w:rPr/>
        <w:t>设备、“取证方舟”集装箱型实验室和信息系统集成等产品和解决方案。</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月，公司的取证魔方产</w:t>
      </w:r>
      <w:r>
        <w:rPr>
          <w:spacing w:val="-36"/>
        </w:rPr>
        <w:t> </w:t>
      </w:r>
      <w:r>
        <w:rPr>
          <w:spacing w:val="-36"/>
        </w:rPr>
      </w:r>
      <w:r>
        <w:rPr/>
        <w:t>品中标俄罗斯政府项目。</w:t>
      </w:r>
    </w:p>
    <w:p>
      <w:pPr>
        <w:spacing w:line="417" w:lineRule="auto" w:before="93"/>
        <w:ind w:left="574" w:right="0" w:hanging="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、人才梯队建设和管理</w:t>
      </w:r>
      <w:r>
        <w:rPr>
          <w:rFonts w:ascii="宋体" w:hAnsi="宋体" w:cs="宋体" w:eastAsia="宋体" w:hint="default"/>
          <w:b/>
          <w:bCs/>
          <w:w w:val="99"/>
          <w:sz w:val="21"/>
          <w:szCs w:val="21"/>
        </w:rPr>
        <w:t> </w:t>
      </w:r>
      <w:r>
        <w:rPr>
          <w:rFonts w:ascii="宋体" w:hAnsi="宋体" w:cs="宋体" w:eastAsia="宋体" w:hint="default"/>
          <w:spacing w:val="-1"/>
          <w:sz w:val="21"/>
          <w:szCs w:val="21"/>
        </w:rPr>
        <w:t>公司构建了符合发展战略需求的多层次人才结构，通过在人才储备、薪酬管理、人才引进及人才培养</w:t>
      </w:r>
    </w:p>
    <w:p>
      <w:pPr>
        <w:pStyle w:val="BodyText"/>
        <w:spacing w:line="398" w:lineRule="auto" w:before="38"/>
        <w:ind w:right="1130"/>
        <w:jc w:val="both"/>
      </w:pPr>
      <w:r>
        <w:rPr>
          <w:spacing w:val="-1"/>
        </w:rPr>
        <w:t>等多方面不断完善公司人力资源体系。报告期内，公司根据业务发展规划和市场商机需求，加强了人才储</w:t>
      </w:r>
      <w:r>
        <w:rPr>
          <w:spacing w:val="-83"/>
        </w:rPr>
        <w:t> </w:t>
      </w:r>
      <w:r>
        <w:rPr>
          <w:spacing w:val="-83"/>
        </w:rPr>
      </w:r>
      <w:r>
        <w:rPr>
          <w:spacing w:val="-1"/>
        </w:rPr>
        <w:t>备，</w:t>
      </w:r>
      <w:r>
        <w:rPr>
          <w:rFonts w:ascii="Times New Roman" w:hAnsi="Times New Roman" w:cs="Times New Roman" w:eastAsia="Times New Roman" w:hint="default"/>
          <w:spacing w:val="-1"/>
        </w:rPr>
        <w:t>2018</w:t>
      </w:r>
      <w:r>
        <w:rPr>
          <w:spacing w:val="-1"/>
        </w:rPr>
        <w:t>年共增加人员</w:t>
      </w:r>
      <w:r>
        <w:rPr>
          <w:rFonts w:ascii="Times New Roman" w:hAnsi="Times New Roman" w:cs="Times New Roman" w:eastAsia="Times New Roman" w:hint="default"/>
          <w:spacing w:val="-1"/>
        </w:rPr>
        <w:t>614</w:t>
      </w:r>
      <w:r>
        <w:rPr>
          <w:spacing w:val="-1"/>
        </w:rPr>
        <w:t>人，其中</w:t>
      </w:r>
      <w:r>
        <w:rPr>
          <w:rFonts w:ascii="Times New Roman" w:hAnsi="Times New Roman" w:cs="Times New Roman" w:eastAsia="Times New Roman" w:hint="default"/>
          <w:spacing w:val="-1"/>
        </w:rPr>
        <w:t>480</w:t>
      </w:r>
      <w:r>
        <w:rPr>
          <w:spacing w:val="-1"/>
        </w:rPr>
        <w:t>多人为研发及技术人员。为了吸引和留住人才，公司进一步完善了</w:t>
      </w:r>
      <w:r>
        <w:rPr>
          <w:spacing w:val="-84"/>
        </w:rPr>
        <w:t> </w:t>
      </w:r>
      <w:r>
        <w:rPr>
          <w:spacing w:val="-84"/>
        </w:rPr>
      </w:r>
      <w:r>
        <w:rPr>
          <w:spacing w:val="-1"/>
        </w:rPr>
        <w:t>“全面薪酬包”的薪酬激励制度，每年结合岗位价值贡献和绩效评价结果识别调薪机会，建立更具导向性</w:t>
      </w:r>
    </w:p>
    <w:p>
      <w:pPr>
        <w:spacing w:after="0" w:line="398" w:lineRule="auto"/>
        <w:jc w:val="both"/>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441" w:lineRule="auto" w:before="175"/>
        <w:ind w:left="573" w:right="0" w:hanging="420"/>
        <w:jc w:val="left"/>
      </w:pPr>
      <w:r>
        <w:rPr/>
        <w:t>和竞争力的薪酬方案。 </w:t>
      </w:r>
      <w:r>
        <w:rPr>
          <w:spacing w:val="-1"/>
        </w:rPr>
        <w:t>人员的增加导致了薪酬、费用的增长，影响了公司扣除非经常性损益后的净利润。相比去年同期，归</w:t>
      </w:r>
    </w:p>
    <w:p>
      <w:pPr>
        <w:pStyle w:val="BodyText"/>
        <w:spacing w:line="240" w:lineRule="auto" w:before="18"/>
        <w:ind w:left="153" w:right="0"/>
        <w:jc w:val="left"/>
      </w:pPr>
      <w:r>
        <w:rPr/>
        <w:t>属于上市公司扣非净利润下降</w:t>
      </w:r>
      <w:r>
        <w:rPr>
          <w:rFonts w:ascii="Times New Roman" w:hAnsi="Times New Roman" w:cs="Times New Roman" w:eastAsia="Times New Roman" w:hint="default"/>
        </w:rPr>
        <w:t>14.38%</w:t>
      </w:r>
      <w:r>
        <w:rPr/>
        <w:t>。</w:t>
      </w:r>
    </w:p>
    <w:p>
      <w:pPr>
        <w:spacing w:line="240" w:lineRule="auto" w:before="9"/>
        <w:rPr>
          <w:rFonts w:ascii="宋体" w:hAnsi="宋体" w:cs="宋体" w:eastAsia="宋体" w:hint="default"/>
          <w:sz w:val="16"/>
          <w:szCs w:val="16"/>
        </w:rPr>
      </w:pPr>
    </w:p>
    <w:p>
      <w:pPr>
        <w:spacing w:line="417" w:lineRule="auto" w:before="0"/>
        <w:ind w:left="57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、出售可供出售金融资产</w:t>
      </w:r>
      <w:r>
        <w:rPr>
          <w:rFonts w:ascii="宋体" w:hAnsi="宋体" w:cs="宋体" w:eastAsia="宋体" w:hint="default"/>
          <w:b/>
          <w:bCs/>
          <w:w w:val="99"/>
          <w:sz w:val="21"/>
          <w:szCs w:val="21"/>
        </w:rPr>
        <w:t> </w:t>
      </w:r>
      <w:r>
        <w:rPr>
          <w:rFonts w:ascii="宋体" w:hAnsi="宋体" w:cs="宋体" w:eastAsia="宋体" w:hint="default"/>
          <w:spacing w:val="-1"/>
          <w:sz w:val="21"/>
          <w:szCs w:val="21"/>
        </w:rPr>
        <w:t>报告期内，公司通过集中竞价的方式，减持公司持有的中新赛克（证券代码：</w:t>
      </w:r>
      <w:r>
        <w:rPr>
          <w:rFonts w:ascii="Times New Roman" w:hAnsi="Times New Roman" w:cs="Times New Roman" w:eastAsia="Times New Roman" w:hint="default"/>
          <w:spacing w:val="-1"/>
          <w:sz w:val="21"/>
          <w:szCs w:val="21"/>
        </w:rPr>
        <w:t>002912</w:t>
      </w:r>
      <w:r>
        <w:rPr>
          <w:rFonts w:ascii="宋体" w:hAnsi="宋体" w:cs="宋体" w:eastAsia="宋体" w:hint="default"/>
          <w:spacing w:val="-1"/>
          <w:sz w:val="21"/>
          <w:szCs w:val="21"/>
        </w:rPr>
        <w:t>）无限售流通股</w:t>
      </w:r>
    </w:p>
    <w:p>
      <w:pPr>
        <w:pStyle w:val="BodyText"/>
        <w:spacing w:line="240" w:lineRule="auto" w:before="5"/>
        <w:ind w:right="0"/>
        <w:jc w:val="left"/>
        <w:rPr>
          <w:rFonts w:ascii="Times New Roman" w:hAnsi="Times New Roman" w:cs="Times New Roman" w:eastAsia="Times New Roman" w:hint="default"/>
        </w:rPr>
      </w:pPr>
      <w:r>
        <w:rPr>
          <w:rFonts w:ascii="Times New Roman" w:hAnsi="Times New Roman" w:cs="Times New Roman" w:eastAsia="Times New Roman" w:hint="default"/>
          <w:spacing w:val="-4"/>
        </w:rPr>
        <w:t>1,067,201</w:t>
      </w:r>
      <w:r>
        <w:rPr>
          <w:spacing w:val="-4"/>
        </w:rPr>
        <w:t>股，占中新赛克当前总股本的</w:t>
      </w:r>
      <w:r>
        <w:rPr>
          <w:rFonts w:ascii="Times New Roman" w:hAnsi="Times New Roman" w:cs="Times New Roman" w:eastAsia="Times New Roman" w:hint="default"/>
          <w:spacing w:val="-4"/>
        </w:rPr>
        <w:t>1.00%</w:t>
      </w:r>
      <w:r>
        <w:rPr>
          <w:spacing w:val="-4"/>
        </w:rPr>
        <w:t>。预计扣除投资成本和相关税费后，公司取得投资收益约</w:t>
      </w:r>
      <w:r>
        <w:rPr>
          <w:rFonts w:ascii="Times New Roman" w:hAnsi="Times New Roman" w:cs="Times New Roman" w:eastAsia="Times New Roman" w:hint="default"/>
          <w:spacing w:val="-4"/>
        </w:rPr>
        <w:t>6,545</w:t>
      </w:r>
    </w:p>
    <w:p>
      <w:pPr>
        <w:pStyle w:val="BodyText"/>
        <w:spacing w:line="240" w:lineRule="auto" w:before="178"/>
        <w:ind w:right="0"/>
        <w:jc w:val="left"/>
      </w:pPr>
      <w:r>
        <w:rPr/>
        <w:t>万元，对公司</w:t>
      </w:r>
      <w:r>
        <w:rPr>
          <w:rFonts w:ascii="Times New Roman" w:hAnsi="Times New Roman" w:cs="Times New Roman" w:eastAsia="Times New Roman" w:hint="default"/>
        </w:rPr>
        <w:t>2018</w:t>
      </w:r>
      <w:r>
        <w:rPr/>
        <w:t>年归属于上市公司股东的净利润产生了积极的影响。</w:t>
      </w:r>
    </w:p>
    <w:p>
      <w:pPr>
        <w:spacing w:line="240" w:lineRule="auto" w:before="7"/>
        <w:rPr>
          <w:rFonts w:ascii="宋体" w:hAnsi="宋体" w:cs="宋体" w:eastAsia="宋体" w:hint="default"/>
          <w:sz w:val="28"/>
          <w:szCs w:val="28"/>
        </w:rPr>
      </w:pPr>
    </w:p>
    <w:p>
      <w:pPr>
        <w:pStyle w:val="Heading2"/>
        <w:spacing w:line="240" w:lineRule="auto"/>
        <w:ind w:right="0"/>
        <w:jc w:val="left"/>
        <w:rPr>
          <w:b w:val="0"/>
          <w:bCs w:val="0"/>
        </w:rPr>
      </w:pP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4" w:right="647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6"/>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spacing w:line="357" w:lineRule="auto" w:before="0"/>
        <w:ind w:left="153" w:right="6971" w:firstLine="0"/>
        <w:jc w:val="left"/>
        <w:rPr>
          <w:rFonts w:ascii="宋体" w:hAnsi="宋体" w:cs="宋体" w:eastAsia="宋体" w:hint="default"/>
          <w:sz w:val="18"/>
          <w:szCs w:val="18"/>
        </w:rPr>
      </w:pPr>
      <w:r>
        <w:rPr>
          <w:rFonts w:ascii="宋体" w:hAnsi="宋体" w:cs="宋体" w:eastAsia="宋体" w:hint="default"/>
          <w:sz w:val="18"/>
          <w:szCs w:val="18"/>
        </w:rPr>
        <w:t>公司是否需要遵守光伏产业链相关业的披露要求 否</w:t>
      </w:r>
    </w:p>
    <w:p>
      <w:pPr>
        <w:spacing w:line="338" w:lineRule="auto" w:before="29"/>
        <w:ind w:left="154" w:right="1392"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上市公司从事广播电影电视业务》的披露要求： 否</w:t>
      </w:r>
    </w:p>
    <w:p>
      <w:pPr>
        <w:spacing w:line="340" w:lineRule="auto" w:before="42"/>
        <w:ind w:left="154" w:right="1572"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line="338" w:lineRule="auto" w:before="40"/>
        <w:ind w:left="154" w:right="1135"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产业链相关业务》的披露要求： 否</w:t>
      </w:r>
    </w:p>
    <w:p>
      <w:pPr>
        <w:spacing w:line="338" w:lineRule="auto" w:before="43"/>
        <w:ind w:left="154" w:right="1662"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上市公司从事医疗器械业务》的披露要求： 否</w:t>
      </w:r>
    </w:p>
    <w:p>
      <w:pPr>
        <w:spacing w:line="340" w:lineRule="auto" w:before="42"/>
        <w:ind w:left="154" w:right="1662"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上市公司从软件与信息技术服务业务》的披露要求 是</w:t>
      </w:r>
    </w:p>
    <w:p>
      <w:pPr>
        <w:spacing w:before="40"/>
        <w:ind w:left="0" w:right="112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60"/>
        <w:gridCol w:w="992"/>
        <w:gridCol w:w="991"/>
        <w:gridCol w:w="1003"/>
        <w:gridCol w:w="1012"/>
        <w:gridCol w:w="1003"/>
        <w:gridCol w:w="1004"/>
        <w:gridCol w:w="1002"/>
        <w:gridCol w:w="1002"/>
      </w:tblGrid>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D3D3D3"/>
          </w:tcPr>
          <w:p>
            <w:pPr/>
          </w:p>
        </w:tc>
        <w:tc>
          <w:tcPr>
            <w:tcW w:w="399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401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1" w:hRule="exact"/>
        </w:trPr>
        <w:tc>
          <w:tcPr>
            <w:tcW w:w="1560" w:type="dxa"/>
            <w:vMerge/>
            <w:tcBorders>
              <w:left w:val="single" w:sz="4" w:space="0" w:color="000000"/>
              <w:bottom w:val="single" w:sz="4" w:space="0" w:color="000000"/>
              <w:right w:val="single" w:sz="4" w:space="0" w:color="000000"/>
            </w:tcBorders>
            <w:shd w:val="clear" w:color="auto" w:fill="D3D3D3"/>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第三季度</w:t>
            </w:r>
          </w:p>
        </w:tc>
        <w:tc>
          <w:tcPr>
            <w:tcW w:w="1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0"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第一季度</w:t>
            </w:r>
          </w:p>
        </w:tc>
        <w:tc>
          <w:tcPr>
            <w:tcW w:w="10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37"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3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35"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184,705,580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297,297,203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.18</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241,671,590.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876,910,016.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89</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144,816,422.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83</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225,483,516.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88</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222,139,644.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19</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744,200,827.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47</w:t>
            </w:r>
          </w:p>
        </w:tc>
      </w:tr>
      <w:tr>
        <w:trPr>
          <w:trHeight w:val="1027"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85"/>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5,174,687.4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34,590,589.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38</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7,607,227.24</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255,842,175.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72</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3,367,384.84</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29,160,548.6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33,240,960.4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205,947,377.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说明经营季节性（或周期性）发生的原因及波动风险</w:t>
      </w:r>
    </w:p>
    <w:p>
      <w:pPr>
        <w:spacing w:line="240" w:lineRule="auto" w:before="12"/>
        <w:rPr>
          <w:rFonts w:ascii="宋体" w:hAnsi="宋体" w:cs="宋体" w:eastAsia="宋体" w:hint="default"/>
          <w:sz w:val="18"/>
          <w:szCs w:val="18"/>
        </w:rPr>
      </w:pPr>
    </w:p>
    <w:p>
      <w:pPr>
        <w:pStyle w:val="BodyText"/>
        <w:spacing w:line="408" w:lineRule="auto"/>
        <w:ind w:right="1130" w:firstLine="420"/>
        <w:jc w:val="both"/>
      </w:pPr>
      <w:r>
        <w:rPr>
          <w:spacing w:val="-1"/>
        </w:rPr>
        <w:t>公司产品销售收入在上、下半年具有不均衡的特点，有明显的季节性特征和风险。公司产品主要销售</w:t>
      </w:r>
      <w:r>
        <w:rPr/>
        <w:t> </w:t>
      </w:r>
      <w:r>
        <w:rPr>
          <w:spacing w:val="-1"/>
        </w:rPr>
        <w:t>客户为司法机关及行政执法部门，该类客户的普遍特点是：上半年制定计划、预算审批，下半年实施和验</w:t>
      </w:r>
      <w:r>
        <w:rPr>
          <w:spacing w:val="-82"/>
        </w:rPr>
        <w:t> </w:t>
      </w:r>
      <w:r>
        <w:rPr>
          <w:spacing w:val="-82"/>
        </w:rPr>
      </w:r>
      <w:r>
        <w:rPr>
          <w:spacing w:val="-1"/>
        </w:rPr>
        <w:t>收。因此，公司产品销售收入的实现主要集中在下半年尤其是第四季度，第四季度的经营结果决定了全年</w:t>
      </w:r>
      <w:r>
        <w:rPr>
          <w:spacing w:val="-83"/>
        </w:rPr>
        <w:t> </w:t>
      </w:r>
      <w:r>
        <w:rPr>
          <w:spacing w:val="-83"/>
        </w:rPr>
      </w:r>
      <w:r>
        <w:rPr>
          <w:spacing w:val="-1"/>
        </w:rPr>
        <w:t>的总体表现。受公司业务季节性特点影响，公司上半年收入和利润占全年收入和利润的比重较低，季节性</w:t>
      </w:r>
      <w:r>
        <w:rPr>
          <w:spacing w:val="-83"/>
        </w:rPr>
        <w:t> </w:t>
      </w:r>
      <w:r>
        <w:rPr>
          <w:spacing w:val="-83"/>
        </w:rPr>
      </w:r>
      <w:r>
        <w:rPr/>
        <w:t>资金需求和现金流量不均衡。</w:t>
      </w:r>
    </w:p>
    <w:p>
      <w:pPr>
        <w:spacing w:before="115"/>
        <w:ind w:left="154" w:right="0" w:firstLine="0"/>
        <w:jc w:val="left"/>
        <w:rPr>
          <w:rFonts w:ascii="宋体" w:hAnsi="宋体" w:cs="宋体" w:eastAsia="宋体" w:hint="default"/>
          <w:sz w:val="18"/>
          <w:szCs w:val="18"/>
        </w:rPr>
      </w:pPr>
      <w:r>
        <w:rPr>
          <w:rFonts w:ascii="宋体" w:hAnsi="宋体" w:cs="宋体" w:eastAsia="宋体" w:hint="default"/>
          <w:sz w:val="18"/>
          <w:szCs w:val="18"/>
        </w:rPr>
        <w:t>营业收入整体情况</w:t>
      </w:r>
    </w:p>
    <w:p>
      <w:pPr>
        <w:spacing w:before="116"/>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3D3D3"/>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1,600,584,391.00</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1,336,640,411.37</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19.75%</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司法机关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798,206,397.29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681,488,284.42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行政执法机关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268,514,334.27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176,373,071.01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52.24%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507,132,805.03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451,687,714.31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26,730,854.41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27,091,341.63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电子数据取证产品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737,369,976.66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729,898,166.37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大数据信息化平台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496,092,342.13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247,128,878.92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100.74%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网络空间安全产品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93,180,452.04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85,352,066.37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专项执法装备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119,992,213.70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148,112,458.88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-18.99%</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电子数据鉴定及信 息安全相关服务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152,526,801.10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123,343,107.38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23.66%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工程项目收入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1,218,603.77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2,344,281.80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-48.02%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204,001.60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461,451.65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-55.79%</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东北及华北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361,649,180.94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310,199,174.02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华东及华南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813,318,983.59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690,039,255.74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西南及西北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328,019,646.05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246,335,870.77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33.16%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华中及其他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97,596,580.42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90,066,110.84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8.36%</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76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公司是否需要遵守特殊行业的披露要求</w:t>
      </w:r>
    </w:p>
    <w:p>
      <w:pPr>
        <w:spacing w:after="0" w:line="338"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82" w:top="1060" w:bottom="1180" w:left="920" w:right="0"/>
        </w:sectPr>
      </w:pPr>
    </w:p>
    <w:p>
      <w:pPr>
        <w:spacing w:line="357" w:lineRule="auto" w:before="44"/>
        <w:ind w:left="213" w:right="7091" w:firstLine="0"/>
        <w:jc w:val="left"/>
        <w:rPr>
          <w:rFonts w:ascii="宋体" w:hAnsi="宋体" w:cs="宋体" w:eastAsia="宋体" w:hint="default"/>
          <w:sz w:val="18"/>
          <w:szCs w:val="18"/>
        </w:rPr>
      </w:pPr>
      <w:r>
        <w:rPr>
          <w:rFonts w:ascii="宋体" w:hAnsi="宋体" w:cs="宋体" w:eastAsia="宋体" w:hint="default"/>
          <w:sz w:val="18"/>
          <w:szCs w:val="18"/>
        </w:rPr>
        <w:t>是 软件与信息技术服务业</w:t>
      </w:r>
    </w:p>
    <w:p>
      <w:pPr>
        <w:spacing w:before="29"/>
        <w:ind w:left="213" w:right="-17"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20" w:right="0"/>
          <w:cols w:num="2" w:equalWidth="0">
            <w:col w:w="9125" w:space="40"/>
            <w:col w:w="1825"/>
          </w:cols>
        </w:sectPr>
      </w:pPr>
    </w:p>
    <w:p>
      <w:pPr>
        <w:spacing w:line="240" w:lineRule="auto" w:before="0"/>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702"/>
        <w:gridCol w:w="1417"/>
        <w:gridCol w:w="1417"/>
        <w:gridCol w:w="930"/>
        <w:gridCol w:w="1367"/>
        <w:gridCol w:w="1367"/>
        <w:gridCol w:w="1372"/>
      </w:tblGrid>
      <w:tr>
        <w:trPr>
          <w:trHeight w:val="713"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司法机关</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798,206,397.29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284,041,274.63</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49.88%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-7.78%</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行政执法机关</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268,514,334.27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76,553,040.85</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186.89%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-13.38%</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507,132,805.03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277,356,640.75</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2.23%</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26,730,854.41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10,335,021.88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87.74%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-18.34%</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电子数据取证产品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737,369,976.66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321,606,571.51</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-2.16%</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大数据信息化平台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496,092,342.13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222,991,415.93</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255.67%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-19.58%</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网络空间安全产品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93,180,452.04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15,642,091.91</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15.89%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-0.97%</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专项执法装备</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119,992,213.70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44,968,887.26</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-18.79%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-0.09%</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7"/>
              <w:jc w:val="left"/>
              <w:rPr>
                <w:rFonts w:ascii="宋体" w:hAnsi="宋体" w:cs="宋体" w:eastAsia="宋体" w:hint="default"/>
                <w:sz w:val="18"/>
                <w:szCs w:val="18"/>
              </w:rPr>
            </w:pPr>
            <w:r>
              <w:rPr>
                <w:rFonts w:ascii="宋体" w:hAnsi="宋体" w:cs="宋体" w:eastAsia="宋体" w:hint="default"/>
                <w:sz w:val="18"/>
                <w:szCs w:val="18"/>
              </w:rPr>
              <w:t>电子数据鉴定及信息 安全相关服务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152,526,801.10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41,764,197.44</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工程项目收入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1,218,603.77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1,320,135.68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-18.07%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-39.60%</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204,001.60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23,131.15</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-11.34%</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东北及华北</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361,649,180.94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121,075,444.15</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32.98%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-4.13%</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华东及华南</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813,318,983.59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366,771,702.05</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20.16%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-0.86%</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西南及西北</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328,019,646.05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126,179,228.12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99.59%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-12.80%</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华中及其他</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97,596,580.42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34,290,056.56</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77.51%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-13.69%</w:t>
            </w:r>
          </w:p>
        </w:tc>
      </w:tr>
    </w:tbl>
    <w:p>
      <w:pPr>
        <w:spacing w:before="51"/>
        <w:ind w:left="214" w:right="1021"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2"/>
        <w:ind w:left="213"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left="214" w:right="1021"/>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7"/>
        <w:rPr>
          <w:rFonts w:ascii="宋体" w:hAnsi="宋体" w:cs="宋体" w:eastAsia="宋体" w:hint="default"/>
          <w:b/>
          <w:bCs/>
          <w:sz w:val="26"/>
          <w:szCs w:val="26"/>
        </w:rPr>
      </w:pPr>
    </w:p>
    <w:p>
      <w:pPr>
        <w:spacing w:before="0"/>
        <w:ind w:left="214"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1668"/>
        <w:gridCol w:w="1522"/>
        <w:gridCol w:w="1595"/>
        <w:gridCol w:w="1594"/>
        <w:gridCol w:w="1594"/>
        <w:gridCol w:w="1595"/>
      </w:tblGrid>
      <w:tr>
        <w:trPr>
          <w:trHeight w:val="40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行业分类</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68" w:type="dxa"/>
            <w:vMerge w:val="restart"/>
            <w:tcBorders>
              <w:top w:val="single" w:sz="4" w:space="0" w:color="000000"/>
              <w:left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电子数据取证产品</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22,747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38,524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-40.95%</w:t>
            </w:r>
          </w:p>
        </w:tc>
      </w:tr>
      <w:tr>
        <w:trPr>
          <w:trHeight w:val="402" w:hRule="exact"/>
        </w:trPr>
        <w:tc>
          <w:tcPr>
            <w:tcW w:w="1668" w:type="dxa"/>
            <w:vMerge/>
            <w:tcBorders>
              <w:left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17,167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43,622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-60.65%</w:t>
            </w:r>
          </w:p>
        </w:tc>
      </w:tr>
      <w:tr>
        <w:trPr>
          <w:trHeight w:val="402" w:hRule="exact"/>
        </w:trPr>
        <w:tc>
          <w:tcPr>
            <w:tcW w:w="1668" w:type="dxa"/>
            <w:vMerge/>
            <w:tcBorders>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23,088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28,668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-19.46%</w:t>
            </w:r>
          </w:p>
        </w:tc>
      </w:tr>
      <w:tr>
        <w:trPr>
          <w:trHeight w:val="40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网络空间安全产品</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160.18%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20" w:right="0"/>
        </w:sectPr>
      </w:pPr>
    </w:p>
    <w:p>
      <w:pPr>
        <w:spacing w:line="240" w:lineRule="auto" w:before="6"/>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1668"/>
        <w:gridCol w:w="1522"/>
        <w:gridCol w:w="1595"/>
        <w:gridCol w:w="1594"/>
        <w:gridCol w:w="1594"/>
        <w:gridCol w:w="1595"/>
      </w:tblGrid>
      <w:tr>
        <w:trPr>
          <w:trHeight w:val="402" w:hRule="exact"/>
        </w:trPr>
        <w:tc>
          <w:tcPr>
            <w:tcW w:w="1668" w:type="dxa"/>
            <w:vMerge w:val="restart"/>
            <w:tcBorders>
              <w:top w:val="single" w:sz="4" w:space="0" w:color="000000"/>
              <w:left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-47.93%</w:t>
            </w:r>
          </w:p>
        </w:tc>
      </w:tr>
      <w:tr>
        <w:trPr>
          <w:trHeight w:val="402" w:hRule="exact"/>
        </w:trPr>
        <w:tc>
          <w:tcPr>
            <w:tcW w:w="1668" w:type="dxa"/>
            <w:vMerge/>
            <w:tcBorders>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-45.38%</w:t>
            </w:r>
          </w:p>
        </w:tc>
      </w:tr>
      <w:tr>
        <w:trPr>
          <w:trHeight w:val="402" w:hRule="exact"/>
        </w:trPr>
        <w:tc>
          <w:tcPr>
            <w:tcW w:w="1668" w:type="dxa"/>
            <w:vMerge w:val="restart"/>
            <w:tcBorders>
              <w:top w:val="single" w:sz="4" w:space="0" w:color="000000"/>
              <w:left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专项执法装备</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5,643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-54.84%</w:t>
            </w:r>
          </w:p>
        </w:tc>
      </w:tr>
      <w:tr>
        <w:trPr>
          <w:trHeight w:val="402" w:hRule="exact"/>
        </w:trPr>
        <w:tc>
          <w:tcPr>
            <w:tcW w:w="1668" w:type="dxa"/>
            <w:vMerge/>
            <w:tcBorders>
              <w:left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3,142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-34.92%</w:t>
            </w:r>
          </w:p>
        </w:tc>
      </w:tr>
      <w:tr>
        <w:trPr>
          <w:trHeight w:val="402" w:hRule="exact"/>
        </w:trPr>
        <w:tc>
          <w:tcPr>
            <w:tcW w:w="1668" w:type="dxa"/>
            <w:vMerge/>
            <w:tcBorders>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188.45%</w:t>
            </w:r>
          </w:p>
        </w:tc>
      </w:tr>
    </w:tbl>
    <w:p>
      <w:pPr>
        <w:spacing w:before="51"/>
        <w:ind w:left="214" w:right="1021"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3"/>
        <w:ind w:left="214"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left="214" w:right="1021" w:firstLine="420"/>
        <w:jc w:val="left"/>
      </w:pPr>
      <w:r>
        <w:rPr/>
        <w:t>电子数据取证产品销售量、生产量、库存量较去年同期分别下降，主要是由于该类产品结构较去年同 期发生变化，高单价产品比重销售占比上升所致；网络空间安全产品项目，销售量增长主要是由于收入增 </w:t>
      </w:r>
      <w:r>
        <w:rPr>
          <w:spacing w:val="-3"/>
        </w:rPr>
        <w:t>长所致，生产和库存量减少主要是消化去年备货所致；专项执法装备项目销售量、生产量较去年同期下降，</w:t>
      </w:r>
      <w:r>
        <w:rPr>
          <w:spacing w:val="-90"/>
        </w:rPr>
        <w:t> </w:t>
      </w:r>
      <w:r>
        <w:rPr>
          <w:spacing w:val="-90"/>
        </w:rPr>
      </w:r>
      <w:r>
        <w:rPr>
          <w:spacing w:val="-3"/>
        </w:rPr>
        <w:t>主要是由于该类产品受国务院机构改革影响本年收入额有所下降所致，库存量上升，主要是备货增加所致。</w:t>
      </w:r>
    </w:p>
    <w:p>
      <w:pPr>
        <w:spacing w:line="240" w:lineRule="auto" w:before="6"/>
        <w:rPr>
          <w:rFonts w:ascii="宋体" w:hAnsi="宋体" w:cs="宋体" w:eastAsia="宋体" w:hint="default"/>
          <w:sz w:val="20"/>
          <w:szCs w:val="20"/>
        </w:rPr>
      </w:pPr>
    </w:p>
    <w:p>
      <w:pPr>
        <w:pStyle w:val="Heading3"/>
        <w:spacing w:line="240" w:lineRule="auto"/>
        <w:ind w:left="213" w:right="1021"/>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spacing w:before="0"/>
        <w:ind w:left="214"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left="214" w:right="1021"/>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20" w:right="0"/>
        </w:sectPr>
      </w:pPr>
    </w:p>
    <w:p>
      <w:pPr>
        <w:spacing w:line="340" w:lineRule="auto" w:before="44"/>
        <w:ind w:left="214" w:right="-18"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 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20" w:right="0"/>
          <w:cols w:num="2" w:equalWidth="0">
            <w:col w:w="9125" w:space="40"/>
            <w:col w:w="1825"/>
          </w:cols>
        </w:sectPr>
      </w:pPr>
    </w:p>
    <w:p>
      <w:pPr>
        <w:spacing w:line="240" w:lineRule="auto" w:before="0"/>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2128"/>
        <w:gridCol w:w="1134"/>
        <w:gridCol w:w="1274"/>
        <w:gridCol w:w="1418"/>
        <w:gridCol w:w="1276"/>
        <w:gridCol w:w="1417"/>
        <w:gridCol w:w="924"/>
      </w:tblGrid>
      <w:tr>
        <w:trPr>
          <w:trHeight w:val="401" w:hRule="exact"/>
        </w:trPr>
        <w:tc>
          <w:tcPr>
            <w:tcW w:w="21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1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2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128" w:type="dxa"/>
            <w:vMerge/>
            <w:tcBorders>
              <w:left w:val="single" w:sz="4" w:space="0" w:color="000000"/>
              <w:bottom w:val="single" w:sz="4" w:space="0" w:color="000000"/>
              <w:right w:val="single" w:sz="4" w:space="0" w:color="000000"/>
            </w:tcBorders>
            <w:shd w:val="clear" w:color="auto" w:fill="D3D3D3"/>
          </w:tcPr>
          <w:p>
            <w:pPr/>
          </w:p>
        </w:tc>
        <w:tc>
          <w:tcPr>
            <w:tcW w:w="1134" w:type="dxa"/>
            <w:vMerge/>
            <w:tcBorders>
              <w:left w:val="single" w:sz="4" w:space="0" w:color="000000"/>
              <w:bottom w:val="single" w:sz="4" w:space="0" w:color="000000"/>
              <w:right w:val="single" w:sz="4" w:space="0" w:color="000000"/>
            </w:tcBorders>
            <w:shd w:val="clear" w:color="auto" w:fill="D3D3D3"/>
          </w:tcPr>
          <w:p>
            <w:pP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3"/>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2"/>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92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电子数据取证产品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原材料等</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312,240,553.58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97.09%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298,991,968.72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98.80%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4.43%</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大数据信息化平台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原材料等</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212,084,733.14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95.11%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60,606,928.45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96.67%</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249.93%</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网络空间大搜索产品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原材料等</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11,285,615.90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72.15%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11,206,845.54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83.03%</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0.70%</w:t>
            </w:r>
          </w:p>
        </w:tc>
      </w:tr>
      <w:tr>
        <w:trPr>
          <w:trHeight w:val="71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3"/>
              <w:jc w:val="left"/>
              <w:rPr>
                <w:rFonts w:ascii="宋体" w:hAnsi="宋体" w:cs="宋体" w:eastAsia="宋体" w:hint="default"/>
                <w:sz w:val="18"/>
                <w:szCs w:val="18"/>
              </w:rPr>
            </w:pPr>
            <w:r>
              <w:rPr>
                <w:rFonts w:ascii="宋体" w:hAnsi="宋体" w:cs="宋体" w:eastAsia="宋体" w:hint="default"/>
                <w:sz w:val="18"/>
                <w:szCs w:val="18"/>
              </w:rPr>
              <w:t>电子数据鉴定及信息安全 相关服务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人工工资等</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13,188,000.31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31.58%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9,547,768.99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22.19%</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38.13%</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视频分析及专项执法装备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原材料等</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44,796,080.54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99.62%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55,219,260.02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99.72%</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-18.88%</w:t>
            </w:r>
          </w:p>
        </w:tc>
      </w:tr>
      <w:tr>
        <w:trPr>
          <w:trHeight w:val="715"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工程项目收入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9"/>
              <w:jc w:val="left"/>
              <w:rPr>
                <w:rFonts w:ascii="宋体" w:hAnsi="宋体" w:cs="宋体" w:eastAsia="宋体" w:hint="default"/>
                <w:sz w:val="18"/>
                <w:szCs w:val="18"/>
              </w:rPr>
            </w:pPr>
            <w:r>
              <w:rPr>
                <w:rFonts w:ascii="宋体" w:hAnsi="宋体" w:cs="宋体" w:eastAsia="宋体" w:hint="default"/>
                <w:sz w:val="18"/>
                <w:szCs w:val="18"/>
              </w:rPr>
              <w:t>外包施工成 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1,320,135.68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969,018.53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60.14%</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36.23%</w:t>
            </w:r>
          </w:p>
        </w:tc>
      </w:tr>
    </w:tbl>
    <w:p>
      <w:pPr>
        <w:spacing w:line="240" w:lineRule="auto" w:before="1"/>
        <w:rPr>
          <w:rFonts w:ascii="宋体" w:hAnsi="宋体" w:cs="宋体" w:eastAsia="宋体" w:hint="default"/>
          <w:sz w:val="19"/>
          <w:szCs w:val="19"/>
        </w:rPr>
      </w:pPr>
    </w:p>
    <w:p>
      <w:pPr>
        <w:pStyle w:val="Heading3"/>
        <w:spacing w:line="240" w:lineRule="auto" w:before="35"/>
        <w:ind w:left="214" w:right="1021"/>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spacing w:before="0"/>
        <w:ind w:left="214"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pStyle w:val="BodyText"/>
        <w:spacing w:line="240" w:lineRule="auto" w:before="153"/>
        <w:ind w:left="214" w:right="1021"/>
        <w:jc w:val="left"/>
      </w:pPr>
      <w:r>
        <w:rPr>
          <w:rFonts w:ascii="Times New Roman" w:hAnsi="Times New Roman" w:cs="Times New Roman" w:eastAsia="Times New Roman" w:hint="default"/>
        </w:rPr>
        <w:t>1</w:t>
      </w:r>
      <w:r>
        <w:rPr/>
        <w:t>、设立美亚京安：</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日，本公司独资设立美亚京安，注册资本为</w:t>
      </w:r>
      <w:r>
        <w:rPr>
          <w:rFonts w:ascii="Times New Roman" w:hAnsi="Times New Roman" w:cs="Times New Roman" w:eastAsia="Times New Roman" w:hint="default"/>
        </w:rPr>
        <w:t>1,000.00</w:t>
      </w:r>
      <w:r>
        <w:rPr/>
        <w:t>万元。</w:t>
      </w:r>
    </w:p>
    <w:p>
      <w:pPr>
        <w:pStyle w:val="BodyText"/>
        <w:spacing w:line="240" w:lineRule="auto" w:before="177"/>
        <w:ind w:left="214" w:right="1021"/>
        <w:jc w:val="left"/>
      </w:pPr>
      <w:r>
        <w:rPr>
          <w:rFonts w:ascii="Times New Roman" w:hAnsi="Times New Roman" w:cs="Times New Roman" w:eastAsia="Times New Roman" w:hint="default"/>
        </w:rPr>
        <w:t>2</w:t>
      </w:r>
      <w:r>
        <w:rPr/>
        <w:t>、设立美亚榕安：</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5</w:t>
      </w:r>
      <w:r>
        <w:rPr/>
        <w:t>日，本公司独资设立美亚榕安，注册资本为</w:t>
      </w:r>
      <w:r>
        <w:rPr>
          <w:rFonts w:ascii="Times New Roman" w:hAnsi="Times New Roman" w:cs="Times New Roman" w:eastAsia="Times New Roman" w:hint="default"/>
        </w:rPr>
        <w:t>5,000.00</w:t>
      </w:r>
      <w:r>
        <w:rPr/>
        <w:t>万元。</w:t>
      </w:r>
    </w:p>
    <w:p>
      <w:pPr>
        <w:spacing w:after="0" w:line="240" w:lineRule="auto"/>
        <w:jc w:val="left"/>
        <w:sectPr>
          <w:type w:val="continuous"/>
          <w:pgSz w:w="11910" w:h="16840"/>
          <w:pgMar w:top="1060" w:bottom="1180" w:left="92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both"/>
      </w:pPr>
      <w:r>
        <w:rPr>
          <w:rFonts w:ascii="Times New Roman" w:hAnsi="Times New Roman" w:cs="Times New Roman" w:eastAsia="Times New Roman" w:hint="default"/>
        </w:rPr>
        <w:t>3</w:t>
      </w:r>
      <w:r>
        <w:rPr/>
        <w:t>、设立美银智投：</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26</w:t>
      </w:r>
      <w:r>
        <w:rPr/>
        <w:t>日，本公司独资设立美银智投，注册资本为</w:t>
      </w:r>
      <w:r>
        <w:rPr>
          <w:rFonts w:ascii="Times New Roman" w:hAnsi="Times New Roman" w:cs="Times New Roman" w:eastAsia="Times New Roman" w:hint="default"/>
        </w:rPr>
        <w:t>1,000.00</w:t>
      </w:r>
      <w:r>
        <w:rPr/>
        <w:t>万元。</w:t>
      </w:r>
    </w:p>
    <w:p>
      <w:pPr>
        <w:pStyle w:val="BodyText"/>
        <w:spacing w:line="386" w:lineRule="auto" w:before="177"/>
        <w:ind w:left="153" w:right="1634"/>
        <w:jc w:val="both"/>
      </w:pPr>
      <w:r>
        <w:rPr>
          <w:rFonts w:ascii="Times New Roman" w:hAnsi="Times New Roman" w:cs="Times New Roman" w:eastAsia="Times New Roman" w:hint="default"/>
        </w:rPr>
        <w:t>4</w:t>
      </w:r>
      <w:r>
        <w:rPr/>
        <w:t>、设立美亚亿安：</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日，本公司与厦门环亚众智科技合伙企业（有限合伙）共同设立美</w:t>
      </w:r>
      <w:r>
        <w:rPr>
          <w:spacing w:val="-20"/>
        </w:rPr>
        <w:t> </w:t>
      </w:r>
      <w:r>
        <w:rPr>
          <w:spacing w:val="-20"/>
        </w:rPr>
      </w:r>
      <w:r>
        <w:rPr/>
        <w:t>亚亿安，注册资本为</w:t>
      </w:r>
      <w:r>
        <w:rPr>
          <w:rFonts w:ascii="Times New Roman" w:hAnsi="Times New Roman" w:cs="Times New Roman" w:eastAsia="Times New Roman" w:hint="default"/>
        </w:rPr>
        <w:t>1,000.00</w:t>
      </w:r>
      <w:r>
        <w:rPr/>
        <w:t>万元，其中本公司持股</w:t>
      </w:r>
      <w:r>
        <w:rPr>
          <w:rFonts w:ascii="Times New Roman" w:hAnsi="Times New Roman" w:cs="Times New Roman" w:eastAsia="Times New Roman" w:hint="default"/>
        </w:rPr>
        <w:t>55%</w:t>
      </w:r>
      <w:r>
        <w:rPr/>
        <w:t>，厦门环亚众智科技合伙企业（有限合伙）</w:t>
      </w:r>
      <w:r>
        <w:rPr>
          <w:spacing w:val="-84"/>
        </w:rPr>
        <w:t> </w:t>
      </w:r>
      <w:r>
        <w:rPr>
          <w:spacing w:val="-84"/>
        </w:rPr>
      </w:r>
      <w:r>
        <w:rPr/>
        <w:t>持股</w:t>
      </w:r>
      <w:r>
        <w:rPr>
          <w:rFonts w:ascii="Times New Roman" w:hAnsi="Times New Roman" w:cs="Times New Roman" w:eastAsia="Times New Roman" w:hint="default"/>
        </w:rPr>
        <w:t>45%</w:t>
      </w:r>
      <w:r>
        <w:rPr/>
        <w:t>。</w:t>
      </w:r>
    </w:p>
    <w:p>
      <w:pPr>
        <w:spacing w:line="240" w:lineRule="auto" w:before="9"/>
        <w:rPr>
          <w:rFonts w:ascii="宋体" w:hAnsi="宋体" w:cs="宋体" w:eastAsia="宋体" w:hint="default"/>
          <w:sz w:val="19"/>
          <w:szCs w:val="19"/>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103"/>
        <w:gridCol w:w="4465"/>
      </w:tblGrid>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238,826,730.36</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14.92%</w:t>
            </w: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02"/>
        <w:gridCol w:w="3301"/>
        <w:gridCol w:w="2322"/>
        <w:gridCol w:w="3143"/>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61,671,695.79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3.85%</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48,897,041.47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3.05%</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43,335,754.52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2.71%</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42,652,735.12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2.66%</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42,269,503.46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2.64%</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238,826,730.36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14.92%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5"/>
        <w:ind w:right="0" w:firstLine="420"/>
        <w:jc w:val="left"/>
      </w:pPr>
      <w:r>
        <w:rPr>
          <w:spacing w:val="-1"/>
        </w:rPr>
        <w:t>报告期内，公司前</w:t>
      </w:r>
      <w:r>
        <w:rPr>
          <w:rFonts w:ascii="Times New Roman" w:hAnsi="Times New Roman" w:cs="Times New Roman" w:eastAsia="Times New Roman" w:hint="default"/>
          <w:spacing w:val="-1"/>
        </w:rPr>
        <w:t>5</w:t>
      </w:r>
      <w:r>
        <w:rPr>
          <w:spacing w:val="-1"/>
        </w:rPr>
        <w:t>名客户与公司不存在关联关系，公司董事、监事、高级管理人员、核心技术人员、</w:t>
      </w:r>
      <w:r>
        <w:rPr/>
        <w:t> 持股</w:t>
      </w:r>
      <w:r>
        <w:rPr>
          <w:rFonts w:ascii="Times New Roman" w:hAnsi="Times New Roman" w:cs="Times New Roman" w:eastAsia="Times New Roman" w:hint="default"/>
        </w:rPr>
        <w:t>5%</w:t>
      </w:r>
      <w:r>
        <w:rPr/>
        <w:t>以上股东、实际控制人和其他关联方在前</w:t>
      </w:r>
      <w:r>
        <w:rPr>
          <w:rFonts w:ascii="Times New Roman" w:hAnsi="Times New Roman" w:cs="Times New Roman" w:eastAsia="Times New Roman" w:hint="default"/>
        </w:rPr>
        <w:t>5</w:t>
      </w:r>
      <w:r>
        <w:rPr/>
        <w:t>大客户中未直接或间接拥有权益。</w:t>
      </w:r>
    </w:p>
    <w:p>
      <w:pPr>
        <w:spacing w:line="240" w:lineRule="auto" w:before="8"/>
        <w:rPr>
          <w:rFonts w:ascii="宋体" w:hAnsi="宋体" w:cs="宋体" w:eastAsia="宋体" w:hint="default"/>
          <w:sz w:val="28"/>
          <w:szCs w:val="28"/>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820"/>
        <w:gridCol w:w="4748"/>
      </w:tblGrid>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140,636,088.32</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20.65%</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3" w:right="0"/>
              <w:jc w:val="left"/>
              <w:rPr>
                <w:rFonts w:ascii="Times New Roman" w:hAnsi="Times New Roman" w:cs="Times New Roman" w:eastAsia="Times New Roman" w:hint="default"/>
                <w:sz w:val="18"/>
                <w:szCs w:val="18"/>
              </w:rPr>
            </w:pPr>
            <w:r>
              <w:rPr>
                <w:rFonts w:ascii="Times New Roman"/>
                <w:sz w:val="18"/>
              </w:rPr>
              <w:t>38,573,032.85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35,869,590.29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5.27%</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30,805,862.11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4.52%</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19,759,173.66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15,628,429.41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140,636,088.32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line="319" w:lineRule="auto" w:before="117"/>
        <w:ind w:left="154" w:right="10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报告期内，公司前</w:t>
      </w:r>
      <w:r>
        <w:rPr>
          <w:rFonts w:ascii="Times New Roman" w:hAnsi="Times New Roman" w:cs="Times New Roman" w:eastAsia="Times New Roman" w:hint="default"/>
          <w:sz w:val="18"/>
          <w:szCs w:val="18"/>
        </w:rPr>
        <w:t>5</w:t>
      </w:r>
      <w:r>
        <w:rPr>
          <w:rFonts w:ascii="宋体" w:hAnsi="宋体" w:cs="宋体" w:eastAsia="宋体" w:hint="default"/>
          <w:sz w:val="18"/>
          <w:szCs w:val="18"/>
        </w:rPr>
        <w:t>名供应商与公司不存在关联关系，公司董事、监事、高级管理人员、核心技术人员、持股</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 实际控制人和其他关联方在前</w:t>
      </w:r>
      <w:r>
        <w:rPr>
          <w:rFonts w:ascii="Times New Roman" w:hAnsi="Times New Roman" w:cs="Times New Roman" w:eastAsia="Times New Roman" w:hint="default"/>
          <w:sz w:val="18"/>
          <w:szCs w:val="18"/>
        </w:rPr>
        <w:t>5</w:t>
      </w:r>
      <w:r>
        <w:rPr>
          <w:rFonts w:ascii="宋体" w:hAnsi="宋体" w:cs="宋体" w:eastAsia="宋体" w:hint="default"/>
          <w:sz w:val="18"/>
          <w:szCs w:val="18"/>
        </w:rPr>
        <w:t>大供应商中未直接或间接拥有权益。</w:t>
      </w: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7"/>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94"/>
        <w:gridCol w:w="1274"/>
        <w:gridCol w:w="1276"/>
        <w:gridCol w:w="1134"/>
        <w:gridCol w:w="4890"/>
      </w:tblGrid>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48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1" w:right="0"/>
              <w:jc w:val="center"/>
              <w:rPr>
                <w:rFonts w:ascii="Arial Narrow" w:hAnsi="Arial Narrow" w:cs="Arial Narrow" w:eastAsia="Arial Narrow" w:hint="default"/>
                <w:sz w:val="18"/>
                <w:szCs w:val="18"/>
              </w:rPr>
            </w:pPr>
            <w:r>
              <w:rPr>
                <w:rFonts w:ascii="Arial Narrow"/>
                <w:sz w:val="18"/>
              </w:rPr>
              <w:t>251,270,923.81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197,741,086.53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27.07%</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1"/>
                <w:sz w:val="18"/>
                <w:szCs w:val="18"/>
              </w:rPr>
              <w:t>主要为公司增加售前售后等人员储备，人员人工费增加以及差</w:t>
            </w:r>
            <w:r>
              <w:rPr>
                <w:rFonts w:ascii="宋体" w:hAnsi="宋体" w:cs="宋体" w:eastAsia="宋体" w:hint="default"/>
                <w:sz w:val="18"/>
                <w:szCs w:val="18"/>
              </w:rPr>
              <w:t> 旅费支出增加所致。</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4" w:right="0"/>
              <w:jc w:val="center"/>
              <w:rPr>
                <w:rFonts w:ascii="Arial Narrow" w:hAnsi="Arial Narrow" w:cs="Arial Narrow" w:eastAsia="Arial Narrow" w:hint="default"/>
                <w:sz w:val="18"/>
                <w:szCs w:val="18"/>
              </w:rPr>
            </w:pPr>
            <w:r>
              <w:rPr>
                <w:rFonts w:ascii="Arial Narrow"/>
                <w:sz w:val="18"/>
              </w:rPr>
              <w:t>246,412,935.07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199,277,941.65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23.65%</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
              <w:jc w:val="left"/>
              <w:rPr>
                <w:rFonts w:ascii="宋体" w:hAnsi="宋体" w:cs="宋体" w:eastAsia="宋体" w:hint="default"/>
                <w:sz w:val="18"/>
                <w:szCs w:val="18"/>
              </w:rPr>
            </w:pPr>
            <w:r>
              <w:rPr>
                <w:rFonts w:ascii="宋体" w:hAnsi="宋体" w:cs="宋体" w:eastAsia="宋体" w:hint="default"/>
                <w:sz w:val="18"/>
                <w:szCs w:val="18"/>
              </w:rPr>
              <w:t>主要为公司人员增加，使得人员人工费及行政办公及水电费、 办公场所装修摊销增加以及资产增加折旧增加所致。</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5" w:right="0"/>
              <w:jc w:val="center"/>
              <w:rPr>
                <w:rFonts w:ascii="Times New Roman" w:hAnsi="Times New Roman" w:cs="Times New Roman" w:eastAsia="Times New Roman" w:hint="default"/>
                <w:sz w:val="18"/>
                <w:szCs w:val="18"/>
              </w:rPr>
            </w:pPr>
            <w:r>
              <w:rPr>
                <w:rFonts w:ascii="Times New Roman"/>
                <w:sz w:val="18"/>
              </w:rPr>
              <w:t>-9,706,348.65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-12,193,954.25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-20.40%</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1"/>
                <w:sz w:val="18"/>
                <w:szCs w:val="18"/>
              </w:rPr>
              <w:t>主要为公司本年度固定资产投资及采购付款较上年度增加，使</w:t>
            </w:r>
            <w:r>
              <w:rPr>
                <w:rFonts w:ascii="宋体" w:hAnsi="宋体" w:cs="宋体" w:eastAsia="宋体" w:hint="default"/>
                <w:sz w:val="18"/>
                <w:szCs w:val="18"/>
              </w:rPr>
              <w:t> 得货币资金减少，利息收入减少所致。</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223,666,196.45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170,646,456.29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31.07%</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主要为公司为保持市场竞争力持续的加大研发投入。</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5" w:lineRule="auto" w:before="153"/>
        <w:ind w:left="153" w:right="1108" w:firstLine="420"/>
        <w:jc w:val="both"/>
      </w:pPr>
      <w:r>
        <w:rPr>
          <w:spacing w:val="-1"/>
        </w:rPr>
        <w:t>报告期内，公司将大数据平台、人工智能、装备技术三大技术作为公司支撑体系。公司加强了对云技</w:t>
      </w:r>
      <w:r>
        <w:rPr/>
        <w:t> </w:t>
      </w:r>
      <w:r>
        <w:rPr>
          <w:spacing w:val="-1"/>
        </w:rPr>
        <w:t>术、物联网、移动互联网等技术的研究，研发出“手机云勘大师”、“汽车取证大师”等新产品；建立人</w:t>
      </w:r>
      <w:r>
        <w:rPr>
          <w:spacing w:val="-85"/>
        </w:rPr>
        <w:t> </w:t>
      </w:r>
      <w:r>
        <w:rPr>
          <w:spacing w:val="-85"/>
        </w:rPr>
      </w:r>
      <w:r>
        <w:rPr/>
        <w:t>工智能公共服务平台</w:t>
      </w:r>
      <w:r>
        <w:rPr>
          <w:rFonts w:ascii="Times New Roman" w:hAnsi="Times New Roman" w:cs="Times New Roman" w:eastAsia="Times New Roman" w:hint="default"/>
        </w:rPr>
        <w:t>MiaAI</w:t>
      </w:r>
      <w:r>
        <w:rPr/>
        <w:t>，公司的人工智能技术已应用到包括智能移动取证设备、城市公共安全平台、</w:t>
      </w:r>
      <w:r>
        <w:rPr>
          <w:spacing w:val="-67"/>
        </w:rPr>
        <w:t> </w:t>
      </w:r>
      <w:r>
        <w:rPr>
          <w:spacing w:val="-67"/>
        </w:rPr>
      </w:r>
      <w:r>
        <w:rPr>
          <w:spacing w:val="-1"/>
        </w:rPr>
        <w:t>取证金刚、智能视频工作站、人脸识别系统等产品中；加强公司大数据研发体系内部资源的整合，加大了</w:t>
      </w:r>
      <w:r>
        <w:rPr>
          <w:spacing w:val="-82"/>
        </w:rPr>
        <w:t> </w:t>
      </w:r>
      <w:r>
        <w:rPr>
          <w:spacing w:val="-82"/>
        </w:rPr>
      </w:r>
      <w:r>
        <w:rPr/>
        <w:t>研发技术人员投入，并积极参与部级大数据智能化建设方案规划；积极响应全国司法机关深化“放管服” 改革要求，大力推进“出入境自助办证一体机”、“驾驶证自助换证一体机”、“户政自助办证一体机” 等便民设备的产品研发和推广。</w:t>
      </w:r>
    </w:p>
    <w:p>
      <w:pPr>
        <w:spacing w:before="36"/>
        <w:ind w:left="154" w:right="0"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62"/>
        <w:gridCol w:w="1984"/>
        <w:gridCol w:w="2410"/>
        <w:gridCol w:w="1913"/>
      </w:tblGrid>
      <w:tr>
        <w:trPr>
          <w:trHeight w:val="402" w:hRule="exact"/>
        </w:trPr>
        <w:tc>
          <w:tcPr>
            <w:tcW w:w="32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1,301</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70.19%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67.34%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61"/>
        <w:gridCol w:w="1984"/>
        <w:gridCol w:w="2410"/>
        <w:gridCol w:w="1913"/>
      </w:tblGrid>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261,769,029.11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203,473,214.25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157,313,616.57</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15.76%</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38,102,832.66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31,750,185.80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25,276,611.34</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16.07%</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before="51"/>
        <w:ind w:left="154" w:right="-18"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38" w:lineRule="auto" w:before="117"/>
        <w:ind w:left="154" w:right="49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研发投入资本化率大幅变动的原因及其合理性说明</w:t>
      </w:r>
    </w:p>
    <w:p>
      <w:pPr>
        <w:spacing w:before="43"/>
        <w:ind w:left="154"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4" w:right="-18"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32" w:right="0" w:firstLine="0"/>
        <w:jc w:val="left"/>
        <w:rPr>
          <w:rFonts w:ascii="宋体" w:hAnsi="宋体" w:cs="宋体" w:eastAsia="宋体" w:hint="default"/>
          <w:sz w:val="18"/>
          <w:szCs w:val="18"/>
        </w:rPr>
      </w:pPr>
      <w:r>
        <w:rPr/>
        <w:pict>
          <v:group style="position:absolute;margin-left:453.839996pt;margin-top:57.732922pt;width:81pt;height:50.85pt;mso-position-horizontal-relative:page;mso-position-vertical-relative:paragraph;z-index:-1298392" coordorigin="9077,1155" coordsize="1620,1017">
            <v:group style="position:absolute;left:9077;top:1155;width:1620;height:1017" coordorigin="9077,1155" coordsize="1620,1017">
              <v:shape style="position:absolute;left:9077;top:1155;width:1620;height:1017" coordorigin="9077,1155" coordsize="1620,1017" path="m9077,2171l10697,2171,10697,1155,9077,1155,9077,2171xe" filled="true" fillcolor="#ffffff" stroked="false">
                <v:path arrowok="t"/>
                <v:fill type="solid"/>
              </v:shape>
            </v:group>
            <v:group style="position:absolute;left:9100;top:1467;width:1575;height:393" coordorigin="9100,1467" coordsize="1575,393">
              <v:shape style="position:absolute;left:9100;top:1467;width:1575;height:393" coordorigin="9100,1467" coordsize="1575,393" path="m9100,1859l10674,1859,10674,1467,9100,1467,9100,1859xe" filled="true" fillcolor="#ffffff" stroked="false">
                <v:path arrowok="t"/>
                <v:fill type="solid"/>
              </v:shape>
            </v:group>
            <w10:wrap type="none"/>
          </v:group>
        </w:pict>
      </w: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80" w:right="0"/>
          <w:cols w:num="2" w:equalWidth="0">
            <w:col w:w="9065" w:space="40"/>
            <w:col w:w="1825"/>
          </w:cols>
        </w:sectPr>
      </w:pPr>
    </w:p>
    <w:p>
      <w:pPr>
        <w:spacing w:line="240" w:lineRule="auto" w:before="1"/>
        <w:rPr>
          <w:rFonts w:ascii="宋体" w:hAnsi="宋体" w:cs="宋体" w:eastAsia="宋体" w:hint="default"/>
          <w:sz w:val="8"/>
          <w:szCs w:val="8"/>
        </w:rPr>
      </w:pPr>
      <w:r>
        <w:rPr/>
        <w:pict>
          <v:group style="position:absolute;margin-left:453.839996pt;margin-top:689.400024pt;width:81pt;height:50.85pt;mso-position-horizontal-relative:page;mso-position-vertical-relative:page;z-index:-1298368" coordorigin="9077,13788" coordsize="1620,1017">
            <v:group style="position:absolute;left:9077;top:13788;width:1620;height:1017" coordorigin="9077,13788" coordsize="1620,1017">
              <v:shape style="position:absolute;left:9077;top:13788;width:1620;height:1017" coordorigin="9077,13788" coordsize="1620,1017" path="m9077,14804l10697,14804,10697,13788,9077,13788,9077,14804xe" filled="true" fillcolor="#ffffff" stroked="false">
                <v:path arrowok="t"/>
                <v:fill type="solid"/>
              </v:shape>
            </v:group>
            <v:group style="position:absolute;left:9100;top:14100;width:1575;height:393" coordorigin="9100,14100" coordsize="1575,393">
              <v:shape style="position:absolute;left:9100;top:14100;width:1575;height:393" coordorigin="9100,14100" coordsize="1575,393" path="m9100,14492l10674,14492,10674,14100,9100,14100,9100,14492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392"/>
        <w:gridCol w:w="1436"/>
        <w:gridCol w:w="4110"/>
        <w:gridCol w:w="1630"/>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3"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4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39"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1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0" w:right="0"/>
              <w:jc w:val="left"/>
              <w:rPr>
                <w:rFonts w:ascii="宋体" w:hAnsi="宋体" w:cs="宋体" w:eastAsia="宋体" w:hint="default"/>
                <w:sz w:val="18"/>
                <w:szCs w:val="18"/>
              </w:rPr>
            </w:pPr>
            <w:r>
              <w:rPr>
                <w:rFonts w:ascii="宋体" w:hAnsi="宋体" w:cs="宋体" w:eastAsia="宋体" w:hint="default"/>
                <w:sz w:val="18"/>
                <w:szCs w:val="18"/>
              </w:rPr>
              <w:t>实施进度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移动设备查缉终端</w:t>
            </w:r>
            <w:r>
              <w:rPr>
                <w:rFonts w:ascii="Times New Roman" w:hAnsi="Times New Roman" w:cs="Times New Roman" w:eastAsia="Times New Roman" w:hint="default"/>
                <w:sz w:val="18"/>
                <w:szCs w:val="18"/>
              </w:rPr>
              <w:t>.V3</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8,082,716.61</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移动设备查缉。</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处于产品研发阶段</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指挥及内容信息应用系统</w:t>
            </w:r>
            <w:r>
              <w:rPr>
                <w:rFonts w:ascii="Times New Roman" w:hAnsi="Times New Roman" w:cs="Times New Roman" w:eastAsia="Times New Roman" w:hint="default"/>
                <w:sz w:val="18"/>
                <w:szCs w:val="18"/>
              </w:rPr>
              <w:t>.V1</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5,197,003.65</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实现多侦联动，综合研判，为各部门提供集中审批 </w:t>
            </w:r>
            <w:r>
              <w:rPr>
                <w:rFonts w:ascii="宋体" w:hAnsi="宋体" w:cs="宋体" w:eastAsia="宋体" w:hint="default"/>
                <w:spacing w:val="-3"/>
                <w:sz w:val="18"/>
                <w:szCs w:val="18"/>
              </w:rPr>
              <w:t>查询、推送、指令流转等</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一站式</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服务，为指挥作战</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提供辅助决策支撑。</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处于产品研发阶段</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大数据治理应用平台</w:t>
            </w:r>
            <w:r>
              <w:rPr>
                <w:rFonts w:ascii="Times New Roman" w:hAnsi="Times New Roman" w:cs="Times New Roman" w:eastAsia="Times New Roman" w:hint="default"/>
                <w:sz w:val="18"/>
                <w:szCs w:val="18"/>
              </w:rPr>
              <w:t>.V1</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6,433,882.62</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贴合基层的实战需要</w:t>
            </w:r>
            <w:r>
              <w:rPr>
                <w:rFonts w:ascii="Times New Roman" w:hAnsi="Times New Roman" w:cs="Times New Roman" w:eastAsia="Times New Roman" w:hint="default"/>
                <w:sz w:val="18"/>
                <w:szCs w:val="18"/>
              </w:rPr>
              <w:t>,</w:t>
            </w:r>
            <w:r>
              <w:rPr>
                <w:rFonts w:ascii="宋体" w:hAnsi="宋体" w:cs="宋体" w:eastAsia="宋体" w:hint="default"/>
                <w:sz w:val="18"/>
                <w:szCs w:val="18"/>
              </w:rPr>
              <w:t>解决数据治理难、数据管控弱 的问题，从而全面提升数据的治理能力。</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处于产品研发阶段</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汽车取证大师</w:t>
            </w:r>
            <w:r>
              <w:rPr>
                <w:rFonts w:ascii="Times New Roman" w:hAnsi="Times New Roman" w:cs="Times New Roman" w:eastAsia="Times New Roman" w:hint="default"/>
                <w:sz w:val="18"/>
                <w:szCs w:val="18"/>
              </w:rPr>
              <w:t>.V1</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4,529,563.82</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4"/>
                <w:sz w:val="18"/>
                <w:szCs w:val="18"/>
              </w:rPr>
              <w:t>全能便携的汽车取证装备，基于新一代取证技术对车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辆数据进行全面提取，分析用户行为痕迹，追踪车辆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足迹以及还原事故现场，让汽车电子数据取证更高 效。</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处于产品研发阶段</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智慧管理平台</w:t>
            </w:r>
            <w:r>
              <w:rPr>
                <w:rFonts w:ascii="Times New Roman" w:hAnsi="Times New Roman" w:cs="Times New Roman" w:eastAsia="Times New Roman" w:hint="default"/>
                <w:sz w:val="18"/>
                <w:szCs w:val="18"/>
              </w:rPr>
              <w:t>.V1</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2,458,375.46</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4"/>
                <w:sz w:val="18"/>
                <w:szCs w:val="18"/>
              </w:rPr>
              <w:t>集成专业应用、构建类案模型、精准发现的智慧应用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体系。</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处于产品研发阶段</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警队政工大数据平台</w:t>
            </w:r>
            <w:r>
              <w:rPr>
                <w:rFonts w:ascii="Times New Roman" w:hAnsi="Times New Roman" w:cs="Times New Roman" w:eastAsia="Times New Roman" w:hint="default"/>
                <w:sz w:val="18"/>
                <w:szCs w:val="18"/>
              </w:rPr>
              <w:t>.V1</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1,077,375.65</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主要为政工信息化建设相关内容。</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处于产品研发阶段</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超级警务通</w:t>
            </w:r>
            <w:r>
              <w:rPr>
                <w:rFonts w:ascii="Times New Roman" w:hAnsi="Times New Roman" w:cs="Times New Roman" w:eastAsia="Times New Roman" w:hint="default"/>
                <w:sz w:val="18"/>
                <w:szCs w:val="18"/>
              </w:rPr>
              <w:t>.V1</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254,687.03</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4"/>
                <w:sz w:val="18"/>
                <w:szCs w:val="18"/>
              </w:rPr>
              <w:t>一款现场勘查移动终端，支持现场信息录入、电子数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据采集、物证管理、信息核查等功能。</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完结</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电子数据采集分析系统</w:t>
            </w:r>
            <w:r>
              <w:rPr>
                <w:rFonts w:ascii="Times New Roman" w:hAnsi="Times New Roman" w:cs="Times New Roman" w:eastAsia="Times New Roman" w:hint="default"/>
                <w:sz w:val="18"/>
                <w:szCs w:val="18"/>
              </w:rPr>
              <w:t>.V4</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1,293,342.60</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4"/>
                <w:sz w:val="18"/>
                <w:szCs w:val="18"/>
              </w:rPr>
              <w:t>一套智能终端取证数据分析系统，实现资源整合和信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息分析一体化，为用户提供信息的综合分析平台。</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完结</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实验室管理系统</w:t>
            </w:r>
            <w:r>
              <w:rPr>
                <w:rFonts w:ascii="Times New Roman" w:hAnsi="Times New Roman" w:cs="Times New Roman" w:eastAsia="Times New Roman" w:hint="default"/>
                <w:sz w:val="18"/>
                <w:szCs w:val="18"/>
              </w:rPr>
              <w:t>.V4</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435,688.26</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4"/>
                <w:sz w:val="18"/>
                <w:szCs w:val="18"/>
              </w:rPr>
              <w:t>一款以打造标准化、物联化、智能化为目的，依托当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前电子数据取证实验室建设要求而打造的实验室案 事件信息和业务流程综合管理平台。</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完结</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手机云数据取证系统</w:t>
            </w:r>
            <w:r>
              <w:rPr>
                <w:rFonts w:ascii="Times New Roman" w:hAnsi="Times New Roman" w:cs="Times New Roman" w:eastAsia="Times New Roman" w:hint="default"/>
                <w:sz w:val="18"/>
                <w:szCs w:val="18"/>
              </w:rPr>
              <w:t>.V1</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6,096,140.00</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4"/>
                <w:sz w:val="18"/>
                <w:szCs w:val="18"/>
              </w:rPr>
              <w:t>手机云数据取证系统是一款手机云数据取证设备，能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够对手机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云端的数据进行解析。</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完结</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互联网信息应急指挥系统</w:t>
            </w:r>
            <w:r>
              <w:rPr>
                <w:rFonts w:ascii="Times New Roman" w:hAnsi="Times New Roman" w:cs="Times New Roman" w:eastAsia="Times New Roman" w:hint="default"/>
                <w:sz w:val="18"/>
                <w:szCs w:val="18"/>
              </w:rPr>
              <w:t>.V1</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2,213,679.31</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3"/>
              <w:jc w:val="both"/>
              <w:rPr>
                <w:rFonts w:ascii="宋体" w:hAnsi="宋体" w:cs="宋体" w:eastAsia="宋体" w:hint="default"/>
                <w:sz w:val="18"/>
                <w:szCs w:val="18"/>
              </w:rPr>
            </w:pPr>
            <w:r>
              <w:rPr>
                <w:rFonts w:ascii="宋体" w:hAnsi="宋体" w:cs="宋体" w:eastAsia="宋体" w:hint="default"/>
                <w:spacing w:val="-4"/>
                <w:sz w:val="18"/>
                <w:szCs w:val="18"/>
              </w:rPr>
              <w:t>海量信息发现、分析、收集和整理，提高日常业务工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作效率。通过大数据分析技术快速有效地发现信息，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进行多维分析和跟踪，精准评估。</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完结</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路由通信系统</w:t>
            </w:r>
            <w:r>
              <w:rPr>
                <w:rFonts w:ascii="Times New Roman" w:hAnsi="Times New Roman" w:cs="Times New Roman" w:eastAsia="Times New Roman" w:hint="default"/>
                <w:sz w:val="18"/>
                <w:szCs w:val="18"/>
              </w:rPr>
              <w:t>.V1</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30,377.65</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pacing w:val="-4"/>
                <w:sz w:val="18"/>
                <w:szCs w:val="18"/>
              </w:rPr>
              <w:t>高效、快速、安全的访问，满足客户通过手机随时查</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完结</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1436"/>
        <w:gridCol w:w="4110"/>
        <w:gridCol w:w="1630"/>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看信息的需求。</w:t>
            </w:r>
          </w:p>
        </w:tc>
        <w:tc>
          <w:tcPr>
            <w:tcW w:w="163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36"/>
        <w:gridCol w:w="1949"/>
        <w:gridCol w:w="2392"/>
        <w:gridCol w:w="2392"/>
      </w:tblGrid>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1,598,792,096.32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1,482,913,875.03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7.81%</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1,526,942,841.65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1,282,969,687.02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19.02%</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71,849,254.67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199,944,188.01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-64.07%</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870,959,680.27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873,469,253.87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-0.29%</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843,109,186.73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1,039,372,003.61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Narrow" w:hAnsi="Arial Narrow" w:cs="Arial Narrow" w:eastAsia="Arial Narrow" w:hint="default"/>
                <w:sz w:val="18"/>
                <w:szCs w:val="18"/>
              </w:rPr>
            </w:pPr>
            <w:r>
              <w:rPr>
                <w:rFonts w:ascii="Arial Narrow"/>
                <w:spacing w:val="-1"/>
                <w:sz w:val="18"/>
              </w:rPr>
              <w:t>-18.88%</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27,850,493.54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-165,902,749.74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Narrow" w:hAnsi="Arial Narrow" w:cs="Arial Narrow" w:eastAsia="Arial Narrow" w:hint="default"/>
                <w:sz w:val="18"/>
                <w:szCs w:val="18"/>
              </w:rPr>
            </w:pPr>
            <w:r>
              <w:rPr>
                <w:rFonts w:ascii="Arial Narrow"/>
                <w:spacing w:val="-2"/>
                <w:w w:val="95"/>
                <w:sz w:val="18"/>
              </w:rPr>
              <w:t>116.79%</w:t>
            </w:r>
            <w:r>
              <w:rPr>
                <w:rFonts w:ascii="Arial Narrow"/>
                <w:spacing w:val="-2"/>
                <w:sz w:val="18"/>
              </w:rPr>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24,511,880.00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22,102,942.00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10.90%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101,775,020.84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25,012,005.24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306.90%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-77,263,140.84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-2,909,063.24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-2,555.95%</w:t>
            </w: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23,128,691.86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30,539,240.97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-24.27%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5"/>
        <w:ind w:left="153" w:right="1120" w:firstLine="420"/>
        <w:jc w:val="left"/>
      </w:pPr>
      <w:r>
        <w:rPr>
          <w:spacing w:val="-1"/>
        </w:rPr>
        <w:t>经营活动产生的现金流量净额较去年同期减少</w:t>
      </w:r>
      <w:r>
        <w:rPr>
          <w:rFonts w:ascii="Times New Roman" w:hAnsi="Times New Roman" w:cs="Times New Roman" w:eastAsia="Times New Roman" w:hint="default"/>
          <w:spacing w:val="-1"/>
        </w:rPr>
        <w:t>64.07%</w:t>
      </w:r>
      <w:r>
        <w:rPr>
          <w:spacing w:val="-1"/>
        </w:rPr>
        <w:t>，主要是由于报告期内公司购买商品、接受劳务</w:t>
      </w:r>
      <w:r>
        <w:rPr/>
        <w:t> 支付的现金及支付职工薪酬较去年同期有所增加所致。</w:t>
      </w:r>
    </w:p>
    <w:p>
      <w:pPr>
        <w:pStyle w:val="BodyText"/>
        <w:spacing w:line="386" w:lineRule="auto" w:before="65"/>
        <w:ind w:left="153" w:right="0" w:firstLine="420"/>
        <w:jc w:val="left"/>
      </w:pPr>
      <w:r>
        <w:rPr>
          <w:spacing w:val="-1"/>
        </w:rPr>
        <w:t>投资活动产生的现金流量净额较去年同期增加</w:t>
      </w:r>
      <w:r>
        <w:rPr>
          <w:rFonts w:ascii="Times New Roman" w:hAnsi="Times New Roman" w:cs="Times New Roman" w:eastAsia="Times New Roman" w:hint="default"/>
          <w:spacing w:val="-1"/>
        </w:rPr>
        <w:t>19,375.32</w:t>
      </w:r>
      <w:r>
        <w:rPr>
          <w:spacing w:val="-1"/>
        </w:rPr>
        <w:t>万元，主要是由于报告期累计定期存款收回较</w:t>
      </w:r>
      <w:r>
        <w:rPr/>
        <w:t> 去年同期增加以及处置部分中新赛克股票所致。</w:t>
      </w:r>
    </w:p>
    <w:p>
      <w:pPr>
        <w:pStyle w:val="BodyText"/>
        <w:spacing w:line="386" w:lineRule="auto" w:before="65"/>
        <w:ind w:left="153" w:right="1196" w:firstLine="420"/>
        <w:jc w:val="left"/>
      </w:pPr>
      <w:r>
        <w:rPr/>
        <w:t>筹资活动现金流量净额较去年同期减少</w:t>
      </w:r>
      <w:r>
        <w:rPr>
          <w:rFonts w:ascii="Times New Roman" w:hAnsi="Times New Roman" w:cs="Times New Roman" w:eastAsia="Times New Roman" w:hint="default"/>
        </w:rPr>
        <w:t>7,435.41</w:t>
      </w:r>
      <w:r>
        <w:rPr/>
        <w:t>万元，主要是由于</w:t>
      </w:r>
      <w:r>
        <w:rPr>
          <w:rFonts w:ascii="Times New Roman" w:hAnsi="Times New Roman" w:cs="Times New Roman" w:eastAsia="Times New Roman" w:hint="default"/>
        </w:rPr>
        <w:t>2018</w:t>
      </w:r>
      <w:r>
        <w:rPr/>
        <w:t>年公司实施</w:t>
      </w:r>
      <w:r>
        <w:rPr>
          <w:rFonts w:ascii="Times New Roman" w:hAnsi="Times New Roman" w:cs="Times New Roman" w:eastAsia="Times New Roman" w:hint="default"/>
        </w:rPr>
        <w:t>2017</w:t>
      </w:r>
      <w:r>
        <w:rPr/>
        <w:t>年度利润分配 方案，支付股利较上年度增加所致。</w:t>
      </w:r>
    </w:p>
    <w:p>
      <w:pPr>
        <w:spacing w:line="384" w:lineRule="auto" w:before="65"/>
        <w:ind w:left="153" w:right="1120" w:firstLine="420"/>
        <w:jc w:val="left"/>
        <w:rPr>
          <w:rFonts w:ascii="宋体" w:hAnsi="宋体" w:cs="宋体" w:eastAsia="宋体" w:hint="default"/>
          <w:sz w:val="18"/>
          <w:szCs w:val="18"/>
        </w:rPr>
      </w:pPr>
      <w:r>
        <w:rPr>
          <w:rFonts w:ascii="宋体" w:hAnsi="宋体" w:cs="宋体" w:eastAsia="宋体" w:hint="default"/>
          <w:spacing w:val="-1"/>
          <w:sz w:val="21"/>
          <w:szCs w:val="21"/>
        </w:rPr>
        <w:t>现金及现金等价物净增加额较去年同期下降</w:t>
      </w:r>
      <w:r>
        <w:rPr>
          <w:rFonts w:ascii="Times New Roman" w:hAnsi="Times New Roman" w:cs="Times New Roman" w:eastAsia="Times New Roman" w:hint="default"/>
          <w:spacing w:val="-1"/>
          <w:sz w:val="21"/>
          <w:szCs w:val="21"/>
        </w:rPr>
        <w:t>24.27%</w:t>
      </w:r>
      <w:r>
        <w:rPr>
          <w:rFonts w:ascii="宋体" w:hAnsi="宋体" w:cs="宋体" w:eastAsia="宋体" w:hint="default"/>
          <w:spacing w:val="-1"/>
          <w:sz w:val="21"/>
          <w:szCs w:val="21"/>
        </w:rPr>
        <w:t>，主要是由于经营活动产生的现金流量净额较去年</w:t>
      </w:r>
      <w:r>
        <w:rPr>
          <w:rFonts w:ascii="宋体" w:hAnsi="宋体" w:cs="宋体" w:eastAsia="宋体" w:hint="default"/>
          <w:sz w:val="21"/>
          <w:szCs w:val="21"/>
        </w:rPr>
        <w:t> 同期下降</w:t>
      </w:r>
      <w:r>
        <w:rPr>
          <w:rFonts w:ascii="Times New Roman" w:hAnsi="Times New Roman" w:cs="Times New Roman" w:eastAsia="Times New Roman" w:hint="default"/>
          <w:sz w:val="21"/>
          <w:szCs w:val="21"/>
        </w:rPr>
        <w:t>64.07%</w:t>
      </w:r>
      <w:r>
        <w:rPr>
          <w:rFonts w:ascii="宋体" w:hAnsi="宋体" w:cs="宋体" w:eastAsia="宋体" w:hint="default"/>
          <w:sz w:val="21"/>
          <w:szCs w:val="21"/>
        </w:rPr>
        <w:t>，投资活动产生的现金流量净额较去年同期增加</w:t>
      </w:r>
      <w:r>
        <w:rPr>
          <w:rFonts w:ascii="Times New Roman" w:hAnsi="Times New Roman" w:cs="Times New Roman" w:eastAsia="Times New Roman" w:hint="default"/>
          <w:sz w:val="21"/>
          <w:szCs w:val="21"/>
        </w:rPr>
        <w:t>116.79%</w:t>
      </w:r>
      <w:r>
        <w:rPr>
          <w:rFonts w:ascii="宋体" w:hAnsi="宋体" w:cs="宋体" w:eastAsia="宋体" w:hint="default"/>
          <w:sz w:val="21"/>
          <w:szCs w:val="21"/>
        </w:rPr>
        <w:t>，筹资活动产生的现金流量净额 较去年同期下降</w:t>
      </w:r>
      <w:r>
        <w:rPr>
          <w:rFonts w:ascii="Times New Roman" w:hAnsi="Times New Roman" w:cs="Times New Roman" w:eastAsia="Times New Roman" w:hint="default"/>
          <w:sz w:val="21"/>
          <w:szCs w:val="21"/>
        </w:rPr>
        <w:t>2,555.91%</w:t>
      </w:r>
      <w:r>
        <w:rPr>
          <w:rFonts w:ascii="宋体" w:hAnsi="宋体" w:cs="宋体" w:eastAsia="宋体" w:hint="default"/>
          <w:sz w:val="21"/>
          <w:szCs w:val="21"/>
        </w:rPr>
        <w:t>综合所致。 </w:t>
      </w:r>
      <w:r>
        <w:rPr>
          <w:rFonts w:ascii="宋体" w:hAnsi="宋体" w:cs="宋体" w:eastAsia="宋体" w:hint="default"/>
          <w:sz w:val="18"/>
          <w:szCs w:val="18"/>
        </w:rPr>
        <w:t>报告期内公司经营活动产生的现金净流量与本年度净利润存在重大差异的原因说明</w:t>
      </w:r>
    </w:p>
    <w:p>
      <w:pPr>
        <w:spacing w:before="8"/>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5"/>
        <w:ind w:left="889" w:right="0"/>
        <w:jc w:val="left"/>
      </w:pPr>
      <w:r>
        <w:rPr/>
        <w:t>经营活动产生的现金流量与本年度净利润存在差异的原因主要是</w:t>
      </w:r>
    </w:p>
    <w:p>
      <w:pPr>
        <w:spacing w:line="240" w:lineRule="auto" w:before="10"/>
        <w:rPr>
          <w:rFonts w:ascii="宋体" w:hAnsi="宋体" w:cs="宋体" w:eastAsia="宋体" w:hint="default"/>
          <w:sz w:val="14"/>
          <w:szCs w:val="14"/>
        </w:rPr>
      </w:pPr>
    </w:p>
    <w:p>
      <w:pPr>
        <w:pStyle w:val="BodyText"/>
        <w:spacing w:line="240" w:lineRule="auto"/>
        <w:ind w:left="469" w:right="0"/>
        <w:jc w:val="left"/>
      </w:pPr>
      <w:r>
        <w:rPr>
          <w:rFonts w:ascii="Times New Roman" w:hAnsi="Times New Roman" w:cs="Times New Roman" w:eastAsia="Times New Roman" w:hint="default"/>
        </w:rPr>
        <w:t>1</w:t>
      </w:r>
      <w:r>
        <w:rPr/>
        <w:t>）本年度由于受客户机构改革影响，部分客户付款审批较原来延迟。</w:t>
      </w:r>
    </w:p>
    <w:p>
      <w:pPr>
        <w:pStyle w:val="BodyText"/>
        <w:spacing w:line="240" w:lineRule="auto" w:before="177"/>
        <w:ind w:left="469" w:right="0"/>
        <w:jc w:val="left"/>
      </w:pPr>
      <w:r>
        <w:rPr>
          <w:rFonts w:ascii="Times New Roman" w:hAnsi="Times New Roman" w:cs="Times New Roman" w:eastAsia="Times New Roman" w:hint="default"/>
        </w:rPr>
        <w:t>2</w:t>
      </w:r>
      <w:r>
        <w:rPr/>
        <w:t>）由于本年度内公司购买商品、接受劳务支付的现金及支付职工薪酬较去年同期有所增加所致。</w:t>
      </w:r>
    </w:p>
    <w:p>
      <w:pPr>
        <w:pStyle w:val="BodyText"/>
        <w:spacing w:line="240" w:lineRule="auto" w:before="177"/>
        <w:ind w:left="469" w:right="0"/>
        <w:jc w:val="left"/>
      </w:pPr>
      <w:r>
        <w:rPr>
          <w:rFonts w:ascii="Times New Roman" w:hAnsi="Times New Roman" w:cs="Times New Roman" w:eastAsia="Times New Roman" w:hint="default"/>
        </w:rPr>
        <w:t>3</w:t>
      </w:r>
      <w:r>
        <w:rPr/>
        <w:t>）本年度净利润中包含处置部分中新赛克股票形成的投资收益，该部分再现金流量表中作为投资活动</w:t>
      </w:r>
    </w:p>
    <w:p>
      <w:pPr>
        <w:spacing w:after="0" w:line="240"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的现金流入。</w:t>
      </w:r>
    </w:p>
    <w:p>
      <w:pPr>
        <w:spacing w:line="240" w:lineRule="auto" w:before="11"/>
        <w:rPr>
          <w:rFonts w:ascii="宋体" w:hAnsi="宋体" w:cs="宋体" w:eastAsia="宋体" w:hint="default"/>
          <w:sz w:val="29"/>
          <w:szCs w:val="29"/>
        </w:rPr>
      </w:pPr>
    </w:p>
    <w:p>
      <w:pPr>
        <w:pStyle w:val="Heading2"/>
        <w:spacing w:line="240" w:lineRule="auto"/>
        <w:ind w:right="0"/>
        <w:jc w:val="left"/>
        <w:rPr>
          <w:b w:val="0"/>
          <w:bCs w:val="0"/>
        </w:rPr>
      </w:pPr>
      <w:r>
        <w:rPr/>
        <w:t>三、非主营业务情况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1277"/>
        <w:gridCol w:w="1384"/>
        <w:gridCol w:w="1559"/>
        <w:gridCol w:w="2444"/>
        <w:gridCol w:w="2905"/>
      </w:tblGrid>
      <w:tr>
        <w:trPr>
          <w:trHeight w:val="402" w:hRule="exact"/>
        </w:trPr>
        <w:tc>
          <w:tcPr>
            <w:tcW w:w="1277"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76"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27"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33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73,224,503.41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22.32%</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69"/>
              <w:jc w:val="left"/>
              <w:rPr>
                <w:rFonts w:ascii="宋体" w:hAnsi="宋体" w:cs="宋体" w:eastAsia="宋体" w:hint="default"/>
                <w:sz w:val="18"/>
                <w:szCs w:val="18"/>
              </w:rPr>
            </w:pPr>
            <w:r>
              <w:rPr>
                <w:rFonts w:ascii="宋体" w:hAnsi="宋体" w:cs="宋体" w:eastAsia="宋体" w:hint="default"/>
                <w:sz w:val="18"/>
                <w:szCs w:val="18"/>
              </w:rPr>
              <w:t>主要为处置部分中新赛克股 票所获得的投资收益</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出售可供出售金融资产等获得的 </w:t>
            </w:r>
            <w:r>
              <w:rPr>
                <w:rFonts w:ascii="宋体" w:hAnsi="宋体" w:cs="宋体" w:eastAsia="宋体" w:hint="default"/>
                <w:spacing w:val="-1"/>
                <w:sz w:val="18"/>
                <w:szCs w:val="18"/>
              </w:rPr>
              <w:t>投资收益不具有持续性，按权益法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核算的长期股权投资形成的投资 收益具有可持续性</w:t>
            </w:r>
          </w:p>
        </w:tc>
      </w:tr>
      <w:tr>
        <w:trPr>
          <w:trHeight w:val="71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41,449,354.91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12.64%</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9"/>
              <w:jc w:val="left"/>
              <w:rPr>
                <w:rFonts w:ascii="宋体" w:hAnsi="宋体" w:cs="宋体" w:eastAsia="宋体" w:hint="default"/>
                <w:sz w:val="18"/>
                <w:szCs w:val="18"/>
              </w:rPr>
            </w:pPr>
            <w:r>
              <w:rPr>
                <w:rFonts w:ascii="宋体" w:hAnsi="宋体" w:cs="宋体" w:eastAsia="宋体" w:hint="default"/>
                <w:sz w:val="18"/>
                <w:szCs w:val="18"/>
              </w:rPr>
              <w:t>主要为根据公司会计估计政 策计提相应的资产减值损失</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90"/>
              <w:jc w:val="left"/>
              <w:rPr>
                <w:rFonts w:ascii="宋体" w:hAnsi="宋体" w:cs="宋体" w:eastAsia="宋体" w:hint="default"/>
                <w:sz w:val="18"/>
                <w:szCs w:val="18"/>
              </w:rPr>
            </w:pPr>
            <w:r>
              <w:rPr>
                <w:rFonts w:ascii="宋体" w:hAnsi="宋体" w:cs="宋体" w:eastAsia="宋体" w:hint="default"/>
                <w:sz w:val="18"/>
                <w:szCs w:val="18"/>
              </w:rPr>
              <w:t>减值根据公司会计估计进行计提， 与公司的资产质量存在相关性</w:t>
            </w:r>
          </w:p>
        </w:tc>
      </w:tr>
      <w:tr>
        <w:trPr>
          <w:trHeight w:val="71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227,354.81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0.07%</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9"/>
              <w:jc w:val="left"/>
              <w:rPr>
                <w:rFonts w:ascii="宋体" w:hAnsi="宋体" w:cs="宋体" w:eastAsia="宋体" w:hint="default"/>
                <w:sz w:val="18"/>
                <w:szCs w:val="18"/>
              </w:rPr>
            </w:pPr>
            <w:r>
              <w:rPr>
                <w:rFonts w:ascii="宋体" w:hAnsi="宋体" w:cs="宋体" w:eastAsia="宋体" w:hint="default"/>
                <w:sz w:val="18"/>
                <w:szCs w:val="18"/>
              </w:rPr>
              <w:t>主要为处置废品收入及确认 部分无须支付的供应商款</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5,424,677.60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1.65%</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9"/>
              <w:jc w:val="left"/>
              <w:rPr>
                <w:rFonts w:ascii="宋体" w:hAnsi="宋体" w:cs="宋体" w:eastAsia="宋体" w:hint="default"/>
                <w:sz w:val="18"/>
                <w:szCs w:val="18"/>
              </w:rPr>
            </w:pPr>
            <w:r>
              <w:rPr>
                <w:rFonts w:ascii="宋体" w:hAnsi="宋体" w:cs="宋体" w:eastAsia="宋体" w:hint="default"/>
                <w:sz w:val="18"/>
                <w:szCs w:val="18"/>
              </w:rPr>
              <w:t>主要为公司对外公益捐赠支 出所致</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78,376,623.71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23.90%</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主要为公司软件产品增值税 退税及政府补助收入</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软件产品增值税退税政策为长期 </w:t>
            </w:r>
            <w:r>
              <w:rPr>
                <w:rFonts w:ascii="宋体" w:hAnsi="宋体" w:cs="宋体" w:eastAsia="宋体" w:hint="default"/>
                <w:spacing w:val="-1"/>
                <w:sz w:val="18"/>
                <w:szCs w:val="18"/>
              </w:rPr>
              <w:t>的政策，故软件产品增值税退税属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于经常性发生的补助，其他政府补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助则作为非经常性损益不具有可 持续性</w:t>
            </w:r>
          </w:p>
        </w:tc>
      </w:tr>
    </w:tbl>
    <w:p>
      <w:pPr>
        <w:spacing w:line="240" w:lineRule="auto" w:before="12"/>
        <w:rPr>
          <w:rFonts w:ascii="宋体" w:hAnsi="宋体" w:cs="宋体" w:eastAsia="宋体" w:hint="default"/>
          <w:sz w:val="17"/>
          <w:szCs w:val="17"/>
        </w:rPr>
      </w:pPr>
    </w:p>
    <w:p>
      <w:pPr>
        <w:pStyle w:val="Heading2"/>
        <w:spacing w:line="240" w:lineRule="auto" w:before="26"/>
        <w:ind w:right="0"/>
        <w:jc w:val="left"/>
        <w:rPr>
          <w:b w:val="0"/>
          <w:bCs w:val="0"/>
        </w:rPr>
      </w:pP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242"/>
        <w:gridCol w:w="1594"/>
        <w:gridCol w:w="959"/>
        <w:gridCol w:w="1559"/>
        <w:gridCol w:w="851"/>
        <w:gridCol w:w="992"/>
        <w:gridCol w:w="2374"/>
      </w:tblGrid>
      <w:tr>
        <w:trPr>
          <w:trHeight w:val="402" w:hRule="exact"/>
        </w:trPr>
        <w:tc>
          <w:tcPr>
            <w:tcW w:w="1242" w:type="dxa"/>
            <w:vMerge w:val="restart"/>
            <w:tcBorders>
              <w:top w:val="single" w:sz="4" w:space="0" w:color="000000"/>
              <w:left w:val="single" w:sz="4" w:space="0" w:color="000000"/>
              <w:right w:val="single" w:sz="4" w:space="0" w:color="000000"/>
            </w:tcBorders>
          </w:tcPr>
          <w:p>
            <w:pP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3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4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242"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94" w:right="113"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49" w:right="149"/>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992" w:type="dxa"/>
            <w:vMerge/>
            <w:tcBorders>
              <w:left w:val="single" w:sz="4" w:space="0" w:color="000000"/>
              <w:bottom w:val="single" w:sz="4" w:space="0" w:color="000000"/>
              <w:right w:val="single" w:sz="4" w:space="0" w:color="000000"/>
            </w:tcBorders>
          </w:tcPr>
          <w:p>
            <w:pPr/>
          </w:p>
        </w:tc>
        <w:tc>
          <w:tcPr>
            <w:tcW w:w="2374" w:type="dxa"/>
            <w:vMerge/>
            <w:tcBorders>
              <w:left w:val="single" w:sz="4" w:space="0" w:color="000000"/>
              <w:bottom w:val="single" w:sz="4" w:space="0" w:color="000000"/>
              <w:right w:val="single" w:sz="4" w:space="0" w:color="000000"/>
            </w:tcBorders>
          </w:tcPr>
          <w:p>
            <w:pPr/>
          </w:p>
        </w:tc>
      </w:tr>
      <w:tr>
        <w:trPr>
          <w:trHeight w:val="1026"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935,741,411.95</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27.17%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1,084,633,528.50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34.85%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-7.68%</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98"/>
              <w:jc w:val="left"/>
              <w:rPr>
                <w:rFonts w:ascii="宋体" w:hAnsi="宋体" w:cs="宋体" w:eastAsia="宋体" w:hint="default"/>
                <w:sz w:val="18"/>
                <w:szCs w:val="18"/>
              </w:rPr>
            </w:pPr>
            <w:r>
              <w:rPr>
                <w:rFonts w:ascii="宋体" w:hAnsi="宋体" w:cs="宋体" w:eastAsia="宋体" w:hint="default"/>
                <w:sz w:val="18"/>
                <w:szCs w:val="18"/>
              </w:rPr>
              <w:t>主要为公司其他资产增加， 货币资金总额较上年减少 所致</w:t>
            </w:r>
          </w:p>
        </w:tc>
      </w:tr>
      <w:tr>
        <w:trPr>
          <w:trHeight w:val="1338"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625,000,672.55</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18.15%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339,930,465.16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10.92%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7.23%</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98"/>
              <w:jc w:val="left"/>
              <w:rPr>
                <w:rFonts w:ascii="宋体" w:hAnsi="宋体" w:cs="宋体" w:eastAsia="宋体" w:hint="default"/>
                <w:sz w:val="18"/>
                <w:szCs w:val="18"/>
              </w:rPr>
            </w:pPr>
            <w:r>
              <w:rPr>
                <w:rFonts w:ascii="宋体" w:hAnsi="宋体" w:cs="宋体" w:eastAsia="宋体" w:hint="default"/>
                <w:sz w:val="18"/>
                <w:szCs w:val="18"/>
              </w:rPr>
              <w:t>主要为公司经营规模扩大， 营业收入增加及客户机构 改革，使得部分项目付款审 批延迟所致</w:t>
            </w:r>
          </w:p>
        </w:tc>
      </w:tr>
      <w:tr>
        <w:trPr>
          <w:trHeight w:val="715"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360,520,395.81</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10.47%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353,862,129.55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11.37%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-0.90%</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1"/>
              <w:jc w:val="left"/>
              <w:rPr>
                <w:rFonts w:ascii="宋体" w:hAnsi="宋体" w:cs="宋体" w:eastAsia="宋体" w:hint="default"/>
                <w:sz w:val="18"/>
                <w:szCs w:val="18"/>
              </w:rPr>
            </w:pPr>
            <w:r>
              <w:rPr>
                <w:rFonts w:ascii="宋体" w:hAnsi="宋体" w:cs="宋体" w:eastAsia="宋体" w:hint="default"/>
                <w:sz w:val="18"/>
                <w:szCs w:val="18"/>
              </w:rPr>
              <w:t>公司存货总额变化不大，主 要为项目备货所致</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1242"/>
        <w:gridCol w:w="1594"/>
        <w:gridCol w:w="959"/>
        <w:gridCol w:w="1559"/>
        <w:gridCol w:w="851"/>
        <w:gridCol w:w="992"/>
        <w:gridCol w:w="2374"/>
      </w:tblGrid>
      <w:tr>
        <w:trPr>
          <w:trHeight w:val="714"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7"/>
              <w:jc w:val="left"/>
              <w:rPr>
                <w:rFonts w:ascii="宋体" w:hAnsi="宋体" w:cs="宋体" w:eastAsia="宋体" w:hint="default"/>
                <w:sz w:val="18"/>
                <w:szCs w:val="18"/>
              </w:rPr>
            </w:pPr>
            <w:r>
              <w:rPr>
                <w:rFonts w:ascii="宋体" w:hAnsi="宋体" w:cs="宋体" w:eastAsia="宋体" w:hint="default"/>
                <w:sz w:val="18"/>
                <w:szCs w:val="18"/>
              </w:rPr>
              <w:t>投资性房地 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295,290.17</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0.01%</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0.01%</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78"/>
              <w:jc w:val="left"/>
              <w:rPr>
                <w:rFonts w:ascii="宋体" w:hAnsi="宋体" w:cs="宋体" w:eastAsia="宋体" w:hint="default"/>
                <w:sz w:val="18"/>
                <w:szCs w:val="18"/>
              </w:rPr>
            </w:pPr>
            <w:r>
              <w:rPr>
                <w:rFonts w:ascii="宋体" w:hAnsi="宋体" w:cs="宋体" w:eastAsia="宋体" w:hint="default"/>
                <w:sz w:val="18"/>
                <w:szCs w:val="18"/>
              </w:rPr>
              <w:t>主要为公司个别办公室出 租所致</w:t>
            </w:r>
          </w:p>
        </w:tc>
      </w:tr>
      <w:tr>
        <w:trPr>
          <w:trHeight w:val="1650"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03" w:right="227"/>
              <w:jc w:val="left"/>
              <w:rPr>
                <w:rFonts w:ascii="宋体" w:hAnsi="宋体" w:cs="宋体" w:eastAsia="宋体" w:hint="default"/>
                <w:sz w:val="18"/>
                <w:szCs w:val="18"/>
              </w:rPr>
            </w:pPr>
            <w:r>
              <w:rPr>
                <w:rFonts w:ascii="宋体" w:hAnsi="宋体" w:cs="宋体" w:eastAsia="宋体" w:hint="default"/>
                <w:sz w:val="18"/>
                <w:szCs w:val="18"/>
              </w:rPr>
              <w:t>长期股权投 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14,759,392.18</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0.43%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8,787,819.02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0.15%</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主要为公司参股公司服云 科技引入投资者，公司持有 服云科技其他权益变动使 得公司对服云长期股权投 资账面价值增加所致</w:t>
            </w:r>
          </w:p>
        </w:tc>
      </w:tr>
      <w:tr>
        <w:trPr>
          <w:trHeight w:val="714"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269,979,915.61</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7.84%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273,135,664.77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8.78%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-0.94%</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78"/>
              <w:jc w:val="left"/>
              <w:rPr>
                <w:rFonts w:ascii="宋体" w:hAnsi="宋体" w:cs="宋体" w:eastAsia="宋体" w:hint="default"/>
                <w:sz w:val="18"/>
                <w:szCs w:val="18"/>
              </w:rPr>
            </w:pPr>
            <w:r>
              <w:rPr>
                <w:rFonts w:ascii="宋体" w:hAnsi="宋体" w:cs="宋体" w:eastAsia="宋体" w:hint="default"/>
                <w:sz w:val="18"/>
                <w:szCs w:val="18"/>
              </w:rPr>
              <w:t>主要为本年公司固定资产 折旧所致</w:t>
            </w:r>
          </w:p>
        </w:tc>
      </w:tr>
      <w:tr>
        <w:trPr>
          <w:trHeight w:val="714"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1,415,526.94</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0.04%</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0.04%</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02"/>
              <w:jc w:val="left"/>
              <w:rPr>
                <w:rFonts w:ascii="宋体" w:hAnsi="宋体" w:cs="宋体" w:eastAsia="宋体" w:hint="default"/>
                <w:sz w:val="18"/>
                <w:szCs w:val="18"/>
              </w:rPr>
            </w:pPr>
            <w:r>
              <w:rPr>
                <w:rFonts w:ascii="宋体" w:hAnsi="宋体" w:cs="宋体" w:eastAsia="宋体" w:hint="default"/>
                <w:sz w:val="18"/>
                <w:szCs w:val="18"/>
              </w:rPr>
              <w:t>主要为本期公司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大楼部 分楼层装修尚未完工所致</w:t>
            </w:r>
          </w:p>
        </w:tc>
      </w:tr>
      <w:tr>
        <w:trPr>
          <w:trHeight w:val="714"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17,023,952.45</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0.49%</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0.49%</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78"/>
              <w:jc w:val="left"/>
              <w:rPr>
                <w:rFonts w:ascii="宋体" w:hAnsi="宋体" w:cs="宋体" w:eastAsia="宋体" w:hint="default"/>
                <w:sz w:val="18"/>
                <w:szCs w:val="18"/>
              </w:rPr>
            </w:pPr>
            <w:r>
              <w:rPr>
                <w:rFonts w:ascii="宋体" w:hAnsi="宋体" w:cs="宋体" w:eastAsia="宋体" w:hint="default"/>
                <w:sz w:val="18"/>
                <w:szCs w:val="18"/>
              </w:rPr>
              <w:t>主要是为公司购买西安研 发大楼贷款所致</w:t>
            </w:r>
          </w:p>
        </w:tc>
      </w:tr>
      <w:tr>
        <w:trPr>
          <w:trHeight w:val="1026"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71,547,601.94</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1"/>
              <w:jc w:val="right"/>
              <w:rPr>
                <w:rFonts w:ascii="楷体" w:hAnsi="楷体" w:cs="楷体" w:eastAsia="楷体" w:hint="default"/>
                <w:sz w:val="18"/>
                <w:szCs w:val="18"/>
              </w:rPr>
            </w:pPr>
            <w:r>
              <w:rPr>
                <w:rFonts w:ascii="楷体"/>
                <w:sz w:val="18"/>
              </w:rPr>
              <w:t>2.08%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49,643,700.07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0.48%</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78"/>
              <w:jc w:val="both"/>
              <w:rPr>
                <w:rFonts w:ascii="宋体" w:hAnsi="宋体" w:cs="宋体" w:eastAsia="宋体" w:hint="default"/>
                <w:sz w:val="18"/>
                <w:szCs w:val="18"/>
              </w:rPr>
            </w:pPr>
            <w:r>
              <w:rPr>
                <w:rFonts w:ascii="宋体" w:hAnsi="宋体" w:cs="宋体" w:eastAsia="宋体" w:hint="default"/>
                <w:sz w:val="18"/>
                <w:szCs w:val="18"/>
              </w:rPr>
              <w:t>主要为公司的合同保证金 及应收软件增值税退税款 较上年末增加</w:t>
            </w:r>
          </w:p>
        </w:tc>
      </w:tr>
      <w:tr>
        <w:trPr>
          <w:trHeight w:val="1026"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93,038,560.47</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36,847,711.88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1.18%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1.52%</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98"/>
              <w:jc w:val="left"/>
              <w:rPr>
                <w:rFonts w:ascii="宋体" w:hAnsi="宋体" w:cs="宋体" w:eastAsia="宋体" w:hint="default"/>
                <w:sz w:val="18"/>
                <w:szCs w:val="18"/>
              </w:rPr>
            </w:pPr>
            <w:r>
              <w:rPr>
                <w:rFonts w:ascii="宋体" w:hAnsi="宋体" w:cs="宋体" w:eastAsia="宋体" w:hint="default"/>
                <w:sz w:val="18"/>
                <w:szCs w:val="18"/>
              </w:rPr>
              <w:t>主要为公司经营规模扩大， 公司为项目采购预付款增 加所致</w:t>
            </w:r>
          </w:p>
        </w:tc>
      </w:tr>
      <w:tr>
        <w:trPr>
          <w:trHeight w:val="714"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7"/>
              <w:jc w:val="left"/>
              <w:rPr>
                <w:rFonts w:ascii="宋体" w:hAnsi="宋体" w:cs="宋体" w:eastAsia="宋体" w:hint="default"/>
                <w:sz w:val="18"/>
                <w:szCs w:val="18"/>
              </w:rPr>
            </w:pPr>
            <w:r>
              <w:rPr>
                <w:rFonts w:ascii="宋体" w:hAnsi="宋体" w:cs="宋体" w:eastAsia="宋体" w:hint="default"/>
                <w:sz w:val="18"/>
                <w:szCs w:val="18"/>
              </w:rPr>
              <w:t>可供出售金 融资产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241,452,268.01</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290,305,000.00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9.33%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-2.32%</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78"/>
              <w:jc w:val="left"/>
              <w:rPr>
                <w:rFonts w:ascii="宋体" w:hAnsi="宋体" w:cs="宋体" w:eastAsia="宋体" w:hint="default"/>
                <w:sz w:val="18"/>
                <w:szCs w:val="18"/>
              </w:rPr>
            </w:pPr>
            <w:r>
              <w:rPr>
                <w:rFonts w:ascii="宋体" w:hAnsi="宋体" w:cs="宋体" w:eastAsia="宋体" w:hint="default"/>
                <w:sz w:val="18"/>
                <w:szCs w:val="18"/>
              </w:rPr>
              <w:t>主要为本期公司处置了部 分中新赛克股票所致</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02"/>
        <w:gridCol w:w="1276"/>
        <w:gridCol w:w="992"/>
        <w:gridCol w:w="1417"/>
        <w:gridCol w:w="851"/>
        <w:gridCol w:w="851"/>
        <w:gridCol w:w="1276"/>
        <w:gridCol w:w="1201"/>
      </w:tblGrid>
      <w:tr>
        <w:trPr>
          <w:trHeight w:val="714"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0" w:right="41"/>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63" w:right="72" w:hanging="90"/>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50" w:right="59" w:hanging="90"/>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9" w:right="59" w:hanging="180"/>
              <w:jc w:val="left"/>
              <w:rPr>
                <w:rFonts w:ascii="宋体" w:hAnsi="宋体" w:cs="宋体" w:eastAsia="宋体" w:hint="default"/>
                <w:sz w:val="18"/>
                <w:szCs w:val="18"/>
              </w:rPr>
            </w:pPr>
            <w:r>
              <w:rPr>
                <w:rFonts w:ascii="宋体" w:hAnsi="宋体" w:cs="宋体" w:eastAsia="宋体" w:hint="default"/>
                <w:sz w:val="18"/>
                <w:szCs w:val="18"/>
              </w:rPr>
              <w:t>本期购买 金额</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9565"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230,625,000.00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130,388,136.94</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84,530,808.47</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179,369,486.94</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230,625,000.00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130,388,136.94</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84,530,808.47</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179,369,486.94</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230,625,000.00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130,388,136.94</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84,530,808.47</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179,369,486.94</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spacing w:line="568" w:lineRule="auto" w:before="0"/>
        <w:ind w:left="772" w:right="5512" w:hanging="61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b/>
          <w:bCs/>
          <w:w w:val="99"/>
          <w:sz w:val="21"/>
          <w:szCs w:val="21"/>
        </w:rPr>
        <w:t> </w:t>
      </w:r>
      <w:r>
        <w:rPr>
          <w:rFonts w:ascii="宋体" w:hAnsi="宋体" w:cs="宋体" w:eastAsia="宋体" w:hint="default"/>
          <w:sz w:val="21"/>
          <w:szCs w:val="21"/>
        </w:rPr>
        <w:t>截至报告期末公司的资产权益受限制情况主要为：</w:t>
      </w:r>
    </w:p>
    <w:p>
      <w:pPr>
        <w:spacing w:after="0" w:line="568" w:lineRule="auto"/>
        <w:jc w:val="left"/>
        <w:rPr>
          <w:rFonts w:ascii="宋体" w:hAnsi="宋体" w:cs="宋体" w:eastAsia="宋体" w:hint="default"/>
          <w:sz w:val="21"/>
          <w:szCs w:val="21"/>
        </w:rPr>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411" w:right="1021" w:firstLine="420"/>
        <w:jc w:val="left"/>
      </w:pPr>
      <w:r>
        <w:rPr/>
        <w:t>1、公司其他货币资金年末余额中28,483,071.66元作为保函保证金，</w:t>
      </w:r>
      <w:r>
        <w:rPr>
          <w:spacing w:val="-21"/>
        </w:rPr>
        <w:t> </w:t>
      </w:r>
      <w:r>
        <w:rPr/>
        <w:t>290,000.00元作为银行承兑</w:t>
      </w:r>
      <w:r>
        <w:rPr/>
        <w:t> 汇票保证金。</w:t>
      </w:r>
    </w:p>
    <w:p>
      <w:pPr>
        <w:pStyle w:val="BodyText"/>
        <w:spacing w:line="393" w:lineRule="auto" w:before="46"/>
        <w:ind w:left="411" w:right="1025" w:firstLine="420"/>
        <w:jc w:val="left"/>
      </w:pPr>
      <w:r>
        <w:rPr/>
        <w:t>2、公司使用自有资金支付西安房产</w:t>
      </w:r>
      <w:r>
        <w:rPr>
          <w:rFonts w:ascii="Times New Roman" w:hAnsi="Times New Roman" w:cs="Times New Roman" w:eastAsia="Times New Roman" w:hint="default"/>
        </w:rPr>
        <w:t>50%</w:t>
      </w:r>
      <w:r>
        <w:rPr/>
        <w:t>的房款，剩余</w:t>
      </w:r>
      <w:r>
        <w:rPr>
          <w:rFonts w:ascii="Times New Roman" w:hAnsi="Times New Roman" w:cs="Times New Roman" w:eastAsia="Times New Roman" w:hint="default"/>
        </w:rPr>
        <w:t>50%</w:t>
      </w:r>
      <w:r>
        <w:rPr/>
        <w:t>房款通过银行贷款方式按揭支付。因西安 房产目前还处于在建阶段，暂未取得产权证，公司以名下的部分大额存单作为过渡性质押担保物，向中 国农业银行股份有限公司厦门思明支行（以下简称“农业银行”）申请贷款，本公司与农业银行于</w:t>
      </w:r>
      <w:r>
        <w:rPr>
          <w:rFonts w:ascii="Times New Roman" w:hAnsi="Times New Roman" w:cs="Times New Roman" w:eastAsia="Times New Roman" w:hint="default"/>
        </w:rPr>
        <w:t>2018 </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29</w:t>
      </w:r>
      <w:r>
        <w:rPr>
          <w:spacing w:val="-1"/>
        </w:rPr>
        <w:t>日签订了编号为“</w:t>
      </w:r>
      <w:r>
        <w:rPr>
          <w:rFonts w:ascii="Times New Roman" w:hAnsi="Times New Roman" w:cs="Times New Roman" w:eastAsia="Times New Roman" w:hint="default"/>
          <w:spacing w:val="-1"/>
        </w:rPr>
        <w:t>83100420180002372</w:t>
      </w:r>
      <w:r>
        <w:rPr>
          <w:spacing w:val="-1"/>
        </w:rPr>
        <w:t>”的权利质押合同，向农业银行办理贷款</w:t>
      </w:r>
      <w:r>
        <w:rPr>
          <w:rFonts w:ascii="Times New Roman" w:hAnsi="Times New Roman" w:cs="Times New Roman" w:eastAsia="Times New Roman" w:hint="default"/>
          <w:spacing w:val="-1"/>
        </w:rPr>
        <w:t>1,863.108</w:t>
      </w:r>
      <w:r>
        <w:rPr>
          <w:spacing w:val="-1"/>
        </w:rPr>
        <w:t>万元，</w:t>
      </w:r>
      <w:r>
        <w:rPr>
          <w:spacing w:val="-74"/>
        </w:rPr>
        <w:t> </w:t>
      </w:r>
      <w:r>
        <w:rPr>
          <w:spacing w:val="-2"/>
        </w:rPr>
        <w:t>用于支付</w:t>
      </w:r>
      <w:r>
        <w:rPr>
          <w:rFonts w:ascii="Times New Roman" w:hAnsi="Times New Roman" w:cs="Times New Roman" w:eastAsia="Times New Roman" w:hint="default"/>
          <w:spacing w:val="-2"/>
        </w:rPr>
        <w:t>30%</w:t>
      </w:r>
      <w:r>
        <w:rPr>
          <w:spacing w:val="-2"/>
        </w:rPr>
        <w:t>购房款，本集团以编号为“</w:t>
      </w:r>
      <w:r>
        <w:rPr>
          <w:rFonts w:ascii="Times New Roman" w:hAnsi="Times New Roman" w:cs="Times New Roman" w:eastAsia="Times New Roman" w:hint="default"/>
          <w:spacing w:val="-2"/>
        </w:rPr>
        <w:t>02-000231413</w:t>
      </w:r>
      <w:r>
        <w:rPr>
          <w:spacing w:val="-2"/>
        </w:rPr>
        <w:t>”的定期存单计</w:t>
      </w:r>
      <w:r>
        <w:rPr>
          <w:rFonts w:ascii="Times New Roman" w:hAnsi="Times New Roman" w:cs="Times New Roman" w:eastAsia="Times New Roman" w:hint="default"/>
          <w:spacing w:val="-2"/>
        </w:rPr>
        <w:t>1,900</w:t>
      </w:r>
      <w:r>
        <w:rPr>
          <w:spacing w:val="-2"/>
        </w:rPr>
        <w:t>万元作为质押物，质押期限1</w:t>
      </w:r>
      <w:r>
        <w:rPr>
          <w:spacing w:val="-102"/>
        </w:rPr>
        <w:t> </w:t>
      </w:r>
      <w:r>
        <w:rPr>
          <w:spacing w:val="-102"/>
        </w:rPr>
      </w:r>
      <w:r>
        <w:rPr/>
        <w:t>年。该事项已经公司第四届董事会第三次会议审议通过，详细内容见公司2018年11月27日披露于巨潮资</w:t>
      </w:r>
      <w:r>
        <w:rPr/>
        <w:t> 讯网的相关公告。</w:t>
      </w:r>
    </w:p>
    <w:p>
      <w:pPr>
        <w:spacing w:line="240" w:lineRule="auto" w:before="8"/>
        <w:rPr>
          <w:rFonts w:ascii="宋体" w:hAnsi="宋体" w:cs="宋体" w:eastAsia="宋体" w:hint="default"/>
          <w:sz w:val="19"/>
          <w:szCs w:val="19"/>
        </w:rPr>
      </w:pPr>
    </w:p>
    <w:p>
      <w:pPr>
        <w:pStyle w:val="Heading2"/>
        <w:spacing w:line="240" w:lineRule="auto"/>
        <w:ind w:left="214" w:right="1021"/>
        <w:jc w:val="left"/>
        <w:rPr>
          <w:b w:val="0"/>
          <w:bCs w:val="0"/>
        </w:rPr>
      </w:pP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14" w:right="1021"/>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spacing w:before="0"/>
        <w:ind w:left="214"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20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1" w:right="0"/>
              <w:jc w:val="left"/>
              <w:rPr>
                <w:rFonts w:ascii="Times New Roman" w:hAnsi="Times New Roman" w:cs="Times New Roman" w:eastAsia="Times New Roman" w:hint="default"/>
                <w:sz w:val="18"/>
                <w:szCs w:val="18"/>
              </w:rPr>
            </w:pPr>
            <w:r>
              <w:rPr>
                <w:rFonts w:ascii="Times New Roman"/>
                <w:sz w:val="18"/>
              </w:rPr>
              <w:t>138,491,842.41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30,600,000.00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352.59%</w:t>
            </w:r>
          </w:p>
        </w:tc>
      </w:tr>
    </w:tbl>
    <w:p>
      <w:pPr>
        <w:spacing w:line="240" w:lineRule="auto" w:before="1"/>
        <w:rPr>
          <w:rFonts w:ascii="宋体" w:hAnsi="宋体" w:cs="宋体" w:eastAsia="宋体" w:hint="default"/>
          <w:sz w:val="19"/>
          <w:szCs w:val="19"/>
        </w:rPr>
      </w:pPr>
    </w:p>
    <w:p>
      <w:pPr>
        <w:pStyle w:val="Heading3"/>
        <w:spacing w:line="240" w:lineRule="auto" w:before="35"/>
        <w:ind w:left="214" w:right="1021"/>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spacing w:before="44"/>
        <w:ind w:left="214"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676"/>
        <w:gridCol w:w="708"/>
        <w:gridCol w:w="460"/>
        <w:gridCol w:w="674"/>
        <w:gridCol w:w="744"/>
        <w:gridCol w:w="566"/>
        <w:gridCol w:w="568"/>
        <w:gridCol w:w="390"/>
        <w:gridCol w:w="852"/>
        <w:gridCol w:w="566"/>
        <w:gridCol w:w="850"/>
        <w:gridCol w:w="568"/>
        <w:gridCol w:w="709"/>
        <w:gridCol w:w="1235"/>
      </w:tblGrid>
      <w:tr>
        <w:trPr>
          <w:trHeight w:val="1338"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52" w:right="151"/>
              <w:jc w:val="both"/>
              <w:rPr>
                <w:rFonts w:ascii="宋体" w:hAnsi="宋体" w:cs="宋体" w:eastAsia="宋体" w:hint="default"/>
                <w:sz w:val="18"/>
                <w:szCs w:val="18"/>
              </w:rPr>
            </w:pPr>
            <w:r>
              <w:rPr>
                <w:rFonts w:ascii="宋体" w:hAnsi="宋体" w:cs="宋体" w:eastAsia="宋体" w:hint="default"/>
                <w:sz w:val="18"/>
                <w:szCs w:val="18"/>
              </w:rPr>
              <w:t>被投 资公 司名 称</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68" w:right="168"/>
              <w:jc w:val="left"/>
              <w:rPr>
                <w:rFonts w:ascii="宋体" w:hAnsi="宋体" w:cs="宋体" w:eastAsia="宋体" w:hint="default"/>
                <w:sz w:val="18"/>
                <w:szCs w:val="18"/>
              </w:rPr>
            </w:pPr>
            <w:r>
              <w:rPr>
                <w:rFonts w:ascii="宋体" w:hAnsi="宋体" w:cs="宋体" w:eastAsia="宋体" w:hint="default"/>
                <w:sz w:val="18"/>
                <w:szCs w:val="18"/>
              </w:rPr>
              <w:t>主要 业务</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34" w:right="133"/>
              <w:jc w:val="both"/>
              <w:rPr>
                <w:rFonts w:ascii="宋体" w:hAnsi="宋体" w:cs="宋体" w:eastAsia="宋体" w:hint="default"/>
                <w:sz w:val="18"/>
                <w:szCs w:val="18"/>
              </w:rPr>
            </w:pPr>
            <w:r>
              <w:rPr>
                <w:rFonts w:ascii="宋体" w:hAnsi="宋体" w:cs="宋体" w:eastAsia="宋体" w:hint="default"/>
                <w:sz w:val="18"/>
                <w:szCs w:val="18"/>
              </w:rPr>
              <w:t>投 资 方 式</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52" w:right="150"/>
              <w:jc w:val="left"/>
              <w:rPr>
                <w:rFonts w:ascii="宋体" w:hAnsi="宋体" w:cs="宋体" w:eastAsia="宋体" w:hint="default"/>
                <w:sz w:val="18"/>
                <w:szCs w:val="18"/>
              </w:rPr>
            </w:pPr>
            <w:r>
              <w:rPr>
                <w:rFonts w:ascii="宋体" w:hAnsi="宋体" w:cs="宋体" w:eastAsia="宋体" w:hint="default"/>
                <w:sz w:val="18"/>
                <w:szCs w:val="18"/>
              </w:rPr>
              <w:t>投资 金额</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86" w:right="186"/>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87" w:right="187"/>
              <w:jc w:val="both"/>
              <w:rPr>
                <w:rFonts w:ascii="宋体" w:hAnsi="宋体" w:cs="宋体" w:eastAsia="宋体" w:hint="default"/>
                <w:sz w:val="18"/>
                <w:szCs w:val="18"/>
              </w:rPr>
            </w:pPr>
            <w:r>
              <w:rPr>
                <w:rFonts w:ascii="宋体" w:hAnsi="宋体" w:cs="宋体" w:eastAsia="宋体" w:hint="default"/>
                <w:sz w:val="18"/>
                <w:szCs w:val="18"/>
              </w:rPr>
              <w:t>资 金 来 源</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88" w:right="187"/>
              <w:jc w:val="both"/>
              <w:rPr>
                <w:rFonts w:ascii="宋体" w:hAnsi="宋体" w:cs="宋体" w:eastAsia="宋体" w:hint="default"/>
                <w:sz w:val="18"/>
                <w:szCs w:val="18"/>
              </w:rPr>
            </w:pPr>
            <w:r>
              <w:rPr>
                <w:rFonts w:ascii="宋体" w:hAnsi="宋体" w:cs="宋体" w:eastAsia="宋体" w:hint="default"/>
                <w:sz w:val="18"/>
                <w:szCs w:val="18"/>
              </w:rPr>
              <w:t>合 作 方</w:t>
            </w:r>
          </w:p>
        </w:tc>
        <w:tc>
          <w:tcPr>
            <w:tcW w:w="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96"/>
              <w:jc w:val="both"/>
              <w:rPr>
                <w:rFonts w:ascii="宋体" w:hAnsi="宋体" w:cs="宋体" w:eastAsia="宋体" w:hint="default"/>
                <w:sz w:val="18"/>
                <w:szCs w:val="18"/>
              </w:rPr>
            </w:pPr>
            <w:r>
              <w:rPr>
                <w:rFonts w:ascii="宋体" w:hAnsi="宋体" w:cs="宋体" w:eastAsia="宋体" w:hint="default"/>
                <w:sz w:val="18"/>
                <w:szCs w:val="18"/>
              </w:rPr>
              <w:t>投 资 期 限</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329" w:right="150"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87" w:right="187"/>
              <w:jc w:val="both"/>
              <w:rPr>
                <w:rFonts w:ascii="宋体" w:hAnsi="宋体" w:cs="宋体" w:eastAsia="宋体" w:hint="default"/>
                <w:sz w:val="18"/>
                <w:szCs w:val="18"/>
              </w:rPr>
            </w:pPr>
            <w:r>
              <w:rPr>
                <w:rFonts w:ascii="宋体" w:hAnsi="宋体" w:cs="宋体" w:eastAsia="宋体" w:hint="default"/>
                <w:sz w:val="18"/>
                <w:szCs w:val="18"/>
              </w:rPr>
              <w:t>预 计 收 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49" w:right="148"/>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88" w:right="187"/>
              <w:jc w:val="both"/>
              <w:rPr>
                <w:rFonts w:ascii="宋体" w:hAnsi="宋体" w:cs="宋体" w:eastAsia="宋体" w:hint="default"/>
                <w:sz w:val="18"/>
                <w:szCs w:val="18"/>
              </w:rPr>
            </w:pPr>
            <w:r>
              <w:rPr>
                <w:rFonts w:ascii="宋体" w:hAnsi="宋体" w:cs="宋体" w:eastAsia="宋体" w:hint="default"/>
                <w:sz w:val="18"/>
                <w:szCs w:val="18"/>
              </w:rPr>
              <w:t>是 否 涉 诉</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69" w:right="168"/>
              <w:jc w:val="left"/>
              <w:rPr>
                <w:rFonts w:ascii="宋体" w:hAnsi="宋体" w:cs="宋体" w:eastAsia="宋体" w:hint="default"/>
                <w:sz w:val="18"/>
                <w:szCs w:val="18"/>
              </w:rPr>
            </w:pPr>
            <w:r>
              <w:rPr>
                <w:rFonts w:ascii="宋体" w:hAnsi="宋体" w:cs="宋体" w:eastAsia="宋体" w:hint="default"/>
                <w:sz w:val="18"/>
                <w:szCs w:val="18"/>
              </w:rPr>
              <w:t>披露 日期</w:t>
            </w:r>
          </w:p>
          <w:p>
            <w:pPr>
              <w:pStyle w:val="TableParagraph"/>
              <w:spacing w:line="319" w:lineRule="auto" w:before="19"/>
              <w:ind w:left="169" w:right="168"/>
              <w:jc w:val="left"/>
              <w:rPr>
                <w:rFonts w:ascii="宋体" w:hAnsi="宋体" w:cs="宋体" w:eastAsia="宋体" w:hint="default"/>
                <w:sz w:val="18"/>
                <w:szCs w:val="18"/>
              </w:rPr>
            </w:pPr>
            <w:r>
              <w:rPr>
                <w:rFonts w:ascii="宋体" w:hAnsi="宋体" w:cs="宋体" w:eastAsia="宋体" w:hint="default"/>
                <w:sz w:val="18"/>
                <w:szCs w:val="18"/>
              </w:rPr>
              <w:t>（如 有）</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431" w:right="101" w:hanging="329"/>
              <w:jc w:val="left"/>
              <w:rPr>
                <w:rFonts w:ascii="宋体" w:hAnsi="宋体" w:cs="宋体" w:eastAsia="宋体" w:hint="default"/>
                <w:sz w:val="18"/>
                <w:szCs w:val="18"/>
              </w:rPr>
            </w:pPr>
            <w:r>
              <w:rPr>
                <w:rFonts w:ascii="宋体" w:hAnsi="宋体" w:cs="宋体" w:eastAsia="宋体" w:hint="default"/>
                <w:spacing w:val="-11"/>
                <w:sz w:val="18"/>
                <w:szCs w:val="18"/>
              </w:rPr>
              <w:t>披露索引（如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w:t>
            </w:r>
          </w:p>
        </w:tc>
      </w:tr>
      <w:tr>
        <w:trPr>
          <w:trHeight w:val="2898"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52" w:right="151"/>
              <w:jc w:val="both"/>
              <w:rPr>
                <w:rFonts w:ascii="宋体" w:hAnsi="宋体" w:cs="宋体" w:eastAsia="宋体" w:hint="default"/>
                <w:sz w:val="18"/>
                <w:szCs w:val="18"/>
              </w:rPr>
            </w:pPr>
            <w:r>
              <w:rPr>
                <w:rFonts w:ascii="宋体" w:hAnsi="宋体" w:cs="宋体" w:eastAsia="宋体" w:hint="default"/>
                <w:sz w:val="18"/>
                <w:szCs w:val="18"/>
              </w:rPr>
              <w:t>厦门 美亚 天信 会议 服务 有限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67" w:right="168"/>
              <w:jc w:val="both"/>
              <w:rPr>
                <w:rFonts w:ascii="宋体" w:hAnsi="宋体" w:cs="宋体" w:eastAsia="宋体" w:hint="default"/>
                <w:sz w:val="18"/>
                <w:szCs w:val="18"/>
              </w:rPr>
            </w:pPr>
            <w:r>
              <w:rPr>
                <w:rFonts w:ascii="宋体" w:hAnsi="宋体" w:cs="宋体" w:eastAsia="宋体" w:hint="default"/>
                <w:sz w:val="18"/>
                <w:szCs w:val="18"/>
              </w:rPr>
              <w:t>会议 及展 览服 务</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34" w:right="133"/>
              <w:jc w:val="left"/>
              <w:rPr>
                <w:rFonts w:ascii="宋体" w:hAnsi="宋体" w:cs="宋体" w:eastAsia="宋体" w:hint="default"/>
                <w:sz w:val="18"/>
                <w:szCs w:val="18"/>
              </w:rPr>
            </w:pPr>
            <w:r>
              <w:rPr>
                <w:rFonts w:ascii="宋体" w:hAnsi="宋体" w:cs="宋体" w:eastAsia="宋体" w:hint="default"/>
                <w:sz w:val="18"/>
                <w:szCs w:val="18"/>
              </w:rPr>
              <w:t>新 设</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4"/>
              <w:ind w:right="9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80" w:right="0"/>
              <w:jc w:val="left"/>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87" w:right="187"/>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88" w:right="187"/>
              <w:jc w:val="center"/>
              <w:rPr>
                <w:rFonts w:ascii="宋体" w:hAnsi="宋体" w:cs="宋体" w:eastAsia="宋体" w:hint="default"/>
                <w:sz w:val="18"/>
                <w:szCs w:val="18"/>
              </w:rPr>
            </w:pPr>
            <w:r>
              <w:rPr>
                <w:rFonts w:ascii="宋体" w:hAnsi="宋体" w:cs="宋体" w:eastAsia="宋体" w:hint="default"/>
                <w:sz w:val="18"/>
                <w:szCs w:val="18"/>
              </w:rPr>
              <w:t>独 资</w:t>
            </w:r>
          </w:p>
        </w:tc>
        <w:tc>
          <w:tcPr>
            <w:tcW w:w="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96"/>
              <w:jc w:val="left"/>
              <w:rPr>
                <w:rFonts w:ascii="宋体" w:hAnsi="宋体" w:cs="宋体" w:eastAsia="宋体" w:hint="default"/>
                <w:sz w:val="18"/>
                <w:szCs w:val="18"/>
              </w:rPr>
            </w:pPr>
            <w:r>
              <w:rPr>
                <w:rFonts w:ascii="宋体" w:hAnsi="宋体" w:cs="宋体" w:eastAsia="宋体" w:hint="default"/>
                <w:sz w:val="18"/>
                <w:szCs w:val="18"/>
              </w:rPr>
              <w:t>长 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49" w:right="150"/>
              <w:jc w:val="center"/>
              <w:rPr>
                <w:rFonts w:ascii="宋体" w:hAnsi="宋体" w:cs="宋体" w:eastAsia="宋体" w:hint="default"/>
                <w:sz w:val="18"/>
                <w:szCs w:val="18"/>
              </w:rPr>
            </w:pPr>
            <w:r>
              <w:rPr>
                <w:rFonts w:ascii="宋体" w:hAnsi="宋体" w:cs="宋体" w:eastAsia="宋体" w:hint="default"/>
                <w:sz w:val="18"/>
                <w:szCs w:val="18"/>
              </w:rPr>
              <w:t>会议及 展览服 务</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center"/>
              <w:rPr>
                <w:rFonts w:ascii="Times New Roman" w:hAnsi="Times New Roman" w:cs="Times New Roman" w:eastAsia="Times New Roman" w:hint="default"/>
                <w:sz w:val="18"/>
                <w:szCs w:val="18"/>
              </w:rPr>
            </w:pPr>
            <w:r>
              <w:rPr>
                <w:rFonts w:ascii="Times New Roman"/>
                <w:sz w:val="18"/>
              </w:rPr>
              <w:t>-2,714,6</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51.92</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92"/>
              <w:ind w:left="110" w:right="106" w:hanging="3"/>
              <w:jc w:val="both"/>
              <w:rPr>
                <w:rFonts w:ascii="宋体" w:hAnsi="宋体" w:cs="宋体" w:eastAsia="宋体" w:hint="default"/>
                <w:sz w:val="18"/>
                <w:szCs w:val="18"/>
              </w:rPr>
            </w:pPr>
            <w:hyperlink r:id="rId12">
              <w:r>
                <w:rPr>
                  <w:rFonts w:ascii="Times New Roman" w:hAnsi="Times New Roman" w:cs="Times New Roman" w:eastAsia="Times New Roman" w:hint="default"/>
                  <w:spacing w:val="-2"/>
                  <w:sz w:val="18"/>
                  <w:szCs w:val="18"/>
                </w:rPr>
                <w:t>www.cninfo.c</w:t>
              </w:r>
            </w:hyperlink>
            <w:r>
              <w:rPr>
                <w:rFonts w:ascii="Times New Roman" w:hAnsi="Times New Roman" w:cs="Times New Roman" w:eastAsia="Times New Roman" w:hint="default"/>
                <w:spacing w:val="-34"/>
                <w:sz w:val="18"/>
                <w:szCs w:val="18"/>
              </w:rPr>
              <w:t> </w:t>
            </w:r>
            <w:r>
              <w:rPr>
                <w:rFonts w:ascii="Times New Roman" w:hAnsi="Times New Roman" w:cs="Times New Roman" w:eastAsia="Times New Roman" w:hint="default"/>
                <w:spacing w:val="-34"/>
                <w:sz w:val="18"/>
                <w:szCs w:val="18"/>
              </w:rPr>
            </w:r>
            <w:r>
              <w:rPr>
                <w:rFonts w:ascii="Times New Roman" w:hAnsi="Times New Roman" w:cs="Times New Roman" w:eastAsia="Times New Roman" w:hint="default"/>
                <w:sz w:val="18"/>
                <w:szCs w:val="18"/>
              </w:rPr>
              <w:t>om.cn</w:t>
            </w:r>
            <w:r>
              <w:rPr>
                <w:rFonts w:ascii="宋体" w:hAnsi="宋体" w:cs="宋体" w:eastAsia="宋体" w:hint="default"/>
                <w:sz w:val="18"/>
                <w:szCs w:val="18"/>
              </w:rPr>
              <w:t>《</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年半年度报 </w:t>
            </w:r>
            <w:r>
              <w:rPr>
                <w:rFonts w:ascii="宋体" w:hAnsi="宋体" w:cs="宋体" w:eastAsia="宋体" w:hint="default"/>
                <w:spacing w:val="-15"/>
                <w:sz w:val="18"/>
                <w:szCs w:val="18"/>
              </w:rPr>
              <w:t>告》（公告编</w:t>
            </w:r>
            <w:r>
              <w:rPr>
                <w:rFonts w:ascii="宋体" w:hAnsi="宋体" w:cs="宋体" w:eastAsia="宋体" w:hint="default"/>
                <w:sz w:val="18"/>
                <w:szCs w:val="18"/>
              </w:rPr>
              <w:t> 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2018-63</w:t>
            </w:r>
            <w:r>
              <w:rPr>
                <w:rFonts w:ascii="宋体" w:hAnsi="宋体" w:cs="宋体" w:eastAsia="宋体" w:hint="default"/>
                <w:sz w:val="18"/>
                <w:szCs w:val="18"/>
              </w:rPr>
              <w:t>）</w:t>
            </w:r>
          </w:p>
          <w:p>
            <w:pPr>
              <w:pStyle w:val="TableParagraph"/>
              <w:spacing w:line="319" w:lineRule="auto" w:before="3"/>
              <w:ind w:left="117" w:right="115" w:firstLine="44"/>
              <w:jc w:val="both"/>
              <w:rPr>
                <w:rFonts w:ascii="宋体" w:hAnsi="宋体" w:cs="宋体" w:eastAsia="宋体" w:hint="default"/>
                <w:sz w:val="18"/>
                <w:szCs w:val="18"/>
              </w:rPr>
            </w:pPr>
            <w:r>
              <w:rPr>
                <w:rFonts w:ascii="宋体" w:hAnsi="宋体" w:cs="宋体" w:eastAsia="宋体" w:hint="default"/>
                <w:sz w:val="18"/>
                <w:szCs w:val="18"/>
              </w:rPr>
              <w:t>第四节经营 情况讨论与 分析 五、投 资状况分析</w:t>
            </w:r>
          </w:p>
        </w:tc>
      </w:tr>
      <w:tr>
        <w:trPr>
          <w:trHeight w:val="1027"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52" w:right="151"/>
              <w:jc w:val="both"/>
              <w:rPr>
                <w:rFonts w:ascii="宋体" w:hAnsi="宋体" w:cs="宋体" w:eastAsia="宋体" w:hint="default"/>
                <w:sz w:val="18"/>
                <w:szCs w:val="18"/>
              </w:rPr>
            </w:pPr>
            <w:r>
              <w:rPr>
                <w:rFonts w:ascii="宋体" w:hAnsi="宋体" w:cs="宋体" w:eastAsia="宋体" w:hint="default"/>
                <w:sz w:val="18"/>
                <w:szCs w:val="18"/>
              </w:rPr>
              <w:t>福建 美亚 榕安</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67" w:right="168"/>
              <w:jc w:val="both"/>
              <w:rPr>
                <w:rFonts w:ascii="宋体" w:hAnsi="宋体" w:cs="宋体" w:eastAsia="宋体" w:hint="default"/>
                <w:sz w:val="18"/>
                <w:szCs w:val="18"/>
              </w:rPr>
            </w:pPr>
            <w:r>
              <w:rPr>
                <w:rFonts w:ascii="宋体" w:hAnsi="宋体" w:cs="宋体" w:eastAsia="宋体" w:hint="default"/>
                <w:sz w:val="18"/>
                <w:szCs w:val="18"/>
              </w:rPr>
              <w:t>网络 与信 息安</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34" w:right="133"/>
              <w:jc w:val="left"/>
              <w:rPr>
                <w:rFonts w:ascii="宋体" w:hAnsi="宋体" w:cs="宋体" w:eastAsia="宋体" w:hint="default"/>
                <w:sz w:val="18"/>
                <w:szCs w:val="18"/>
              </w:rPr>
            </w:pPr>
            <w:r>
              <w:rPr>
                <w:rFonts w:ascii="宋体" w:hAnsi="宋体" w:cs="宋体" w:eastAsia="宋体" w:hint="default"/>
                <w:sz w:val="18"/>
                <w:szCs w:val="18"/>
              </w:rPr>
              <w:t>新 设</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3,500,</w:t>
            </w:r>
          </w:p>
          <w:p>
            <w:pPr>
              <w:pStyle w:val="TableParagraph"/>
              <w:spacing w:line="240" w:lineRule="auto" w:before="104"/>
              <w:ind w:right="9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80" w:right="0"/>
              <w:jc w:val="left"/>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87" w:right="187"/>
              <w:jc w:val="both"/>
              <w:rPr>
                <w:rFonts w:ascii="宋体" w:hAnsi="宋体" w:cs="宋体" w:eastAsia="宋体" w:hint="default"/>
                <w:sz w:val="18"/>
                <w:szCs w:val="18"/>
              </w:rPr>
            </w:pPr>
            <w:r>
              <w:rPr>
                <w:rFonts w:ascii="宋体" w:hAnsi="宋体" w:cs="宋体" w:eastAsia="宋体" w:hint="default"/>
                <w:sz w:val="18"/>
                <w:szCs w:val="18"/>
              </w:rPr>
              <w:t>自 有 资</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88" w:right="187"/>
              <w:jc w:val="center"/>
              <w:rPr>
                <w:rFonts w:ascii="宋体" w:hAnsi="宋体" w:cs="宋体" w:eastAsia="宋体" w:hint="default"/>
                <w:sz w:val="18"/>
                <w:szCs w:val="18"/>
              </w:rPr>
            </w:pPr>
            <w:r>
              <w:rPr>
                <w:rFonts w:ascii="宋体" w:hAnsi="宋体" w:cs="宋体" w:eastAsia="宋体" w:hint="default"/>
                <w:sz w:val="18"/>
                <w:szCs w:val="18"/>
              </w:rPr>
              <w:t>独 资</w:t>
            </w:r>
          </w:p>
        </w:tc>
        <w:tc>
          <w:tcPr>
            <w:tcW w:w="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96"/>
              <w:jc w:val="left"/>
              <w:rPr>
                <w:rFonts w:ascii="宋体" w:hAnsi="宋体" w:cs="宋体" w:eastAsia="宋体" w:hint="default"/>
                <w:sz w:val="18"/>
                <w:szCs w:val="18"/>
              </w:rPr>
            </w:pPr>
            <w:r>
              <w:rPr>
                <w:rFonts w:ascii="宋体" w:hAnsi="宋体" w:cs="宋体" w:eastAsia="宋体" w:hint="default"/>
                <w:sz w:val="18"/>
                <w:szCs w:val="18"/>
              </w:rPr>
              <w:t>长 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49" w:right="150"/>
              <w:jc w:val="both"/>
              <w:rPr>
                <w:rFonts w:ascii="宋体" w:hAnsi="宋体" w:cs="宋体" w:eastAsia="宋体" w:hint="default"/>
                <w:sz w:val="18"/>
                <w:szCs w:val="18"/>
              </w:rPr>
            </w:pPr>
            <w:r>
              <w:rPr>
                <w:rFonts w:ascii="宋体" w:hAnsi="宋体" w:cs="宋体" w:eastAsia="宋体" w:hint="default"/>
                <w:sz w:val="18"/>
                <w:szCs w:val="18"/>
              </w:rPr>
              <w:t>网络与 信息安 全开发</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-3,007.5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9"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1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92"/>
              <w:ind w:left="107" w:right="108"/>
              <w:jc w:val="center"/>
              <w:rPr>
                <w:rFonts w:ascii="宋体" w:hAnsi="宋体" w:cs="宋体" w:eastAsia="宋体" w:hint="default"/>
                <w:sz w:val="18"/>
                <w:szCs w:val="18"/>
              </w:rPr>
            </w:pPr>
            <w:hyperlink r:id="rId12">
              <w:r>
                <w:rPr>
                  <w:rFonts w:ascii="Times New Roman" w:hAnsi="Times New Roman" w:cs="Times New Roman" w:eastAsia="Times New Roman" w:hint="default"/>
                  <w:spacing w:val="-2"/>
                  <w:sz w:val="18"/>
                  <w:szCs w:val="18"/>
                </w:rPr>
                <w:t>www.cninfo.c</w:t>
              </w:r>
            </w:hyperlink>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Times New Roman" w:hAnsi="Times New Roman" w:cs="Times New Roman" w:eastAsia="Times New Roman" w:hint="default"/>
                <w:sz w:val="18"/>
                <w:szCs w:val="18"/>
              </w:rPr>
              <w:t>om.cn </w:t>
            </w:r>
            <w:r>
              <w:rPr>
                <w:rFonts w:ascii="宋体" w:hAnsi="宋体" w:cs="宋体" w:eastAsia="宋体" w:hint="default"/>
                <w:sz w:val="18"/>
                <w:szCs w:val="18"/>
              </w:rPr>
              <w:t>公告 编号：</w:t>
            </w:r>
          </w:p>
        </w:tc>
      </w:tr>
    </w:tbl>
    <w:p>
      <w:pPr>
        <w:spacing w:after="0" w:line="307" w:lineRule="auto"/>
        <w:jc w:val="center"/>
        <w:rPr>
          <w:rFonts w:ascii="宋体" w:hAnsi="宋体" w:cs="宋体" w:eastAsia="宋体" w:hint="default"/>
          <w:sz w:val="18"/>
          <w:szCs w:val="18"/>
        </w:rPr>
        <w:sectPr>
          <w:pgSz w:w="11910" w:h="16840"/>
          <w:pgMar w:header="747" w:footer="982" w:top="1060" w:bottom="1180" w:left="920" w:right="0"/>
        </w:sectPr>
      </w:pPr>
    </w:p>
    <w:p>
      <w:pPr>
        <w:spacing w:line="240" w:lineRule="auto" w:before="6"/>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676"/>
        <w:gridCol w:w="708"/>
        <w:gridCol w:w="460"/>
        <w:gridCol w:w="674"/>
        <w:gridCol w:w="744"/>
        <w:gridCol w:w="566"/>
        <w:gridCol w:w="568"/>
        <w:gridCol w:w="390"/>
        <w:gridCol w:w="852"/>
        <w:gridCol w:w="566"/>
        <w:gridCol w:w="850"/>
        <w:gridCol w:w="568"/>
        <w:gridCol w:w="709"/>
        <w:gridCol w:w="1235"/>
      </w:tblGrid>
      <w:tr>
        <w:trPr>
          <w:trHeight w:val="986"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52" w:right="151"/>
              <w:jc w:val="both"/>
              <w:rPr>
                <w:rFonts w:ascii="宋体" w:hAnsi="宋体" w:cs="宋体" w:eastAsia="宋体" w:hint="default"/>
                <w:sz w:val="18"/>
                <w:szCs w:val="18"/>
              </w:rPr>
            </w:pPr>
            <w:r>
              <w:rPr>
                <w:rFonts w:ascii="宋体" w:hAnsi="宋体" w:cs="宋体" w:eastAsia="宋体" w:hint="default"/>
                <w:sz w:val="18"/>
                <w:szCs w:val="18"/>
              </w:rPr>
              <w:t>科技 有限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58" w:right="168" w:hanging="90"/>
              <w:jc w:val="left"/>
              <w:rPr>
                <w:rFonts w:ascii="宋体" w:hAnsi="宋体" w:cs="宋体" w:eastAsia="宋体" w:hint="default"/>
                <w:sz w:val="18"/>
                <w:szCs w:val="18"/>
              </w:rPr>
            </w:pPr>
            <w:r>
              <w:rPr>
                <w:rFonts w:ascii="宋体" w:hAnsi="宋体" w:cs="宋体" w:eastAsia="宋体" w:hint="default"/>
                <w:sz w:val="18"/>
                <w:szCs w:val="18"/>
              </w:rPr>
              <w:t>全开 发</w:t>
            </w:r>
          </w:p>
        </w:tc>
        <w:tc>
          <w:tcPr>
            <w:tcW w:w="460"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87" w:right="0"/>
              <w:jc w:val="left"/>
              <w:rPr>
                <w:rFonts w:ascii="宋体" w:hAnsi="宋体" w:cs="宋体" w:eastAsia="宋体" w:hint="default"/>
                <w:sz w:val="18"/>
                <w:szCs w:val="18"/>
              </w:rPr>
            </w:pPr>
            <w:r>
              <w:rPr>
                <w:rFonts w:ascii="宋体" w:hAnsi="宋体" w:cs="宋体" w:eastAsia="宋体" w:hint="default"/>
                <w:sz w:val="18"/>
                <w:szCs w:val="18"/>
              </w:rPr>
              <w:t>金</w:t>
            </w:r>
          </w:p>
        </w:tc>
        <w:tc>
          <w:tcPr>
            <w:tcW w:w="568"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2018-53</w:t>
            </w:r>
          </w:p>
        </w:tc>
      </w:tr>
      <w:tr>
        <w:trPr>
          <w:trHeight w:val="2274"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52" w:right="151"/>
              <w:jc w:val="both"/>
              <w:rPr>
                <w:rFonts w:ascii="宋体" w:hAnsi="宋体" w:cs="宋体" w:eastAsia="宋体" w:hint="default"/>
                <w:sz w:val="18"/>
                <w:szCs w:val="18"/>
              </w:rPr>
            </w:pPr>
            <w:r>
              <w:rPr>
                <w:rFonts w:ascii="宋体" w:hAnsi="宋体" w:cs="宋体" w:eastAsia="宋体" w:hint="default"/>
                <w:sz w:val="18"/>
                <w:szCs w:val="18"/>
              </w:rPr>
              <w:t>厦门 美银 智投 科技 有限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67" w:right="168"/>
              <w:jc w:val="left"/>
              <w:rPr>
                <w:rFonts w:ascii="宋体" w:hAnsi="宋体" w:cs="宋体" w:eastAsia="宋体" w:hint="default"/>
                <w:sz w:val="18"/>
                <w:szCs w:val="18"/>
              </w:rPr>
            </w:pPr>
            <w:r>
              <w:rPr>
                <w:rFonts w:ascii="宋体" w:hAnsi="宋体" w:cs="宋体" w:eastAsia="宋体" w:hint="default"/>
                <w:sz w:val="18"/>
                <w:szCs w:val="18"/>
              </w:rPr>
              <w:t>产业 融合</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34" w:right="133"/>
              <w:jc w:val="left"/>
              <w:rPr>
                <w:rFonts w:ascii="宋体" w:hAnsi="宋体" w:cs="宋体" w:eastAsia="宋体" w:hint="default"/>
                <w:sz w:val="18"/>
                <w:szCs w:val="18"/>
              </w:rPr>
            </w:pPr>
            <w:r>
              <w:rPr>
                <w:rFonts w:ascii="宋体" w:hAnsi="宋体" w:cs="宋体" w:eastAsia="宋体" w:hint="default"/>
                <w:sz w:val="18"/>
                <w:szCs w:val="18"/>
              </w:rPr>
              <w:t>新 设</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5,005,</w:t>
            </w:r>
          </w:p>
          <w:p>
            <w:pPr>
              <w:pStyle w:val="TableParagraph"/>
              <w:spacing w:line="240" w:lineRule="auto" w:before="104"/>
              <w:ind w:right="9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80" w:right="0"/>
              <w:jc w:val="left"/>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87" w:right="187"/>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88" w:right="187"/>
              <w:jc w:val="center"/>
              <w:rPr>
                <w:rFonts w:ascii="宋体" w:hAnsi="宋体" w:cs="宋体" w:eastAsia="宋体" w:hint="default"/>
                <w:sz w:val="18"/>
                <w:szCs w:val="18"/>
              </w:rPr>
            </w:pPr>
            <w:r>
              <w:rPr>
                <w:rFonts w:ascii="宋体" w:hAnsi="宋体" w:cs="宋体" w:eastAsia="宋体" w:hint="default"/>
                <w:sz w:val="18"/>
                <w:szCs w:val="18"/>
              </w:rPr>
              <w:t>独 资</w:t>
            </w:r>
          </w:p>
        </w:tc>
        <w:tc>
          <w:tcPr>
            <w:tcW w:w="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96"/>
              <w:jc w:val="left"/>
              <w:rPr>
                <w:rFonts w:ascii="宋体" w:hAnsi="宋体" w:cs="宋体" w:eastAsia="宋体" w:hint="default"/>
                <w:sz w:val="18"/>
                <w:szCs w:val="18"/>
              </w:rPr>
            </w:pPr>
            <w:r>
              <w:rPr>
                <w:rFonts w:ascii="宋体" w:hAnsi="宋体" w:cs="宋体" w:eastAsia="宋体" w:hint="default"/>
                <w:sz w:val="18"/>
                <w:szCs w:val="18"/>
              </w:rPr>
              <w:t>长 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 w:hanging="87"/>
              <w:jc w:val="center"/>
              <w:rPr>
                <w:rFonts w:ascii="宋体" w:hAnsi="宋体" w:cs="宋体" w:eastAsia="宋体" w:hint="default"/>
                <w:sz w:val="18"/>
                <w:szCs w:val="18"/>
              </w:rPr>
            </w:pPr>
            <w:r>
              <w:rPr>
                <w:rFonts w:ascii="宋体" w:hAnsi="宋体" w:cs="宋体" w:eastAsia="宋体" w:hint="default"/>
                <w:sz w:val="18"/>
                <w:szCs w:val="18"/>
              </w:rPr>
              <w:t>战略合 作服务、 互联网 信息服 务和信 息技术 服务</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-2,672.8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
        </w:tc>
        <w:tc>
          <w:tcPr>
            <w:tcW w:w="123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3" w:right="0"/>
              <w:jc w:val="left"/>
              <w:rPr>
                <w:rFonts w:ascii="Times New Roman" w:hAnsi="Times New Roman" w:cs="Times New Roman" w:eastAsia="Times New Roman" w:hint="default"/>
                <w:sz w:val="18"/>
                <w:szCs w:val="18"/>
              </w:rPr>
            </w:pPr>
            <w:r>
              <w:rPr>
                <w:rFonts w:ascii="Times New Roman"/>
                <w:sz w:val="18"/>
              </w:rPr>
              <w:t>11,50</w:t>
            </w:r>
          </w:p>
          <w:p>
            <w:pPr>
              <w:pStyle w:val="TableParagraph"/>
              <w:spacing w:line="240" w:lineRule="auto" w:before="104"/>
              <w:ind w:left="111"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6"/>
              <w:ind w:left="381" w:right="0"/>
              <w:jc w:val="left"/>
              <w:rPr>
                <w:rFonts w:ascii="Times New Roman" w:hAnsi="Times New Roman" w:cs="Times New Roman" w:eastAsia="Times New Roman" w:hint="default"/>
                <w:sz w:val="18"/>
                <w:szCs w:val="18"/>
              </w:rPr>
            </w:pPr>
            <w:r>
              <w:rPr>
                <w:rFonts w:ascii="Times New Roman"/>
                <w:sz w:val="18"/>
              </w:rPr>
              <w:t>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0" w:right="0"/>
              <w:jc w:val="lef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-2,720,3</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32.36</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9" w:right="0"/>
              <w:jc w:val="left"/>
              <w:rPr>
                <w:rFonts w:ascii="Times New Roman" w:hAnsi="Times New Roman" w:cs="Times New Roman" w:eastAsia="Times New Roman" w:hint="default"/>
                <w:sz w:val="18"/>
                <w:szCs w:val="18"/>
              </w:rPr>
            </w:pPr>
            <w:r>
              <w:rPr>
                <w:rFonts w:ascii="Times New Roman"/>
                <w:sz w:val="18"/>
              </w:rPr>
              <w:t>--</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93" w:lineRule="auto" w:before="63"/>
        <w:ind w:left="213" w:right="1021"/>
        <w:jc w:val="left"/>
      </w:pPr>
      <w:r>
        <w:rPr>
          <w:rFonts w:ascii="Times New Roman" w:hAnsi="Times New Roman" w:cs="Times New Roman" w:eastAsia="Times New Roman" w:hint="default"/>
        </w:rPr>
        <w:t>1</w:t>
      </w:r>
      <w:r>
        <w:rPr/>
        <w:t>）设立美亚京安：</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日，本公司独资设立美亚京安，注册资本为</w:t>
      </w:r>
      <w:r>
        <w:rPr>
          <w:rFonts w:ascii="Times New Roman" w:hAnsi="Times New Roman" w:cs="Times New Roman" w:eastAsia="Times New Roman" w:hint="default"/>
        </w:rPr>
        <w:t>1,000.00</w:t>
      </w:r>
      <w:r>
        <w:rPr/>
        <w:t>万元，截止2018</w:t>
      </w:r>
      <w:r>
        <w:rPr>
          <w:spacing w:val="-26"/>
        </w:rPr>
        <w:t> </w:t>
      </w:r>
      <w:r>
        <w:rPr>
          <w:spacing w:val="-26"/>
        </w:rPr>
      </w:r>
      <w:r>
        <w:rPr/>
        <w:t>年12月31日，公司尚未出资。</w:t>
      </w:r>
      <w:r>
        <w:rPr/>
        <w:t> </w:t>
      </w:r>
      <w:r>
        <w:rPr>
          <w:rFonts w:ascii="Times New Roman" w:hAnsi="Times New Roman" w:cs="Times New Roman" w:eastAsia="Times New Roman" w:hint="default"/>
        </w:rPr>
        <w:t>2</w:t>
      </w:r>
      <w:r>
        <w:rPr/>
        <w:t>）设立美亚榕安：</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5</w:t>
      </w:r>
      <w:r>
        <w:rPr/>
        <w:t>日，本公司独资设立美亚榕安，注册资本为</w:t>
      </w:r>
      <w:r>
        <w:rPr>
          <w:rFonts w:ascii="Times New Roman" w:hAnsi="Times New Roman" w:cs="Times New Roman" w:eastAsia="Times New Roman" w:hint="default"/>
        </w:rPr>
        <w:t>5,000.00</w:t>
      </w:r>
      <w:r>
        <w:rPr/>
        <w:t>万元，截止2018</w:t>
      </w:r>
      <w:r>
        <w:rPr>
          <w:spacing w:val="-26"/>
        </w:rPr>
        <w:t> </w:t>
      </w:r>
      <w:r>
        <w:rPr>
          <w:spacing w:val="-26"/>
        </w:rPr>
      </w:r>
      <w:r>
        <w:rPr/>
        <w:t>年12月31日，公司已出资350万元。</w:t>
      </w:r>
      <w:r>
        <w:rPr/>
        <w:t> </w:t>
      </w:r>
      <w:r>
        <w:rPr>
          <w:rFonts w:ascii="Times New Roman" w:hAnsi="Times New Roman" w:cs="Times New Roman" w:eastAsia="Times New Roman" w:hint="default"/>
          <w:spacing w:val="-3"/>
        </w:rPr>
        <w:t>3</w:t>
      </w:r>
      <w:r>
        <w:rPr>
          <w:spacing w:val="-3"/>
        </w:rPr>
        <w:t>）设立美银智投：</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26</w:t>
      </w:r>
      <w:r>
        <w:rPr>
          <w:spacing w:val="-3"/>
        </w:rPr>
        <w:t>日，本公司独资设立美银智投，注册资本为</w:t>
      </w:r>
      <w:r>
        <w:rPr>
          <w:rFonts w:ascii="Times New Roman" w:hAnsi="Times New Roman" w:cs="Times New Roman" w:eastAsia="Times New Roman" w:hint="default"/>
          <w:spacing w:val="-3"/>
        </w:rPr>
        <w:t>1,000.00</w:t>
      </w:r>
      <w:r>
        <w:rPr>
          <w:spacing w:val="-3"/>
        </w:rPr>
        <w:t>万元，截止2018</w:t>
      </w:r>
      <w:r>
        <w:rPr>
          <w:spacing w:val="-62"/>
        </w:rPr>
        <w:t> </w:t>
      </w:r>
      <w:r>
        <w:rPr>
          <w:spacing w:val="-62"/>
        </w:rPr>
      </w:r>
      <w:r>
        <w:rPr/>
        <w:t>年12月31日，公司已出资500.5万元。</w:t>
      </w:r>
      <w:r>
        <w:rPr/>
        <w:t> </w:t>
      </w:r>
      <w:r>
        <w:rPr>
          <w:rFonts w:ascii="Times New Roman" w:hAnsi="Times New Roman" w:cs="Times New Roman" w:eastAsia="Times New Roman" w:hint="default"/>
        </w:rPr>
        <w:t>4</w:t>
      </w:r>
      <w:r>
        <w:rPr/>
        <w:t>）设立美亚亿安：</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日，本公司与厦门环亚众智科技合伙企业（有限合伙）共同设立美</w:t>
      </w:r>
      <w:r>
        <w:rPr>
          <w:spacing w:val="-20"/>
        </w:rPr>
        <w:t> </w:t>
      </w:r>
      <w:r>
        <w:rPr>
          <w:spacing w:val="-20"/>
        </w:rPr>
      </w:r>
      <w:r>
        <w:rPr/>
        <w:t>亚亿安，注册资本为</w:t>
      </w:r>
      <w:r>
        <w:rPr>
          <w:rFonts w:ascii="Times New Roman" w:hAnsi="Times New Roman" w:cs="Times New Roman" w:eastAsia="Times New Roman" w:hint="default"/>
        </w:rPr>
        <w:t>1,000.00</w:t>
      </w:r>
      <w:r>
        <w:rPr/>
        <w:t>万元，其中本公司持股</w:t>
      </w:r>
      <w:r>
        <w:rPr>
          <w:rFonts w:ascii="Times New Roman" w:hAnsi="Times New Roman" w:cs="Times New Roman" w:eastAsia="Times New Roman" w:hint="default"/>
        </w:rPr>
        <w:t>55%</w:t>
      </w:r>
      <w:r>
        <w:rPr/>
        <w:t>，厦门环亚众智科技合伙企业（有限合伙）</w:t>
      </w:r>
      <w:r>
        <w:rPr>
          <w:spacing w:val="-84"/>
        </w:rPr>
        <w:t> </w:t>
      </w:r>
      <w:r>
        <w:rPr>
          <w:spacing w:val="-84"/>
        </w:rPr>
      </w:r>
      <w:r>
        <w:rPr/>
        <w:t>持股</w:t>
      </w:r>
      <w:r>
        <w:rPr>
          <w:rFonts w:ascii="Times New Roman" w:hAnsi="Times New Roman" w:cs="Times New Roman" w:eastAsia="Times New Roman" w:hint="default"/>
        </w:rPr>
        <w:t>45%</w:t>
      </w:r>
      <w:r>
        <w:rPr/>
        <w:t>，截止2018年12月31日，公司尚未出资。</w:t>
      </w:r>
    </w:p>
    <w:p>
      <w:pPr>
        <w:spacing w:line="240" w:lineRule="auto" w:before="2"/>
        <w:rPr>
          <w:rFonts w:ascii="宋体" w:hAnsi="宋体" w:cs="宋体" w:eastAsia="宋体" w:hint="default"/>
          <w:sz w:val="19"/>
          <w:szCs w:val="19"/>
        </w:rPr>
      </w:pPr>
    </w:p>
    <w:p>
      <w:pPr>
        <w:pStyle w:val="Heading3"/>
        <w:spacing w:line="240" w:lineRule="auto"/>
        <w:ind w:left="214" w:right="1021"/>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3"/>
        <w:rPr>
          <w:rFonts w:ascii="宋体" w:hAnsi="宋体" w:cs="宋体" w:eastAsia="宋体" w:hint="default"/>
          <w:b/>
          <w:bCs/>
          <w:sz w:val="23"/>
          <w:szCs w:val="23"/>
        </w:rPr>
      </w:pPr>
    </w:p>
    <w:p>
      <w:pPr>
        <w:spacing w:before="44"/>
        <w:ind w:left="214"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709"/>
        <w:gridCol w:w="566"/>
        <w:gridCol w:w="568"/>
        <w:gridCol w:w="851"/>
        <w:gridCol w:w="708"/>
        <w:gridCol w:w="851"/>
        <w:gridCol w:w="568"/>
        <w:gridCol w:w="425"/>
        <w:gridCol w:w="566"/>
        <w:gridCol w:w="709"/>
        <w:gridCol w:w="709"/>
        <w:gridCol w:w="568"/>
        <w:gridCol w:w="1771"/>
      </w:tblGrid>
      <w:tr>
        <w:trPr>
          <w:trHeight w:val="2898"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69" w:right="168"/>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88" w:right="186"/>
              <w:jc w:val="both"/>
              <w:rPr>
                <w:rFonts w:ascii="宋体" w:hAnsi="宋体" w:cs="宋体" w:eastAsia="宋体" w:hint="default"/>
                <w:sz w:val="18"/>
                <w:szCs w:val="18"/>
              </w:rPr>
            </w:pPr>
            <w:r>
              <w:rPr>
                <w:rFonts w:ascii="宋体" w:hAnsi="宋体" w:cs="宋体" w:eastAsia="宋体" w:hint="default"/>
                <w:sz w:val="18"/>
                <w:szCs w:val="18"/>
              </w:rPr>
              <w:t>投 资 方 式</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88" w:right="187"/>
              <w:jc w:val="both"/>
              <w:rPr>
                <w:rFonts w:ascii="宋体" w:hAnsi="宋体" w:cs="宋体" w:eastAsia="宋体" w:hint="default"/>
                <w:sz w:val="18"/>
                <w:szCs w:val="18"/>
              </w:rPr>
            </w:pPr>
            <w:r>
              <w:rPr>
                <w:rFonts w:ascii="宋体" w:hAnsi="宋体" w:cs="宋体" w:eastAsia="宋体" w:hint="default"/>
                <w:sz w:val="18"/>
                <w:szCs w:val="18"/>
              </w:rPr>
              <w:t>是 否 为 固 定 资 产 投 资</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50" w:right="149"/>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69" w:right="167"/>
              <w:jc w:val="both"/>
              <w:rPr>
                <w:rFonts w:ascii="宋体" w:hAnsi="宋体" w:cs="宋体" w:eastAsia="宋体" w:hint="default"/>
                <w:sz w:val="18"/>
                <w:szCs w:val="18"/>
              </w:rPr>
            </w:pPr>
            <w:r>
              <w:rPr>
                <w:rFonts w:ascii="宋体" w:hAnsi="宋体" w:cs="宋体" w:eastAsia="宋体" w:hint="default"/>
                <w:sz w:val="18"/>
                <w:szCs w:val="18"/>
              </w:rPr>
              <w:t>本报 告期 投入 金额</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50" w:right="149"/>
              <w:jc w:val="both"/>
              <w:rPr>
                <w:rFonts w:ascii="宋体" w:hAnsi="宋体" w:cs="宋体" w:eastAsia="宋体" w:hint="default"/>
                <w:sz w:val="18"/>
                <w:szCs w:val="18"/>
              </w:rPr>
            </w:pPr>
            <w:r>
              <w:rPr>
                <w:rFonts w:ascii="宋体" w:hAnsi="宋体" w:cs="宋体" w:eastAsia="宋体" w:hint="default"/>
                <w:sz w:val="18"/>
                <w:szCs w:val="18"/>
              </w:rPr>
              <w:t>截至报 告期末 累计实 际投入 金额</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88" w:right="187"/>
              <w:jc w:val="both"/>
              <w:rPr>
                <w:rFonts w:ascii="宋体" w:hAnsi="宋体" w:cs="宋体" w:eastAsia="宋体" w:hint="default"/>
                <w:sz w:val="18"/>
                <w:szCs w:val="18"/>
              </w:rPr>
            </w:pPr>
            <w:r>
              <w:rPr>
                <w:rFonts w:ascii="宋体" w:hAnsi="宋体" w:cs="宋体" w:eastAsia="宋体" w:hint="default"/>
                <w:sz w:val="18"/>
                <w:szCs w:val="18"/>
              </w:rPr>
              <w:t>资 金 来 源</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17" w:right="115"/>
              <w:jc w:val="both"/>
              <w:rPr>
                <w:rFonts w:ascii="宋体" w:hAnsi="宋体" w:cs="宋体" w:eastAsia="宋体" w:hint="default"/>
                <w:sz w:val="18"/>
                <w:szCs w:val="18"/>
              </w:rPr>
            </w:pPr>
            <w:r>
              <w:rPr>
                <w:rFonts w:ascii="宋体" w:hAnsi="宋体" w:cs="宋体" w:eastAsia="宋体" w:hint="default"/>
                <w:sz w:val="18"/>
                <w:szCs w:val="18"/>
              </w:rPr>
              <w:t>项 目 进 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88" w:right="186"/>
              <w:jc w:val="both"/>
              <w:rPr>
                <w:rFonts w:ascii="宋体" w:hAnsi="宋体" w:cs="宋体" w:eastAsia="宋体" w:hint="default"/>
                <w:sz w:val="18"/>
                <w:szCs w:val="18"/>
              </w:rPr>
            </w:pPr>
            <w:r>
              <w:rPr>
                <w:rFonts w:ascii="宋体" w:hAnsi="宋体" w:cs="宋体" w:eastAsia="宋体" w:hint="default"/>
                <w:sz w:val="18"/>
                <w:szCs w:val="18"/>
              </w:rPr>
              <w:t>预 计 收 益</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69" w:right="168"/>
              <w:jc w:val="both"/>
              <w:rPr>
                <w:rFonts w:ascii="宋体" w:hAnsi="宋体" w:cs="宋体" w:eastAsia="宋体" w:hint="default"/>
                <w:sz w:val="18"/>
                <w:szCs w:val="18"/>
              </w:rPr>
            </w:pPr>
            <w:r>
              <w:rPr>
                <w:rFonts w:ascii="宋体" w:hAnsi="宋体" w:cs="宋体" w:eastAsia="宋体" w:hint="default"/>
                <w:sz w:val="18"/>
                <w:szCs w:val="18"/>
              </w:rPr>
              <w:t>截止 报告 期末 累计 实现 的收 益</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69" w:right="168"/>
              <w:jc w:val="both"/>
              <w:rPr>
                <w:rFonts w:ascii="宋体" w:hAnsi="宋体" w:cs="宋体" w:eastAsia="宋体" w:hint="default"/>
                <w:sz w:val="18"/>
                <w:szCs w:val="18"/>
              </w:rPr>
            </w:pPr>
            <w:r>
              <w:rPr>
                <w:rFonts w:ascii="宋体" w:hAnsi="宋体" w:cs="宋体" w:eastAsia="宋体" w:hint="default"/>
                <w:sz w:val="18"/>
                <w:szCs w:val="18"/>
              </w:rPr>
              <w:t>未达 到计 划进 度和 预计 收益 的原 因</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88" w:right="187"/>
              <w:jc w:val="both"/>
              <w:rPr>
                <w:rFonts w:ascii="宋体" w:hAnsi="宋体" w:cs="宋体" w:eastAsia="宋体" w:hint="default"/>
                <w:sz w:val="18"/>
                <w:szCs w:val="18"/>
              </w:rPr>
            </w:pPr>
            <w:r>
              <w:rPr>
                <w:rFonts w:ascii="宋体" w:hAnsi="宋体" w:cs="宋体" w:eastAsia="宋体" w:hint="default"/>
                <w:sz w:val="18"/>
                <w:szCs w:val="18"/>
              </w:rPr>
              <w:t>披 露 日 期</w:t>
            </w:r>
          </w:p>
          <w:p>
            <w:pPr>
              <w:pStyle w:val="TableParagraph"/>
              <w:spacing w:line="319" w:lineRule="auto" w:before="19"/>
              <w:ind w:left="103" w:right="92" w:firstLine="85"/>
              <w:jc w:val="both"/>
              <w:rPr>
                <w:rFonts w:ascii="宋体" w:hAnsi="宋体" w:cs="宋体" w:eastAsia="宋体" w:hint="default"/>
                <w:sz w:val="18"/>
                <w:szCs w:val="18"/>
              </w:rPr>
            </w:pPr>
            <w:r>
              <w:rPr>
                <w:rFonts w:ascii="宋体" w:hAnsi="宋体" w:cs="宋体" w:eastAsia="宋体" w:hint="default"/>
                <w:sz w:val="18"/>
                <w:szCs w:val="18"/>
              </w:rPr>
              <w:t>（ 如 有）</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披露索引（如有）</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69" w:right="168"/>
              <w:jc w:val="left"/>
              <w:rPr>
                <w:rFonts w:ascii="宋体" w:hAnsi="宋体" w:cs="宋体" w:eastAsia="宋体" w:hint="default"/>
                <w:sz w:val="18"/>
                <w:szCs w:val="18"/>
              </w:rPr>
            </w:pPr>
            <w:r>
              <w:rPr>
                <w:rFonts w:ascii="宋体" w:hAnsi="宋体" w:cs="宋体" w:eastAsia="宋体" w:hint="default"/>
                <w:sz w:val="18"/>
                <w:szCs w:val="18"/>
              </w:rPr>
              <w:t>购买 人才</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88" w:right="186"/>
              <w:jc w:val="center"/>
              <w:rPr>
                <w:rFonts w:ascii="宋体" w:hAnsi="宋体" w:cs="宋体" w:eastAsia="宋体" w:hint="default"/>
                <w:sz w:val="18"/>
                <w:szCs w:val="18"/>
              </w:rPr>
            </w:pPr>
            <w:r>
              <w:rPr>
                <w:rFonts w:ascii="宋体" w:hAnsi="宋体" w:cs="宋体" w:eastAsia="宋体" w:hint="default"/>
                <w:sz w:val="18"/>
                <w:szCs w:val="18"/>
              </w:rPr>
              <w:t>其 他</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73,90</w:t>
            </w:r>
          </w:p>
          <w:p>
            <w:pPr>
              <w:pStyle w:val="TableParagraph"/>
              <w:spacing w:line="240" w:lineRule="auto" w:before="104"/>
              <w:ind w:left="123" w:right="0"/>
              <w:jc w:val="left"/>
              <w:rPr>
                <w:rFonts w:ascii="Times New Roman" w:hAnsi="Times New Roman" w:cs="Times New Roman" w:eastAsia="Times New Roman" w:hint="default"/>
                <w:sz w:val="18"/>
                <w:szCs w:val="18"/>
              </w:rPr>
            </w:pPr>
            <w:r>
              <w:rPr>
                <w:rFonts w:ascii="Times New Roman"/>
                <w:sz w:val="18"/>
              </w:rPr>
              <w:t>1,463.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73,901,4</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63.00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88" w:right="187"/>
              <w:jc w:val="center"/>
              <w:rPr>
                <w:rFonts w:ascii="宋体" w:hAnsi="宋体" w:cs="宋体" w:eastAsia="宋体" w:hint="default"/>
                <w:sz w:val="18"/>
                <w:szCs w:val="18"/>
              </w:rPr>
            </w:pPr>
            <w:r>
              <w:rPr>
                <w:rFonts w:ascii="宋体" w:hAnsi="宋体" w:cs="宋体" w:eastAsia="宋体" w:hint="default"/>
                <w:sz w:val="18"/>
                <w:szCs w:val="18"/>
              </w:rPr>
              <w:t>自 有</w:t>
            </w: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59" w:right="168" w:hanging="90"/>
              <w:jc w:val="left"/>
              <w:rPr>
                <w:rFonts w:ascii="宋体" w:hAnsi="宋体" w:cs="宋体" w:eastAsia="宋体" w:hint="default"/>
                <w:sz w:val="18"/>
                <w:szCs w:val="18"/>
              </w:rPr>
            </w:pPr>
            <w:r>
              <w:rPr>
                <w:rFonts w:ascii="宋体" w:hAnsi="宋体" w:cs="宋体" w:eastAsia="宋体" w:hint="default"/>
                <w:sz w:val="18"/>
                <w:szCs w:val="18"/>
              </w:rPr>
              <w:t>不适 用</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4"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4"/>
              <w:ind w:left="1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p>
            <w:pPr>
              <w:pStyle w:val="TableParagraph"/>
              <w:spacing w:line="240" w:lineRule="auto" w:before="64"/>
              <w:ind w:left="1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年第一季度</w:t>
            </w:r>
          </w:p>
        </w:tc>
      </w:tr>
    </w:tbl>
    <w:p>
      <w:pPr>
        <w:spacing w:after="0" w:line="240" w:lineRule="auto"/>
        <w:jc w:val="left"/>
        <w:rPr>
          <w:rFonts w:ascii="宋体" w:hAnsi="宋体" w:cs="宋体" w:eastAsia="宋体" w:hint="default"/>
          <w:sz w:val="18"/>
          <w:szCs w:val="18"/>
        </w:rPr>
        <w:sectPr>
          <w:pgSz w:w="11910" w:h="16840"/>
          <w:pgMar w:header="747" w:footer="982" w:top="1060" w:bottom="1180" w:left="920" w:right="0"/>
        </w:sectPr>
      </w:pPr>
    </w:p>
    <w:p>
      <w:pPr>
        <w:spacing w:line="240" w:lineRule="auto" w:before="6"/>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709"/>
        <w:gridCol w:w="566"/>
        <w:gridCol w:w="568"/>
        <w:gridCol w:w="851"/>
        <w:gridCol w:w="708"/>
        <w:gridCol w:w="851"/>
        <w:gridCol w:w="568"/>
        <w:gridCol w:w="425"/>
        <w:gridCol w:w="566"/>
        <w:gridCol w:w="709"/>
        <w:gridCol w:w="709"/>
        <w:gridCol w:w="568"/>
        <w:gridCol w:w="1771"/>
      </w:tblGrid>
      <w:tr>
        <w:trPr>
          <w:trHeight w:val="321" w:hRule="exact"/>
        </w:trPr>
        <w:tc>
          <w:tcPr>
            <w:tcW w:w="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房</w:t>
            </w:r>
          </w:p>
        </w:tc>
        <w:tc>
          <w:tcPr>
            <w:tcW w:w="566" w:type="dxa"/>
            <w:vMerge w:val="restart"/>
            <w:tcBorders>
              <w:top w:val="single" w:sz="4" w:space="0" w:color="000000"/>
              <w:left w:val="single" w:sz="4" w:space="0" w:color="000000"/>
              <w:right w:val="single" w:sz="4" w:space="0" w:color="000000"/>
            </w:tcBorders>
          </w:tcPr>
          <w:p>
            <w:pPr/>
          </w:p>
        </w:tc>
        <w:tc>
          <w:tcPr>
            <w:tcW w:w="568"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00</w:t>
            </w:r>
          </w:p>
        </w:tc>
        <w:tc>
          <w:tcPr>
            <w:tcW w:w="851" w:type="dxa"/>
            <w:vMerge w:val="restart"/>
            <w:tcBorders>
              <w:top w:val="single" w:sz="4" w:space="0" w:color="000000"/>
              <w:left w:val="single" w:sz="4" w:space="0" w:color="000000"/>
              <w:right w:val="single" w:sz="4" w:space="0" w:color="000000"/>
            </w:tcBorders>
          </w:tcPr>
          <w:p>
            <w:pPr/>
          </w:p>
        </w:tc>
        <w:tc>
          <w:tcPr>
            <w:tcW w:w="568" w:type="dxa"/>
            <w:vMerge w:val="restart"/>
            <w:tcBorders>
              <w:top w:val="single" w:sz="4" w:space="0" w:color="000000"/>
              <w:left w:val="single" w:sz="4" w:space="0" w:color="000000"/>
              <w:right w:val="single" w:sz="4" w:space="0" w:color="000000"/>
            </w:tcBorders>
          </w:tcPr>
          <w:p>
            <w:pPr>
              <w:pStyle w:val="TableParagraph"/>
              <w:spacing w:line="319" w:lineRule="auto" w:before="10"/>
              <w:ind w:left="188" w:right="187"/>
              <w:jc w:val="center"/>
              <w:rPr>
                <w:rFonts w:ascii="宋体" w:hAnsi="宋体" w:cs="宋体" w:eastAsia="宋体" w:hint="default"/>
                <w:sz w:val="18"/>
                <w:szCs w:val="18"/>
              </w:rPr>
            </w:pPr>
            <w:r>
              <w:rPr>
                <w:rFonts w:ascii="宋体" w:hAnsi="宋体" w:cs="宋体" w:eastAsia="宋体" w:hint="default"/>
                <w:sz w:val="18"/>
                <w:szCs w:val="18"/>
              </w:rPr>
              <w:t>资 金</w:t>
            </w:r>
          </w:p>
        </w:tc>
        <w:tc>
          <w:tcPr>
            <w:tcW w:w="425"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04</w:t>
            </w:r>
          </w:p>
        </w:tc>
        <w:tc>
          <w:tcPr>
            <w:tcW w:w="17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报告</w:t>
            </w:r>
            <w:r>
              <w:rPr>
                <w:rFonts w:ascii="宋体" w:hAnsi="宋体" w:cs="宋体" w:eastAsia="宋体" w:hint="default"/>
                <w:spacing w:val="-90"/>
                <w:sz w:val="18"/>
                <w:szCs w:val="18"/>
              </w:rPr>
              <w:t>》</w:t>
            </w:r>
            <w:r>
              <w:rPr>
                <w:rFonts w:ascii="宋体" w:hAnsi="宋体" w:cs="宋体" w:eastAsia="宋体" w:hint="default"/>
                <w:sz w:val="18"/>
                <w:szCs w:val="18"/>
              </w:rPr>
              <w:t>（公告编号</w:t>
            </w:r>
          </w:p>
        </w:tc>
      </w:tr>
      <w:tr>
        <w:trPr>
          <w:trHeight w:val="313" w:hRule="exact"/>
        </w:trPr>
        <w:tc>
          <w:tcPr>
            <w:tcW w:w="709"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月</w:t>
            </w:r>
          </w:p>
        </w:tc>
        <w:tc>
          <w:tcPr>
            <w:tcW w:w="17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2018-30</w:t>
            </w:r>
            <w:r>
              <w:rPr>
                <w:rFonts w:ascii="宋体" w:hAnsi="宋体" w:cs="宋体" w:eastAsia="宋体" w:hint="default"/>
                <w:sz w:val="18"/>
                <w:szCs w:val="18"/>
              </w:rPr>
              <w:t>） 第三节</w:t>
            </w:r>
          </w:p>
        </w:tc>
      </w:tr>
      <w:tr>
        <w:trPr>
          <w:trHeight w:val="311" w:hRule="exact"/>
        </w:trPr>
        <w:tc>
          <w:tcPr>
            <w:tcW w:w="709"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26</w:t>
            </w:r>
          </w:p>
        </w:tc>
        <w:tc>
          <w:tcPr>
            <w:tcW w:w="17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重要事项 三、重要</w:t>
            </w:r>
          </w:p>
        </w:tc>
      </w:tr>
      <w:tr>
        <w:trPr>
          <w:trHeight w:val="309" w:hRule="exact"/>
        </w:trPr>
        <w:tc>
          <w:tcPr>
            <w:tcW w:w="709"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17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事项进展情况及其</w:t>
            </w:r>
          </w:p>
        </w:tc>
      </w:tr>
      <w:tr>
        <w:trPr>
          <w:trHeight w:val="312" w:hRule="exact"/>
        </w:trPr>
        <w:tc>
          <w:tcPr>
            <w:tcW w:w="709"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7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影响和解决方案的</w:t>
            </w:r>
          </w:p>
        </w:tc>
      </w:tr>
      <w:tr>
        <w:trPr>
          <w:trHeight w:val="357" w:hRule="exact"/>
        </w:trPr>
        <w:tc>
          <w:tcPr>
            <w:tcW w:w="709" w:type="dxa"/>
            <w:tcBorders>
              <w:top w:val="nil" w:sz="6" w:space="0" w:color="auto"/>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17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分析说明</w:t>
            </w:r>
          </w:p>
        </w:tc>
      </w:tr>
      <w:tr>
        <w:trPr>
          <w:trHeight w:val="361" w:hRule="exact"/>
        </w:trPr>
        <w:tc>
          <w:tcPr>
            <w:tcW w:w="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68"/>
              <w:jc w:val="right"/>
              <w:rPr>
                <w:rFonts w:ascii="宋体" w:hAnsi="宋体" w:cs="宋体" w:eastAsia="宋体" w:hint="default"/>
                <w:sz w:val="18"/>
                <w:szCs w:val="18"/>
              </w:rPr>
            </w:pPr>
            <w:r>
              <w:rPr>
                <w:rFonts w:ascii="宋体" w:hAnsi="宋体" w:cs="宋体" w:eastAsia="宋体" w:hint="default"/>
                <w:sz w:val="18"/>
                <w:szCs w:val="18"/>
              </w:rPr>
              <w:t>购买</w:t>
            </w:r>
          </w:p>
        </w:tc>
        <w:tc>
          <w:tcPr>
            <w:tcW w:w="566" w:type="dxa"/>
            <w:vMerge w:val="restart"/>
            <w:tcBorders>
              <w:top w:val="single" w:sz="4" w:space="0" w:color="000000"/>
              <w:left w:val="single" w:sz="4" w:space="0" w:color="000000"/>
              <w:right w:val="single" w:sz="4" w:space="0" w:color="000000"/>
            </w:tcBorders>
          </w:tcPr>
          <w:p>
            <w:pPr>
              <w:pStyle w:val="TableParagraph"/>
              <w:spacing w:line="316" w:lineRule="auto" w:before="51"/>
              <w:ind w:left="188" w:right="186"/>
              <w:jc w:val="center"/>
              <w:rPr>
                <w:rFonts w:ascii="宋体" w:hAnsi="宋体" w:cs="宋体" w:eastAsia="宋体" w:hint="default"/>
                <w:sz w:val="18"/>
                <w:szCs w:val="18"/>
              </w:rPr>
            </w:pPr>
            <w:r>
              <w:rPr>
                <w:rFonts w:ascii="宋体" w:hAnsi="宋体" w:cs="宋体" w:eastAsia="宋体" w:hint="default"/>
                <w:sz w:val="18"/>
                <w:szCs w:val="18"/>
              </w:rPr>
              <w:t>其 他</w:t>
            </w:r>
          </w:p>
        </w:tc>
        <w:tc>
          <w:tcPr>
            <w:tcW w:w="5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房产</w:t>
            </w: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49,68</w:t>
            </w: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49,682,8</w:t>
            </w:r>
          </w:p>
        </w:tc>
        <w:tc>
          <w:tcPr>
            <w:tcW w:w="568" w:type="dxa"/>
            <w:vMerge w:val="restart"/>
            <w:tcBorders>
              <w:top w:val="single" w:sz="4" w:space="0" w:color="000000"/>
              <w:left w:val="single" w:sz="4" w:space="0" w:color="000000"/>
              <w:right w:val="single" w:sz="4" w:space="0" w:color="000000"/>
            </w:tcBorders>
          </w:tcPr>
          <w:p>
            <w:pPr>
              <w:pStyle w:val="TableParagraph"/>
              <w:spacing w:line="316" w:lineRule="auto" w:before="51"/>
              <w:ind w:left="188" w:right="187"/>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425"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不适</w:t>
            </w:r>
          </w:p>
        </w:tc>
        <w:tc>
          <w:tcPr>
            <w:tcW w:w="5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w:t>
            </w:r>
          </w:p>
        </w:tc>
        <w:tc>
          <w:tcPr>
            <w:tcW w:w="17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313" w:hRule="exact"/>
        </w:trPr>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8"/>
              <w:jc w:val="right"/>
              <w:rPr>
                <w:rFonts w:ascii="宋体" w:hAnsi="宋体" w:cs="宋体" w:eastAsia="宋体" w:hint="default"/>
                <w:sz w:val="18"/>
                <w:szCs w:val="18"/>
              </w:rPr>
            </w:pPr>
            <w:r>
              <w:rPr>
                <w:rFonts w:ascii="宋体" w:hAnsi="宋体" w:cs="宋体" w:eastAsia="宋体" w:hint="default"/>
                <w:sz w:val="18"/>
                <w:szCs w:val="18"/>
              </w:rPr>
              <w:t>西安</w:t>
            </w:r>
          </w:p>
        </w:tc>
        <w:tc>
          <w:tcPr>
            <w:tcW w:w="566" w:type="dxa"/>
            <w:vMerge/>
            <w:tcBorders>
              <w:left w:val="single" w:sz="4" w:space="0" w:color="000000"/>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23" w:right="0"/>
              <w:jc w:val="left"/>
              <w:rPr>
                <w:rFonts w:ascii="Times New Roman" w:hAnsi="Times New Roman" w:cs="Times New Roman" w:eastAsia="Times New Roman" w:hint="default"/>
                <w:sz w:val="18"/>
                <w:szCs w:val="18"/>
              </w:rPr>
            </w:pPr>
            <w:r>
              <w:rPr>
                <w:rFonts w:ascii="Times New Roman"/>
                <w:sz w:val="18"/>
              </w:rPr>
              <w:t>2,880.</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18" w:right="0"/>
              <w:jc w:val="left"/>
              <w:rPr>
                <w:rFonts w:ascii="Times New Roman" w:hAnsi="Times New Roman" w:cs="Times New Roman" w:eastAsia="Times New Roman" w:hint="default"/>
                <w:sz w:val="18"/>
                <w:szCs w:val="18"/>
              </w:rPr>
            </w:pPr>
            <w:r>
              <w:rPr>
                <w:rFonts w:ascii="Times New Roman"/>
                <w:sz w:val="18"/>
              </w:rPr>
              <w:t>80.00</w:t>
            </w:r>
          </w:p>
        </w:tc>
        <w:tc>
          <w:tcPr>
            <w:tcW w:w="568"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
              <w:jc w:val="center"/>
              <w:rPr>
                <w:rFonts w:ascii="宋体" w:hAnsi="宋体" w:cs="宋体" w:eastAsia="宋体" w:hint="default"/>
                <w:sz w:val="18"/>
                <w:szCs w:val="18"/>
              </w:rPr>
            </w:pPr>
            <w:r>
              <w:rPr>
                <w:rFonts w:ascii="宋体" w:hAnsi="宋体" w:cs="宋体" w:eastAsia="宋体" w:hint="default"/>
                <w:sz w:val="18"/>
                <w:szCs w:val="18"/>
              </w:rPr>
              <w:t>用</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《关于公司拟在西</w:t>
            </w:r>
          </w:p>
        </w:tc>
      </w:tr>
      <w:tr>
        <w:trPr>
          <w:trHeight w:val="311" w:hRule="exact"/>
        </w:trPr>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8"/>
              <w:jc w:val="right"/>
              <w:rPr>
                <w:rFonts w:ascii="宋体" w:hAnsi="宋体" w:cs="宋体" w:eastAsia="宋体" w:hint="default"/>
                <w:sz w:val="18"/>
                <w:szCs w:val="18"/>
              </w:rPr>
            </w:pPr>
            <w:r>
              <w:rPr>
                <w:rFonts w:ascii="宋体" w:hAnsi="宋体" w:cs="宋体" w:eastAsia="宋体" w:hint="default"/>
                <w:sz w:val="18"/>
                <w:szCs w:val="18"/>
              </w:rPr>
              <w:t>研发</w:t>
            </w:r>
          </w:p>
        </w:tc>
        <w:tc>
          <w:tcPr>
            <w:tcW w:w="566" w:type="dxa"/>
            <w:vMerge/>
            <w:tcBorders>
              <w:left w:val="single" w:sz="4" w:space="0" w:color="000000"/>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00</w:t>
            </w:r>
          </w:p>
        </w:tc>
        <w:tc>
          <w:tcPr>
            <w:tcW w:w="851" w:type="dxa"/>
            <w:tcBorders>
              <w:top w:val="nil" w:sz="6" w:space="0" w:color="auto"/>
              <w:left w:val="single" w:sz="4" w:space="0" w:color="000000"/>
              <w:bottom w:val="nil" w:sz="6" w:space="0" w:color="auto"/>
              <w:right w:val="single" w:sz="4" w:space="0" w:color="000000"/>
            </w:tcBorders>
          </w:tcPr>
          <w:p>
            <w:pPr/>
          </w:p>
        </w:tc>
        <w:tc>
          <w:tcPr>
            <w:tcW w:w="568"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08</w:t>
            </w:r>
          </w:p>
        </w:tc>
        <w:tc>
          <w:tcPr>
            <w:tcW w:w="17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安购买房产的公告》</w:t>
            </w:r>
          </w:p>
        </w:tc>
      </w:tr>
      <w:tr>
        <w:trPr>
          <w:trHeight w:val="308" w:hRule="exact"/>
        </w:trPr>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8"/>
              <w:jc w:val="right"/>
              <w:rPr>
                <w:rFonts w:ascii="宋体" w:hAnsi="宋体" w:cs="宋体" w:eastAsia="宋体" w:hint="default"/>
                <w:sz w:val="18"/>
                <w:szCs w:val="18"/>
              </w:rPr>
            </w:pPr>
            <w:r>
              <w:rPr>
                <w:rFonts w:ascii="宋体" w:hAnsi="宋体" w:cs="宋体" w:eastAsia="宋体" w:hint="default"/>
                <w:sz w:val="18"/>
                <w:szCs w:val="18"/>
              </w:rPr>
              <w:t>中心</w:t>
            </w:r>
          </w:p>
        </w:tc>
        <w:tc>
          <w:tcPr>
            <w:tcW w:w="566" w:type="dxa"/>
            <w:vMerge/>
            <w:tcBorders>
              <w:left w:val="single" w:sz="4" w:space="0" w:color="000000"/>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568"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月</w:t>
            </w:r>
          </w:p>
        </w:tc>
        <w:tc>
          <w:tcPr>
            <w:tcW w:w="17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（公告编号：</w:t>
            </w:r>
          </w:p>
        </w:tc>
      </w:tr>
      <w:tr>
        <w:trPr>
          <w:trHeight w:val="318" w:hRule="exact"/>
        </w:trPr>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8"/>
              <w:jc w:val="right"/>
              <w:rPr>
                <w:rFonts w:ascii="宋体" w:hAnsi="宋体" w:cs="宋体" w:eastAsia="宋体" w:hint="default"/>
                <w:sz w:val="18"/>
                <w:szCs w:val="18"/>
              </w:rPr>
            </w:pPr>
            <w:r>
              <w:rPr>
                <w:rFonts w:ascii="宋体" w:hAnsi="宋体" w:cs="宋体" w:eastAsia="宋体" w:hint="default"/>
                <w:sz w:val="18"/>
                <w:szCs w:val="18"/>
              </w:rPr>
              <w:t>大楼</w:t>
            </w:r>
          </w:p>
        </w:tc>
        <w:tc>
          <w:tcPr>
            <w:tcW w:w="566" w:type="dxa"/>
            <w:vMerge/>
            <w:tcBorders>
              <w:left w:val="single" w:sz="4" w:space="0" w:color="000000"/>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568"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29</w:t>
            </w:r>
          </w:p>
        </w:tc>
        <w:tc>
          <w:tcPr>
            <w:tcW w:w="177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2018-68</w:t>
            </w:r>
            <w:r>
              <w:rPr>
                <w:rFonts w:ascii="宋体" w:hAnsi="宋体" w:cs="宋体" w:eastAsia="宋体" w:hint="default"/>
                <w:sz w:val="18"/>
                <w:szCs w:val="18"/>
              </w:rPr>
              <w:t>）</w:t>
            </w:r>
          </w:p>
        </w:tc>
      </w:tr>
      <w:tr>
        <w:trPr>
          <w:trHeight w:val="351" w:hRule="exact"/>
        </w:trPr>
        <w:tc>
          <w:tcPr>
            <w:tcW w:w="709" w:type="dxa"/>
            <w:tcBorders>
              <w:top w:val="nil" w:sz="6" w:space="0" w:color="auto"/>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1771"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68"/>
              <w:jc w:val="right"/>
              <w:rPr>
                <w:rFonts w:ascii="宋体" w:hAnsi="宋体" w:cs="宋体" w:eastAsia="宋体" w:hint="default"/>
                <w:sz w:val="18"/>
                <w:szCs w:val="18"/>
              </w:rPr>
            </w:pPr>
            <w:r>
              <w:rPr>
                <w:rFonts w:ascii="宋体" w:hAnsi="宋体" w:cs="宋体" w:eastAsia="宋体" w:hint="default"/>
                <w:sz w:val="18"/>
                <w:szCs w:val="18"/>
              </w:rPr>
              <w:t>购买</w:t>
            </w:r>
          </w:p>
        </w:tc>
        <w:tc>
          <w:tcPr>
            <w:tcW w:w="566" w:type="dxa"/>
            <w:vMerge w:val="restart"/>
            <w:tcBorders>
              <w:top w:val="single" w:sz="4" w:space="0" w:color="000000"/>
              <w:left w:val="single" w:sz="4" w:space="0" w:color="000000"/>
              <w:right w:val="single" w:sz="4" w:space="0" w:color="000000"/>
            </w:tcBorders>
          </w:tcPr>
          <w:p>
            <w:pPr>
              <w:pStyle w:val="TableParagraph"/>
              <w:spacing w:line="316" w:lineRule="auto" w:before="51"/>
              <w:ind w:left="188" w:right="186"/>
              <w:jc w:val="center"/>
              <w:rPr>
                <w:rFonts w:ascii="宋体" w:hAnsi="宋体" w:cs="宋体" w:eastAsia="宋体" w:hint="default"/>
                <w:sz w:val="18"/>
                <w:szCs w:val="18"/>
              </w:rPr>
            </w:pPr>
            <w:r>
              <w:rPr>
                <w:rFonts w:ascii="宋体" w:hAnsi="宋体" w:cs="宋体" w:eastAsia="宋体" w:hint="default"/>
                <w:sz w:val="18"/>
                <w:szCs w:val="18"/>
              </w:rPr>
              <w:t>其 他</w:t>
            </w:r>
          </w:p>
        </w:tc>
        <w:tc>
          <w:tcPr>
            <w:tcW w:w="5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房产</w:t>
            </w: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3,402,</w:t>
            </w: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3,402,49</w:t>
            </w:r>
          </w:p>
        </w:tc>
        <w:tc>
          <w:tcPr>
            <w:tcW w:w="568" w:type="dxa"/>
            <w:vMerge w:val="restart"/>
            <w:tcBorders>
              <w:top w:val="single" w:sz="4" w:space="0" w:color="000000"/>
              <w:left w:val="single" w:sz="4" w:space="0" w:color="000000"/>
              <w:right w:val="single" w:sz="4" w:space="0" w:color="000000"/>
            </w:tcBorders>
          </w:tcPr>
          <w:p>
            <w:pPr>
              <w:pStyle w:val="TableParagraph"/>
              <w:spacing w:line="316" w:lineRule="auto" w:before="51"/>
              <w:ind w:left="188" w:right="187"/>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425"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不适</w:t>
            </w:r>
          </w:p>
        </w:tc>
        <w:tc>
          <w:tcPr>
            <w:tcW w:w="568" w:type="dxa"/>
            <w:vMerge w:val="restart"/>
            <w:tcBorders>
              <w:top w:val="single" w:sz="4" w:space="0" w:color="000000"/>
              <w:left w:val="single" w:sz="4" w:space="0" w:color="000000"/>
              <w:right w:val="single" w:sz="4" w:space="0" w:color="000000"/>
            </w:tcBorders>
          </w:tcPr>
          <w:p>
            <w:pPr/>
          </w:p>
        </w:tc>
        <w:tc>
          <w:tcPr>
            <w:tcW w:w="1771" w:type="dxa"/>
            <w:vMerge w:val="restart"/>
            <w:tcBorders>
              <w:top w:val="single" w:sz="4" w:space="0" w:color="000000"/>
              <w:left w:val="single" w:sz="4" w:space="0" w:color="000000"/>
              <w:right w:val="single" w:sz="4" w:space="0" w:color="000000"/>
            </w:tcBorders>
          </w:tcPr>
          <w:p>
            <w:pPr/>
          </w:p>
        </w:tc>
      </w:tr>
      <w:tr>
        <w:trPr>
          <w:trHeight w:val="312" w:hRule="exact"/>
        </w:trPr>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8"/>
              <w:jc w:val="right"/>
              <w:rPr>
                <w:rFonts w:ascii="宋体" w:hAnsi="宋体" w:cs="宋体" w:eastAsia="宋体" w:hint="default"/>
                <w:sz w:val="18"/>
                <w:szCs w:val="18"/>
              </w:rPr>
            </w:pPr>
            <w:r>
              <w:rPr>
                <w:rFonts w:ascii="宋体" w:hAnsi="宋体" w:cs="宋体" w:eastAsia="宋体" w:hint="default"/>
                <w:sz w:val="18"/>
                <w:szCs w:val="18"/>
              </w:rPr>
              <w:t>福州</w:t>
            </w:r>
          </w:p>
        </w:tc>
        <w:tc>
          <w:tcPr>
            <w:tcW w:w="566" w:type="dxa"/>
            <w:vMerge/>
            <w:tcBorders>
              <w:left w:val="single" w:sz="4" w:space="0" w:color="000000"/>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46" w:right="0"/>
              <w:jc w:val="left"/>
              <w:rPr>
                <w:rFonts w:ascii="Times New Roman" w:hAnsi="Times New Roman" w:cs="Times New Roman" w:eastAsia="Times New Roman" w:hint="default"/>
                <w:sz w:val="18"/>
                <w:szCs w:val="18"/>
              </w:rPr>
            </w:pPr>
            <w:r>
              <w:rPr>
                <w:rFonts w:ascii="Times New Roman"/>
                <w:sz w:val="18"/>
              </w:rPr>
              <w:t>499.4</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62" w:right="0"/>
              <w:jc w:val="left"/>
              <w:rPr>
                <w:rFonts w:ascii="Times New Roman" w:hAnsi="Times New Roman" w:cs="Times New Roman" w:eastAsia="Times New Roman" w:hint="default"/>
                <w:sz w:val="18"/>
                <w:szCs w:val="18"/>
              </w:rPr>
            </w:pPr>
            <w:r>
              <w:rPr>
                <w:rFonts w:ascii="Times New Roman"/>
                <w:sz w:val="18"/>
              </w:rPr>
              <w:t>9.41</w:t>
            </w:r>
          </w:p>
        </w:tc>
        <w:tc>
          <w:tcPr>
            <w:tcW w:w="568"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
              <w:jc w:val="center"/>
              <w:rPr>
                <w:rFonts w:ascii="宋体" w:hAnsi="宋体" w:cs="宋体" w:eastAsia="宋体" w:hint="default"/>
                <w:sz w:val="18"/>
                <w:szCs w:val="18"/>
              </w:rPr>
            </w:pPr>
            <w:r>
              <w:rPr>
                <w:rFonts w:ascii="宋体" w:hAnsi="宋体" w:cs="宋体" w:eastAsia="宋体" w:hint="default"/>
                <w:sz w:val="18"/>
                <w:szCs w:val="18"/>
              </w:rPr>
              <w:t>用</w:t>
            </w:r>
          </w:p>
        </w:tc>
        <w:tc>
          <w:tcPr>
            <w:tcW w:w="568" w:type="dxa"/>
            <w:vMerge/>
            <w:tcBorders>
              <w:left w:val="single" w:sz="4" w:space="0" w:color="000000"/>
              <w:right w:val="single" w:sz="4" w:space="0" w:color="000000"/>
            </w:tcBorders>
          </w:tcPr>
          <w:p>
            <w:pPr/>
          </w:p>
        </w:tc>
        <w:tc>
          <w:tcPr>
            <w:tcW w:w="1771" w:type="dxa"/>
            <w:vMerge/>
            <w:tcBorders>
              <w:left w:val="single" w:sz="4" w:space="0" w:color="000000"/>
              <w:right w:val="single" w:sz="4" w:space="0" w:color="000000"/>
            </w:tcBorders>
          </w:tcPr>
          <w:p>
            <w:pPr/>
          </w:p>
        </w:tc>
      </w:tr>
      <w:tr>
        <w:trPr>
          <w:trHeight w:val="312" w:hRule="exact"/>
        </w:trPr>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8"/>
              <w:jc w:val="right"/>
              <w:rPr>
                <w:rFonts w:ascii="宋体" w:hAnsi="宋体" w:cs="宋体" w:eastAsia="宋体" w:hint="default"/>
                <w:sz w:val="18"/>
                <w:szCs w:val="18"/>
              </w:rPr>
            </w:pPr>
            <w:r>
              <w:rPr>
                <w:rFonts w:ascii="宋体" w:hAnsi="宋体" w:cs="宋体" w:eastAsia="宋体" w:hint="default"/>
                <w:sz w:val="18"/>
                <w:szCs w:val="18"/>
              </w:rPr>
              <w:t>子公</w:t>
            </w:r>
          </w:p>
        </w:tc>
        <w:tc>
          <w:tcPr>
            <w:tcW w:w="566" w:type="dxa"/>
            <w:vMerge/>
            <w:tcBorders>
              <w:left w:val="single" w:sz="4" w:space="0" w:color="000000"/>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
              <w:jc w:val="center"/>
              <w:rPr>
                <w:rFonts w:ascii="Times New Roman" w:hAnsi="Times New Roman" w:cs="Times New Roman" w:eastAsia="Times New Roman" w:hint="default"/>
                <w:sz w:val="18"/>
                <w:szCs w:val="18"/>
              </w:rPr>
            </w:pPr>
            <w:r>
              <w:rPr>
                <w:rFonts w:ascii="Times New Roman"/>
                <w:sz w:val="18"/>
              </w:rPr>
              <w:t>1</w:t>
            </w:r>
          </w:p>
        </w:tc>
        <w:tc>
          <w:tcPr>
            <w:tcW w:w="851" w:type="dxa"/>
            <w:tcBorders>
              <w:top w:val="nil" w:sz="6" w:space="0" w:color="auto"/>
              <w:left w:val="single" w:sz="4" w:space="0" w:color="000000"/>
              <w:bottom w:val="nil" w:sz="6" w:space="0" w:color="auto"/>
              <w:right w:val="single" w:sz="4" w:space="0" w:color="000000"/>
            </w:tcBorders>
          </w:tcPr>
          <w:p>
            <w:pPr/>
          </w:p>
        </w:tc>
        <w:tc>
          <w:tcPr>
            <w:tcW w:w="568"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68" w:type="dxa"/>
            <w:vMerge/>
            <w:tcBorders>
              <w:left w:val="single" w:sz="4" w:space="0" w:color="000000"/>
              <w:right w:val="single" w:sz="4" w:space="0" w:color="000000"/>
            </w:tcBorders>
          </w:tcPr>
          <w:p>
            <w:pPr/>
          </w:p>
        </w:tc>
        <w:tc>
          <w:tcPr>
            <w:tcW w:w="1771" w:type="dxa"/>
            <w:vMerge/>
            <w:tcBorders>
              <w:left w:val="single" w:sz="4" w:space="0" w:color="000000"/>
              <w:right w:val="single" w:sz="4" w:space="0" w:color="000000"/>
            </w:tcBorders>
          </w:tcPr>
          <w:p>
            <w:pPr/>
          </w:p>
        </w:tc>
      </w:tr>
      <w:tr>
        <w:trPr>
          <w:trHeight w:val="308" w:hRule="exact"/>
        </w:trPr>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8"/>
              <w:jc w:val="right"/>
              <w:rPr>
                <w:rFonts w:ascii="宋体" w:hAnsi="宋体" w:cs="宋体" w:eastAsia="宋体" w:hint="default"/>
                <w:sz w:val="18"/>
                <w:szCs w:val="18"/>
              </w:rPr>
            </w:pPr>
            <w:r>
              <w:rPr>
                <w:rFonts w:ascii="宋体" w:hAnsi="宋体" w:cs="宋体" w:eastAsia="宋体" w:hint="default"/>
                <w:sz w:val="18"/>
                <w:szCs w:val="18"/>
              </w:rPr>
              <w:t>司办</w:t>
            </w:r>
          </w:p>
        </w:tc>
        <w:tc>
          <w:tcPr>
            <w:tcW w:w="566" w:type="dxa"/>
            <w:vMerge/>
            <w:tcBorders>
              <w:left w:val="single" w:sz="4" w:space="0" w:color="000000"/>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568"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68" w:type="dxa"/>
            <w:vMerge/>
            <w:tcBorders>
              <w:left w:val="single" w:sz="4" w:space="0" w:color="000000"/>
              <w:right w:val="single" w:sz="4" w:space="0" w:color="000000"/>
            </w:tcBorders>
          </w:tcPr>
          <w:p>
            <w:pPr/>
          </w:p>
        </w:tc>
        <w:tc>
          <w:tcPr>
            <w:tcW w:w="1771" w:type="dxa"/>
            <w:vMerge/>
            <w:tcBorders>
              <w:left w:val="single" w:sz="4" w:space="0" w:color="000000"/>
              <w:right w:val="single" w:sz="4" w:space="0" w:color="000000"/>
            </w:tcBorders>
          </w:tcPr>
          <w:p>
            <w:pPr/>
          </w:p>
        </w:tc>
      </w:tr>
      <w:tr>
        <w:trPr>
          <w:trHeight w:val="357" w:hRule="exact"/>
        </w:trPr>
        <w:tc>
          <w:tcPr>
            <w:tcW w:w="70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68"/>
              <w:jc w:val="right"/>
              <w:rPr>
                <w:rFonts w:ascii="宋体" w:hAnsi="宋体" w:cs="宋体" w:eastAsia="宋体" w:hint="default"/>
                <w:sz w:val="18"/>
                <w:szCs w:val="18"/>
              </w:rPr>
            </w:pPr>
            <w:r>
              <w:rPr>
                <w:rFonts w:ascii="宋体" w:hAnsi="宋体" w:cs="宋体" w:eastAsia="宋体" w:hint="default"/>
                <w:sz w:val="18"/>
                <w:szCs w:val="18"/>
              </w:rPr>
              <w:t>公楼</w:t>
            </w:r>
          </w:p>
        </w:tc>
        <w:tc>
          <w:tcPr>
            <w:tcW w:w="566" w:type="dxa"/>
            <w:vMerge/>
            <w:tcBorders>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1771" w:type="dxa"/>
            <w:vMerge/>
            <w:tcBorders>
              <w:left w:val="single" w:sz="4" w:space="0" w:color="000000"/>
              <w:bottom w:val="single" w:sz="4" w:space="0" w:color="000000"/>
              <w:right w:val="single" w:sz="4" w:space="0" w:color="000000"/>
            </w:tcBorders>
          </w:tcPr>
          <w:p>
            <w:pPr/>
          </w:p>
        </w:tc>
      </w:tr>
      <w:tr>
        <w:trPr>
          <w:trHeight w:val="365" w:hRule="exact"/>
        </w:trPr>
        <w:tc>
          <w:tcPr>
            <w:tcW w:w="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126,9</w:t>
            </w: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126,986,</w:t>
            </w:r>
          </w:p>
        </w:tc>
        <w:tc>
          <w:tcPr>
            <w:tcW w:w="5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81" w:right="0"/>
              <w:jc w:val="lef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313" w:hRule="exact"/>
        </w:trPr>
        <w:tc>
          <w:tcPr>
            <w:tcW w:w="709"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190" w:right="0"/>
              <w:jc w:val="left"/>
              <w:rPr>
                <w:rFonts w:ascii="Times New Roman" w:hAnsi="Times New Roman" w:cs="Times New Roman" w:eastAsia="Times New Roman" w:hint="default"/>
                <w:sz w:val="18"/>
                <w:szCs w:val="18"/>
              </w:rPr>
            </w:pPr>
            <w:r>
              <w:rPr>
                <w:rFonts w:ascii="Times New Roman"/>
                <w:sz w:val="18"/>
              </w:rPr>
              <w:t>86,84</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18"/>
                <w:szCs w:val="18"/>
              </w:rPr>
            </w:pPr>
            <w:r>
              <w:rPr>
                <w:rFonts w:ascii="Times New Roman"/>
                <w:sz w:val="18"/>
              </w:rPr>
              <w:t>842.41</w:t>
            </w:r>
          </w:p>
        </w:tc>
        <w:tc>
          <w:tcPr>
            <w:tcW w:w="568"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771" w:type="dxa"/>
            <w:tcBorders>
              <w:top w:val="nil" w:sz="6" w:space="0" w:color="auto"/>
              <w:left w:val="single" w:sz="4" w:space="0" w:color="000000"/>
              <w:bottom w:val="nil" w:sz="6" w:space="0" w:color="auto"/>
              <w:right w:val="single" w:sz="4" w:space="0" w:color="000000"/>
            </w:tcBorders>
          </w:tcPr>
          <w:p>
            <w:pPr/>
          </w:p>
        </w:tc>
      </w:tr>
      <w:tr>
        <w:trPr>
          <w:trHeight w:val="349" w:hRule="exact"/>
        </w:trPr>
        <w:tc>
          <w:tcPr>
            <w:tcW w:w="709"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left="280" w:right="0"/>
              <w:jc w:val="left"/>
              <w:rPr>
                <w:rFonts w:ascii="Times New Roman" w:hAnsi="Times New Roman" w:cs="Times New Roman" w:eastAsia="Times New Roman" w:hint="default"/>
                <w:sz w:val="18"/>
                <w:szCs w:val="18"/>
              </w:rPr>
            </w:pPr>
            <w:r>
              <w:rPr>
                <w:rFonts w:ascii="Times New Roman"/>
                <w:sz w:val="18"/>
              </w:rPr>
              <w:t>2.41</w:t>
            </w:r>
          </w:p>
        </w:tc>
        <w:tc>
          <w:tcPr>
            <w:tcW w:w="851"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1771" w:type="dxa"/>
            <w:tcBorders>
              <w:top w:val="nil" w:sz="6" w:space="0" w:color="auto"/>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9"/>
          <w:szCs w:val="19"/>
        </w:rPr>
      </w:pPr>
    </w:p>
    <w:p>
      <w:pPr>
        <w:pStyle w:val="Heading3"/>
        <w:spacing w:line="240" w:lineRule="auto" w:before="35"/>
        <w:ind w:left="214" w:right="1021"/>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3"/>
        <w:rPr>
          <w:rFonts w:ascii="宋体" w:hAnsi="宋体" w:cs="宋体" w:eastAsia="宋体" w:hint="default"/>
          <w:b/>
          <w:bCs/>
          <w:sz w:val="23"/>
          <w:szCs w:val="23"/>
        </w:rPr>
      </w:pPr>
    </w:p>
    <w:p>
      <w:pPr>
        <w:spacing w:before="44"/>
        <w:ind w:left="214"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568"/>
        <w:gridCol w:w="1134"/>
        <w:gridCol w:w="1134"/>
        <w:gridCol w:w="1417"/>
        <w:gridCol w:w="851"/>
        <w:gridCol w:w="1276"/>
        <w:gridCol w:w="1134"/>
        <w:gridCol w:w="1276"/>
        <w:gridCol w:w="779"/>
      </w:tblGrid>
      <w:tr>
        <w:trPr>
          <w:trHeight w:val="714" w:hRule="exact"/>
        </w:trPr>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8" w:right="97"/>
              <w:jc w:val="left"/>
              <w:rPr>
                <w:rFonts w:ascii="宋体" w:hAnsi="宋体" w:cs="宋体" w:eastAsia="宋体" w:hint="default"/>
                <w:sz w:val="18"/>
                <w:szCs w:val="18"/>
              </w:rPr>
            </w:pPr>
            <w:r>
              <w:rPr>
                <w:rFonts w:ascii="宋体" w:hAnsi="宋体" w:cs="宋体" w:eastAsia="宋体" w:hint="default"/>
                <w:sz w:val="18"/>
                <w:szCs w:val="18"/>
              </w:rPr>
              <w:t>资产 类别</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71" w:right="110" w:hanging="360"/>
              <w:jc w:val="left"/>
              <w:rPr>
                <w:rFonts w:ascii="宋体" w:hAnsi="宋体" w:cs="宋体" w:eastAsia="宋体" w:hint="default"/>
                <w:sz w:val="18"/>
                <w:szCs w:val="18"/>
              </w:rPr>
            </w:pPr>
            <w:r>
              <w:rPr>
                <w:rFonts w:ascii="宋体" w:hAnsi="宋体" w:cs="宋体" w:eastAsia="宋体" w:hint="default"/>
                <w:sz w:val="18"/>
                <w:szCs w:val="18"/>
              </w:rPr>
              <w:t>初始投资成 本</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1" w:right="110"/>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63" w:right="72" w:hanging="90"/>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9" w:right="59"/>
              <w:jc w:val="left"/>
              <w:rPr>
                <w:rFonts w:ascii="宋体" w:hAnsi="宋体" w:cs="宋体" w:eastAsia="宋体" w:hint="default"/>
                <w:sz w:val="18"/>
                <w:szCs w:val="18"/>
              </w:rPr>
            </w:pPr>
            <w:r>
              <w:rPr>
                <w:rFonts w:ascii="宋体" w:hAnsi="宋体" w:cs="宋体" w:eastAsia="宋体" w:hint="default"/>
                <w:sz w:val="18"/>
                <w:szCs w:val="18"/>
              </w:rPr>
              <w:t>报告期内 购入金额</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52" w:right="91" w:hanging="360"/>
              <w:jc w:val="left"/>
              <w:rPr>
                <w:rFonts w:ascii="宋体" w:hAnsi="宋体" w:cs="宋体" w:eastAsia="宋体" w:hint="default"/>
                <w:sz w:val="18"/>
                <w:szCs w:val="18"/>
              </w:rPr>
            </w:pPr>
            <w:r>
              <w:rPr>
                <w:rFonts w:ascii="宋体" w:hAnsi="宋体" w:cs="宋体" w:eastAsia="宋体" w:hint="default"/>
                <w:sz w:val="18"/>
                <w:szCs w:val="18"/>
              </w:rPr>
              <w:t>报告期内售出 金额</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71" w:right="110" w:hanging="360"/>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71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48,981,350.00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130,388,136.94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84,530,808.47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68,627,279.62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 w:right="0"/>
              <w:jc w:val="center"/>
              <w:rPr>
                <w:rFonts w:ascii="Times New Roman" w:hAnsi="Times New Roman" w:cs="Times New Roman" w:eastAsia="Times New Roman" w:hint="default"/>
                <w:sz w:val="18"/>
                <w:szCs w:val="18"/>
              </w:rPr>
            </w:pPr>
            <w:r>
              <w:rPr>
                <w:rFonts w:ascii="Times New Roman"/>
                <w:sz w:val="18"/>
              </w:rPr>
              <w:t>179,369,486.94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超募及自 有资金</w:t>
            </w:r>
          </w:p>
        </w:tc>
      </w:tr>
      <w:tr>
        <w:trPr>
          <w:trHeight w:val="402" w:hRule="exact"/>
        </w:trPr>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48,981,350.00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130,388,136.94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84,530,808.47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68,627,279.62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center"/>
              <w:rPr>
                <w:rFonts w:ascii="Times New Roman" w:hAnsi="Times New Roman" w:cs="Times New Roman" w:eastAsia="Times New Roman" w:hint="default"/>
                <w:sz w:val="18"/>
                <w:szCs w:val="18"/>
              </w:rPr>
            </w:pPr>
            <w:r>
              <w:rPr>
                <w:rFonts w:ascii="Times New Roman"/>
                <w:sz w:val="18"/>
              </w:rPr>
              <w:t>179,369,486.94</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5"/>
          <w:szCs w:val="5"/>
        </w:rPr>
      </w:pPr>
    </w:p>
    <w:p>
      <w:pPr>
        <w:pStyle w:val="BodyText"/>
        <w:spacing w:line="396" w:lineRule="auto" w:before="35"/>
        <w:ind w:left="213" w:right="1121" w:firstLine="315"/>
        <w:jc w:val="left"/>
      </w:pPr>
      <w:r>
        <w:rPr>
          <w:spacing w:val="-3"/>
        </w:rPr>
        <w:t>公司以公允价值计量的金融资产系持有中新赛克股票，</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24 </w:t>
      </w:r>
      <w:r>
        <w:rPr/>
        <w:t>日公司召开第二届董事会第二十 二次（临时）会议</w:t>
      </w:r>
      <w:r>
        <w:rPr>
          <w:spacing w:val="-2"/>
        </w:rPr>
        <w:t> </w:t>
      </w:r>
      <w:r>
        <w:rPr/>
        <w:t>审议通过《关于对深圳市中新赛克科技股份有限公司进行增资的议案》公司使用剩余</w:t>
      </w:r>
      <w:r>
        <w:rPr/>
        <w:t> 超募资金及利息、部分自有资金合计</w:t>
      </w:r>
      <w:r>
        <w:rPr>
          <w:spacing w:val="-54"/>
        </w:rPr>
        <w:t> </w:t>
      </w:r>
      <w:r>
        <w:rPr>
          <w:rFonts w:ascii="Times New Roman" w:hAnsi="Times New Roman" w:cs="Times New Roman" w:eastAsia="Times New Roman" w:hint="default"/>
        </w:rPr>
        <w:t>4,898.135</w:t>
      </w:r>
      <w:r>
        <w:rPr>
          <w:rFonts w:ascii="Times New Roman" w:hAnsi="Times New Roman" w:cs="Times New Roman" w:eastAsia="Times New Roman" w:hint="default"/>
          <w:spacing w:val="-2"/>
        </w:rPr>
        <w:t> </w:t>
      </w:r>
      <w:r>
        <w:rPr/>
        <w:t>万元对中新赛克进行增资，增资完成后，公司持有中新赛 克</w:t>
      </w:r>
      <w:r>
        <w:rPr>
          <w:spacing w:val="-54"/>
        </w:rPr>
        <w:t> </w:t>
      </w:r>
      <w:r>
        <w:rPr>
          <w:rFonts w:ascii="Times New Roman" w:hAnsi="Times New Roman" w:cs="Times New Roman" w:eastAsia="Times New Roman" w:hint="default"/>
        </w:rPr>
        <w:t>4.1%</w:t>
      </w:r>
      <w:r>
        <w:rPr/>
        <w:t>股权。</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日中新赛克在深圳证券交易所</w:t>
      </w:r>
      <w:r>
        <w:rPr>
          <w:spacing w:val="-54"/>
        </w:rPr>
        <w:t> </w:t>
      </w:r>
      <w:r>
        <w:rPr>
          <w:rFonts w:ascii="Times New Roman" w:hAnsi="Times New Roman" w:cs="Times New Roman" w:eastAsia="Times New Roman" w:hint="default"/>
        </w:rPr>
        <w:t>IPO</w:t>
      </w:r>
      <w:r>
        <w:rPr>
          <w:rFonts w:ascii="Times New Roman" w:hAnsi="Times New Roman" w:cs="Times New Roman" w:eastAsia="Times New Roman" w:hint="default"/>
          <w:spacing w:val="-2"/>
        </w:rPr>
        <w:t> </w:t>
      </w:r>
      <w:r>
        <w:rPr/>
        <w:t>上市，上市后公司持有中新赛克</w:t>
      </w:r>
      <w:r>
        <w:rPr>
          <w:spacing w:val="-54"/>
        </w:rPr>
        <w:t> </w:t>
      </w:r>
      <w:r>
        <w:rPr>
          <w:rFonts w:ascii="Times New Roman" w:hAnsi="Times New Roman" w:cs="Times New Roman" w:eastAsia="Times New Roman" w:hint="default"/>
        </w:rPr>
        <w:t>3.07% </w:t>
      </w:r>
      <w:r>
        <w:rPr>
          <w:spacing w:val="-1"/>
        </w:rPr>
        <w:t>股权。公司持有中新赛克股权由成本法计量改为采用公允价值计量。持有中新赛克期间累计取得中新赛克</w:t>
      </w:r>
      <w:r>
        <w:rPr>
          <w:spacing w:val="-81"/>
        </w:rPr>
        <w:t> </w:t>
      </w:r>
      <w:r>
        <w:rPr>
          <w:spacing w:val="-81"/>
        </w:rPr>
      </w:r>
      <w:r>
        <w:rPr/>
        <w:t>现金股利</w:t>
      </w:r>
      <w:r>
        <w:rPr>
          <w:spacing w:val="-56"/>
        </w:rPr>
        <w:t> </w:t>
      </w:r>
      <w:r>
        <w:rPr>
          <w:rFonts w:ascii="Times New Roman" w:hAnsi="Times New Roman" w:cs="Times New Roman" w:eastAsia="Times New Roman" w:hint="default"/>
        </w:rPr>
        <w:t>317.75</w:t>
      </w:r>
      <w:r>
        <w:rPr>
          <w:rFonts w:ascii="Times New Roman" w:hAnsi="Times New Roman" w:cs="Times New Roman" w:eastAsia="Times New Roman" w:hint="default"/>
          <w:spacing w:val="-2"/>
        </w:rPr>
        <w:t> </w:t>
      </w:r>
      <w:r>
        <w:rPr/>
        <w:t>万元，</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月份公司处置</w:t>
      </w:r>
      <w:r>
        <w:rPr>
          <w:spacing w:val="-56"/>
        </w:rPr>
        <w:t> </w:t>
      </w:r>
      <w:r>
        <w:rPr>
          <w:rFonts w:ascii="Times New Roman" w:hAnsi="Times New Roman" w:cs="Times New Roman" w:eastAsia="Times New Roman" w:hint="default"/>
        </w:rPr>
        <w:t>106.72</w:t>
      </w:r>
      <w:r>
        <w:rPr>
          <w:rFonts w:ascii="Times New Roman" w:hAnsi="Times New Roman" w:cs="Times New Roman" w:eastAsia="Times New Roman" w:hint="default"/>
          <w:spacing w:val="-2"/>
        </w:rPr>
        <w:t> </w:t>
      </w:r>
      <w:r>
        <w:rPr/>
        <w:t>万股中新赛克股票，取得投资收益约</w:t>
      </w:r>
      <w:r>
        <w:rPr>
          <w:spacing w:val="-56"/>
        </w:rPr>
        <w:t> </w:t>
      </w:r>
      <w:r>
        <w:rPr>
          <w:rFonts w:ascii="Times New Roman" w:hAnsi="Times New Roman" w:cs="Times New Roman" w:eastAsia="Times New Roman" w:hint="default"/>
        </w:rPr>
        <w:t>6545</w:t>
      </w:r>
      <w:r>
        <w:rPr>
          <w:rFonts w:ascii="Times New Roman" w:hAnsi="Times New Roman" w:cs="Times New Roman" w:eastAsia="Times New Roman" w:hint="default"/>
          <w:spacing w:val="-3"/>
        </w:rPr>
        <w:t> </w:t>
      </w:r>
      <w:r>
        <w:rPr/>
        <w:t>万元。</w:t>
      </w:r>
    </w:p>
    <w:p>
      <w:pPr>
        <w:spacing w:after="0" w:line="396" w:lineRule="auto"/>
        <w:jc w:val="left"/>
        <w:sectPr>
          <w:pgSz w:w="11910" w:h="16840"/>
          <w:pgMar w:header="747" w:footer="982" w:top="1060" w:bottom="1180" w:left="920" w:right="0"/>
        </w:sectPr>
      </w:pPr>
    </w:p>
    <w:p>
      <w:pPr>
        <w:spacing w:line="240" w:lineRule="auto" w:before="9"/>
        <w:rPr>
          <w:rFonts w:ascii="宋体" w:hAnsi="宋体" w:cs="宋体" w:eastAsia="宋体" w:hint="default"/>
          <w:sz w:val="24"/>
          <w:szCs w:val="24"/>
        </w:rPr>
      </w:pPr>
    </w:p>
    <w:p>
      <w:pPr>
        <w:pStyle w:val="Heading3"/>
        <w:spacing w:line="240" w:lineRule="auto" w:before="35"/>
        <w:ind w:left="214" w:right="1021"/>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8"/>
        <w:rPr>
          <w:rFonts w:ascii="宋体" w:hAnsi="宋体" w:cs="宋体" w:eastAsia="宋体" w:hint="default"/>
          <w:b/>
          <w:bCs/>
          <w:sz w:val="26"/>
          <w:szCs w:val="26"/>
        </w:rPr>
      </w:pPr>
    </w:p>
    <w:p>
      <w:pPr>
        <w:spacing w:before="0"/>
        <w:ind w:left="214"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214" w:right="1021"/>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spacing w:before="44"/>
        <w:ind w:left="214"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865"/>
        <w:gridCol w:w="870"/>
        <w:gridCol w:w="870"/>
        <w:gridCol w:w="870"/>
        <w:gridCol w:w="870"/>
        <w:gridCol w:w="869"/>
        <w:gridCol w:w="870"/>
        <w:gridCol w:w="870"/>
        <w:gridCol w:w="870"/>
        <w:gridCol w:w="1108"/>
        <w:gridCol w:w="631"/>
      </w:tblGrid>
      <w:tr>
        <w:trPr>
          <w:trHeight w:val="1338" w:hRule="exact"/>
        </w:trPr>
        <w:tc>
          <w:tcPr>
            <w:tcW w:w="8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1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8" w:right="97"/>
              <w:jc w:val="center"/>
              <w:rPr>
                <w:rFonts w:ascii="宋体" w:hAnsi="宋体" w:cs="宋体" w:eastAsia="宋体" w:hint="default"/>
                <w:sz w:val="18"/>
                <w:szCs w:val="18"/>
              </w:rPr>
            </w:pPr>
            <w:r>
              <w:rPr>
                <w:rFonts w:ascii="宋体" w:hAnsi="宋体" w:cs="宋体" w:eastAsia="宋体" w:hint="default"/>
                <w:sz w:val="18"/>
                <w:szCs w:val="18"/>
              </w:rPr>
              <w:t>尚未使用募 集资金用途 及去向</w:t>
            </w:r>
          </w:p>
        </w:tc>
        <w:tc>
          <w:tcPr>
            <w:tcW w:w="6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0" w:right="38"/>
              <w:jc w:val="both"/>
              <w:rPr>
                <w:rFonts w:ascii="宋体" w:hAnsi="宋体" w:cs="宋体" w:eastAsia="宋体" w:hint="default"/>
                <w:sz w:val="18"/>
                <w:szCs w:val="18"/>
              </w:rPr>
            </w:pPr>
            <w:r>
              <w:rPr>
                <w:rFonts w:ascii="宋体" w:hAnsi="宋体" w:cs="宋体" w:eastAsia="宋体" w:hint="default"/>
                <w:sz w:val="18"/>
                <w:szCs w:val="18"/>
              </w:rPr>
              <w:t>闲置两 年以上 募集资 金金额</w:t>
            </w:r>
          </w:p>
        </w:tc>
      </w:tr>
      <w:tr>
        <w:trPr>
          <w:trHeight w:val="1962"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公开发行 股份</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14" w:right="0"/>
              <w:jc w:val="left"/>
              <w:rPr>
                <w:rFonts w:ascii="Times New Roman" w:hAnsi="Times New Roman" w:cs="Times New Roman" w:eastAsia="Times New Roman" w:hint="default"/>
                <w:sz w:val="18"/>
                <w:szCs w:val="18"/>
              </w:rPr>
            </w:pPr>
            <w:r>
              <w:rPr>
                <w:rFonts w:ascii="Times New Roman"/>
                <w:sz w:val="18"/>
              </w:rPr>
              <w:t>50,140.6</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67"/>
              <w:jc w:val="right"/>
              <w:rPr>
                <w:rFonts w:ascii="Times New Roman" w:hAnsi="Times New Roman" w:cs="Times New Roman" w:eastAsia="Times New Roman" w:hint="default"/>
                <w:sz w:val="18"/>
                <w:szCs w:val="18"/>
              </w:rPr>
            </w:pPr>
            <w:r>
              <w:rPr>
                <w:rFonts w:ascii="Times New Roman"/>
                <w:sz w:val="18"/>
              </w:rPr>
              <w:t>49,640.74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6"/>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499.86</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 w:hanging="29"/>
              <w:jc w:val="center"/>
              <w:rPr>
                <w:rFonts w:ascii="宋体" w:hAnsi="宋体" w:cs="宋体" w:eastAsia="宋体" w:hint="default"/>
                <w:sz w:val="18"/>
                <w:szCs w:val="18"/>
              </w:rPr>
            </w:pPr>
            <w:r>
              <w:rPr>
                <w:rFonts w:ascii="宋体" w:hAnsi="宋体" w:cs="宋体" w:eastAsia="宋体" w:hint="default"/>
                <w:sz w:val="18"/>
                <w:szCs w:val="18"/>
              </w:rPr>
              <w:t>尚未使用的 募集资金存 储于专户中， 将用于支付 的研发大楼 相关税费</w:t>
            </w:r>
          </w:p>
        </w:tc>
        <w:tc>
          <w:tcPr>
            <w:tcW w:w="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50,140.6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49,640.74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6"/>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1" w:right="0"/>
              <w:jc w:val="left"/>
              <w:rPr>
                <w:rFonts w:ascii="Times New Roman" w:hAnsi="Times New Roman" w:cs="Times New Roman" w:eastAsia="Times New Roman" w:hint="default"/>
                <w:sz w:val="18"/>
                <w:szCs w:val="18"/>
              </w:rPr>
            </w:pPr>
            <w:r>
              <w:rPr>
                <w:rFonts w:ascii="Times New Roman"/>
                <w:sz w:val="18"/>
              </w:rPr>
              <w:t>499.86</w:t>
            </w:r>
          </w:p>
        </w:tc>
        <w:tc>
          <w:tcPr>
            <w:tcW w:w="1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3"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714" w:hRule="exact"/>
        </w:trPr>
        <w:tc>
          <w:tcPr>
            <w:tcW w:w="9563"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日，公司募集资金累计直接投入募投项目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49,640.74</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万元，尚未使用的金额为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499.86</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万元，尚未使用</w:t>
            </w:r>
            <w:r>
              <w:rPr>
                <w:rFonts w:ascii="宋体" w:hAnsi="宋体" w:cs="宋体" w:eastAsia="宋体" w:hint="default"/>
                <w:sz w:val="18"/>
                <w:szCs w:val="18"/>
              </w:rPr>
              <w:t> 的募集资金存储于专户中，将用于支付的研发大楼相关税费。</w:t>
            </w:r>
          </w:p>
        </w:tc>
      </w:tr>
    </w:tbl>
    <w:p>
      <w:pPr>
        <w:spacing w:line="240" w:lineRule="auto" w:before="1"/>
        <w:rPr>
          <w:rFonts w:ascii="宋体" w:hAnsi="宋体" w:cs="宋体" w:eastAsia="宋体" w:hint="default"/>
          <w:sz w:val="19"/>
          <w:szCs w:val="19"/>
        </w:rPr>
      </w:pPr>
    </w:p>
    <w:p>
      <w:pPr>
        <w:pStyle w:val="Heading3"/>
        <w:spacing w:line="240" w:lineRule="auto" w:before="35"/>
        <w:ind w:left="214" w:right="1021"/>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spacing w:before="44"/>
        <w:ind w:left="214"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276"/>
        <w:gridCol w:w="709"/>
        <w:gridCol w:w="851"/>
        <w:gridCol w:w="851"/>
        <w:gridCol w:w="566"/>
        <w:gridCol w:w="851"/>
        <w:gridCol w:w="708"/>
        <w:gridCol w:w="852"/>
        <w:gridCol w:w="850"/>
        <w:gridCol w:w="851"/>
        <w:gridCol w:w="485"/>
        <w:gridCol w:w="722"/>
      </w:tblGrid>
      <w:tr>
        <w:trPr>
          <w:trHeight w:val="258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82" w:right="181"/>
              <w:jc w:val="center"/>
              <w:rPr>
                <w:rFonts w:ascii="宋体" w:hAnsi="宋体" w:cs="宋体" w:eastAsia="宋体" w:hint="default"/>
                <w:sz w:val="18"/>
                <w:szCs w:val="18"/>
              </w:rPr>
            </w:pPr>
            <w:r>
              <w:rPr>
                <w:rFonts w:ascii="宋体" w:hAnsi="宋体" w:cs="宋体" w:eastAsia="宋体" w:hint="default"/>
                <w:sz w:val="18"/>
                <w:szCs w:val="18"/>
              </w:rPr>
              <w:t>承诺投资项 目和超募资 金投向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39" w:right="138"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 已变 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 变更</w:t>
            </w:r>
            <w:r>
              <w:rPr>
                <w:rFonts w:ascii="Times New Roman" w:hAnsi="Times New Roman" w:cs="Times New Roman" w:eastAsia="Times New Roman" w:hint="default"/>
                <w:sz w:val="18"/>
                <w:szCs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49" w:right="149"/>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48" w:right="150"/>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88" w:right="186"/>
              <w:jc w:val="both"/>
              <w:rPr>
                <w:rFonts w:ascii="宋体" w:hAnsi="宋体" w:cs="宋体" w:eastAsia="宋体" w:hint="default"/>
                <w:sz w:val="18"/>
                <w:szCs w:val="18"/>
              </w:rPr>
            </w:pPr>
            <w:r>
              <w:rPr>
                <w:rFonts w:ascii="宋体" w:hAnsi="宋体" w:cs="宋体" w:eastAsia="宋体" w:hint="default"/>
                <w:sz w:val="18"/>
                <w:szCs w:val="18"/>
              </w:rPr>
              <w:t>本 报 告 期 投 入 金 额</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49" w:right="149"/>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1"/>
              <w:ind w:left="113" w:right="112" w:firstLine="5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 期末 投资 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49" w:right="150"/>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48" w:right="149"/>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49" w:right="149"/>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47" w:right="145"/>
              <w:jc w:val="both"/>
              <w:rPr>
                <w:rFonts w:ascii="宋体" w:hAnsi="宋体" w:cs="宋体" w:eastAsia="宋体" w:hint="default"/>
                <w:sz w:val="18"/>
                <w:szCs w:val="18"/>
              </w:rPr>
            </w:pPr>
            <w:r>
              <w:rPr>
                <w:rFonts w:ascii="宋体" w:hAnsi="宋体" w:cs="宋体" w:eastAsia="宋体" w:hint="default"/>
                <w:sz w:val="18"/>
                <w:szCs w:val="18"/>
              </w:rPr>
              <w:t>是 否 达 到 预 计 效 益</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76" w:right="174"/>
              <w:jc w:val="both"/>
              <w:rPr>
                <w:rFonts w:ascii="宋体" w:hAnsi="宋体" w:cs="宋体" w:eastAsia="宋体" w:hint="default"/>
                <w:sz w:val="18"/>
                <w:szCs w:val="18"/>
              </w:rPr>
            </w:pPr>
            <w:r>
              <w:rPr>
                <w:rFonts w:ascii="宋体" w:hAnsi="宋体" w:cs="宋体" w:eastAsia="宋体" w:hint="default"/>
                <w:sz w:val="18"/>
                <w:szCs w:val="18"/>
              </w:rPr>
              <w:t>项目 可行 性是 否发 生重 大变 化</w:t>
            </w:r>
          </w:p>
        </w:tc>
      </w:tr>
      <w:tr>
        <w:trPr>
          <w:trHeight w:val="402" w:hRule="exact"/>
        </w:trPr>
        <w:tc>
          <w:tcPr>
            <w:tcW w:w="9571"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0"/>
              <w:jc w:val="left"/>
              <w:rPr>
                <w:rFonts w:ascii="宋体" w:hAnsi="宋体" w:cs="宋体" w:eastAsia="宋体" w:hint="default"/>
                <w:sz w:val="18"/>
                <w:szCs w:val="18"/>
              </w:rPr>
            </w:pPr>
            <w:r>
              <w:rPr>
                <w:rFonts w:ascii="宋体" w:hAnsi="宋体" w:cs="宋体" w:eastAsia="宋体" w:hint="default"/>
                <w:sz w:val="18"/>
                <w:szCs w:val="18"/>
              </w:rPr>
              <w:t>电子数据取 证产品项目</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6,993.29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z w:val="18"/>
              </w:rPr>
              <w:t>6,939.62</w:t>
            </w: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6,939.62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227" w:right="0"/>
              <w:jc w:val="lef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z w:val="18"/>
              </w:rPr>
              <w:t>8,785.82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46,795.8</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3</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5"/>
              <w:jc w:val="righ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0"/>
              <w:jc w:val="left"/>
              <w:rPr>
                <w:rFonts w:ascii="宋体" w:hAnsi="宋体" w:cs="宋体" w:eastAsia="宋体" w:hint="default"/>
                <w:sz w:val="18"/>
                <w:szCs w:val="18"/>
              </w:rPr>
            </w:pPr>
            <w:r>
              <w:rPr>
                <w:rFonts w:ascii="宋体" w:hAnsi="宋体" w:cs="宋体" w:eastAsia="宋体" w:hint="default"/>
                <w:sz w:val="18"/>
                <w:szCs w:val="18"/>
              </w:rPr>
              <w:t>网络信息安 全产品项目</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6,291.62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z w:val="18"/>
              </w:rPr>
              <w:t>6,258.75</w:t>
            </w: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6,258.75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227" w:right="0"/>
              <w:jc w:val="lef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0"/>
              <w:jc w:val="right"/>
              <w:rPr>
                <w:rFonts w:ascii="Times New Roman" w:hAnsi="Times New Roman" w:cs="Times New Roman" w:eastAsia="Times New Roman" w:hint="default"/>
                <w:sz w:val="18"/>
                <w:szCs w:val="18"/>
              </w:rPr>
            </w:pPr>
            <w:r>
              <w:rPr>
                <w:rFonts w:ascii="Times New Roman"/>
                <w:sz w:val="18"/>
              </w:rPr>
              <w:t>945.66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5,844.25</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5"/>
              <w:jc w:val="righ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4"/>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right"/>
        <w:rPr>
          <w:rFonts w:ascii="宋体" w:hAnsi="宋体" w:cs="宋体" w:eastAsia="宋体" w:hint="default"/>
          <w:sz w:val="18"/>
          <w:szCs w:val="18"/>
        </w:rPr>
        <w:sectPr>
          <w:pgSz w:w="11910" w:h="16840"/>
          <w:pgMar w:header="747" w:footer="982" w:top="1060" w:bottom="118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720"/>
        <w:gridCol w:w="556"/>
        <w:gridCol w:w="709"/>
        <w:gridCol w:w="851"/>
        <w:gridCol w:w="851"/>
        <w:gridCol w:w="566"/>
        <w:gridCol w:w="851"/>
        <w:gridCol w:w="708"/>
        <w:gridCol w:w="852"/>
        <w:gridCol w:w="850"/>
        <w:gridCol w:w="851"/>
        <w:gridCol w:w="485"/>
        <w:gridCol w:w="722"/>
      </w:tblGrid>
      <w:tr>
        <w:trPr>
          <w:trHeight w:val="362" w:hRule="exact"/>
        </w:trPr>
        <w:tc>
          <w:tcPr>
            <w:tcW w:w="1276" w:type="dxa"/>
            <w:gridSpan w:val="2"/>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30"/>
              <w:jc w:val="righ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0"/>
              <w:jc w:val="both"/>
              <w:rPr>
                <w:rFonts w:ascii="宋体" w:hAnsi="宋体" w:cs="宋体" w:eastAsia="宋体" w:hint="default"/>
                <w:sz w:val="18"/>
                <w:szCs w:val="18"/>
              </w:rPr>
            </w:pPr>
            <w:r>
              <w:rPr>
                <w:rFonts w:ascii="宋体" w:hAnsi="宋体" w:cs="宋体" w:eastAsia="宋体" w:hint="default"/>
                <w:sz w:val="18"/>
                <w:szCs w:val="18"/>
              </w:rPr>
              <w:t>电子数据鉴 定及知识产 权保护服务 等项目</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z w:val="18"/>
              </w:rPr>
              <w:t>3,459.95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3,399.43</w:t>
            </w: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3,399.43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227" w:right="0"/>
              <w:jc w:val="lef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z w:val="18"/>
              </w:rPr>
              <w:t>1,995.45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12,305.3</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3</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0"/>
              <w:jc w:val="both"/>
              <w:rPr>
                <w:rFonts w:ascii="宋体" w:hAnsi="宋体" w:cs="宋体" w:eastAsia="宋体" w:hint="default"/>
                <w:sz w:val="18"/>
                <w:szCs w:val="18"/>
              </w:rPr>
            </w:pPr>
            <w:r>
              <w:rPr>
                <w:rFonts w:ascii="宋体" w:hAnsi="宋体" w:cs="宋体" w:eastAsia="宋体" w:hint="default"/>
                <w:sz w:val="18"/>
                <w:szCs w:val="18"/>
              </w:rPr>
              <w:t>节余募集资 金永久补充 流动资金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86.54</w:t>
            </w: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86.54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227" w:right="0"/>
              <w:jc w:val="lef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0"/>
              <w:jc w:val="left"/>
              <w:rPr>
                <w:rFonts w:ascii="宋体" w:hAnsi="宋体" w:cs="宋体" w:eastAsia="宋体" w:hint="default"/>
                <w:sz w:val="18"/>
                <w:szCs w:val="18"/>
              </w:rPr>
            </w:pPr>
            <w:r>
              <w:rPr>
                <w:rFonts w:ascii="宋体" w:hAnsi="宋体" w:cs="宋体" w:eastAsia="宋体" w:hint="default"/>
                <w:sz w:val="18"/>
                <w:szCs w:val="18"/>
              </w:rPr>
              <w:t>承诺投资项 目小计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9" w:right="0"/>
              <w:jc w:val="left"/>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16,744.8</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16,684.3</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4</w:t>
            </w: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16,684.3</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60"/>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11,726.9</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64,945.4</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1</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
        </w:tc>
        <w:tc>
          <w:tcPr>
            <w:tcW w:w="8851"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338" w:hRule="exact"/>
        </w:trPr>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0"/>
              <w:jc w:val="left"/>
              <w:rPr>
                <w:rFonts w:ascii="宋体" w:hAnsi="宋体" w:cs="宋体" w:eastAsia="宋体" w:hint="default"/>
                <w:sz w:val="18"/>
                <w:szCs w:val="18"/>
              </w:rPr>
            </w:pPr>
            <w:r>
              <w:rPr>
                <w:rFonts w:ascii="宋体" w:hAnsi="宋体" w:cs="宋体" w:eastAsia="宋体" w:hint="default"/>
                <w:sz w:val="18"/>
                <w:szCs w:val="18"/>
              </w:rPr>
              <w:t>追加投资建 设超算中心</w:t>
            </w:r>
          </w:p>
          <w:p>
            <w:pPr>
              <w:pStyle w:val="TableParagraph"/>
              <w:spacing w:line="319" w:lineRule="auto" w:before="19"/>
              <w:ind w:left="103" w:right="101"/>
              <w:jc w:val="left"/>
              <w:rPr>
                <w:rFonts w:ascii="宋体" w:hAnsi="宋体" w:cs="宋体" w:eastAsia="宋体" w:hint="default"/>
                <w:sz w:val="18"/>
                <w:szCs w:val="18"/>
              </w:rPr>
            </w:pPr>
            <w:r>
              <w:rPr>
                <w:rFonts w:ascii="宋体" w:hAnsi="宋体" w:cs="宋体" w:eastAsia="宋体" w:hint="default"/>
                <w:spacing w:val="-4"/>
                <w:sz w:val="18"/>
                <w:szCs w:val="18"/>
              </w:rPr>
              <w:t>（云计算）项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目</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z w:val="18"/>
              </w:rPr>
              <w:t>3,012.49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2,762.76</w:t>
            </w: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2,762.76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227" w:right="0"/>
              <w:jc w:val="lef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0"/>
              <w:jc w:val="left"/>
              <w:rPr>
                <w:rFonts w:ascii="宋体" w:hAnsi="宋体" w:cs="宋体" w:eastAsia="宋体" w:hint="default"/>
                <w:sz w:val="18"/>
                <w:szCs w:val="18"/>
              </w:rPr>
            </w:pPr>
            <w:r>
              <w:rPr>
                <w:rFonts w:ascii="宋体" w:hAnsi="宋体" w:cs="宋体" w:eastAsia="宋体" w:hint="default"/>
                <w:sz w:val="18"/>
                <w:szCs w:val="18"/>
              </w:rPr>
              <w:t>电子数据公 证云项目</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z w:val="18"/>
              </w:rPr>
              <w:t>1,363.15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1,302.08</w:t>
            </w: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1,302.08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227" w:right="0"/>
              <w:jc w:val="lef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6" w:right="0"/>
              <w:jc w:val="left"/>
              <w:rPr>
                <w:rFonts w:ascii="Times New Roman" w:hAnsi="Times New Roman" w:cs="Times New Roman" w:eastAsia="Times New Roman" w:hint="default"/>
                <w:sz w:val="18"/>
                <w:szCs w:val="18"/>
              </w:rPr>
            </w:pPr>
            <w:r>
              <w:rPr>
                <w:rFonts w:ascii="Times New Roman"/>
                <w:sz w:val="18"/>
              </w:rPr>
              <w:t>50.36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-318.5</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0"/>
              <w:jc w:val="left"/>
              <w:rPr>
                <w:rFonts w:ascii="宋体" w:hAnsi="宋体" w:cs="宋体" w:eastAsia="宋体" w:hint="default"/>
                <w:sz w:val="18"/>
                <w:szCs w:val="18"/>
              </w:rPr>
            </w:pPr>
            <w:r>
              <w:rPr>
                <w:rFonts w:ascii="宋体" w:hAnsi="宋体" w:cs="宋体" w:eastAsia="宋体" w:hint="default"/>
                <w:sz w:val="18"/>
                <w:szCs w:val="18"/>
              </w:rPr>
              <w:t>购买研发大 楼</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16,468.6</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16,468.6</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1</w:t>
            </w: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15,968.7</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96.96</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0"/>
              <w:jc w:val="left"/>
              <w:rPr>
                <w:rFonts w:ascii="宋体" w:hAnsi="宋体" w:cs="宋体" w:eastAsia="宋体" w:hint="default"/>
                <w:sz w:val="18"/>
                <w:szCs w:val="18"/>
              </w:rPr>
            </w:pPr>
            <w:r>
              <w:rPr>
                <w:rFonts w:ascii="宋体" w:hAnsi="宋体" w:cs="宋体" w:eastAsia="宋体" w:hint="default"/>
                <w:sz w:val="18"/>
                <w:szCs w:val="18"/>
              </w:rPr>
              <w:t>收购新德汇 公司股权</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7"/>
              <w:jc w:val="right"/>
              <w:rPr>
                <w:rFonts w:ascii="Times New Roman" w:hAnsi="Times New Roman" w:cs="Times New Roman" w:eastAsia="Times New Roman" w:hint="default"/>
                <w:sz w:val="18"/>
                <w:szCs w:val="18"/>
              </w:rPr>
            </w:pPr>
            <w:r>
              <w:rPr>
                <w:rFonts w:ascii="Times New Roman"/>
                <w:sz w:val="18"/>
              </w:rPr>
              <w:t>5,854.8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5,854.8</w:t>
            </w: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5,854.8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227" w:right="0"/>
              <w:jc w:val="lef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z w:val="18"/>
              </w:rPr>
              <w:t>2,678.44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10,422.9</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2</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0"/>
              <w:jc w:val="both"/>
              <w:rPr>
                <w:rFonts w:ascii="宋体" w:hAnsi="宋体" w:cs="宋体" w:eastAsia="宋体" w:hint="default"/>
                <w:sz w:val="18"/>
                <w:szCs w:val="18"/>
              </w:rPr>
            </w:pPr>
            <w:r>
              <w:rPr>
                <w:rFonts w:ascii="宋体" w:hAnsi="宋体" w:cs="宋体" w:eastAsia="宋体" w:hint="default"/>
                <w:sz w:val="18"/>
                <w:szCs w:val="18"/>
              </w:rPr>
              <w:t>电子数据公 证云项目节 余募集资金 永久补充流 动资金</w:t>
            </w: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61.07</w:t>
            </w: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61.07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227" w:right="0"/>
              <w:jc w:val="lef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0"/>
              <w:jc w:val="both"/>
              <w:rPr>
                <w:rFonts w:ascii="宋体" w:hAnsi="宋体" w:cs="宋体" w:eastAsia="宋体" w:hint="default"/>
                <w:sz w:val="18"/>
                <w:szCs w:val="18"/>
              </w:rPr>
            </w:pPr>
            <w:r>
              <w:rPr>
                <w:rFonts w:ascii="宋体" w:hAnsi="宋体" w:cs="宋体" w:eastAsia="宋体" w:hint="default"/>
                <w:sz w:val="18"/>
                <w:szCs w:val="18"/>
              </w:rPr>
              <w:t>对深圳市中 新赛克科技 股份有限公 司进行增资</w:t>
            </w: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z w:val="18"/>
              </w:rPr>
              <w:t>2,006.94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2,006.94</w:t>
            </w: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2,006.94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227" w:right="0"/>
              <w:jc w:val="lef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0"/>
              <w:jc w:val="left"/>
              <w:rPr>
                <w:rFonts w:ascii="宋体" w:hAnsi="宋体" w:cs="宋体" w:eastAsia="宋体" w:hint="default"/>
                <w:sz w:val="18"/>
                <w:szCs w:val="18"/>
              </w:rPr>
            </w:pPr>
            <w:r>
              <w:rPr>
                <w:rFonts w:ascii="宋体" w:hAnsi="宋体" w:cs="宋体" w:eastAsia="宋体" w:hint="default"/>
                <w:sz w:val="18"/>
                <w:szCs w:val="18"/>
              </w:rPr>
              <w:t>补充流动资 金（如有）</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9" w:right="0"/>
              <w:jc w:val="left"/>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5,000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5,000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228" w:right="0"/>
              <w:jc w:val="lef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60"/>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0"/>
              <w:jc w:val="left"/>
              <w:rPr>
                <w:rFonts w:ascii="宋体" w:hAnsi="宋体" w:cs="宋体" w:eastAsia="宋体" w:hint="default"/>
                <w:sz w:val="18"/>
                <w:szCs w:val="18"/>
              </w:rPr>
            </w:pPr>
            <w:r>
              <w:rPr>
                <w:rFonts w:ascii="宋体" w:hAnsi="宋体" w:cs="宋体" w:eastAsia="宋体" w:hint="default"/>
                <w:sz w:val="18"/>
                <w:szCs w:val="18"/>
              </w:rPr>
              <w:t>超募资金投 向小计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9" w:right="0"/>
              <w:jc w:val="left"/>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33,705.9</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33,456.2</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6</w:t>
            </w: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32,956.4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60"/>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8"/>
              <w:jc w:val="right"/>
              <w:rPr>
                <w:rFonts w:ascii="Times New Roman" w:hAnsi="Times New Roman" w:cs="Times New Roman" w:eastAsia="Times New Roman" w:hint="default"/>
                <w:sz w:val="18"/>
                <w:szCs w:val="18"/>
              </w:rPr>
            </w:pPr>
            <w:r>
              <w:rPr>
                <w:rFonts w:ascii="Times New Roman"/>
                <w:sz w:val="18"/>
              </w:rPr>
              <w:t>2,728.8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10,104.4</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2</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9" w:right="0"/>
              <w:jc w:val="left"/>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50,450.8</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50,140.6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49,640.7</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60"/>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14,455.7</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75,049.8</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3</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未达到计划</w:t>
            </w:r>
          </w:p>
        </w:tc>
        <w:tc>
          <w:tcPr>
            <w:tcW w:w="709" w:type="dxa"/>
            <w:tcBorders>
              <w:top w:val="single" w:sz="4" w:space="0" w:color="000000"/>
              <w:left w:val="single" w:sz="4" w:space="0" w:color="000000"/>
              <w:bottom w:val="single" w:sz="4" w:space="0" w:color="000000"/>
              <w:right w:val="single" w:sz="4" w:space="0" w:color="000000"/>
            </w:tcBorders>
          </w:tcPr>
          <w:p>
            <w:pPr/>
          </w:p>
        </w:tc>
        <w:tc>
          <w:tcPr>
            <w:tcW w:w="758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）网络信息安全产品项目效益未达到预期主要原因是：随着互联网的发展，特别是大数据</w:t>
            </w:r>
          </w:p>
        </w:tc>
      </w:tr>
    </w:tbl>
    <w:p>
      <w:pPr>
        <w:spacing w:after="0" w:line="240" w:lineRule="auto"/>
        <w:jc w:val="left"/>
        <w:rPr>
          <w:rFonts w:ascii="宋体" w:hAnsi="宋体" w:cs="宋体" w:eastAsia="宋体" w:hint="default"/>
          <w:sz w:val="18"/>
          <w:szCs w:val="18"/>
        </w:rPr>
        <w:sectPr>
          <w:pgSz w:w="11910" w:h="16840"/>
          <w:pgMar w:header="747" w:footer="982" w:top="1060" w:bottom="118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276"/>
        <w:gridCol w:w="709"/>
        <w:gridCol w:w="7586"/>
      </w:tblGrid>
      <w:tr>
        <w:trPr>
          <w:trHeight w:val="322" w:hRule="exact"/>
        </w:trPr>
        <w:tc>
          <w:tcPr>
            <w:tcW w:w="12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进度或预计</w:t>
            </w:r>
          </w:p>
        </w:tc>
        <w:tc>
          <w:tcPr>
            <w:tcW w:w="709" w:type="dxa"/>
            <w:vMerge w:val="restart"/>
            <w:tcBorders>
              <w:top w:val="single" w:sz="4" w:space="0" w:color="000000"/>
              <w:left w:val="single" w:sz="4" w:space="0" w:color="000000"/>
              <w:right w:val="single" w:sz="4" w:space="0" w:color="000000"/>
            </w:tcBorders>
          </w:tcPr>
          <w:p>
            <w:pPr/>
          </w:p>
        </w:tc>
        <w:tc>
          <w:tcPr>
            <w:tcW w:w="75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和互联网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概念的提出，政府部门也逐渐地开始接受向社会购买服务产品。公司网络信息安全</w:t>
            </w:r>
          </w:p>
        </w:tc>
      </w:tr>
      <w:tr>
        <w:trPr>
          <w:trHeight w:val="307" w:hRule="exact"/>
        </w:trPr>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收益的情况</w:t>
            </w:r>
          </w:p>
        </w:tc>
        <w:tc>
          <w:tcPr>
            <w:tcW w:w="709" w:type="dxa"/>
            <w:vMerge/>
            <w:tcBorders>
              <w:left w:val="single" w:sz="4" w:space="0" w:color="000000"/>
              <w:right w:val="single" w:sz="4" w:space="0" w:color="000000"/>
            </w:tcBorders>
          </w:tcPr>
          <w:p>
            <w:pPr/>
          </w:p>
        </w:tc>
        <w:tc>
          <w:tcPr>
            <w:tcW w:w="75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产品项目由单一的产品销售向“小产品、大服务”的战略方向推进，研发和销售从过去的产品</w:t>
            </w:r>
          </w:p>
        </w:tc>
      </w:tr>
      <w:tr>
        <w:trPr>
          <w:trHeight w:val="312" w:hRule="exact"/>
        </w:trPr>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4"/>
                <w:sz w:val="18"/>
                <w:szCs w:val="18"/>
              </w:rPr>
              <w:t>和原因（分具</w:t>
            </w:r>
          </w:p>
        </w:tc>
        <w:tc>
          <w:tcPr>
            <w:tcW w:w="709" w:type="dxa"/>
            <w:vMerge/>
            <w:tcBorders>
              <w:left w:val="single" w:sz="4" w:space="0" w:color="000000"/>
              <w:right w:val="single" w:sz="4" w:space="0" w:color="000000"/>
            </w:tcBorders>
          </w:tcPr>
          <w:p>
            <w:pPr/>
          </w:p>
        </w:tc>
        <w:tc>
          <w:tcPr>
            <w:tcW w:w="7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形态向互联网服务转变，目前虽有客户开始逐渐转向购买服务，但数据服务和互联网信息服务</w:t>
            </w:r>
          </w:p>
        </w:tc>
      </w:tr>
      <w:tr>
        <w:trPr>
          <w:trHeight w:val="313" w:hRule="exact"/>
        </w:trPr>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体项目）</w:t>
            </w:r>
          </w:p>
        </w:tc>
        <w:tc>
          <w:tcPr>
            <w:tcW w:w="709" w:type="dxa"/>
            <w:vMerge/>
            <w:tcBorders>
              <w:left w:val="single" w:sz="4" w:space="0" w:color="000000"/>
              <w:right w:val="single" w:sz="4" w:space="0" w:color="000000"/>
            </w:tcBorders>
          </w:tcPr>
          <w:p>
            <w:pPr/>
          </w:p>
        </w:tc>
        <w:tc>
          <w:tcPr>
            <w:tcW w:w="7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都尚处在市场培育阶段，市场对新生的商业形式和服务模式的认可需要一定的适应过程，在短</w:t>
            </w:r>
          </w:p>
        </w:tc>
      </w:tr>
      <w:tr>
        <w:trPr>
          <w:trHeight w:val="311" w:hRule="exact"/>
        </w:trPr>
        <w:tc>
          <w:tcPr>
            <w:tcW w:w="1276"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7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期内尚未能实现规模效益，因此短期内将对公司的网络信息安全产品项目收益造成一定的影</w:t>
            </w:r>
          </w:p>
        </w:tc>
      </w:tr>
      <w:tr>
        <w:trPr>
          <w:trHeight w:val="312" w:hRule="exact"/>
        </w:trPr>
        <w:tc>
          <w:tcPr>
            <w:tcW w:w="1276"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7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响。公司通过与各子公司之间业务、渠道、研发等资源进行协调，促进了这块业务的集团整体</w:t>
            </w:r>
          </w:p>
        </w:tc>
      </w:tr>
      <w:tr>
        <w:trPr>
          <w:trHeight w:val="317" w:hRule="exact"/>
        </w:trPr>
        <w:tc>
          <w:tcPr>
            <w:tcW w:w="1276"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7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效益的提升，降低了该影响</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）超募</w:t>
            </w:r>
            <w:r>
              <w:rPr>
                <w:rFonts w:ascii="Times New Roman" w:hAnsi="Times New Roman" w:cs="Times New Roman" w:eastAsia="Times New Roman" w:hint="default"/>
                <w:sz w:val="18"/>
                <w:szCs w:val="18"/>
              </w:rPr>
              <w:t>-</w:t>
            </w:r>
            <w:r>
              <w:rPr>
                <w:rFonts w:ascii="宋体" w:hAnsi="宋体" w:cs="宋体" w:eastAsia="宋体" w:hint="default"/>
                <w:sz w:val="18"/>
                <w:szCs w:val="18"/>
              </w:rPr>
              <w:t>公证云项目效益未达到预期主要原因是：</w:t>
            </w:r>
            <w:r>
              <w:rPr>
                <w:rFonts w:ascii="Times New Roman" w:hAnsi="Times New Roman" w:cs="Times New Roman" w:eastAsia="Times New Roman" w:hint="default"/>
                <w:sz w:val="18"/>
                <w:szCs w:val="18"/>
              </w:rPr>
              <w:t>1</w:t>
            </w:r>
            <w:r>
              <w:rPr>
                <w:rFonts w:ascii="宋体" w:hAnsi="宋体" w:cs="宋体" w:eastAsia="宋体" w:hint="default"/>
                <w:sz w:val="18"/>
                <w:szCs w:val="18"/>
              </w:rPr>
              <w:t>）从市场推</w:t>
            </w:r>
          </w:p>
        </w:tc>
      </w:tr>
      <w:tr>
        <w:trPr>
          <w:trHeight w:val="307" w:hRule="exact"/>
        </w:trPr>
        <w:tc>
          <w:tcPr>
            <w:tcW w:w="1276"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75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广上说，电子数据取证、存证、出证的一站式服务属于市场细分领域，尚处于市场培育初期，</w:t>
            </w:r>
          </w:p>
        </w:tc>
      </w:tr>
      <w:tr>
        <w:trPr>
          <w:trHeight w:val="312" w:hRule="exact"/>
        </w:trPr>
        <w:tc>
          <w:tcPr>
            <w:tcW w:w="1276"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7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对相关政府执法部门以及社会公众，关于电子证据防范意识的教育还在持续进行中，需要不断</w:t>
            </w:r>
          </w:p>
        </w:tc>
      </w:tr>
      <w:tr>
        <w:trPr>
          <w:trHeight w:val="312" w:hRule="exact"/>
        </w:trPr>
        <w:tc>
          <w:tcPr>
            <w:tcW w:w="1276"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7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投入市场推广和宣传，才能让用户完成意识上认知到使用行为习惯的养成这一较为漫长的过</w:t>
            </w:r>
          </w:p>
        </w:tc>
      </w:tr>
      <w:tr>
        <w:trPr>
          <w:trHeight w:val="317" w:hRule="exact"/>
        </w:trPr>
        <w:tc>
          <w:tcPr>
            <w:tcW w:w="1276"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7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程。可喜的是，该过程的投入已经开始看到一些成果，</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日，国务院办公厅发布</w:t>
            </w:r>
          </w:p>
        </w:tc>
      </w:tr>
      <w:tr>
        <w:trPr>
          <w:trHeight w:val="307" w:hRule="exact"/>
        </w:trPr>
        <w:tc>
          <w:tcPr>
            <w:tcW w:w="1276"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75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的《推行行政执法公示制度执法全过程记录制度重大执法决定法制审核制度试点工作方案</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312" w:hRule="exact"/>
        </w:trPr>
        <w:tc>
          <w:tcPr>
            <w:tcW w:w="1276"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7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推动了行政执法部门对电子数据存证的重要性的认识；多地金融主管部门对于网贷平台电子合</w:t>
            </w:r>
          </w:p>
        </w:tc>
      </w:tr>
      <w:tr>
        <w:trPr>
          <w:trHeight w:val="317" w:hRule="exact"/>
        </w:trPr>
        <w:tc>
          <w:tcPr>
            <w:tcW w:w="1276"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7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同存证的要求，也在一定程度上促进了电子数据存证在一些行业的普及。</w:t>
            </w:r>
            <w:r>
              <w:rPr>
                <w:rFonts w:ascii="Times New Roman" w:hAnsi="Times New Roman" w:cs="Times New Roman" w:eastAsia="Times New Roman" w:hint="default"/>
                <w:sz w:val="18"/>
                <w:szCs w:val="18"/>
              </w:rPr>
              <w:t>2</w:t>
            </w:r>
            <w:r>
              <w:rPr>
                <w:rFonts w:ascii="宋体" w:hAnsi="宋体" w:cs="宋体" w:eastAsia="宋体" w:hint="default"/>
                <w:sz w:val="18"/>
                <w:szCs w:val="18"/>
              </w:rPr>
              <w:t>）电子合同在线签</w:t>
            </w:r>
          </w:p>
        </w:tc>
      </w:tr>
      <w:tr>
        <w:trPr>
          <w:trHeight w:val="307" w:hRule="exact"/>
        </w:trPr>
        <w:tc>
          <w:tcPr>
            <w:tcW w:w="1276"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75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约存证已经成为存证云收入的一项主要来源，该功能主要面向企业用户销售，但由于平均客单</w:t>
            </w:r>
          </w:p>
        </w:tc>
      </w:tr>
      <w:tr>
        <w:trPr>
          <w:trHeight w:val="313" w:hRule="exact"/>
        </w:trPr>
        <w:tc>
          <w:tcPr>
            <w:tcW w:w="1276"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7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价不高，需要用户数量累积到一定程度才能体现较大规模收益，此外激烈的市场竞争、低价竞</w:t>
            </w:r>
          </w:p>
        </w:tc>
      </w:tr>
      <w:tr>
        <w:trPr>
          <w:trHeight w:val="357" w:hRule="exact"/>
        </w:trPr>
        <w:tc>
          <w:tcPr>
            <w:tcW w:w="1276" w:type="dxa"/>
            <w:tcBorders>
              <w:top w:val="nil" w:sz="6" w:space="0" w:color="auto"/>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5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争也是制约该服务迅速扩大销售业绩的一个主要因素。</w:t>
            </w:r>
          </w:p>
        </w:tc>
      </w:tr>
      <w:tr>
        <w:trPr>
          <w:trHeight w:val="357" w:hRule="exact"/>
        </w:trPr>
        <w:tc>
          <w:tcPr>
            <w:tcW w:w="12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项目可行性</w:t>
            </w:r>
          </w:p>
        </w:tc>
        <w:tc>
          <w:tcPr>
            <w:tcW w:w="709" w:type="dxa"/>
            <w:vMerge w:val="restart"/>
            <w:tcBorders>
              <w:top w:val="single" w:sz="4" w:space="0" w:color="000000"/>
              <w:left w:val="single" w:sz="4" w:space="0" w:color="000000"/>
              <w:right w:val="single" w:sz="4" w:space="0" w:color="000000"/>
            </w:tcBorders>
          </w:tcPr>
          <w:p>
            <w:pPr/>
          </w:p>
        </w:tc>
        <w:tc>
          <w:tcPr>
            <w:tcW w:w="75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1" w:hRule="exact"/>
        </w:trPr>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发生重大变</w:t>
            </w:r>
          </w:p>
        </w:tc>
        <w:tc>
          <w:tcPr>
            <w:tcW w:w="709" w:type="dxa"/>
            <w:vMerge/>
            <w:tcBorders>
              <w:left w:val="single" w:sz="4" w:space="0" w:color="000000"/>
              <w:right w:val="single" w:sz="4" w:space="0" w:color="000000"/>
            </w:tcBorders>
          </w:tcPr>
          <w:p>
            <w:pPr/>
          </w:p>
        </w:tc>
        <w:tc>
          <w:tcPr>
            <w:tcW w:w="758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化的情况说</w:t>
            </w:r>
          </w:p>
        </w:tc>
        <w:tc>
          <w:tcPr>
            <w:tcW w:w="709" w:type="dxa"/>
            <w:vMerge/>
            <w:tcBorders>
              <w:left w:val="single" w:sz="4" w:space="0" w:color="000000"/>
              <w:right w:val="single" w:sz="4" w:space="0" w:color="000000"/>
            </w:tcBorders>
          </w:tcPr>
          <w:p>
            <w:pPr/>
          </w:p>
        </w:tc>
        <w:tc>
          <w:tcPr>
            <w:tcW w:w="758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2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明</w:t>
            </w:r>
          </w:p>
        </w:tc>
        <w:tc>
          <w:tcPr>
            <w:tcW w:w="709" w:type="dxa"/>
            <w:vMerge/>
            <w:tcBorders>
              <w:left w:val="single" w:sz="4" w:space="0" w:color="000000"/>
              <w:bottom w:val="single" w:sz="4" w:space="0" w:color="000000"/>
              <w:right w:val="single" w:sz="4" w:space="0" w:color="000000"/>
            </w:tcBorders>
          </w:tcPr>
          <w:p>
            <w:pPr/>
          </w:p>
        </w:tc>
        <w:tc>
          <w:tcPr>
            <w:tcW w:w="7586"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超募资金的</w:t>
            </w:r>
          </w:p>
        </w:tc>
        <w:tc>
          <w:tcPr>
            <w:tcW w:w="709" w:type="dxa"/>
            <w:tcBorders>
              <w:top w:val="single" w:sz="4" w:space="0" w:color="000000"/>
              <w:left w:val="single" w:sz="4" w:space="0" w:color="000000"/>
              <w:bottom w:val="single" w:sz="4" w:space="0" w:color="000000"/>
              <w:right w:val="single" w:sz="4" w:space="0" w:color="000000"/>
            </w:tcBorders>
          </w:tcPr>
          <w:p>
            <w:pPr/>
          </w:p>
        </w:tc>
        <w:tc>
          <w:tcPr>
            <w:tcW w:w="7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12" w:hRule="exact"/>
        </w:trPr>
        <w:tc>
          <w:tcPr>
            <w:tcW w:w="1276"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金额、用途及</w:t>
            </w:r>
          </w:p>
        </w:tc>
        <w:tc>
          <w:tcPr>
            <w:tcW w:w="709" w:type="dxa"/>
            <w:vMerge w:val="restart"/>
            <w:tcBorders>
              <w:top w:val="single" w:sz="4" w:space="0" w:color="000000"/>
              <w:left w:val="single" w:sz="4" w:space="0" w:color="000000"/>
              <w:right w:val="single" w:sz="4" w:space="0" w:color="000000"/>
            </w:tcBorders>
          </w:tcPr>
          <w:p>
            <w:pPr/>
          </w:p>
        </w:tc>
        <w:tc>
          <w:tcPr>
            <w:tcW w:w="75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超募资金的金额、用途及使用进展情况 为合理利用好超募资金，公司制定了超募资金使用计</w:t>
            </w:r>
          </w:p>
        </w:tc>
      </w:tr>
      <w:tr>
        <w:trPr>
          <w:trHeight w:val="317" w:hRule="exact"/>
        </w:trPr>
        <w:tc>
          <w:tcPr>
            <w:tcW w:w="1276" w:type="dxa"/>
            <w:tcBorders>
              <w:top w:val="nil" w:sz="6" w:space="0" w:color="auto"/>
              <w:left w:val="single" w:sz="4" w:space="0" w:color="000000"/>
              <w:bottom w:val="nil" w:sz="6" w:space="0" w:color="auto"/>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z w:val="18"/>
                <w:szCs w:val="18"/>
              </w:rPr>
              <w:t>使用进展情</w:t>
            </w:r>
          </w:p>
        </w:tc>
        <w:tc>
          <w:tcPr>
            <w:tcW w:w="709" w:type="dxa"/>
            <w:vMerge/>
            <w:tcBorders>
              <w:left w:val="single" w:sz="4" w:space="0" w:color="000000"/>
              <w:right w:val="single" w:sz="4" w:space="0" w:color="000000"/>
            </w:tcBorders>
          </w:tcPr>
          <w:p>
            <w:pPr/>
          </w:p>
        </w:tc>
        <w:tc>
          <w:tcPr>
            <w:tcW w:w="7586"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划：①使用超募资金人民币</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1,363.15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万元投资建设电子数据公证云项目；②使用超募资金人民</w:t>
            </w:r>
          </w:p>
        </w:tc>
      </w:tr>
      <w:tr>
        <w:trPr>
          <w:trHeight w:val="356" w:hRule="exact"/>
        </w:trPr>
        <w:tc>
          <w:tcPr>
            <w:tcW w:w="1276" w:type="dxa"/>
            <w:tcBorders>
              <w:top w:val="nil" w:sz="6" w:space="0" w:color="auto"/>
              <w:left w:val="single" w:sz="4" w:space="0" w:color="000000"/>
              <w:bottom w:val="nil" w:sz="6" w:space="0" w:color="auto"/>
              <w:right w:val="single" w:sz="4" w:space="0" w:color="000000"/>
            </w:tcBorders>
          </w:tcPr>
          <w:p>
            <w:pPr>
              <w:pStyle w:val="TableParagraph"/>
              <w:spacing w:line="197" w:lineRule="exact"/>
              <w:ind w:left="103" w:right="0"/>
              <w:jc w:val="left"/>
              <w:rPr>
                <w:rFonts w:ascii="宋体" w:hAnsi="宋体" w:cs="宋体" w:eastAsia="宋体" w:hint="default"/>
                <w:sz w:val="18"/>
                <w:szCs w:val="18"/>
              </w:rPr>
            </w:pPr>
            <w:r>
              <w:rPr>
                <w:rFonts w:ascii="宋体" w:hAnsi="宋体" w:cs="宋体" w:eastAsia="宋体" w:hint="default"/>
                <w:sz w:val="18"/>
                <w:szCs w:val="18"/>
              </w:rPr>
              <w:t>况</w:t>
            </w:r>
          </w:p>
        </w:tc>
        <w:tc>
          <w:tcPr>
            <w:tcW w:w="709" w:type="dxa"/>
            <w:vMerge/>
            <w:tcBorders>
              <w:left w:val="single" w:sz="4" w:space="0" w:color="000000"/>
              <w:right w:val="single" w:sz="4" w:space="0" w:color="000000"/>
            </w:tcBorders>
          </w:tcPr>
          <w:p>
            <w:pPr/>
          </w:p>
        </w:tc>
        <w:tc>
          <w:tcPr>
            <w:tcW w:w="758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币</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3,012.49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万元追加投资建设超算中心（云计算中心）项目；③使用超募资金人民币</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16,468.61</w:t>
            </w:r>
          </w:p>
        </w:tc>
      </w:tr>
      <w:tr>
        <w:trPr>
          <w:trHeight w:val="312" w:hRule="exact"/>
        </w:trPr>
        <w:tc>
          <w:tcPr>
            <w:tcW w:w="1276"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75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万元购买大楼用于建设研发生产中心项目，该项目经公司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年度股东大会审议通过，目前</w:t>
            </w:r>
          </w:p>
        </w:tc>
      </w:tr>
      <w:tr>
        <w:trPr>
          <w:trHeight w:val="312" w:hRule="exact"/>
        </w:trPr>
        <w:tc>
          <w:tcPr>
            <w:tcW w:w="1276"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75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4"/>
                <w:sz w:val="18"/>
                <w:szCs w:val="18"/>
              </w:rPr>
              <w:t>大楼已交房。④永久性补充流动资金</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4"/>
                <w:sz w:val="18"/>
                <w:szCs w:val="18"/>
              </w:rPr>
              <w:t> </w:t>
            </w:r>
            <w:r>
              <w:rPr>
                <w:rFonts w:ascii="宋体" w:hAnsi="宋体" w:cs="宋体" w:eastAsia="宋体" w:hint="default"/>
                <w:spacing w:val="-8"/>
                <w:sz w:val="18"/>
                <w:szCs w:val="18"/>
              </w:rPr>
              <w:t>万元，该议案经</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年度股东大会审议通过后实施，</w:t>
            </w:r>
          </w:p>
        </w:tc>
      </w:tr>
      <w:tr>
        <w:trPr>
          <w:trHeight w:val="312" w:hRule="exact"/>
        </w:trPr>
        <w:tc>
          <w:tcPr>
            <w:tcW w:w="1276"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75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目前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万元超募资金已补充为流动资金。⑤使用超募资金人民币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5854.8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万元，收购珠海新</w:t>
            </w:r>
          </w:p>
        </w:tc>
      </w:tr>
      <w:tr>
        <w:trPr>
          <w:trHeight w:val="312" w:hRule="exact"/>
        </w:trPr>
        <w:tc>
          <w:tcPr>
            <w:tcW w:w="1276"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75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德汇公司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股权，该项目已完成工商变更登记手续。⑥</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日公司召开第二届董</w:t>
            </w:r>
          </w:p>
        </w:tc>
      </w:tr>
      <w:tr>
        <w:trPr>
          <w:trHeight w:val="307" w:hRule="exact"/>
        </w:trPr>
        <w:tc>
          <w:tcPr>
            <w:tcW w:w="1276"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75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事会第二十二次（临时）会议 审议通过《关于对深圳市中新赛克科技股份有限公司进行增资</w:t>
            </w:r>
          </w:p>
        </w:tc>
      </w:tr>
      <w:tr>
        <w:trPr>
          <w:trHeight w:val="317" w:hRule="exact"/>
        </w:trPr>
        <w:tc>
          <w:tcPr>
            <w:tcW w:w="1276"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7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的议案》公司使用剩余超募资金及利息，部分自有资金合计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4,898.135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万元对中新赛克进行溢</w:t>
            </w:r>
          </w:p>
        </w:tc>
      </w:tr>
      <w:tr>
        <w:trPr>
          <w:trHeight w:val="312" w:hRule="exact"/>
        </w:trPr>
        <w:tc>
          <w:tcPr>
            <w:tcW w:w="1276"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75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价增资，增资完成后，公司持有中新赛克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w:t>
            </w:r>
            <w:r>
              <w:rPr>
                <w:rFonts w:ascii="宋体" w:hAnsi="宋体" w:cs="宋体" w:eastAsia="宋体" w:hint="default"/>
                <w:sz w:val="18"/>
                <w:szCs w:val="18"/>
              </w:rPr>
              <w:t>股权。截止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日公司已使用超募</w:t>
            </w:r>
          </w:p>
        </w:tc>
      </w:tr>
      <w:tr>
        <w:trPr>
          <w:trHeight w:val="313" w:hRule="exact"/>
        </w:trPr>
        <w:tc>
          <w:tcPr>
            <w:tcW w:w="1276"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75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资金及利息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4072.283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万元（其中利息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2065.34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万元）及自有资金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825.852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万元支付中新赛克增</w:t>
            </w:r>
          </w:p>
        </w:tc>
      </w:tr>
      <w:tr>
        <w:trPr>
          <w:trHeight w:val="352" w:hRule="exact"/>
        </w:trPr>
        <w:tc>
          <w:tcPr>
            <w:tcW w:w="1276" w:type="dxa"/>
            <w:tcBorders>
              <w:top w:val="nil" w:sz="6" w:space="0" w:color="auto"/>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5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资款。</w:t>
            </w:r>
          </w:p>
        </w:tc>
      </w:tr>
      <w:tr>
        <w:trPr>
          <w:trHeight w:val="357" w:hRule="exact"/>
        </w:trPr>
        <w:tc>
          <w:tcPr>
            <w:tcW w:w="12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募集资金投</w:t>
            </w:r>
          </w:p>
        </w:tc>
        <w:tc>
          <w:tcPr>
            <w:tcW w:w="709" w:type="dxa"/>
            <w:vMerge w:val="restart"/>
            <w:tcBorders>
              <w:top w:val="single" w:sz="4" w:space="0" w:color="000000"/>
              <w:left w:val="single" w:sz="4" w:space="0" w:color="000000"/>
              <w:right w:val="single" w:sz="4" w:space="0" w:color="000000"/>
            </w:tcBorders>
          </w:tcPr>
          <w:p>
            <w:pPr/>
          </w:p>
        </w:tc>
        <w:tc>
          <w:tcPr>
            <w:tcW w:w="75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1" w:hRule="exact"/>
        </w:trPr>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资项目实施</w:t>
            </w:r>
          </w:p>
        </w:tc>
        <w:tc>
          <w:tcPr>
            <w:tcW w:w="709" w:type="dxa"/>
            <w:vMerge/>
            <w:tcBorders>
              <w:left w:val="single" w:sz="4" w:space="0" w:color="000000"/>
              <w:right w:val="single" w:sz="4" w:space="0" w:color="000000"/>
            </w:tcBorders>
          </w:tcPr>
          <w:p>
            <w:pPr/>
          </w:p>
        </w:tc>
        <w:tc>
          <w:tcPr>
            <w:tcW w:w="758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地点变更情</w:t>
            </w:r>
          </w:p>
        </w:tc>
        <w:tc>
          <w:tcPr>
            <w:tcW w:w="709" w:type="dxa"/>
            <w:vMerge/>
            <w:tcBorders>
              <w:left w:val="single" w:sz="4" w:space="0" w:color="000000"/>
              <w:right w:val="single" w:sz="4" w:space="0" w:color="000000"/>
            </w:tcBorders>
          </w:tcPr>
          <w:p>
            <w:pPr/>
          </w:p>
        </w:tc>
        <w:tc>
          <w:tcPr>
            <w:tcW w:w="758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2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况</w:t>
            </w:r>
          </w:p>
        </w:tc>
        <w:tc>
          <w:tcPr>
            <w:tcW w:w="709" w:type="dxa"/>
            <w:vMerge/>
            <w:tcBorders>
              <w:left w:val="single" w:sz="4" w:space="0" w:color="000000"/>
              <w:bottom w:val="single" w:sz="4" w:space="0" w:color="000000"/>
              <w:right w:val="single" w:sz="4" w:space="0" w:color="000000"/>
            </w:tcBorders>
          </w:tcPr>
          <w:p>
            <w:pPr/>
          </w:p>
        </w:tc>
        <w:tc>
          <w:tcPr>
            <w:tcW w:w="758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2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募集资金投</w:t>
            </w:r>
          </w:p>
        </w:tc>
        <w:tc>
          <w:tcPr>
            <w:tcW w:w="709" w:type="dxa"/>
            <w:vMerge w:val="restart"/>
            <w:tcBorders>
              <w:top w:val="single" w:sz="4" w:space="0" w:color="000000"/>
              <w:left w:val="single" w:sz="4" w:space="0" w:color="000000"/>
              <w:right w:val="single" w:sz="4" w:space="0" w:color="000000"/>
            </w:tcBorders>
          </w:tcPr>
          <w:p>
            <w:pPr/>
          </w:p>
        </w:tc>
        <w:tc>
          <w:tcPr>
            <w:tcW w:w="75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1" w:hRule="exact"/>
        </w:trPr>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资项目实施</w:t>
            </w:r>
          </w:p>
        </w:tc>
        <w:tc>
          <w:tcPr>
            <w:tcW w:w="709" w:type="dxa"/>
            <w:vMerge/>
            <w:tcBorders>
              <w:left w:val="single" w:sz="4" w:space="0" w:color="000000"/>
              <w:right w:val="single" w:sz="4" w:space="0" w:color="000000"/>
            </w:tcBorders>
          </w:tcPr>
          <w:p>
            <w:pPr/>
          </w:p>
        </w:tc>
        <w:tc>
          <w:tcPr>
            <w:tcW w:w="758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方式调整情</w:t>
            </w:r>
          </w:p>
        </w:tc>
        <w:tc>
          <w:tcPr>
            <w:tcW w:w="709" w:type="dxa"/>
            <w:vMerge/>
            <w:tcBorders>
              <w:left w:val="single" w:sz="4" w:space="0" w:color="000000"/>
              <w:right w:val="single" w:sz="4" w:space="0" w:color="000000"/>
            </w:tcBorders>
          </w:tcPr>
          <w:p>
            <w:pPr/>
          </w:p>
        </w:tc>
        <w:tc>
          <w:tcPr>
            <w:tcW w:w="758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2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况</w:t>
            </w:r>
          </w:p>
        </w:tc>
        <w:tc>
          <w:tcPr>
            <w:tcW w:w="709" w:type="dxa"/>
            <w:vMerge/>
            <w:tcBorders>
              <w:left w:val="single" w:sz="4" w:space="0" w:color="000000"/>
              <w:bottom w:val="single" w:sz="4" w:space="0" w:color="000000"/>
              <w:right w:val="single" w:sz="4" w:space="0" w:color="000000"/>
            </w:tcBorders>
          </w:tcPr>
          <w:p>
            <w:pPr/>
          </w:p>
        </w:tc>
        <w:tc>
          <w:tcPr>
            <w:tcW w:w="758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276"/>
        <w:gridCol w:w="709"/>
        <w:gridCol w:w="7586"/>
      </w:tblGrid>
      <w:tr>
        <w:trPr>
          <w:trHeight w:val="402" w:hRule="exact"/>
        </w:trPr>
        <w:tc>
          <w:tcPr>
            <w:tcW w:w="1276" w:type="dxa"/>
            <w:vMerge w:val="restart"/>
            <w:tcBorders>
              <w:top w:val="single" w:sz="4" w:space="0" w:color="000000"/>
              <w:left w:val="single" w:sz="4" w:space="0" w:color="000000"/>
              <w:right w:val="single" w:sz="4" w:space="0" w:color="000000"/>
            </w:tcBorders>
          </w:tcPr>
          <w:p>
            <w:pPr>
              <w:pStyle w:val="TableParagraph"/>
              <w:spacing w:line="319" w:lineRule="auto" w:before="51"/>
              <w:ind w:left="103" w:right="260"/>
              <w:jc w:val="both"/>
              <w:rPr>
                <w:rFonts w:ascii="宋体" w:hAnsi="宋体" w:cs="宋体" w:eastAsia="宋体" w:hint="default"/>
                <w:sz w:val="18"/>
                <w:szCs w:val="18"/>
              </w:rPr>
            </w:pPr>
            <w:r>
              <w:rPr>
                <w:rFonts w:ascii="宋体" w:hAnsi="宋体" w:cs="宋体" w:eastAsia="宋体" w:hint="default"/>
                <w:sz w:val="18"/>
                <w:szCs w:val="18"/>
              </w:rPr>
              <w:t>募集资金投 资项目先期 投入及置换 情况</w:t>
            </w:r>
          </w:p>
        </w:tc>
        <w:tc>
          <w:tcPr>
            <w:tcW w:w="709" w:type="dxa"/>
            <w:tcBorders>
              <w:top w:val="single" w:sz="4" w:space="0" w:color="000000"/>
              <w:left w:val="single" w:sz="4" w:space="0" w:color="000000"/>
              <w:bottom w:val="single" w:sz="4" w:space="0" w:color="000000"/>
              <w:right w:val="single" w:sz="4" w:space="0" w:color="000000"/>
            </w:tcBorders>
          </w:tcPr>
          <w:p>
            <w:pPr/>
          </w:p>
        </w:tc>
        <w:tc>
          <w:tcPr>
            <w:tcW w:w="7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146" w:hRule="exact"/>
        </w:trPr>
        <w:tc>
          <w:tcPr>
            <w:tcW w:w="1276" w:type="dxa"/>
            <w:vMerge/>
            <w:tcBorders>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5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
                <w:sz w:val="18"/>
                <w:szCs w:val="18"/>
              </w:rPr>
              <w:t>在首次公开发行股票募集资金到位之前，为保障募集资金投资项目的顺利进行，公司已使用自</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筹资金投入部分募集资金投资项目的前期建设。截至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日止，公司以自筹资金预</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先投入募投项目累计金额为</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64,759,485.59</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元，其中向中国工商银行股份有限公司厦门东区支行</w:t>
            </w:r>
          </w:p>
          <w:p>
            <w:pPr>
              <w:pStyle w:val="TableParagraph"/>
              <w:spacing w:line="307" w:lineRule="auto" w:before="63"/>
              <w:ind w:left="103" w:right="11"/>
              <w:jc w:val="left"/>
              <w:rPr>
                <w:rFonts w:ascii="Times New Roman" w:hAnsi="Times New Roman" w:cs="Times New Roman" w:eastAsia="Times New Roman" w:hint="default"/>
                <w:sz w:val="18"/>
                <w:szCs w:val="18"/>
              </w:rPr>
            </w:pPr>
            <w:r>
              <w:rPr>
                <w:rFonts w:ascii="宋体" w:hAnsi="宋体" w:cs="宋体" w:eastAsia="宋体" w:hint="default"/>
                <w:sz w:val="18"/>
                <w:szCs w:val="18"/>
              </w:rPr>
              <w:t>借款</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761.00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万元，其余为公司自有资金。为提高资金利用率，降低财务成本，公司第一届董事 会第十二次会议审议通过了《关于使用募集资金置换公司预先已投入募集资金投资项目的自筹 </w:t>
            </w:r>
            <w:r>
              <w:rPr>
                <w:rFonts w:ascii="宋体" w:hAnsi="宋体" w:cs="宋体" w:eastAsia="宋体" w:hint="default"/>
                <w:spacing w:val="-3"/>
                <w:sz w:val="18"/>
                <w:szCs w:val="18"/>
              </w:rPr>
              <w:t>资金》的议案，拟置换人民币</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64,759,485.59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元。天健正信会计师事务所有限公司对公司前期以 自筹资金投入募集资金投资项目的情况进行了专项审核，并出具了天健正信审（</w:t>
            </w:r>
            <w:r>
              <w:rPr>
                <w:rFonts w:ascii="Times New Roman" w:hAnsi="Times New Roman" w:cs="Times New Roman" w:eastAsia="Times New Roman" w:hint="default"/>
                <w:sz w:val="18"/>
                <w:szCs w:val="18"/>
              </w:rPr>
              <w:t>2011</w:t>
            </w:r>
            <w:r>
              <w:rPr>
                <w:rFonts w:ascii="宋体" w:hAnsi="宋体" w:cs="宋体" w:eastAsia="宋体" w:hint="default"/>
                <w:sz w:val="18"/>
                <w:szCs w:val="18"/>
              </w:rPr>
              <w:t>）专字第 </w:t>
            </w:r>
            <w:r>
              <w:rPr>
                <w:rFonts w:ascii="Times New Roman" w:hAnsi="Times New Roman" w:cs="Times New Roman" w:eastAsia="Times New Roman" w:hint="default"/>
                <w:sz w:val="18"/>
                <w:szCs w:val="18"/>
              </w:rPr>
              <w:t>020621</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号《关于厦门市美亚柏科信息股份有限公司以自筹资金预先投入募投项目的鉴证报告》。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监事会和独立董事发表了同意意见，履行了必要的审批程序。保荐机构国信证券股份有限公司</w:t>
            </w:r>
            <w:r>
              <w:rPr>
                <w:rFonts w:ascii="宋体" w:hAnsi="宋体" w:cs="宋体" w:eastAsia="宋体" w:hint="default"/>
                <w:sz w:val="18"/>
                <w:szCs w:val="18"/>
              </w:rPr>
              <w:t> 进行了核查，对公司本次以募集资金置换预先已投入募集资金投资项目的自筹资金事项发表无 异议核查意见。以上事项公司已于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日在深圳证券交易所进行公告。截止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p>
          <w:p>
            <w:pPr>
              <w:pStyle w:val="TableParagraph"/>
              <w:spacing w:line="302" w:lineRule="auto" w:before="7"/>
              <w:ind w:left="103" w:right="101"/>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日，公司已办理完募集资金置换手续。除此之外，截至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日，公司没 有发生使用募集资金置换先期投入的情况。</w:t>
            </w:r>
          </w:p>
        </w:tc>
      </w:tr>
      <w:tr>
        <w:trPr>
          <w:trHeight w:val="1338"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60"/>
              <w:jc w:val="both"/>
              <w:rPr>
                <w:rFonts w:ascii="宋体" w:hAnsi="宋体" w:cs="宋体" w:eastAsia="宋体" w:hint="default"/>
                <w:sz w:val="18"/>
                <w:szCs w:val="18"/>
              </w:rPr>
            </w:pPr>
            <w:r>
              <w:rPr>
                <w:rFonts w:ascii="宋体" w:hAnsi="宋体" w:cs="宋体" w:eastAsia="宋体" w:hint="default"/>
                <w:sz w:val="18"/>
                <w:szCs w:val="18"/>
              </w:rPr>
              <w:t>用闲置募集 资金暂时补 充流动资金 情况</w:t>
            </w:r>
          </w:p>
        </w:tc>
        <w:tc>
          <w:tcPr>
            <w:tcW w:w="709" w:type="dxa"/>
            <w:tcBorders>
              <w:top w:val="single" w:sz="4" w:space="0" w:color="000000"/>
              <w:left w:val="single" w:sz="4" w:space="0" w:color="000000"/>
              <w:bottom w:val="single" w:sz="4" w:space="0" w:color="000000"/>
              <w:right w:val="single" w:sz="4" w:space="0" w:color="000000"/>
            </w:tcBorders>
          </w:tcPr>
          <w:p>
            <w:pPr/>
          </w:p>
        </w:tc>
        <w:tc>
          <w:tcPr>
            <w:tcW w:w="7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276" w:type="dxa"/>
            <w:vMerge w:val="restart"/>
            <w:tcBorders>
              <w:top w:val="single" w:sz="4" w:space="0" w:color="000000"/>
              <w:left w:val="single" w:sz="4" w:space="0" w:color="000000"/>
              <w:right w:val="single" w:sz="4" w:space="0" w:color="000000"/>
            </w:tcBorders>
          </w:tcPr>
          <w:p>
            <w:pPr>
              <w:pStyle w:val="TableParagraph"/>
              <w:spacing w:line="319" w:lineRule="auto" w:before="51"/>
              <w:ind w:left="103" w:right="260"/>
              <w:jc w:val="both"/>
              <w:rPr>
                <w:rFonts w:ascii="宋体" w:hAnsi="宋体" w:cs="宋体" w:eastAsia="宋体" w:hint="default"/>
                <w:sz w:val="18"/>
                <w:szCs w:val="18"/>
              </w:rPr>
            </w:pPr>
            <w:r>
              <w:rPr>
                <w:rFonts w:ascii="宋体" w:hAnsi="宋体" w:cs="宋体" w:eastAsia="宋体" w:hint="default"/>
                <w:sz w:val="18"/>
                <w:szCs w:val="18"/>
              </w:rPr>
              <w:t>项目实施出 现募集资金 结余的金额 及原因</w:t>
            </w:r>
          </w:p>
        </w:tc>
        <w:tc>
          <w:tcPr>
            <w:tcW w:w="709" w:type="dxa"/>
            <w:tcBorders>
              <w:top w:val="single" w:sz="4" w:space="0" w:color="000000"/>
              <w:left w:val="single" w:sz="4" w:space="0" w:color="000000"/>
              <w:bottom w:val="single" w:sz="4" w:space="0" w:color="000000"/>
              <w:right w:val="single" w:sz="4" w:space="0" w:color="000000"/>
            </w:tcBorders>
          </w:tcPr>
          <w:p>
            <w:pPr/>
          </w:p>
        </w:tc>
        <w:tc>
          <w:tcPr>
            <w:tcW w:w="7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642" w:hRule="exact"/>
        </w:trPr>
        <w:tc>
          <w:tcPr>
            <w:tcW w:w="1276" w:type="dxa"/>
            <w:vMerge/>
            <w:tcBorders>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58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日电子数据取证产品项目、网络信息安全产品项目，超募资金投资电子 </w:t>
            </w:r>
            <w:r>
              <w:rPr>
                <w:rFonts w:ascii="宋体" w:hAnsi="宋体" w:cs="宋体" w:eastAsia="宋体" w:hint="default"/>
                <w:spacing w:val="-1"/>
                <w:sz w:val="18"/>
                <w:szCs w:val="18"/>
              </w:rPr>
              <w:t>数据公证云项目均已达到预定可使用状态，公司对上述三个项目实施结项；三个项目承诺投资</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总额</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14,648.06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万元，项目累计投入资金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14,500.45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万元，结余募集资金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147.61</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万元（不含利息</w:t>
            </w:r>
          </w:p>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收入</w:t>
            </w:r>
            <w:r>
              <w:rPr>
                <w:rFonts w:ascii="宋体" w:hAnsi="宋体" w:cs="宋体" w:eastAsia="宋体" w:hint="default"/>
                <w:spacing w:val="-90"/>
                <w:sz w:val="18"/>
                <w:szCs w:val="18"/>
              </w:rPr>
              <w:t>）</w:t>
            </w:r>
            <w:r>
              <w:rPr>
                <w:rFonts w:ascii="宋体" w:hAnsi="宋体" w:cs="宋体" w:eastAsia="宋体" w:hint="default"/>
                <w:sz w:val="18"/>
                <w:szCs w:val="18"/>
              </w:rPr>
              <w:t>，其中：电子数据取证产品项目节余资金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万元；网络信息安全产品项目结余资金</w:t>
            </w:r>
          </w:p>
          <w:p>
            <w:pPr>
              <w:pStyle w:val="TableParagraph"/>
              <w:spacing w:line="312" w:lineRule="auto" w:before="63"/>
              <w:ind w:left="103"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32.87</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万元；电子数据公证云项目节余资金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61.07</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万元；结余金额占承诺投资募集资金的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1.01%</w:t>
            </w:r>
            <w:r>
              <w:rPr>
                <w:rFonts w:ascii="宋体" w:hAnsi="宋体" w:cs="宋体" w:eastAsia="宋体" w:hint="default"/>
                <w:sz w:val="18"/>
                <w:szCs w:val="18"/>
              </w:rPr>
              <w:t>， 不存在重大差异。上述三个项目募集资金结余主要原因为公司充分结合自身的技术优势、经验 及现有的设备配置，在资源充分利用的前提下，对项目环节进行优化，减少了部分设备采购。 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日公司已办理完上述三个项目结余资金及利息永久补充公司流动资金，并</w:t>
            </w:r>
          </w:p>
          <w:p>
            <w:pPr>
              <w:pStyle w:val="TableParagraph"/>
              <w:spacing w:line="309" w:lineRule="auto" w:before="3"/>
              <w:ind w:left="103" w:right="92"/>
              <w:jc w:val="left"/>
              <w:rPr>
                <w:rFonts w:ascii="宋体" w:hAnsi="宋体" w:cs="宋体" w:eastAsia="宋体" w:hint="default"/>
                <w:sz w:val="18"/>
                <w:szCs w:val="18"/>
              </w:rPr>
            </w:pPr>
            <w:r>
              <w:rPr>
                <w:rFonts w:ascii="宋体" w:hAnsi="宋体" w:cs="宋体" w:eastAsia="宋体" w:hint="default"/>
                <w:sz w:val="18"/>
                <w:szCs w:val="18"/>
              </w:rPr>
              <w:t>注销相关募集资金专项账户手续。截止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日电子数据鉴定及互联网知识产权保 护等服务项目、超募资金追加投资超算中心（云计算）项目已达预定可使用状态，公司拟对这 两个项目实施结项，两个项目承诺投资总额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6,472.44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万元，项目累计投入资金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6,162.21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结余募集资金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310.25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万元，结余金额占承诺投资募集资金的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4.79%</w:t>
            </w:r>
            <w:r>
              <w:rPr>
                <w:rFonts w:ascii="宋体" w:hAnsi="宋体" w:cs="宋体" w:eastAsia="宋体" w:hint="default"/>
                <w:sz w:val="18"/>
                <w:szCs w:val="18"/>
              </w:rPr>
              <w:t>，实际投入金额与计划投入 金额不存在重大差异。电子数据鉴定及互联网知识产权保护等服务项目结余金额占承诺投资募 集资金的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1.75%</w:t>
            </w:r>
            <w:r>
              <w:rPr>
                <w:rFonts w:ascii="宋体" w:hAnsi="宋体" w:cs="宋体" w:eastAsia="宋体" w:hint="default"/>
                <w:sz w:val="18"/>
                <w:szCs w:val="18"/>
              </w:rPr>
              <w:t>不存在重大差异。结余主要原因是由于公司充分结合自身的技术优势，经验及 现有的设备配置，在资源充分利用的前提下，对项目环节进行优化，减少了部分设备采购。超 募资金追加投资超算中心（云计算）项目结余主要原因是由于北方机房是固有机房，合作单位 在线路接入方面无法实现我们的要求，公司通过技术发展以及产品的架构优化，在厦门主机房 内实现相关目标，缩小了北方机房的投入。公司对项目建设前期和过程严格控制，加上自主建 设节省了资金投入，结余了项目预备费。公司第二届董事会第二十次会议决议同意将上述两个 项目结余募集资金及利息，转入超募资金账户管理。截止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日公司已办理完上述 两个项目结余资金及利息转入超募资金账户管理。</w:t>
            </w:r>
          </w:p>
        </w:tc>
      </w:tr>
      <w:tr>
        <w:trPr>
          <w:trHeight w:val="67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0"/>
              <w:jc w:val="left"/>
              <w:rPr>
                <w:rFonts w:ascii="宋体" w:hAnsi="宋体" w:cs="宋体" w:eastAsia="宋体" w:hint="default"/>
                <w:sz w:val="18"/>
                <w:szCs w:val="18"/>
              </w:rPr>
            </w:pPr>
            <w:r>
              <w:rPr>
                <w:rFonts w:ascii="宋体" w:hAnsi="宋体" w:cs="宋体" w:eastAsia="宋体" w:hint="default"/>
                <w:sz w:val="18"/>
                <w:szCs w:val="18"/>
              </w:rPr>
              <w:t>尚未使用的 募集资金用</w:t>
            </w:r>
          </w:p>
        </w:tc>
        <w:tc>
          <w:tcPr>
            <w:tcW w:w="709" w:type="dxa"/>
            <w:tcBorders>
              <w:top w:val="single" w:sz="4" w:space="0" w:color="000000"/>
              <w:left w:val="single" w:sz="4" w:space="0" w:color="000000"/>
              <w:bottom w:val="single" w:sz="4" w:space="0" w:color="000000"/>
              <w:right w:val="single" w:sz="4" w:space="0" w:color="000000"/>
            </w:tcBorders>
          </w:tcPr>
          <w:p>
            <w:pPr/>
          </w:p>
        </w:tc>
        <w:tc>
          <w:tcPr>
            <w:tcW w:w="7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将主要用于已列入使用计划，但尚未支付的研发大楼相关税费。</w:t>
            </w:r>
          </w:p>
        </w:tc>
      </w:tr>
    </w:tbl>
    <w:p>
      <w:pPr>
        <w:spacing w:after="0" w:line="240" w:lineRule="auto"/>
        <w:jc w:val="left"/>
        <w:rPr>
          <w:rFonts w:ascii="宋体" w:hAnsi="宋体" w:cs="宋体" w:eastAsia="宋体" w:hint="default"/>
          <w:sz w:val="18"/>
          <w:szCs w:val="18"/>
        </w:rPr>
        <w:sectPr>
          <w:pgSz w:w="11910" w:h="16840"/>
          <w:pgMar w:header="747" w:footer="982" w:top="1060" w:bottom="118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276"/>
        <w:gridCol w:w="709"/>
        <w:gridCol w:w="7586"/>
      </w:tblGrid>
      <w:tr>
        <w:trPr>
          <w:trHeight w:val="36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途及去向</w:t>
            </w:r>
          </w:p>
        </w:tc>
        <w:tc>
          <w:tcPr>
            <w:tcW w:w="709" w:type="dxa"/>
            <w:tcBorders>
              <w:top w:val="single" w:sz="4" w:space="0" w:color="000000"/>
              <w:left w:val="single" w:sz="4" w:space="0" w:color="000000"/>
              <w:bottom w:val="single" w:sz="4" w:space="0" w:color="000000"/>
              <w:right w:val="single" w:sz="4" w:space="0" w:color="000000"/>
            </w:tcBorders>
          </w:tcPr>
          <w:p>
            <w:pPr/>
          </w:p>
        </w:tc>
        <w:tc>
          <w:tcPr>
            <w:tcW w:w="7586"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2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募集资金使</w:t>
            </w:r>
          </w:p>
        </w:tc>
        <w:tc>
          <w:tcPr>
            <w:tcW w:w="709" w:type="dxa"/>
            <w:vMerge w:val="restart"/>
            <w:tcBorders>
              <w:top w:val="single" w:sz="4" w:space="0" w:color="000000"/>
              <w:left w:val="single" w:sz="4" w:space="0" w:color="000000"/>
              <w:right w:val="single" w:sz="4" w:space="0" w:color="000000"/>
            </w:tcBorders>
          </w:tcPr>
          <w:p>
            <w:pPr/>
          </w:p>
        </w:tc>
        <w:tc>
          <w:tcPr>
            <w:tcW w:w="75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1" w:hRule="exact"/>
        </w:trPr>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用及披露中</w:t>
            </w:r>
          </w:p>
        </w:tc>
        <w:tc>
          <w:tcPr>
            <w:tcW w:w="709" w:type="dxa"/>
            <w:vMerge/>
            <w:tcBorders>
              <w:left w:val="single" w:sz="4" w:space="0" w:color="000000"/>
              <w:right w:val="single" w:sz="4" w:space="0" w:color="000000"/>
            </w:tcBorders>
          </w:tcPr>
          <w:p>
            <w:pPr/>
          </w:p>
        </w:tc>
        <w:tc>
          <w:tcPr>
            <w:tcW w:w="758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存在的问题</w:t>
            </w:r>
          </w:p>
        </w:tc>
        <w:tc>
          <w:tcPr>
            <w:tcW w:w="709" w:type="dxa"/>
            <w:vMerge/>
            <w:tcBorders>
              <w:left w:val="single" w:sz="4" w:space="0" w:color="000000"/>
              <w:right w:val="single" w:sz="4" w:space="0" w:color="000000"/>
            </w:tcBorders>
          </w:tcPr>
          <w:p>
            <w:pPr/>
          </w:p>
        </w:tc>
        <w:tc>
          <w:tcPr>
            <w:tcW w:w="758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2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或其他情况</w:t>
            </w:r>
          </w:p>
        </w:tc>
        <w:tc>
          <w:tcPr>
            <w:tcW w:w="709" w:type="dxa"/>
            <w:vMerge/>
            <w:tcBorders>
              <w:left w:val="single" w:sz="4" w:space="0" w:color="000000"/>
              <w:bottom w:val="single" w:sz="4" w:space="0" w:color="000000"/>
              <w:right w:val="single" w:sz="4" w:space="0" w:color="000000"/>
            </w:tcBorders>
          </w:tcPr>
          <w:p>
            <w:pPr/>
          </w:p>
        </w:tc>
        <w:tc>
          <w:tcPr>
            <w:tcW w:w="7586" w:type="dxa"/>
            <w:tcBorders>
              <w:top w:val="nil" w:sz="6" w:space="0" w:color="auto"/>
              <w:left w:val="single" w:sz="4" w:space="0" w:color="000000"/>
              <w:bottom w:val="single" w:sz="4" w:space="0" w:color="000000"/>
              <w:right w:val="single" w:sz="4" w:space="0" w:color="000000"/>
            </w:tcBorders>
          </w:tcPr>
          <w:p>
            <w:pPr/>
          </w:p>
        </w:tc>
      </w:tr>
    </w:tbl>
    <w:p>
      <w:pPr>
        <w:spacing w:line="240" w:lineRule="auto" w:before="8"/>
        <w:rPr>
          <w:rFonts w:ascii="Times New Roman" w:hAnsi="Times New Roman" w:cs="Times New Roman" w:eastAsia="Times New Roman" w:hint="default"/>
          <w:sz w:val="21"/>
          <w:szCs w:val="21"/>
        </w:rPr>
      </w:pPr>
    </w:p>
    <w:p>
      <w:pPr>
        <w:pStyle w:val="Heading3"/>
        <w:spacing w:line="240" w:lineRule="auto" w:before="35"/>
        <w:ind w:left="214" w:right="1021"/>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214" w:right="73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公司报告期不存在募集资金变更项目情况。</w:t>
      </w:r>
    </w:p>
    <w:p>
      <w:pPr>
        <w:spacing w:line="240" w:lineRule="auto" w:before="4"/>
        <w:rPr>
          <w:rFonts w:ascii="宋体" w:hAnsi="宋体" w:cs="宋体" w:eastAsia="宋体" w:hint="default"/>
          <w:sz w:val="19"/>
          <w:szCs w:val="19"/>
        </w:rPr>
      </w:pPr>
    </w:p>
    <w:p>
      <w:pPr>
        <w:pStyle w:val="Heading2"/>
        <w:spacing w:line="240" w:lineRule="auto"/>
        <w:ind w:left="214" w:right="1021"/>
        <w:jc w:val="left"/>
        <w:rPr>
          <w:b w:val="0"/>
          <w:bCs w:val="0"/>
        </w:rPr>
      </w:pPr>
      <w:r>
        <w:rPr/>
        <w:t>六、重大资产和股权出售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214" w:right="1021"/>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spacing w:before="0"/>
        <w:ind w:left="214" w:right="1021" w:firstLine="0"/>
        <w:jc w:val="left"/>
        <w:rPr>
          <w:rFonts w:ascii="宋体" w:hAnsi="宋体" w:cs="宋体" w:eastAsia="宋体" w:hint="default"/>
          <w:sz w:val="18"/>
          <w:szCs w:val="18"/>
        </w:rPr>
      </w:pPr>
      <w:r>
        <w:rPr/>
        <w:pict>
          <v:shape style="position:absolute;margin-left:242.639999pt;margin-top:17.532007pt;width:40.65pt;height:144.450pt;mso-position-horizontal-relative:page;mso-position-vertical-relative:paragraph;z-index:-129834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18"/>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640"/>
        <w:gridCol w:w="640"/>
        <w:gridCol w:w="640"/>
        <w:gridCol w:w="641"/>
        <w:gridCol w:w="638"/>
        <w:gridCol w:w="640"/>
        <w:gridCol w:w="698"/>
        <w:gridCol w:w="709"/>
        <w:gridCol w:w="508"/>
        <w:gridCol w:w="638"/>
        <w:gridCol w:w="638"/>
        <w:gridCol w:w="637"/>
        <w:gridCol w:w="980"/>
        <w:gridCol w:w="425"/>
        <w:gridCol w:w="502"/>
      </w:tblGrid>
      <w:tr>
        <w:trPr>
          <w:trHeight w:val="2898" w:hRule="exact"/>
        </w:trPr>
        <w:tc>
          <w:tcPr>
            <w:tcW w:w="6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4" w:right="43"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134" w:right="43" w:hanging="90"/>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44"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44" w:right="44"/>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4" w:right="42"/>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 的净利 润（万 元）</w:t>
            </w:r>
          </w:p>
        </w:tc>
        <w:tc>
          <w:tcPr>
            <w:tcW w:w="6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44" w:right="43"/>
              <w:jc w:val="both"/>
              <w:rPr>
                <w:rFonts w:ascii="宋体" w:hAnsi="宋体" w:cs="宋体" w:eastAsia="宋体" w:hint="default"/>
                <w:sz w:val="18"/>
                <w:szCs w:val="18"/>
              </w:rPr>
            </w:pPr>
            <w:r>
              <w:rPr>
                <w:rFonts w:ascii="宋体" w:hAnsi="宋体" w:cs="宋体" w:eastAsia="宋体" w:hint="default"/>
                <w:sz w:val="18"/>
                <w:szCs w:val="18"/>
              </w:rPr>
              <w:t>出售对 公司的 影响</w:t>
            </w:r>
          </w:p>
          <w:p>
            <w:pPr>
              <w:pStyle w:val="TableParagraph"/>
              <w:spacing w:line="240" w:lineRule="auto" w:before="20"/>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p>
        </w:tc>
        <w:tc>
          <w:tcPr>
            <w:tcW w:w="6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4" w:right="72"/>
              <w:jc w:val="both"/>
              <w:rPr>
                <w:rFonts w:ascii="宋体" w:hAnsi="宋体" w:cs="宋体" w:eastAsia="宋体" w:hint="default"/>
                <w:sz w:val="18"/>
                <w:szCs w:val="18"/>
              </w:rPr>
            </w:pPr>
            <w:r>
              <w:rPr>
                <w:rFonts w:ascii="宋体" w:hAnsi="宋体" w:cs="宋体" w:eastAsia="宋体" w:hint="default"/>
                <w:sz w:val="18"/>
                <w:szCs w:val="18"/>
              </w:rPr>
              <w:t>资产出 售为上 市公司 贡献的 净利润 占净利 润总额 的比例</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79" w:right="78"/>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5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68" w:right="67"/>
              <w:jc w:val="both"/>
              <w:rPr>
                <w:rFonts w:ascii="宋体" w:hAnsi="宋体" w:cs="宋体" w:eastAsia="宋体" w:hint="default"/>
                <w:sz w:val="18"/>
                <w:szCs w:val="18"/>
              </w:rPr>
            </w:pPr>
            <w:r>
              <w:rPr>
                <w:rFonts w:ascii="宋体" w:hAnsi="宋体" w:cs="宋体" w:eastAsia="宋体" w:hint="default"/>
                <w:sz w:val="18"/>
                <w:szCs w:val="18"/>
              </w:rPr>
              <w:t>是否 为关 联交 易</w:t>
            </w:r>
          </w:p>
        </w:tc>
        <w:tc>
          <w:tcPr>
            <w:tcW w:w="6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 w:right="43"/>
              <w:jc w:val="both"/>
              <w:rPr>
                <w:rFonts w:ascii="宋体" w:hAnsi="宋体" w:cs="宋体" w:eastAsia="宋体" w:hint="default"/>
                <w:sz w:val="18"/>
                <w:szCs w:val="18"/>
              </w:rPr>
            </w:pPr>
            <w:r>
              <w:rPr>
                <w:rFonts w:ascii="宋体" w:hAnsi="宋体" w:cs="宋体" w:eastAsia="宋体" w:hint="default"/>
                <w:sz w:val="18"/>
                <w:szCs w:val="18"/>
              </w:rPr>
              <w:t>与交易 对方的 关联关 系（适 用关联 交易情 形）</w:t>
            </w:r>
          </w:p>
        </w:tc>
        <w:tc>
          <w:tcPr>
            <w:tcW w:w="6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43" w:right="43"/>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43" w:right="42"/>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4" w:right="35"/>
              <w:jc w:val="center"/>
              <w:rPr>
                <w:rFonts w:ascii="宋体" w:hAnsi="宋体" w:cs="宋体" w:eastAsia="宋体" w:hint="default"/>
                <w:sz w:val="18"/>
                <w:szCs w:val="18"/>
              </w:rPr>
            </w:pPr>
            <w:r>
              <w:rPr>
                <w:rFonts w:ascii="宋体" w:hAnsi="宋体" w:cs="宋体" w:eastAsia="宋体" w:hint="default"/>
                <w:sz w:val="18"/>
                <w:szCs w:val="18"/>
              </w:rPr>
              <w:t>是否按计划 如期实施， 如未按计划 实施，应当 说明原因及 公司已采取 的措施</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6" w:right="26"/>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65" w:right="65"/>
              <w:jc w:val="left"/>
              <w:rPr>
                <w:rFonts w:ascii="宋体" w:hAnsi="宋体" w:cs="宋体" w:eastAsia="宋体" w:hint="default"/>
                <w:sz w:val="18"/>
                <w:szCs w:val="18"/>
              </w:rPr>
            </w:pPr>
            <w:r>
              <w:rPr>
                <w:rFonts w:ascii="宋体" w:hAnsi="宋体" w:cs="宋体" w:eastAsia="宋体" w:hint="default"/>
                <w:sz w:val="18"/>
                <w:szCs w:val="18"/>
              </w:rPr>
              <w:t>披露 索引</w:t>
            </w:r>
          </w:p>
        </w:tc>
      </w:tr>
      <w:tr>
        <w:trPr>
          <w:trHeight w:val="357" w:hRule="exact"/>
        </w:trPr>
        <w:tc>
          <w:tcPr>
            <w:tcW w:w="640"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41"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出售事</w:t>
            </w:r>
          </w:p>
        </w:tc>
        <w:tc>
          <w:tcPr>
            <w:tcW w:w="698"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50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980" w:type="dxa"/>
            <w:tcBorders>
              <w:top w:val="single" w:sz="4" w:space="0" w:color="000000"/>
              <w:left w:val="single" w:sz="4" w:space="0" w:color="000000"/>
              <w:bottom w:val="nil" w:sz="6" w:space="0" w:color="auto"/>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502" w:type="dxa"/>
            <w:vMerge w:val="restart"/>
            <w:tcBorders>
              <w:top w:val="single" w:sz="4" w:space="0" w:color="000000"/>
              <w:left w:val="single" w:sz="4" w:space="0" w:color="000000"/>
              <w:right w:val="single" w:sz="4" w:space="0" w:color="000000"/>
            </w:tcBorders>
          </w:tcPr>
          <w:p>
            <w:pPr/>
          </w:p>
        </w:tc>
      </w:tr>
      <w:tr>
        <w:trPr>
          <w:trHeight w:val="311" w:hRule="exact"/>
        </w:trPr>
        <w:tc>
          <w:tcPr>
            <w:tcW w:w="640"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项对公</w:t>
            </w:r>
          </w:p>
        </w:tc>
        <w:tc>
          <w:tcPr>
            <w:tcW w:w="698"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0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980"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r>
      <w:tr>
        <w:trPr>
          <w:trHeight w:val="312" w:hRule="exact"/>
        </w:trPr>
        <w:tc>
          <w:tcPr>
            <w:tcW w:w="640"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司业务</w:t>
            </w:r>
          </w:p>
        </w:tc>
        <w:tc>
          <w:tcPr>
            <w:tcW w:w="698"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0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980"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r>
      <w:tr>
        <w:trPr>
          <w:trHeight w:val="313" w:hRule="exact"/>
        </w:trPr>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42"/>
              <w:jc w:val="center"/>
              <w:rPr>
                <w:rFonts w:ascii="宋体" w:hAnsi="宋体" w:cs="宋体" w:eastAsia="宋体" w:hint="default"/>
                <w:sz w:val="18"/>
                <w:szCs w:val="18"/>
              </w:rPr>
            </w:pPr>
            <w:r>
              <w:rPr>
                <w:rFonts w:ascii="宋体" w:hAnsi="宋体" w:cs="宋体" w:eastAsia="宋体" w:hint="default"/>
                <w:sz w:val="18"/>
                <w:szCs w:val="18"/>
              </w:rPr>
              <w:t>福建省</w:t>
            </w:r>
          </w:p>
        </w:tc>
        <w:tc>
          <w:tcPr>
            <w:tcW w:w="640"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连续</w:t>
            </w:r>
          </w:p>
        </w:tc>
        <w:tc>
          <w:tcPr>
            <w:tcW w:w="698"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0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980"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r>
      <w:tr>
        <w:trPr>
          <w:trHeight w:val="311" w:hRule="exact"/>
        </w:trPr>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42"/>
              <w:jc w:val="center"/>
              <w:rPr>
                <w:rFonts w:ascii="宋体" w:hAnsi="宋体" w:cs="宋体" w:eastAsia="宋体" w:hint="default"/>
                <w:sz w:val="18"/>
                <w:szCs w:val="18"/>
              </w:rPr>
            </w:pPr>
            <w:r>
              <w:rPr>
                <w:rFonts w:ascii="宋体" w:hAnsi="宋体" w:cs="宋体" w:eastAsia="宋体" w:hint="default"/>
                <w:sz w:val="18"/>
                <w:szCs w:val="18"/>
              </w:rPr>
              <w:t>现代服</w:t>
            </w:r>
          </w:p>
        </w:tc>
        <w:tc>
          <w:tcPr>
            <w:tcW w:w="640"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性、管</w:t>
            </w:r>
          </w:p>
        </w:tc>
        <w:tc>
          <w:tcPr>
            <w:tcW w:w="698"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0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980"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r>
      <w:tr>
        <w:trPr>
          <w:trHeight w:val="1249" w:hRule="exact"/>
        </w:trPr>
        <w:tc>
          <w:tcPr>
            <w:tcW w:w="64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65"/>
              <w:jc w:val="both"/>
              <w:rPr>
                <w:rFonts w:ascii="宋体" w:hAnsi="宋体" w:cs="宋体" w:eastAsia="宋体" w:hint="default"/>
                <w:sz w:val="18"/>
                <w:szCs w:val="18"/>
              </w:rPr>
            </w:pPr>
            <w:r>
              <w:rPr>
                <w:rFonts w:ascii="宋体" w:hAnsi="宋体" w:cs="宋体" w:eastAsia="宋体" w:hint="default"/>
                <w:sz w:val="18"/>
                <w:szCs w:val="18"/>
              </w:rPr>
              <w:t>务业产 业发展 投资合 伙企业</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338" w:lineRule="auto" w:before="11"/>
              <w:ind w:left="44" w:right="43"/>
              <w:jc w:val="both"/>
              <w:rPr>
                <w:rFonts w:ascii="Times New Roman" w:hAnsi="Times New Roman" w:cs="Times New Roman" w:eastAsia="Times New Roman" w:hint="default"/>
                <w:sz w:val="18"/>
                <w:szCs w:val="18"/>
              </w:rPr>
            </w:pPr>
            <w:r>
              <w:rPr>
                <w:rFonts w:ascii="宋体" w:hAnsi="宋体" w:cs="宋体" w:eastAsia="宋体" w:hint="default"/>
                <w:sz w:val="18"/>
                <w:szCs w:val="18"/>
              </w:rPr>
              <w:t>出售服 云信息 </w:t>
            </w:r>
            <w:r>
              <w:rPr>
                <w:rFonts w:ascii="Times New Roman" w:hAnsi="Times New Roman" w:cs="Times New Roman" w:eastAsia="Times New Roman" w:hint="default"/>
                <w:sz w:val="18"/>
                <w:szCs w:val="18"/>
              </w:rPr>
              <w:t>0.46%</w:t>
            </w:r>
          </w:p>
          <w:p>
            <w:pPr>
              <w:pStyle w:val="TableParagraph"/>
              <w:spacing w:line="220" w:lineRule="exact"/>
              <w:ind w:left="134" w:right="0"/>
              <w:jc w:val="both"/>
              <w:rPr>
                <w:rFonts w:ascii="宋体" w:hAnsi="宋体" w:cs="宋体" w:eastAsia="宋体" w:hint="default"/>
                <w:sz w:val="18"/>
                <w:szCs w:val="18"/>
              </w:rPr>
            </w:pPr>
            <w:r>
              <w:rPr>
                <w:rFonts w:ascii="宋体" w:hAnsi="宋体" w:cs="宋体" w:eastAsia="宋体" w:hint="default"/>
                <w:sz w:val="18"/>
                <w:szCs w:val="18"/>
              </w:rPr>
              <w:t>股权</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120</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143.51</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44" w:right="43"/>
              <w:jc w:val="both"/>
              <w:rPr>
                <w:rFonts w:ascii="宋体" w:hAnsi="宋体" w:cs="宋体" w:eastAsia="宋体" w:hint="default"/>
                <w:sz w:val="18"/>
                <w:szCs w:val="18"/>
              </w:rPr>
            </w:pPr>
            <w:r>
              <w:rPr>
                <w:rFonts w:ascii="宋体" w:hAnsi="宋体" w:cs="宋体" w:eastAsia="宋体" w:hint="default"/>
                <w:sz w:val="18"/>
                <w:szCs w:val="18"/>
              </w:rPr>
              <w:t>理层稳 定性无 影响， 对报告</w:t>
            </w:r>
          </w:p>
        </w:tc>
        <w:tc>
          <w:tcPr>
            <w:tcW w:w="6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0.47%</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259" w:right="78" w:hanging="180"/>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5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223" w:right="43" w:hanging="180"/>
              <w:jc w:val="left"/>
              <w:rPr>
                <w:rFonts w:ascii="宋体" w:hAnsi="宋体" w:cs="宋体" w:eastAsia="宋体" w:hint="default"/>
                <w:sz w:val="18"/>
                <w:szCs w:val="18"/>
              </w:rPr>
            </w:pPr>
            <w:r>
              <w:rPr>
                <w:rFonts w:ascii="宋体" w:hAnsi="宋体" w:cs="宋体" w:eastAsia="宋体" w:hint="default"/>
                <w:sz w:val="18"/>
                <w:szCs w:val="18"/>
              </w:rPr>
              <w:t>非关联 方</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9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425"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r>
      <w:tr>
        <w:trPr>
          <w:trHeight w:val="311" w:hRule="exact"/>
        </w:trPr>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42"/>
              <w:jc w:val="center"/>
              <w:rPr>
                <w:rFonts w:ascii="宋体" w:hAnsi="宋体" w:cs="宋体" w:eastAsia="宋体" w:hint="default"/>
                <w:sz w:val="18"/>
                <w:szCs w:val="18"/>
              </w:rPr>
            </w:pPr>
            <w:r>
              <w:rPr>
                <w:rFonts w:ascii="宋体" w:hAnsi="宋体" w:cs="宋体" w:eastAsia="宋体" w:hint="default"/>
                <w:sz w:val="18"/>
                <w:szCs w:val="18"/>
              </w:rPr>
              <w:t>（有限</w:t>
            </w:r>
          </w:p>
        </w:tc>
        <w:tc>
          <w:tcPr>
            <w:tcW w:w="640"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期财务</w:t>
            </w:r>
          </w:p>
        </w:tc>
        <w:tc>
          <w:tcPr>
            <w:tcW w:w="698"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0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980"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r>
      <w:tr>
        <w:trPr>
          <w:trHeight w:val="313" w:hRule="exact"/>
        </w:trPr>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42"/>
              <w:jc w:val="center"/>
              <w:rPr>
                <w:rFonts w:ascii="宋体" w:hAnsi="宋体" w:cs="宋体" w:eastAsia="宋体" w:hint="default"/>
                <w:sz w:val="18"/>
                <w:szCs w:val="18"/>
              </w:rPr>
            </w:pPr>
            <w:r>
              <w:rPr>
                <w:rFonts w:ascii="宋体" w:hAnsi="宋体" w:cs="宋体" w:eastAsia="宋体" w:hint="default"/>
                <w:sz w:val="18"/>
                <w:szCs w:val="18"/>
              </w:rPr>
              <w:t>合伙）</w:t>
            </w:r>
          </w:p>
        </w:tc>
        <w:tc>
          <w:tcPr>
            <w:tcW w:w="640"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状况和</w:t>
            </w:r>
          </w:p>
        </w:tc>
        <w:tc>
          <w:tcPr>
            <w:tcW w:w="698"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0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980"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r>
      <w:tr>
        <w:trPr>
          <w:trHeight w:val="311" w:hRule="exact"/>
        </w:trPr>
        <w:tc>
          <w:tcPr>
            <w:tcW w:w="640"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经营成</w:t>
            </w:r>
          </w:p>
        </w:tc>
        <w:tc>
          <w:tcPr>
            <w:tcW w:w="698"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0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980"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r>
      <w:tr>
        <w:trPr>
          <w:trHeight w:val="313" w:hRule="exact"/>
        </w:trPr>
        <w:tc>
          <w:tcPr>
            <w:tcW w:w="640"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果影响</w:t>
            </w:r>
          </w:p>
        </w:tc>
        <w:tc>
          <w:tcPr>
            <w:tcW w:w="698"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0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980"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r>
      <w:tr>
        <w:trPr>
          <w:trHeight w:val="357" w:hRule="exact"/>
        </w:trPr>
        <w:tc>
          <w:tcPr>
            <w:tcW w:w="640"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41"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较小</w:t>
            </w:r>
          </w:p>
        </w:tc>
        <w:tc>
          <w:tcPr>
            <w:tcW w:w="698"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50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980" w:type="dxa"/>
            <w:tcBorders>
              <w:top w:val="nil" w:sz="6" w:space="0" w:color="auto"/>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9"/>
          <w:szCs w:val="19"/>
        </w:rPr>
      </w:pPr>
    </w:p>
    <w:p>
      <w:pPr>
        <w:pStyle w:val="Heading3"/>
        <w:spacing w:line="240" w:lineRule="auto" w:before="35"/>
        <w:ind w:left="214" w:right="1021"/>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宋体" w:hAnsi="宋体" w:cs="宋体" w:eastAsia="宋体" w:hint="default"/>
          <w:b/>
          <w:bCs/>
          <w:sz w:val="26"/>
          <w:szCs w:val="26"/>
        </w:rPr>
      </w:pPr>
    </w:p>
    <w:p>
      <w:pPr>
        <w:spacing w:before="0"/>
        <w:ind w:left="214"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82" w:top="1060" w:bottom="1180" w:left="920" w:right="0"/>
        </w:sectPr>
      </w:pPr>
    </w:p>
    <w:p>
      <w:pPr>
        <w:spacing w:line="240" w:lineRule="auto" w:before="7"/>
        <w:rPr>
          <w:rFonts w:ascii="宋体" w:hAnsi="宋体" w:cs="宋体" w:eastAsia="宋体" w:hint="default"/>
          <w:sz w:val="23"/>
          <w:szCs w:val="23"/>
        </w:rPr>
      </w:pPr>
    </w:p>
    <w:p>
      <w:pPr>
        <w:pStyle w:val="Heading2"/>
        <w:spacing w:line="240" w:lineRule="auto" w:before="26"/>
        <w:ind w:right="0"/>
        <w:jc w:val="left"/>
        <w:rPr>
          <w:b w:val="0"/>
          <w:bCs w:val="0"/>
        </w:rPr>
      </w:pP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0"/>
        </w:sectPr>
      </w:pPr>
    </w:p>
    <w:p>
      <w:pPr>
        <w:spacing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4" w:right="-20"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80" w:right="0"/>
          <w:cols w:num="2" w:equalWidth="0">
            <w:col w:w="4849" w:space="4070"/>
            <w:col w:w="20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54"/>
        <w:gridCol w:w="790"/>
        <w:gridCol w:w="1559"/>
        <w:gridCol w:w="938"/>
        <w:gridCol w:w="1045"/>
        <w:gridCol w:w="1045"/>
        <w:gridCol w:w="1045"/>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厦门市美亚 柏科信息安 全研究所有 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84"/>
              <w:jc w:val="both"/>
              <w:rPr>
                <w:rFonts w:ascii="宋体" w:hAnsi="宋体" w:cs="宋体" w:eastAsia="宋体" w:hint="default"/>
                <w:sz w:val="18"/>
                <w:szCs w:val="18"/>
              </w:rPr>
            </w:pPr>
            <w:r>
              <w:rPr>
                <w:rFonts w:ascii="宋体" w:hAnsi="宋体" w:cs="宋体" w:eastAsia="宋体" w:hint="default"/>
                <w:sz w:val="18"/>
                <w:szCs w:val="18"/>
              </w:rPr>
              <w:t>致力于电子数据鉴 定及信息网络安全 技术的研究</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47,975,965.6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28,208,250.3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33,958,020.2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4,264,698.26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4,148,873.44</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珠海市新德 汇信息技术 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4"/>
              <w:jc w:val="both"/>
              <w:rPr>
                <w:rFonts w:ascii="宋体" w:hAnsi="宋体" w:cs="宋体" w:eastAsia="宋体" w:hint="default"/>
                <w:sz w:val="18"/>
                <w:szCs w:val="18"/>
              </w:rPr>
            </w:pPr>
            <w:r>
              <w:rPr>
                <w:rFonts w:ascii="宋体" w:hAnsi="宋体" w:cs="宋体" w:eastAsia="宋体" w:hint="default"/>
                <w:sz w:val="18"/>
                <w:szCs w:val="18"/>
              </w:rPr>
              <w:t>政法行业领先的数 据采集、清洗、共 享、分析和研判的 产品与服务提供商</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431,621,898.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225,373,437.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332,522,809.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59,094,059.5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52,518,439.0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厦门美亚中 敏科技有限 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4"/>
              <w:jc w:val="both"/>
              <w:rPr>
                <w:rFonts w:ascii="宋体" w:hAnsi="宋体" w:cs="宋体" w:eastAsia="宋体" w:hint="default"/>
                <w:sz w:val="18"/>
                <w:szCs w:val="18"/>
              </w:rPr>
            </w:pPr>
            <w:r>
              <w:rPr>
                <w:rFonts w:ascii="宋体" w:hAnsi="宋体" w:cs="宋体" w:eastAsia="宋体" w:hint="default"/>
                <w:sz w:val="18"/>
                <w:szCs w:val="18"/>
              </w:rPr>
              <w:t>国内领先的特种装 备制造及服务提供 商</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30,018,800.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76,352,512.4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32,682,280.6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169,756,449.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3,889,271.19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4,086,461.90</w:t>
            </w:r>
          </w:p>
        </w:tc>
      </w:tr>
      <w:tr>
        <w:trPr>
          <w:trHeight w:val="358" w:hRule="exact"/>
        </w:trPr>
        <w:tc>
          <w:tcPr>
            <w:tcW w:w="10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香港鼎永泰</w:t>
            </w:r>
          </w:p>
        </w:tc>
        <w:tc>
          <w:tcPr>
            <w:tcW w:w="790"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刑事技术产品系统</w:t>
            </w:r>
          </w:p>
        </w:tc>
        <w:tc>
          <w:tcPr>
            <w:tcW w:w="938"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8"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克科技有限</w:t>
            </w:r>
          </w:p>
        </w:tc>
        <w:tc>
          <w:tcPr>
            <w:tcW w:w="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解决方案和产品供</w:t>
            </w: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46" w:right="0"/>
              <w:jc w:val="center"/>
              <w:rPr>
                <w:rFonts w:ascii="Times New Roman" w:hAnsi="Times New Roman" w:cs="Times New Roman" w:eastAsia="Times New Roman" w:hint="default"/>
                <w:sz w:val="18"/>
                <w:szCs w:val="18"/>
              </w:rPr>
            </w:pPr>
            <w:r>
              <w:rPr>
                <w:rFonts w:ascii="Times New Roman"/>
                <w:sz w:val="18"/>
              </w:rPr>
              <w:t>4,818,043.88</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2,447,446.01</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348,328.30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228,749.88</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228,749.88</w:t>
            </w:r>
          </w:p>
        </w:tc>
      </w:tr>
      <w:tr>
        <w:trPr>
          <w:trHeight w:val="351" w:hRule="exact"/>
        </w:trPr>
        <w:tc>
          <w:tcPr>
            <w:tcW w:w="10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0"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应商</w:t>
            </w:r>
          </w:p>
        </w:tc>
        <w:tc>
          <w:tcPr>
            <w:tcW w:w="938"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106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19"/>
              <w:jc w:val="both"/>
              <w:rPr>
                <w:rFonts w:ascii="宋体" w:hAnsi="宋体" w:cs="宋体" w:eastAsia="宋体" w:hint="default"/>
                <w:sz w:val="18"/>
                <w:szCs w:val="18"/>
              </w:rPr>
            </w:pPr>
            <w:r>
              <w:rPr>
                <w:rFonts w:ascii="宋体" w:hAnsi="宋体" w:cs="宋体" w:eastAsia="宋体" w:hint="default"/>
                <w:sz w:val="18"/>
                <w:szCs w:val="18"/>
              </w:rPr>
              <w:t>江苏税软软 件科技有限 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84"/>
              <w:jc w:val="both"/>
              <w:rPr>
                <w:rFonts w:ascii="宋体" w:hAnsi="宋体" w:cs="宋体" w:eastAsia="宋体" w:hint="default"/>
                <w:sz w:val="18"/>
                <w:szCs w:val="18"/>
              </w:rPr>
            </w:pPr>
            <w:r>
              <w:rPr>
                <w:rFonts w:ascii="宋体" w:hAnsi="宋体" w:cs="宋体" w:eastAsia="宋体" w:hint="default"/>
                <w:sz w:val="18"/>
                <w:szCs w:val="18"/>
              </w:rPr>
              <w:t>国内领先的涉税数 据分析解决方案提 供商</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153,450,702.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134,389,113.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97,082,946.1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35,194,427.4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30,999,902.2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6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1"/>
              <w:ind w:left="22" w:right="119"/>
              <w:jc w:val="both"/>
              <w:rPr>
                <w:rFonts w:ascii="宋体" w:hAnsi="宋体" w:cs="宋体" w:eastAsia="宋体" w:hint="default"/>
                <w:sz w:val="18"/>
                <w:szCs w:val="18"/>
              </w:rPr>
            </w:pPr>
            <w:r>
              <w:rPr>
                <w:rFonts w:ascii="宋体" w:hAnsi="宋体" w:cs="宋体" w:eastAsia="宋体" w:hint="default"/>
                <w:sz w:val="18"/>
                <w:szCs w:val="18"/>
              </w:rPr>
              <w:t>武汉大千信 息技术有限 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1"/>
              <w:ind w:left="22" w:right="84"/>
              <w:jc w:val="both"/>
              <w:rPr>
                <w:rFonts w:ascii="宋体" w:hAnsi="宋体" w:cs="宋体" w:eastAsia="宋体" w:hint="default"/>
                <w:sz w:val="18"/>
                <w:szCs w:val="18"/>
              </w:rPr>
            </w:pPr>
            <w:r>
              <w:rPr>
                <w:rFonts w:ascii="宋体" w:hAnsi="宋体" w:cs="宋体" w:eastAsia="宋体" w:hint="default"/>
                <w:sz w:val="18"/>
                <w:szCs w:val="18"/>
              </w:rPr>
              <w:t>公共安全行业视频 检索、分析、检查 产品及服务提供商</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12,380,000.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23,250,784.5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10,471,531.7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9,859,759.09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-7,489,019.5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-8,965,970.1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厦门安胜网 络科技有限 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4"/>
              <w:jc w:val="both"/>
              <w:rPr>
                <w:rFonts w:ascii="宋体" w:hAnsi="宋体" w:cs="宋体" w:eastAsia="宋体" w:hint="default"/>
                <w:sz w:val="18"/>
                <w:szCs w:val="18"/>
              </w:rPr>
            </w:pPr>
            <w:r>
              <w:rPr>
                <w:rFonts w:ascii="宋体" w:hAnsi="宋体" w:cs="宋体" w:eastAsia="宋体" w:hint="default"/>
                <w:sz w:val="18"/>
                <w:szCs w:val="18"/>
              </w:rPr>
              <w:t>国内领先的网络安 全产品及服务提供 商</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80,542,607.4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36,436,581.3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102,764,441.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2"/>
              <w:jc w:val="right"/>
              <w:rPr>
                <w:rFonts w:ascii="Arial Narrow" w:hAnsi="Arial Narrow" w:cs="Arial Narrow" w:eastAsia="Arial Narrow" w:hint="default"/>
                <w:sz w:val="20"/>
                <w:szCs w:val="20"/>
              </w:rPr>
            </w:pPr>
            <w:r>
              <w:rPr>
                <w:rFonts w:ascii="Arial Narrow"/>
                <w:spacing w:val="-1"/>
                <w:sz w:val="20"/>
              </w:rPr>
              <w:t>8,910,172.63</w:t>
            </w:r>
            <w:r>
              <w:rPr>
                <w:rFonts w:ascii="Arial Narrow"/>
                <w:sz w:val="20"/>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10,177,725.0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790"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对国家发改委互联</w:t>
            </w:r>
          </w:p>
        </w:tc>
        <w:tc>
          <w:tcPr>
            <w:tcW w:w="938"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54" w:type="dxa"/>
            <w:tcBorders>
              <w:top w:val="nil" w:sz="6" w:space="0" w:color="auto"/>
              <w:left w:val="single" w:sz="4" w:space="0" w:color="000000"/>
              <w:bottom w:val="nil" w:sz="6" w:space="0" w:color="auto"/>
              <w:right w:val="single" w:sz="4" w:space="0" w:color="000000"/>
            </w:tcBorders>
          </w:tcPr>
          <w:p>
            <w:pPr/>
          </w:p>
        </w:tc>
        <w:tc>
          <w:tcPr>
            <w:tcW w:w="790"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网大数据分析中心</w:t>
            </w:r>
          </w:p>
        </w:tc>
        <w:tc>
          <w:tcPr>
            <w:tcW w:w="93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北京美亚宏 数科技有限 责任公司</w:t>
            </w:r>
          </w:p>
        </w:tc>
        <w:tc>
          <w:tcPr>
            <w:tcW w:w="7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84"/>
              <w:jc w:val="both"/>
              <w:rPr>
                <w:rFonts w:ascii="宋体" w:hAnsi="宋体" w:cs="宋体" w:eastAsia="宋体" w:hint="default"/>
                <w:sz w:val="18"/>
                <w:szCs w:val="18"/>
              </w:rPr>
            </w:pPr>
            <w:r>
              <w:rPr>
                <w:rFonts w:ascii="宋体" w:hAnsi="宋体" w:cs="宋体" w:eastAsia="宋体" w:hint="default"/>
                <w:sz w:val="18"/>
                <w:szCs w:val="18"/>
              </w:rPr>
              <w:t>运行过程中生成的 可商业化数据进行 加工增值，以及与 此相应的对外合作</w:t>
            </w: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16,500,000.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3,631,915.05</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-6,351,813.5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16,514,185.5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-5,309,535.5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-5,310,172.0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313" w:hRule="exact"/>
        </w:trPr>
        <w:tc>
          <w:tcPr>
            <w:tcW w:w="1054" w:type="dxa"/>
            <w:tcBorders>
              <w:top w:val="nil" w:sz="6" w:space="0" w:color="auto"/>
              <w:left w:val="single" w:sz="4" w:space="0" w:color="000000"/>
              <w:bottom w:val="nil" w:sz="6" w:space="0" w:color="auto"/>
              <w:right w:val="single" w:sz="4" w:space="0" w:color="000000"/>
            </w:tcBorders>
          </w:tcPr>
          <w:p>
            <w:pPr/>
          </w:p>
        </w:tc>
        <w:tc>
          <w:tcPr>
            <w:tcW w:w="790"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项目运营、销售、</w:t>
            </w:r>
          </w:p>
        </w:tc>
        <w:tc>
          <w:tcPr>
            <w:tcW w:w="93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790"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产品研发等</w:t>
            </w:r>
          </w:p>
        </w:tc>
        <w:tc>
          <w:tcPr>
            <w:tcW w:w="938"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北京美亚智 讯信息技术 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4"/>
              <w:jc w:val="both"/>
              <w:rPr>
                <w:rFonts w:ascii="宋体" w:hAnsi="宋体" w:cs="宋体" w:eastAsia="宋体" w:hint="default"/>
                <w:sz w:val="18"/>
                <w:szCs w:val="18"/>
              </w:rPr>
            </w:pPr>
            <w:r>
              <w:rPr>
                <w:rFonts w:ascii="宋体" w:hAnsi="宋体" w:cs="宋体" w:eastAsia="宋体" w:hint="default"/>
                <w:sz w:val="18"/>
                <w:szCs w:val="18"/>
              </w:rPr>
              <w:t>以信息服务、技术 及产品为核心的技 术企业</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3,821,683.84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183,782.23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3,802,427.19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460,984.66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460,984.66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54"/>
        <w:gridCol w:w="790"/>
        <w:gridCol w:w="1559"/>
        <w:gridCol w:w="938"/>
        <w:gridCol w:w="1045"/>
        <w:gridCol w:w="1045"/>
        <w:gridCol w:w="1045"/>
        <w:gridCol w:w="1045"/>
        <w:gridCol w:w="1046"/>
      </w:tblGrid>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厦门美亚商 鼎信息科技 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4"/>
              <w:jc w:val="both"/>
              <w:rPr>
                <w:rFonts w:ascii="宋体" w:hAnsi="宋体" w:cs="宋体" w:eastAsia="宋体" w:hint="default"/>
                <w:sz w:val="18"/>
                <w:szCs w:val="18"/>
              </w:rPr>
            </w:pPr>
            <w:r>
              <w:rPr>
                <w:rFonts w:ascii="宋体" w:hAnsi="宋体" w:cs="宋体" w:eastAsia="宋体" w:hint="default"/>
                <w:sz w:val="18"/>
                <w:szCs w:val="18"/>
              </w:rPr>
              <w:t>市场监管行业大数 据信息化及技术服 务支撑领域</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38,551,571.7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19,271,763.1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35,190,579.0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9,420,546.55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8,872,140.44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694"/>
        <w:gridCol w:w="1417"/>
        <w:gridCol w:w="5458"/>
      </w:tblGrid>
      <w:tr>
        <w:trPr>
          <w:trHeight w:val="713"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3" w:right="72"/>
              <w:jc w:val="left"/>
              <w:rPr>
                <w:rFonts w:ascii="宋体" w:hAnsi="宋体" w:cs="宋体" w:eastAsia="宋体" w:hint="default"/>
                <w:sz w:val="18"/>
                <w:szCs w:val="18"/>
              </w:rPr>
            </w:pPr>
            <w:r>
              <w:rPr>
                <w:rFonts w:ascii="宋体" w:hAnsi="宋体" w:cs="宋体" w:eastAsia="宋体" w:hint="default"/>
                <w:sz w:val="18"/>
                <w:szCs w:val="18"/>
              </w:rPr>
              <w:t>报告期内取得和 处置子公司方式</w:t>
            </w:r>
          </w:p>
        </w:tc>
        <w:tc>
          <w:tcPr>
            <w:tcW w:w="54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553"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北京美亚京安科技有限公司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便于加强行业拓展力度，最终实现整个集团在各行业的收入增长和新 行业的拓展有利于公司持续业务发展，提升公司综合竞争力。</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福建美亚榕安科技有限公司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便于区域全行业拓展新的市场，促进公司持续业务发展，提升公司综 合竞争力。</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厦门美亚亿安信息科技有限公司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便于拓展企业调查业务，促进公司持续业务发展，提升公司综合竞争 力。</w:t>
            </w:r>
          </w:p>
        </w:tc>
      </w:tr>
      <w:tr>
        <w:trPr>
          <w:trHeight w:val="715"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厦门美银智投科技有限公司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为初创型企业提供战略合作服务、互联网信息服务和信息技术服务等 完善公司产业链，提升公司综合竞争力。</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240" w:lineRule="auto" w:before="10"/>
        <w:rPr>
          <w:rFonts w:ascii="宋体" w:hAnsi="宋体" w:cs="宋体" w:eastAsia="宋体" w:hint="default"/>
          <w:sz w:val="12"/>
          <w:szCs w:val="12"/>
        </w:rPr>
      </w:pPr>
    </w:p>
    <w:p>
      <w:pPr>
        <w:pStyle w:val="BodyText"/>
        <w:spacing w:line="400" w:lineRule="auto"/>
        <w:ind w:right="1021" w:firstLine="420"/>
        <w:jc w:val="left"/>
      </w:pPr>
      <w:r>
        <w:rPr>
          <w:rFonts w:ascii="Times New Roman" w:hAnsi="Times New Roman" w:cs="Times New Roman" w:eastAsia="Times New Roman" w:hint="default"/>
        </w:rPr>
        <w:t>●</w:t>
      </w:r>
      <w:r>
        <w:rPr/>
        <w:t>全资子公司新德汇：长期专注于司法机关、海关等行业信息化建设，致力于成为“国内领先的政法</w:t>
      </w:r>
      <w:r>
        <w:rPr>
          <w:spacing w:val="1"/>
          <w:w w:val="99"/>
        </w:rPr>
        <w:t> </w:t>
      </w:r>
      <w:r>
        <w:rPr/>
        <w:t>行业信息技术与数据服务提供商”。产品涵盖信息平台、信息汇聚、便民服务、图像检查、电子物证勘验</w:t>
      </w:r>
      <w:r>
        <w:rPr>
          <w:w w:val="99"/>
        </w:rPr>
        <w:t> </w:t>
      </w:r>
      <w:r>
        <w:rPr>
          <w:spacing w:val="-3"/>
        </w:rPr>
        <w:t>鉴定实验室等五大系列，已逐步形成了以信息汇聚、大数据处理、内容分析、信息服务的全周期产品体系。</w:t>
      </w:r>
      <w:r>
        <w:rPr>
          <w:spacing w:val="-96"/>
        </w:rPr>
        <w:t> </w:t>
      </w:r>
      <w:r>
        <w:rPr>
          <w:spacing w:val="-96"/>
        </w:rPr>
      </w:r>
      <w:r>
        <w:rPr/>
        <w:t>经过这么年的磨合和协作，双方协同效应明显，新德汇借助公司产品、技术及渠道优势，由原有做内容信</w:t>
      </w:r>
      <w:r>
        <w:rPr>
          <w:w w:val="99"/>
        </w:rPr>
        <w:t> </w:t>
      </w:r>
      <w:r>
        <w:rPr/>
        <w:t>息分析软件转变为信息技术与数据服务提供商。2018年深化司法机关“放管服”改革要求，推出了一系列</w:t>
      </w:r>
      <w:r>
        <w:rPr>
          <w:w w:val="99"/>
        </w:rPr>
        <w:t> </w:t>
      </w:r>
      <w:r>
        <w:rPr/>
        <w:t>涵盖出入境办证业务、交管业务、户政业务等各类自助便民设备。</w:t>
      </w:r>
      <w:r>
        <w:rPr>
          <w:rFonts w:ascii="Times New Roman" w:hAnsi="Times New Roman" w:cs="Times New Roman" w:eastAsia="Times New Roman" w:hint="default"/>
        </w:rPr>
        <w:t>2018</w:t>
      </w:r>
      <w:r>
        <w:rPr/>
        <w:t>年实现销售收入</w:t>
      </w:r>
      <w:r>
        <w:rPr>
          <w:rFonts w:ascii="Times New Roman" w:hAnsi="Times New Roman" w:cs="Times New Roman" w:eastAsia="Times New Roman" w:hint="default"/>
        </w:rPr>
        <w:t>3.33</w:t>
      </w:r>
      <w:r>
        <w:rPr/>
        <w:t>亿，同比</w:t>
      </w:r>
      <w:r>
        <w:rPr>
          <w:rFonts w:ascii="Times New Roman" w:hAnsi="Times New Roman" w:cs="Times New Roman" w:eastAsia="Times New Roman" w:hint="default"/>
        </w:rPr>
        <w:t>2017</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t>年增长</w:t>
      </w:r>
      <w:r>
        <w:rPr>
          <w:rFonts w:ascii="Times New Roman" w:hAnsi="Times New Roman" w:cs="Times New Roman" w:eastAsia="Times New Roman" w:hint="default"/>
        </w:rPr>
        <w:t>25.88%</w:t>
      </w:r>
      <w:r>
        <w:rPr/>
        <w:t>。</w:t>
      </w:r>
    </w:p>
    <w:p>
      <w:pPr>
        <w:pStyle w:val="BodyText"/>
        <w:spacing w:line="396" w:lineRule="auto" w:before="21"/>
        <w:ind w:left="153" w:right="1128" w:firstLine="420"/>
        <w:jc w:val="both"/>
      </w:pPr>
      <w:r>
        <w:rPr>
          <w:rFonts w:ascii="Times New Roman" w:hAnsi="Times New Roman" w:cs="Times New Roman" w:eastAsia="Times New Roman" w:hint="default"/>
        </w:rPr>
        <w:t>●</w:t>
      </w:r>
      <w:r>
        <w:rPr/>
        <w:t>全资子公司江苏税软：专业从事涉税分析软件的研发、销售和服务，是国内领先的涉税分析解决方</w:t>
      </w:r>
      <w:r>
        <w:rPr>
          <w:spacing w:val="1"/>
          <w:w w:val="99"/>
        </w:rPr>
        <w:t> </w:t>
      </w:r>
      <w:r>
        <w:rPr>
          <w:spacing w:val="-1"/>
        </w:rPr>
        <w:t>案供应商。目前拥有自主知识产权的数据汇聚软件、电子查帐软件、稽查管理模块、案件集中管理软件和</w:t>
      </w:r>
      <w:r>
        <w:rPr>
          <w:spacing w:val="-83"/>
        </w:rPr>
        <w:t> </w:t>
      </w:r>
      <w:r>
        <w:rPr>
          <w:spacing w:val="-83"/>
        </w:rPr>
      </w:r>
      <w:r>
        <w:rPr>
          <w:spacing w:val="-1"/>
        </w:rPr>
        <w:t>涉税鉴证软件等系列软件产品。公司与江苏税软合作以来，双方充分发挥各自产品、技术和渠道优势，加</w:t>
      </w:r>
      <w:r>
        <w:rPr>
          <w:spacing w:val="-83"/>
        </w:rPr>
        <w:t> </w:t>
      </w:r>
      <w:r>
        <w:rPr>
          <w:spacing w:val="-83"/>
        </w:rPr>
      </w:r>
      <w:r>
        <w:rPr>
          <w:spacing w:val="-1"/>
        </w:rPr>
        <w:t>快了在税务、海关、经侦等部门的市场拓展。</w:t>
      </w:r>
      <w:r>
        <w:rPr>
          <w:rFonts w:ascii="Times New Roman" w:hAnsi="Times New Roman" w:cs="Times New Roman" w:eastAsia="Times New Roman" w:hint="default"/>
          <w:spacing w:val="-1"/>
        </w:rPr>
        <w:t>2018</w:t>
      </w:r>
      <w:r>
        <w:rPr>
          <w:spacing w:val="-1"/>
        </w:rPr>
        <w:t>年受国地税合并改革影响，公司</w:t>
      </w:r>
      <w:r>
        <w:rPr>
          <w:rFonts w:ascii="Times New Roman" w:hAnsi="Times New Roman" w:cs="Times New Roman" w:eastAsia="Times New Roman" w:hint="default"/>
          <w:spacing w:val="-1"/>
        </w:rPr>
        <w:t>2018</w:t>
      </w:r>
      <w:r>
        <w:rPr>
          <w:spacing w:val="-1"/>
        </w:rPr>
        <w:t>年订单受到一定的</w:t>
      </w:r>
      <w:r>
        <w:rPr>
          <w:spacing w:val="-85"/>
        </w:rPr>
        <w:t> </w:t>
      </w:r>
      <w:r>
        <w:rPr>
          <w:spacing w:val="-85"/>
        </w:rPr>
      </w:r>
      <w:r>
        <w:rPr>
          <w:spacing w:val="-2"/>
        </w:rPr>
        <w:t>影响，</w:t>
      </w:r>
      <w:r>
        <w:rPr>
          <w:rFonts w:ascii="Times New Roman" w:hAnsi="Times New Roman" w:cs="Times New Roman" w:eastAsia="Times New Roman" w:hint="default"/>
          <w:spacing w:val="-2"/>
        </w:rPr>
        <w:t>2018</w:t>
      </w:r>
      <w:r>
        <w:rPr>
          <w:spacing w:val="-2"/>
        </w:rPr>
        <w:t>年实现销售收入</w:t>
      </w:r>
      <w:r>
        <w:rPr>
          <w:rFonts w:ascii="Times New Roman" w:hAnsi="Times New Roman" w:cs="Times New Roman" w:eastAsia="Times New Roman" w:hint="default"/>
          <w:spacing w:val="-2"/>
        </w:rPr>
        <w:t>9,708</w:t>
      </w:r>
      <w:r>
        <w:rPr>
          <w:spacing w:val="-2"/>
        </w:rPr>
        <w:t>万，同比</w:t>
      </w:r>
      <w:r>
        <w:rPr>
          <w:rFonts w:ascii="Times New Roman" w:hAnsi="Times New Roman" w:cs="Times New Roman" w:eastAsia="Times New Roman" w:hint="default"/>
          <w:spacing w:val="-2"/>
        </w:rPr>
        <w:t>2017</w:t>
      </w:r>
      <w:r>
        <w:rPr>
          <w:spacing w:val="-2"/>
        </w:rPr>
        <w:t>年下降</w:t>
      </w:r>
      <w:r>
        <w:rPr>
          <w:rFonts w:ascii="Times New Roman" w:hAnsi="Times New Roman" w:cs="Times New Roman" w:eastAsia="Times New Roman" w:hint="default"/>
          <w:spacing w:val="-2"/>
        </w:rPr>
        <w:t>13.64%</w:t>
      </w:r>
      <w:r>
        <w:rPr>
          <w:spacing w:val="-2"/>
        </w:rPr>
        <w:t>。随着国地税改革的落地，公司将继续深耕税</w:t>
      </w:r>
      <w:r>
        <w:rPr>
          <w:spacing w:val="-94"/>
        </w:rPr>
        <w:t> </w:t>
      </w:r>
      <w:r>
        <w:rPr>
          <w:spacing w:val="-94"/>
        </w:rPr>
      </w:r>
      <w:r>
        <w:rPr/>
        <w:t>务市场，拓展涉税领域的各项业务，为税务部门提供涉税分析解决方案。</w:t>
      </w:r>
    </w:p>
    <w:p>
      <w:pPr>
        <w:pStyle w:val="BodyText"/>
        <w:spacing w:line="398" w:lineRule="auto" w:before="56"/>
        <w:ind w:left="153" w:right="0" w:firstLine="420"/>
        <w:jc w:val="left"/>
      </w:pPr>
      <w:r>
        <w:rPr>
          <w:rFonts w:ascii="Times New Roman" w:hAnsi="Times New Roman" w:cs="Times New Roman" w:eastAsia="Times New Roman" w:hint="default"/>
          <w:spacing w:val="-2"/>
        </w:rPr>
        <w:t>●</w:t>
      </w:r>
      <w:r>
        <w:rPr>
          <w:spacing w:val="-2"/>
        </w:rPr>
        <w:t>控股子公司安胜网络：专注于网络安全检测产品的生产与服务，包括安全检测体系，安全防护体系，</w:t>
      </w:r>
      <w:r>
        <w:rPr>
          <w:w w:val="99"/>
        </w:rPr>
        <w:t> </w:t>
      </w:r>
      <w:r>
        <w:rPr/>
        <w:t>信息系统安全评估、网络攻防演练平台和培训服务体系。安胜网络是国内领先的网络安全检测产品及服务</w:t>
      </w:r>
      <w:r>
        <w:rPr>
          <w:w w:val="99"/>
        </w:rPr>
        <w:t> </w:t>
      </w:r>
      <w:r>
        <w:rPr/>
        <w:t>提供商。</w:t>
      </w:r>
      <w:r>
        <w:rPr>
          <w:rFonts w:ascii="Times New Roman" w:hAnsi="Times New Roman" w:cs="Times New Roman" w:eastAsia="Times New Roman" w:hint="default"/>
        </w:rPr>
        <w:t>2018</w:t>
      </w:r>
      <w:r>
        <w:rPr/>
        <w:t>年实现销售收入</w:t>
      </w:r>
      <w:r>
        <w:rPr>
          <w:rFonts w:ascii="Times New Roman" w:hAnsi="Times New Roman" w:cs="Times New Roman" w:eastAsia="Times New Roman" w:hint="default"/>
        </w:rPr>
        <w:t>10,276.44</w:t>
      </w:r>
      <w:r>
        <w:rPr/>
        <w:t>万元，同比</w:t>
      </w:r>
      <w:r>
        <w:rPr>
          <w:rFonts w:ascii="Times New Roman" w:hAnsi="Times New Roman" w:cs="Times New Roman" w:eastAsia="Times New Roman" w:hint="default"/>
        </w:rPr>
        <w:t>2017</w:t>
      </w:r>
      <w:r>
        <w:rPr/>
        <w:t>年增长</w:t>
      </w:r>
      <w:r>
        <w:rPr>
          <w:rFonts w:ascii="Times New Roman" w:hAnsi="Times New Roman" w:cs="Times New Roman" w:eastAsia="Times New Roman" w:hint="default"/>
        </w:rPr>
        <w:t>3.97%</w:t>
      </w:r>
      <w:r>
        <w:rPr/>
        <w:t>。</w:t>
      </w:r>
    </w:p>
    <w:p>
      <w:pPr>
        <w:pStyle w:val="BodyText"/>
        <w:spacing w:line="240" w:lineRule="auto" w:before="24"/>
        <w:ind w:left="574" w:right="0"/>
        <w:jc w:val="left"/>
      </w:pPr>
      <w:r>
        <w:rPr>
          <w:rFonts w:ascii="Times New Roman" w:hAnsi="Times New Roman" w:cs="Times New Roman" w:eastAsia="Times New Roman" w:hint="default"/>
        </w:rPr>
        <w:t>●</w:t>
      </w:r>
      <w:r>
        <w:rPr/>
        <w:t>控股子公司美亚商鼎：致力于市场监督管理行业的行政管理、执法相关技术和产品研发，提供执法</w:t>
      </w:r>
    </w:p>
    <w:p>
      <w:pPr>
        <w:spacing w:after="0" w:line="240"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405" w:lineRule="auto" w:before="174"/>
        <w:ind w:left="153" w:right="1108"/>
        <w:jc w:val="both"/>
      </w:pPr>
      <w:r>
        <w:rPr>
          <w:spacing w:val="-1"/>
        </w:rPr>
        <w:t>装备和大数据信息化管理解决方案，是国内率先把超级计算技术、网络空间大数据分析技术、电子取证技</w:t>
      </w:r>
      <w:r>
        <w:rPr>
          <w:spacing w:val="-83"/>
        </w:rPr>
        <w:t> </w:t>
      </w:r>
      <w:r>
        <w:rPr>
          <w:spacing w:val="-83"/>
        </w:rPr>
      </w:r>
      <w:r>
        <w:rPr>
          <w:spacing w:val="-1"/>
        </w:rPr>
        <w:t>术应用于网络市场交易秩序监管、商品质量监督的企业，实现以大数据分析辅助精确执法、高效监管。目</w:t>
      </w:r>
      <w:r>
        <w:rPr>
          <w:spacing w:val="-82"/>
        </w:rPr>
        <w:t> </w:t>
      </w:r>
      <w:r>
        <w:rPr>
          <w:spacing w:val="-82"/>
        </w:rPr>
      </w:r>
      <w:r>
        <w:rPr/>
        <w:t>前具有网络交易监管、网络取证、现场执法取证、食品快检、市场交易大数据分析等多方面系列的产品， </w:t>
      </w:r>
      <w:r>
        <w:rPr>
          <w:spacing w:val="-1"/>
        </w:rPr>
        <w:t>以及配套培训、技术支持服务，支撑市场监管部门实现市场交易主体、客体、行为的全方位监管，有效发</w:t>
      </w:r>
      <w:r>
        <w:rPr>
          <w:spacing w:val="-83"/>
        </w:rPr>
        <w:t> </w:t>
      </w:r>
      <w:r>
        <w:rPr>
          <w:spacing w:val="-83"/>
        </w:rPr>
      </w:r>
      <w:r>
        <w:rPr>
          <w:spacing w:val="-1"/>
        </w:rPr>
        <w:t>现和查处虚假主体、虚假宣传、不正当竞争、违法广告、网络传销、无照餐饮服务、假冒伪劣商品等多种</w:t>
      </w:r>
      <w:r>
        <w:rPr>
          <w:spacing w:val="-83"/>
        </w:rPr>
        <w:t> </w:t>
      </w:r>
      <w:r>
        <w:rPr>
          <w:spacing w:val="-83"/>
        </w:rPr>
      </w:r>
      <w:r>
        <w:rPr>
          <w:spacing w:val="-1"/>
        </w:rPr>
        <w:t>违法交易活动，精准分析市场交易行为和宏观经济状况，维护市场秩序，辅助监管决策。</w:t>
      </w:r>
      <w:r>
        <w:rPr>
          <w:rFonts w:ascii="Times New Roman" w:hAnsi="Times New Roman" w:cs="Times New Roman" w:eastAsia="Times New Roman" w:hint="default"/>
          <w:spacing w:val="-1"/>
        </w:rPr>
        <w:t>2018</w:t>
      </w:r>
      <w:r>
        <w:rPr>
          <w:spacing w:val="-1"/>
        </w:rPr>
        <w:t>年实现销售</w:t>
      </w:r>
      <w:r>
        <w:rPr>
          <w:spacing w:val="-81"/>
        </w:rPr>
        <w:t> </w:t>
      </w:r>
      <w:r>
        <w:rPr>
          <w:spacing w:val="-81"/>
        </w:rPr>
      </w:r>
      <w:r>
        <w:rPr/>
        <w:t>收入</w:t>
      </w:r>
      <w:r>
        <w:rPr>
          <w:rFonts w:ascii="Times New Roman" w:hAnsi="Times New Roman" w:cs="Times New Roman" w:eastAsia="Times New Roman" w:hint="default"/>
        </w:rPr>
        <w:t>3,519.06</w:t>
      </w:r>
      <w:r>
        <w:rPr/>
        <w:t>万元，同比</w:t>
      </w:r>
      <w:r>
        <w:rPr>
          <w:rFonts w:ascii="Times New Roman" w:hAnsi="Times New Roman" w:cs="Times New Roman" w:eastAsia="Times New Roman" w:hint="default"/>
        </w:rPr>
        <w:t>2017</w:t>
      </w:r>
      <w:r>
        <w:rPr/>
        <w:t>年增长</w:t>
      </w:r>
      <w:r>
        <w:rPr>
          <w:rFonts w:ascii="Times New Roman" w:hAnsi="Times New Roman" w:cs="Times New Roman" w:eastAsia="Times New Roman" w:hint="default"/>
        </w:rPr>
        <w:t>127.09%</w:t>
      </w:r>
      <w:r>
        <w:rPr/>
        <w:t>。</w:t>
      </w:r>
    </w:p>
    <w:p>
      <w:pPr>
        <w:spacing w:line="240" w:lineRule="auto" w:before="5"/>
        <w:rPr>
          <w:rFonts w:ascii="宋体" w:hAnsi="宋体" w:cs="宋体" w:eastAsia="宋体" w:hint="default"/>
          <w:sz w:val="16"/>
          <w:szCs w:val="16"/>
        </w:rPr>
      </w:pPr>
    </w:p>
    <w:p>
      <w:pPr>
        <w:pStyle w:val="Heading2"/>
        <w:spacing w:line="240" w:lineRule="auto"/>
        <w:ind w:right="0"/>
        <w:jc w:val="both"/>
        <w:rPr>
          <w:b w:val="0"/>
          <w:bCs w:val="0"/>
        </w:rPr>
      </w:pPr>
      <w:r>
        <w:rPr/>
        <w:t>八、公司控制的结构化主体情况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3"/>
          <w:szCs w:val="23"/>
        </w:rPr>
      </w:pPr>
    </w:p>
    <w:p>
      <w:pPr>
        <w:pStyle w:val="Heading2"/>
        <w:spacing w:line="240" w:lineRule="auto"/>
        <w:ind w:right="0"/>
        <w:jc w:val="both"/>
        <w:rPr>
          <w:b w:val="0"/>
          <w:bCs w:val="0"/>
        </w:rPr>
      </w:pPr>
      <w:r>
        <w:rPr/>
        <w:t>九、公司未来发展的展望</w:t>
      </w:r>
      <w:r>
        <w:rPr>
          <w:b w:val="0"/>
          <w:bCs w:val="0"/>
        </w:rPr>
      </w:r>
    </w:p>
    <w:p>
      <w:pPr>
        <w:spacing w:line="240" w:lineRule="auto" w:before="9"/>
        <w:rPr>
          <w:rFonts w:ascii="宋体" w:hAnsi="宋体" w:cs="宋体" w:eastAsia="宋体" w:hint="default"/>
          <w:b/>
          <w:bCs/>
          <w:sz w:val="30"/>
          <w:szCs w:val="30"/>
        </w:rPr>
      </w:pPr>
    </w:p>
    <w:p>
      <w:pPr>
        <w:spacing w:line="441" w:lineRule="auto" w:before="0"/>
        <w:ind w:left="679" w:right="1195" w:firstLine="1"/>
        <w:jc w:val="left"/>
        <w:rPr>
          <w:rFonts w:ascii="宋体" w:hAnsi="宋体" w:cs="宋体" w:eastAsia="宋体" w:hint="default"/>
          <w:sz w:val="21"/>
          <w:szCs w:val="21"/>
        </w:rPr>
      </w:pPr>
      <w:r>
        <w:rPr>
          <w:rFonts w:ascii="宋体" w:hAnsi="宋体" w:cs="宋体" w:eastAsia="宋体" w:hint="default"/>
          <w:b/>
          <w:bCs/>
          <w:sz w:val="21"/>
          <w:szCs w:val="21"/>
        </w:rPr>
        <w:t>（一）行业竞争格局和趋势</w:t>
      </w:r>
      <w:r>
        <w:rPr>
          <w:rFonts w:ascii="宋体" w:hAnsi="宋体" w:cs="宋体" w:eastAsia="宋体" w:hint="default"/>
          <w:b/>
          <w:bCs/>
          <w:w w:val="99"/>
          <w:sz w:val="21"/>
          <w:szCs w:val="21"/>
        </w:rPr>
        <w:t> </w:t>
      </w:r>
      <w:r>
        <w:rPr>
          <w:rFonts w:ascii="宋体" w:hAnsi="宋体" w:cs="宋体" w:eastAsia="宋体" w:hint="default"/>
          <w:sz w:val="21"/>
          <w:szCs w:val="21"/>
        </w:rPr>
        <w:t>公司自成立以来深耕电子数据取证及大数据信息化等业务，已逐步成长为电子数据取证行业龙头企</w:t>
      </w:r>
    </w:p>
    <w:p>
      <w:pPr>
        <w:pStyle w:val="BodyText"/>
        <w:spacing w:line="410" w:lineRule="auto" w:before="17"/>
        <w:ind w:left="153" w:right="1130"/>
        <w:jc w:val="both"/>
      </w:pPr>
      <w:r>
        <w:rPr>
          <w:spacing w:val="-1"/>
        </w:rPr>
        <w:t>业、网络空间安全及大数据信息化专家，目前是全球电子数据取证行业两家上市企业之一。公司所处的行</w:t>
      </w:r>
      <w:r>
        <w:rPr>
          <w:spacing w:val="-83"/>
        </w:rPr>
        <w:t> </w:t>
      </w:r>
      <w:r>
        <w:rPr>
          <w:spacing w:val="-83"/>
        </w:rPr>
      </w:r>
      <w:r>
        <w:rPr/>
        <w:t>业主要竞争格局及发展趋势如下：</w:t>
      </w:r>
    </w:p>
    <w:p>
      <w:pPr>
        <w:pStyle w:val="BodyText"/>
        <w:spacing w:line="408" w:lineRule="auto" w:before="83"/>
        <w:ind w:left="153" w:right="1091" w:firstLine="526"/>
        <w:jc w:val="left"/>
      </w:pPr>
      <w:r>
        <w:rPr>
          <w:rFonts w:ascii="宋体" w:hAnsi="宋体" w:cs="宋体" w:eastAsia="宋体" w:hint="default"/>
          <w:b/>
          <w:bCs/>
        </w:rPr>
        <w:t>电子数据取证行业：</w:t>
      </w:r>
      <w:r>
        <w:rPr/>
        <w:t>随着计算机和互联网技术的迅速发展，尤其是移动互联网和智能终端的发展， </w:t>
      </w:r>
      <w:r>
        <w:rPr>
          <w:spacing w:val="-1"/>
        </w:rPr>
        <w:t>正在深刻改变着人们的生产生活习惯。社交软件，电子商务、在线教育等各类网络服务被大量应用，在改</w:t>
      </w:r>
      <w:r>
        <w:rPr>
          <w:spacing w:val="-82"/>
        </w:rPr>
        <w:t> </w:t>
      </w:r>
      <w:r>
        <w:rPr>
          <w:spacing w:val="-82"/>
        </w:rPr>
      </w:r>
      <w:r>
        <w:rPr>
          <w:spacing w:val="-1"/>
        </w:rPr>
        <w:t>变生活方式，提供便利的同时，与之相关的各类纠纷、民事和刑事事件也时有出现。在解决和处理各类纠</w:t>
      </w:r>
      <w:r>
        <w:rPr>
          <w:spacing w:val="-82"/>
        </w:rPr>
        <w:t> </w:t>
      </w:r>
      <w:r>
        <w:rPr>
          <w:spacing w:val="-82"/>
        </w:rPr>
      </w:r>
      <w:r>
        <w:rPr>
          <w:spacing w:val="-1"/>
        </w:rPr>
        <w:t>纷事件过程中，需要获取计算机、智能终端等存储介质中的电子数据作为有效证据。在这样的背景下，电</w:t>
      </w:r>
      <w:r>
        <w:rPr>
          <w:spacing w:val="-82"/>
        </w:rPr>
        <w:t> </w:t>
      </w:r>
      <w:r>
        <w:rPr>
          <w:spacing w:val="-82"/>
        </w:rPr>
      </w:r>
      <w:r>
        <w:rPr/>
        <w:t>子数据取证行业应运而生。伴随着互联网技术与移动网络速度的不断发展，数据存储的方式逐渐多样化， </w:t>
      </w:r>
      <w:r>
        <w:rPr>
          <w:spacing w:val="-1"/>
        </w:rPr>
        <w:t>包括计算机、移动设备、数据库及云储存等信息载体形态在不断发生变化，相应的电子数据取证产品也需</w:t>
      </w:r>
      <w:r>
        <w:rPr>
          <w:spacing w:val="-83"/>
        </w:rPr>
        <w:t> </w:t>
      </w:r>
      <w:r>
        <w:rPr>
          <w:spacing w:val="-83"/>
        </w:rPr>
      </w:r>
      <w:r>
        <w:rPr>
          <w:spacing w:val="-1"/>
        </w:rPr>
        <w:t>要进行不断升级和变革，由此催生取证产品日益增长的需求市场。与此同时，物联网技术也在近几年得到</w:t>
      </w:r>
      <w:r>
        <w:rPr>
          <w:spacing w:val="-83"/>
        </w:rPr>
        <w:t> </w:t>
      </w:r>
      <w:r>
        <w:rPr>
          <w:spacing w:val="-83"/>
        </w:rPr>
      </w:r>
      <w:r>
        <w:rPr>
          <w:spacing w:val="-1"/>
        </w:rPr>
        <w:t>快速发展，智能汽车、智能家居、无人机以及可穿戴设备等一批最前沿的智能设备正在成为主流，由此产</w:t>
      </w:r>
      <w:r>
        <w:rPr>
          <w:spacing w:val="-82"/>
        </w:rPr>
        <w:t> </w:t>
      </w:r>
      <w:r>
        <w:rPr>
          <w:spacing w:val="-82"/>
        </w:rPr>
      </w:r>
      <w:r>
        <w:rPr>
          <w:spacing w:val="-1"/>
        </w:rPr>
        <w:t>生的信息安全问题也随之而来。对于电子数据取证来说，如何对物联网设备做电子数据取证分析，均是未</w:t>
      </w:r>
      <w:r>
        <w:rPr>
          <w:spacing w:val="-83"/>
        </w:rPr>
        <w:t> </w:t>
      </w:r>
      <w:r>
        <w:rPr>
          <w:spacing w:val="-83"/>
        </w:rPr>
      </w:r>
      <w:r>
        <w:rPr/>
        <w:t>来技术研究的方向。</w:t>
      </w:r>
    </w:p>
    <w:p>
      <w:pPr>
        <w:pStyle w:val="BodyText"/>
        <w:spacing w:line="386" w:lineRule="auto" w:before="84"/>
        <w:ind w:left="153" w:right="1128" w:firstLine="420"/>
        <w:jc w:val="both"/>
      </w:pPr>
      <w:r>
        <w:rPr>
          <w:spacing w:val="-2"/>
        </w:rPr>
        <w:t>根据</w:t>
      </w:r>
      <w:r>
        <w:rPr>
          <w:rFonts w:ascii="Times New Roman" w:hAnsi="Times New Roman" w:cs="Times New Roman" w:eastAsia="Times New Roman" w:hint="default"/>
          <w:spacing w:val="-2"/>
        </w:rPr>
        <w:t>2017</w:t>
      </w:r>
      <w:r>
        <w:rPr>
          <w:spacing w:val="-2"/>
        </w:rPr>
        <w:t>年智研咨询在中国信息产业网发布的《</w:t>
      </w:r>
      <w:r>
        <w:rPr>
          <w:rFonts w:ascii="Times New Roman" w:hAnsi="Times New Roman" w:cs="Times New Roman" w:eastAsia="Times New Roman" w:hint="default"/>
          <w:spacing w:val="-2"/>
        </w:rPr>
        <w:t>2017-2023</w:t>
      </w:r>
      <w:r>
        <w:rPr>
          <w:spacing w:val="-2"/>
        </w:rPr>
        <w:t>年中国电子数据取证行业市场运营态势及发</w:t>
      </w:r>
      <w:r>
        <w:rPr/>
        <w:t> 展前景预测报告》，</w:t>
      </w:r>
      <w:r>
        <w:rPr>
          <w:rFonts w:ascii="Times New Roman" w:hAnsi="Times New Roman" w:cs="Times New Roman" w:eastAsia="Times New Roman" w:hint="default"/>
        </w:rPr>
        <w:t>2017</w:t>
      </w:r>
      <w:r>
        <w:rPr/>
        <w:t>年我国电子取证市场规模约为</w:t>
      </w:r>
      <w:r>
        <w:rPr>
          <w:rFonts w:ascii="Times New Roman" w:hAnsi="Times New Roman" w:cs="Times New Roman" w:eastAsia="Times New Roman" w:hint="default"/>
        </w:rPr>
        <w:t>15</w:t>
      </w:r>
      <w:r>
        <w:rPr/>
        <w:t>亿元，未来</w:t>
      </w:r>
      <w:r>
        <w:rPr>
          <w:rFonts w:ascii="Times New Roman" w:hAnsi="Times New Roman" w:cs="Times New Roman" w:eastAsia="Times New Roman" w:hint="default"/>
        </w:rPr>
        <w:t>5</w:t>
      </w:r>
      <w:r>
        <w:rPr/>
        <w:t>年的复合增长率将达到</w:t>
      </w:r>
      <w:r>
        <w:rPr>
          <w:rFonts w:ascii="Times New Roman" w:hAnsi="Times New Roman" w:cs="Times New Roman" w:eastAsia="Times New Roman" w:hint="default"/>
        </w:rPr>
        <w:t>15.65%</w:t>
      </w:r>
      <w:r>
        <w:rPr/>
        <w:t>，至</w:t>
      </w:r>
      <w:r>
        <w:rPr>
          <w:spacing w:val="-56"/>
        </w:rPr>
        <w:t> </w:t>
      </w:r>
      <w:r>
        <w:rPr>
          <w:rFonts w:ascii="Times New Roman" w:hAnsi="Times New Roman" w:cs="Times New Roman" w:eastAsia="Times New Roman" w:hint="default"/>
        </w:rPr>
        <w:t>2023</w:t>
      </w:r>
      <w:r>
        <w:rPr/>
        <w:t>年我国电子数据取证市场规模将达到</w:t>
      </w:r>
      <w:r>
        <w:rPr>
          <w:rFonts w:ascii="Times New Roman" w:hAnsi="Times New Roman" w:cs="Times New Roman" w:eastAsia="Times New Roman" w:hint="default"/>
        </w:rPr>
        <w:t>35.62</w:t>
      </w:r>
      <w:r>
        <w:rPr/>
        <w:t>亿。根据美国纽约</w:t>
      </w:r>
      <w:r>
        <w:rPr>
          <w:rFonts w:ascii="Times New Roman" w:hAnsi="Times New Roman" w:cs="Times New Roman" w:eastAsia="Times New Roman" w:hint="default"/>
        </w:rPr>
        <w:t>TMR</w:t>
      </w:r>
      <w:r>
        <w:rPr/>
        <w:t>（</w:t>
      </w:r>
      <w:r>
        <w:rPr>
          <w:rFonts w:ascii="Times New Roman" w:hAnsi="Times New Roman" w:cs="Times New Roman" w:eastAsia="Times New Roman" w:hint="default"/>
        </w:rPr>
        <w:t>Transparency Market</w:t>
      </w:r>
      <w:r>
        <w:rPr>
          <w:rFonts w:ascii="Times New Roman" w:hAnsi="Times New Roman" w:cs="Times New Roman" w:eastAsia="Times New Roman" w:hint="default"/>
          <w:spacing w:val="-13"/>
        </w:rPr>
        <w:t> </w:t>
      </w:r>
      <w:r>
        <w:rPr>
          <w:rFonts w:ascii="Times New Roman" w:hAnsi="Times New Roman" w:cs="Times New Roman" w:eastAsia="Times New Roman" w:hint="default"/>
        </w:rPr>
        <w:t>Research</w:t>
      </w:r>
      <w:r>
        <w:rPr/>
        <w:t>）研 </w:t>
      </w:r>
      <w:r>
        <w:rPr>
          <w:spacing w:val="-2"/>
        </w:rPr>
        <w:t>究机构的电子取证市场行业报告，全球电子数据取证</w:t>
      </w:r>
      <w:r>
        <w:rPr>
          <w:rFonts w:ascii="Times New Roman" w:hAnsi="Times New Roman" w:cs="Times New Roman" w:eastAsia="Times New Roman" w:hint="default"/>
          <w:spacing w:val="-2"/>
        </w:rPr>
        <w:t>2016</w:t>
      </w:r>
      <w:r>
        <w:rPr>
          <w:spacing w:val="-2"/>
        </w:rPr>
        <w:t>年市场规模接近</w:t>
      </w:r>
      <w:r>
        <w:rPr>
          <w:rFonts w:ascii="Times New Roman" w:hAnsi="Times New Roman" w:cs="Times New Roman" w:eastAsia="Times New Roman" w:hint="default"/>
          <w:spacing w:val="-2"/>
        </w:rPr>
        <w:t>28.7</w:t>
      </w:r>
      <w:r>
        <w:rPr>
          <w:spacing w:val="-2"/>
        </w:rPr>
        <w:t>亿美金（约</w:t>
      </w:r>
      <w:r>
        <w:rPr>
          <w:rFonts w:ascii="Times New Roman" w:hAnsi="Times New Roman" w:cs="Times New Roman" w:eastAsia="Times New Roman" w:hint="default"/>
          <w:spacing w:val="-2"/>
        </w:rPr>
        <w:t>189</w:t>
      </w:r>
      <w:r>
        <w:rPr>
          <w:spacing w:val="-2"/>
        </w:rPr>
        <w:t>亿人民币，汇</w:t>
      </w:r>
    </w:p>
    <w:p>
      <w:pPr>
        <w:spacing w:after="0" w:line="386" w:lineRule="auto"/>
        <w:jc w:val="both"/>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率按</w:t>
      </w:r>
      <w:r>
        <w:rPr>
          <w:rFonts w:ascii="Times New Roman" w:hAnsi="Times New Roman" w:cs="Times New Roman" w:eastAsia="Times New Roman" w:hint="default"/>
        </w:rPr>
        <w:t>6.6</w:t>
      </w:r>
      <w:r>
        <w:rPr/>
        <w:t>换算），预计</w:t>
      </w:r>
      <w:r>
        <w:rPr>
          <w:rFonts w:ascii="Times New Roman" w:hAnsi="Times New Roman" w:cs="Times New Roman" w:eastAsia="Times New Roman" w:hint="default"/>
        </w:rPr>
        <w:t>2025</w:t>
      </w:r>
      <w:r>
        <w:rPr/>
        <w:t>年可达到</w:t>
      </w:r>
      <w:r>
        <w:rPr>
          <w:rFonts w:ascii="Times New Roman" w:hAnsi="Times New Roman" w:cs="Times New Roman" w:eastAsia="Times New Roman" w:hint="default"/>
        </w:rPr>
        <w:t>66.5</w:t>
      </w:r>
      <w:r>
        <w:rPr/>
        <w:t>亿美金（约</w:t>
      </w:r>
      <w:r>
        <w:rPr>
          <w:rFonts w:ascii="Times New Roman" w:hAnsi="Times New Roman" w:cs="Times New Roman" w:eastAsia="Times New Roman" w:hint="default"/>
        </w:rPr>
        <w:t>439</w:t>
      </w:r>
      <w:r>
        <w:rPr/>
        <w:t>亿人民币，汇率按</w:t>
      </w:r>
      <w:r>
        <w:rPr>
          <w:rFonts w:ascii="Times New Roman" w:hAnsi="Times New Roman" w:cs="Times New Roman" w:eastAsia="Times New Roman" w:hint="default"/>
        </w:rPr>
        <w:t>6.6</w:t>
      </w:r>
      <w:r>
        <w:rPr/>
        <w:t>换算）规模，复合增长率达到</w:t>
      </w:r>
    </w:p>
    <w:p>
      <w:pPr>
        <w:pStyle w:val="BodyText"/>
        <w:spacing w:line="420" w:lineRule="auto" w:before="177"/>
        <w:ind w:left="574" w:right="1015" w:hanging="421"/>
        <w:jc w:val="left"/>
      </w:pPr>
      <w:r>
        <w:rPr>
          <w:rFonts w:ascii="Times New Roman" w:hAnsi="Times New Roman" w:cs="Times New Roman" w:eastAsia="Times New Roman" w:hint="default"/>
          <w:spacing w:val="-1"/>
        </w:rPr>
        <w:t>9.79%</w:t>
      </w:r>
      <w:r>
        <w:rPr>
          <w:spacing w:val="-1"/>
        </w:rPr>
        <w:t>。在市场分布上，美国全球领先，欧洲紧随其后，亚太地区快速发展并将在未来持续贡献可观收入。</w:t>
      </w:r>
      <w:r>
        <w:rPr>
          <w:spacing w:val="-99"/>
        </w:rPr>
        <w:t> </w:t>
      </w:r>
      <w:r>
        <w:rPr>
          <w:spacing w:val="-99"/>
        </w:rPr>
      </w:r>
      <w:r>
        <w:rPr>
          <w:spacing w:val="-3"/>
        </w:rPr>
        <w:t>电子数据取证主要需求来自于司法机关，随着互联网技术的不断发展，电子证据司法地位也不断提升。</w:t>
      </w:r>
    </w:p>
    <w:p>
      <w:pPr>
        <w:pStyle w:val="BodyText"/>
        <w:spacing w:line="398" w:lineRule="auto" w:before="34"/>
        <w:ind w:right="1090"/>
        <w:jc w:val="left"/>
      </w:pPr>
      <w:r>
        <w:rPr/>
        <w:t>司法机关各类取证与电子证据密不可分，其他细分执法部门的电子数据取证产品的配备需求也在不断增 加。为规范电子数据取证工作，确保电子数据取证质量，提高电子数据取证效率，</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月，公安部发 </w:t>
      </w:r>
      <w:r>
        <w:rPr>
          <w:spacing w:val="-1"/>
        </w:rPr>
        <w:t>布了《公安机关办理刑事案件电子数据取证规则》。</w:t>
      </w:r>
      <w:r>
        <w:rPr>
          <w:rFonts w:ascii="Times New Roman" w:hAnsi="Times New Roman" w:cs="Times New Roman" w:eastAsia="Times New Roman" w:hint="default"/>
          <w:spacing w:val="-1"/>
        </w:rPr>
        <w:t>2018</w:t>
      </w:r>
      <w:r>
        <w:rPr>
          <w:spacing w:val="-1"/>
        </w:rPr>
        <w:t>年底，市场监督管理总局正式发布《市场监督管</w:t>
      </w:r>
      <w:r>
        <w:rPr>
          <w:spacing w:val="-83"/>
        </w:rPr>
        <w:t> </w:t>
      </w:r>
      <w:r>
        <w:rPr>
          <w:spacing w:val="-83"/>
        </w:rPr>
      </w:r>
      <w:r>
        <w:rPr/>
        <w:t>理行政处罚程序暂行规定》中，明确了电子数据是独立证据类型，明确远程在线取证电子数据证据效力， 明确电子数据取证方法等，涉及电子数据取证规定取得重大突破。</w:t>
      </w:r>
    </w:p>
    <w:p>
      <w:pPr>
        <w:pStyle w:val="BodyText"/>
        <w:spacing w:line="391" w:lineRule="auto" w:before="94"/>
        <w:ind w:left="153" w:right="1131" w:firstLine="526"/>
        <w:jc w:val="left"/>
      </w:pPr>
      <w:r>
        <w:rPr>
          <w:rFonts w:ascii="宋体" w:hAnsi="宋体" w:cs="宋体" w:eastAsia="宋体" w:hint="default"/>
          <w:b/>
          <w:bCs/>
        </w:rPr>
        <w:t>大数据行业：</w:t>
      </w:r>
      <w:r>
        <w:rPr/>
        <w:t>为加快实施国家大数据战略，推动大数据产业健康快速发展，工业和信息化部编制并 </w:t>
      </w:r>
      <w:r>
        <w:rPr>
          <w:spacing w:val="-1"/>
        </w:rPr>
        <w:t>印发《大数据产业发展规划（</w:t>
      </w:r>
      <w:r>
        <w:rPr>
          <w:rFonts w:ascii="Times New Roman" w:hAnsi="Times New Roman" w:cs="Times New Roman" w:eastAsia="Times New Roman" w:hint="default"/>
          <w:spacing w:val="-1"/>
        </w:rPr>
        <w:t>2016-2020</w:t>
      </w:r>
      <w:r>
        <w:rPr>
          <w:spacing w:val="-1"/>
        </w:rPr>
        <w:t>）年》</w:t>
      </w:r>
      <w:r>
        <w:rPr>
          <w:rFonts w:ascii="Times New Roman" w:hAnsi="Times New Roman" w:cs="Times New Roman" w:eastAsia="Times New Roman" w:hint="default"/>
          <w:spacing w:val="-1"/>
        </w:rPr>
        <w:t>(</w:t>
      </w:r>
      <w:r>
        <w:rPr>
          <w:spacing w:val="-1"/>
        </w:rPr>
        <w:t>以下简称“《规划》”</w:t>
      </w:r>
      <w:r>
        <w:rPr>
          <w:rFonts w:ascii="Times New Roman" w:hAnsi="Times New Roman" w:cs="Times New Roman" w:eastAsia="Times New Roman" w:hint="default"/>
          <w:spacing w:val="-1"/>
        </w:rPr>
        <w:t>)</w:t>
      </w:r>
      <w:r>
        <w:rPr>
          <w:spacing w:val="-1"/>
        </w:rPr>
        <w:t>。《规划》提出了大数据产业发展</w:t>
      </w:r>
      <w:r>
        <w:rPr>
          <w:spacing w:val="-88"/>
        </w:rPr>
        <w:t> </w:t>
      </w:r>
      <w:r>
        <w:rPr>
          <w:spacing w:val="-88"/>
        </w:rPr>
      </w:r>
      <w:r>
        <w:rPr>
          <w:spacing w:val="-1"/>
        </w:rPr>
        <w:t>的目标：到</w:t>
      </w:r>
      <w:r>
        <w:rPr>
          <w:rFonts w:ascii="Times New Roman" w:hAnsi="Times New Roman" w:cs="Times New Roman" w:eastAsia="Times New Roman" w:hint="default"/>
          <w:spacing w:val="-1"/>
        </w:rPr>
        <w:t>2020</w:t>
      </w:r>
      <w:r>
        <w:rPr>
          <w:spacing w:val="-1"/>
        </w:rPr>
        <w:t>年技术先进、应用繁荣、保障有力的大数据产业体系基本形成。在国家政策的推动下，大</w:t>
      </w:r>
      <w:r>
        <w:rPr>
          <w:spacing w:val="-84"/>
        </w:rPr>
        <w:t> </w:t>
      </w:r>
      <w:r>
        <w:rPr>
          <w:spacing w:val="-84"/>
        </w:rPr>
      </w:r>
      <w:r>
        <w:rPr>
          <w:spacing w:val="-1"/>
        </w:rPr>
        <w:t>数据市场发展迅速，根据中国信息通信研究院发布的《中国大数据发展调查报告（</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2017</w:t>
      </w:r>
      <w:r>
        <w:rPr>
          <w:spacing w:val="-1"/>
        </w:rPr>
        <w:t>年中</w:t>
      </w:r>
      <w:r>
        <w:rPr>
          <w:spacing w:val="-87"/>
        </w:rPr>
        <w:t> </w:t>
      </w:r>
      <w:r>
        <w:rPr>
          <w:spacing w:val="-1"/>
        </w:rPr>
        <w:t>国大数据核心产业规模为</w:t>
      </w:r>
      <w:r>
        <w:rPr>
          <w:rFonts w:ascii="Times New Roman" w:hAnsi="Times New Roman" w:cs="Times New Roman" w:eastAsia="Times New Roman" w:hint="default"/>
          <w:spacing w:val="-1"/>
        </w:rPr>
        <w:t>236</w:t>
      </w:r>
      <w:r>
        <w:rPr>
          <w:spacing w:val="-1"/>
        </w:rPr>
        <w:t>亿元人民币，较</w:t>
      </w:r>
      <w:r>
        <w:rPr>
          <w:rFonts w:ascii="Times New Roman" w:hAnsi="Times New Roman" w:cs="Times New Roman" w:eastAsia="Times New Roman" w:hint="default"/>
          <w:spacing w:val="-1"/>
        </w:rPr>
        <w:t>2016</w:t>
      </w:r>
      <w:r>
        <w:rPr>
          <w:spacing w:val="-1"/>
        </w:rPr>
        <w:t>年相比增速达</w:t>
      </w:r>
      <w:r>
        <w:rPr>
          <w:rFonts w:ascii="Times New Roman" w:hAnsi="Times New Roman" w:cs="Times New Roman" w:eastAsia="Times New Roman" w:hint="default"/>
          <w:spacing w:val="-1"/>
        </w:rPr>
        <w:t>40.5%</w:t>
      </w:r>
      <w:r>
        <w:rPr>
          <w:spacing w:val="-1"/>
        </w:rPr>
        <w:t>。预计未来几年，大数据市场仍将保</w:t>
      </w:r>
      <w:r>
        <w:rPr/>
        <w:t> 持</w:t>
      </w:r>
      <w:r>
        <w:rPr>
          <w:rFonts w:ascii="Times New Roman" w:hAnsi="Times New Roman" w:cs="Times New Roman" w:eastAsia="Times New Roman" w:hint="default"/>
        </w:rPr>
        <w:t>30%</w:t>
      </w:r>
      <w:r>
        <w:rPr/>
        <w:t>以上的增速，到</w:t>
      </w:r>
      <w:r>
        <w:rPr>
          <w:rFonts w:ascii="Times New Roman" w:hAnsi="Times New Roman" w:cs="Times New Roman" w:eastAsia="Times New Roman" w:hint="default"/>
        </w:rPr>
        <w:t>2020</w:t>
      </w:r>
      <w:r>
        <w:rPr/>
        <w:t>年中国大数据市场规模将达到</w:t>
      </w:r>
      <w:r>
        <w:rPr>
          <w:rFonts w:ascii="Times New Roman" w:hAnsi="Times New Roman" w:cs="Times New Roman" w:eastAsia="Times New Roman" w:hint="default"/>
        </w:rPr>
        <w:t>586</w:t>
      </w:r>
      <w:r>
        <w:rPr/>
        <w:t>亿人民币。</w:t>
      </w:r>
    </w:p>
    <w:p>
      <w:pPr>
        <w:pStyle w:val="BodyText"/>
        <w:spacing w:line="398" w:lineRule="auto" w:before="69"/>
        <w:ind w:left="153" w:right="1143" w:firstLine="525"/>
        <w:jc w:val="both"/>
      </w:pPr>
      <w:r>
        <w:rPr/>
        <w:t>大数据市场细分领域来看，近年来，软件和服务在市场整体规模中的比重呈逐年上升趋势，硬件比 重逐年减小，整体变化趋势较为平缓。与</w:t>
      </w:r>
      <w:r>
        <w:rPr>
          <w:rFonts w:ascii="Times New Roman" w:hAnsi="Times New Roman" w:cs="Times New Roman" w:eastAsia="Times New Roman" w:hint="default"/>
        </w:rPr>
        <w:t>2015</w:t>
      </w:r>
      <w:r>
        <w:rPr/>
        <w:t>年相比，硬件市场规模为</w:t>
      </w:r>
      <w:r>
        <w:rPr>
          <w:rFonts w:ascii="Times New Roman" w:hAnsi="Times New Roman" w:cs="Times New Roman" w:eastAsia="Times New Roman" w:hint="default"/>
        </w:rPr>
        <w:t>53.9</w:t>
      </w:r>
      <w:r>
        <w:rPr/>
        <w:t>亿元，占比下降</w:t>
      </w:r>
      <w:r>
        <w:rPr>
          <w:rFonts w:ascii="Times New Roman" w:hAnsi="Times New Roman" w:cs="Times New Roman" w:eastAsia="Times New Roman" w:hint="default"/>
        </w:rPr>
        <w:t>1.8%</w:t>
      </w:r>
      <w:r>
        <w:rPr/>
        <w:t>；软件市 场规模为</w:t>
      </w:r>
      <w:r>
        <w:rPr>
          <w:rFonts w:ascii="Times New Roman" w:hAnsi="Times New Roman" w:cs="Times New Roman" w:eastAsia="Times New Roman" w:hint="default"/>
        </w:rPr>
        <w:t>72.6</w:t>
      </w:r>
      <w:r>
        <w:rPr/>
        <w:t>亿元，占比提高</w:t>
      </w:r>
      <w:r>
        <w:rPr>
          <w:rFonts w:ascii="Times New Roman" w:hAnsi="Times New Roman" w:cs="Times New Roman" w:eastAsia="Times New Roman" w:hint="default"/>
        </w:rPr>
        <w:t>0.8%;</w:t>
      </w:r>
      <w:r>
        <w:rPr/>
        <w:t>大数据服务市场规模</w:t>
      </w:r>
      <w:r>
        <w:rPr>
          <w:rFonts w:ascii="Times New Roman" w:hAnsi="Times New Roman" w:cs="Times New Roman" w:eastAsia="Times New Roman" w:hint="default"/>
        </w:rPr>
        <w:t>41.5</w:t>
      </w:r>
      <w:r>
        <w:rPr/>
        <w:t>亿元，占比提高</w:t>
      </w:r>
      <w:r>
        <w:rPr>
          <w:rFonts w:ascii="Times New Roman" w:hAnsi="Times New Roman" w:cs="Times New Roman" w:eastAsia="Times New Roman" w:hint="default"/>
        </w:rPr>
        <w:t>1.0%</w:t>
      </w:r>
      <w:r>
        <w:rPr/>
        <w:t>。</w:t>
      </w:r>
    </w:p>
    <w:p>
      <w:pPr>
        <w:pStyle w:val="BodyText"/>
        <w:spacing w:line="386" w:lineRule="auto" w:before="62"/>
        <w:ind w:left="153" w:right="0" w:firstLine="525"/>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月，司法部召开全国司法行政信息化工作推进会，会议部署落实“数字法治、智慧司法” </w:t>
      </w:r>
      <w:r>
        <w:rPr>
          <w:spacing w:val="-1"/>
        </w:rPr>
        <w:t>信息化体系建设指导意见和实施方案，进一步加快推进司法行政信息化工作，计划在</w:t>
      </w:r>
      <w:r>
        <w:rPr>
          <w:rFonts w:ascii="Times New Roman" w:hAnsi="Times New Roman" w:cs="Times New Roman" w:eastAsia="Times New Roman" w:hint="default"/>
          <w:spacing w:val="-1"/>
        </w:rPr>
        <w:t>2019</w:t>
      </w:r>
      <w:r>
        <w:rPr>
          <w:spacing w:val="-1"/>
        </w:rPr>
        <w:t>年底，基本实现</w:t>
      </w:r>
      <w:r>
        <w:rPr>
          <w:spacing w:val="-84"/>
        </w:rPr>
        <w:t> </w:t>
      </w:r>
      <w:r>
        <w:rPr>
          <w:spacing w:val="-84"/>
        </w:rPr>
      </w:r>
      <w:r>
        <w:rPr/>
        <w:t>“大平台共享、大系统共治、大数据慧治”的“数字法治、智慧司法”信息化建设目标。</w:t>
      </w:r>
    </w:p>
    <w:p>
      <w:pPr>
        <w:pStyle w:val="BodyText"/>
        <w:spacing w:line="408" w:lineRule="auto" w:before="104"/>
        <w:ind w:left="153" w:right="1007" w:firstLine="525"/>
        <w:jc w:val="left"/>
      </w:pPr>
      <w:r>
        <w:rPr/>
        <w:t>随着中央部委机构改革“三定方案</w:t>
      </w:r>
      <w:r>
        <w:rPr>
          <w:spacing w:val="-13"/>
        </w:rPr>
        <w:t> </w:t>
      </w:r>
      <w:r>
        <w:rPr/>
        <w:t>”（定部门职责、定内设机构、定人员编制）陆续出台，地方机</w:t>
      </w:r>
      <w:r>
        <w:rPr/>
        <w:t> 构改革的步伐也开始加快，各地“三方定案</w:t>
      </w:r>
      <w:r>
        <w:rPr>
          <w:spacing w:val="-21"/>
        </w:rPr>
        <w:t> </w:t>
      </w:r>
      <w:r>
        <w:rPr/>
        <w:t>”陆续出台。除根据中央部委机构改革方案成立新的机构外，</w:t>
      </w:r>
      <w:r>
        <w:rPr/>
        <w:t> 各地还根据自己的实际情况，成立了新的部门。比如山东、福建成立了大数据局，海南设立了旅游和文化 广电体育厅，一些地方金融监管局采取了大部制方案。</w:t>
      </w:r>
    </w:p>
    <w:p>
      <w:pPr>
        <w:pStyle w:val="BodyText"/>
        <w:spacing w:line="408" w:lineRule="auto" w:before="84"/>
        <w:ind w:left="153" w:right="0" w:firstLine="526"/>
        <w:jc w:val="left"/>
      </w:pPr>
      <w:r>
        <w:rPr>
          <w:rFonts w:ascii="宋体" w:hAnsi="宋体" w:cs="宋体" w:eastAsia="宋体" w:hint="default"/>
          <w:b/>
          <w:bCs/>
        </w:rPr>
        <w:t>信息安全行业：</w:t>
      </w:r>
      <w:r>
        <w:rPr/>
        <w:t>伴随信息技术的飞速发展，互联网、通信网、计算机系统、自动化控制系统、数字 </w:t>
      </w:r>
      <w:r>
        <w:rPr>
          <w:spacing w:val="-1"/>
        </w:rPr>
        <w:t>设备及其承载的应用、服务和数据等组成的网络空间，正在全面改变人们的生产生活方式，深刻影响人类</w:t>
      </w:r>
      <w:r>
        <w:rPr>
          <w:spacing w:val="-83"/>
        </w:rPr>
        <w:t> </w:t>
      </w:r>
      <w:r>
        <w:rPr>
          <w:spacing w:val="-83"/>
        </w:rPr>
      </w:r>
      <w:r>
        <w:rPr>
          <w:spacing w:val="-1"/>
        </w:rPr>
        <w:t>社会历史发展进程。随着我国步入大数据时代，在享受大数据带来的精准便利的同时，其所带来的信息安</w:t>
      </w:r>
      <w:r>
        <w:rPr>
          <w:spacing w:val="-83"/>
        </w:rPr>
        <w:t> </w:t>
      </w:r>
      <w:r>
        <w:rPr>
          <w:spacing w:val="-83"/>
        </w:rPr>
      </w:r>
      <w:r>
        <w:rPr>
          <w:spacing w:val="-1"/>
        </w:rPr>
        <w:t>全问题也日益突出。信息泄露、黑客袭击、病毒传播等互联网信息安全问题层出不穷。政府、企业和个人</w:t>
      </w:r>
      <w:r>
        <w:rPr>
          <w:spacing w:val="-83"/>
        </w:rPr>
        <w:t> </w:t>
      </w:r>
      <w:r>
        <w:rPr>
          <w:spacing w:val="-83"/>
        </w:rPr>
      </w:r>
      <w:r>
        <w:rPr>
          <w:spacing w:val="-1"/>
        </w:rPr>
        <w:t>对信息安全日益关注，近几年，国家相继出台系列政策支持信息安全行业的发展。随着《网络安全法》和</w:t>
      </w:r>
    </w:p>
    <w:p>
      <w:pPr>
        <w:spacing w:after="0" w:line="408"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0"/>
        <w:jc w:val="left"/>
      </w:pPr>
      <w:r>
        <w:rPr/>
        <w:t>《国家网络空间安全战略》的发布，信息安全行业面临空前的发展机遇。</w:t>
      </w:r>
    </w:p>
    <w:p>
      <w:pPr>
        <w:spacing w:line="240" w:lineRule="auto" w:before="9"/>
        <w:rPr>
          <w:rFonts w:ascii="宋体" w:hAnsi="宋体" w:cs="宋体" w:eastAsia="宋体" w:hint="default"/>
          <w:sz w:val="17"/>
          <w:szCs w:val="17"/>
        </w:rPr>
      </w:pPr>
    </w:p>
    <w:p>
      <w:pPr>
        <w:pStyle w:val="BodyText"/>
        <w:spacing w:line="393" w:lineRule="auto"/>
        <w:ind w:right="0" w:firstLine="525"/>
        <w:jc w:val="left"/>
      </w:pP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5</w:t>
      </w:r>
      <w:r>
        <w:rPr>
          <w:spacing w:val="-1"/>
        </w:rPr>
        <w:t>日，国务院发布《“十三五”国家信息化规划》，网络信息安全被列入重点国家重点建</w:t>
      </w:r>
      <w:r>
        <w:rPr/>
        <w:t> </w:t>
      </w:r>
      <w:r>
        <w:rPr>
          <w:spacing w:val="-1"/>
        </w:rPr>
        <w:t>设任务。</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27</w:t>
      </w:r>
      <w:r>
        <w:rPr>
          <w:spacing w:val="-1"/>
        </w:rPr>
        <w:t>日，《国家网络空间安全战略》发布，强调“没有网络安全就没有国家安全”，网</w:t>
      </w:r>
      <w:r>
        <w:rPr>
          <w:spacing w:val="-87"/>
        </w:rPr>
        <w:t> </w:t>
      </w:r>
      <w:r>
        <w:rPr>
          <w:spacing w:val="-87"/>
        </w:rPr>
      </w:r>
      <w:r>
        <w:rPr>
          <w:spacing w:val="-1"/>
        </w:rPr>
        <w:t>络安全的重要性和意义不断得到提升，信息安全产业迎来更大的发展机遇。</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w:t>
      </w:r>
      <w:r>
        <w:rPr>
          <w:spacing w:val="-1"/>
        </w:rPr>
        <w:t>日，《中华人民共</w:t>
      </w:r>
      <w:r>
        <w:rPr>
          <w:spacing w:val="-83"/>
        </w:rPr>
        <w:t> </w:t>
      </w:r>
      <w:r>
        <w:rPr>
          <w:spacing w:val="-83"/>
        </w:rPr>
      </w:r>
      <w:r>
        <w:rPr>
          <w:spacing w:val="-1"/>
        </w:rPr>
        <w:t>和国网络安全法》正式实施，网络安全有法可依、强制执行，网络信息安全市场空间、产业投入与建设步</w:t>
      </w:r>
      <w:r>
        <w:rPr>
          <w:spacing w:val="-83"/>
        </w:rPr>
        <w:t> </w:t>
      </w:r>
      <w:r>
        <w:rPr>
          <w:spacing w:val="-83"/>
        </w:rPr>
      </w:r>
      <w:r>
        <w:rPr/>
        <w:t>入持续高速发展阶段。</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日，中央网信办、证监会联合发布了《关于推动资本市场服务网络强 </w:t>
      </w:r>
      <w:r>
        <w:rPr>
          <w:spacing w:val="-1"/>
        </w:rPr>
        <w:t>国建设的指导意见》，明确表示推动网信企业并购重组，鼓励网信企业通过并购重组，完善产业链条，引</w:t>
      </w:r>
      <w:r>
        <w:rPr>
          <w:spacing w:val="-83"/>
        </w:rPr>
        <w:t> </w:t>
      </w:r>
      <w:r>
        <w:rPr>
          <w:spacing w:val="-83"/>
        </w:rPr>
      </w:r>
      <w:r>
        <w:rPr/>
        <w:t>进吸收国外先进技术，参与全球资源整合，提升技术创新和市场竞争能力。根据中国产业信息网发布的</w:t>
      </w:r>
    </w:p>
    <w:p>
      <w:pPr>
        <w:pStyle w:val="BodyText"/>
        <w:spacing w:line="386" w:lineRule="auto" w:before="59"/>
        <w:ind w:right="0"/>
        <w:jc w:val="left"/>
      </w:pPr>
      <w:r>
        <w:rPr>
          <w:spacing w:val="-1"/>
        </w:rPr>
        <w:t>《</w:t>
      </w:r>
      <w:r>
        <w:rPr>
          <w:rFonts w:ascii="Times New Roman" w:hAnsi="Times New Roman" w:cs="Times New Roman" w:eastAsia="Times New Roman" w:hint="default"/>
          <w:spacing w:val="-1"/>
        </w:rPr>
        <w:t>2018</w:t>
      </w:r>
      <w:r>
        <w:rPr>
          <w:spacing w:val="-1"/>
        </w:rPr>
        <w:t>年中国信息安全行业发展现状及发展趋势分析》，鉴于我国信息安全投入比例较低且相关政策持续</w:t>
      </w:r>
      <w:r>
        <w:rPr>
          <w:spacing w:val="-82"/>
        </w:rPr>
        <w:t> </w:t>
      </w:r>
      <w:r>
        <w:rPr>
          <w:spacing w:val="-82"/>
        </w:rPr>
      </w:r>
      <w:r>
        <w:rPr/>
        <w:t>推动，国内信息安全行业市场规模有望保持</w:t>
      </w:r>
      <w:r>
        <w:rPr>
          <w:rFonts w:ascii="Times New Roman" w:hAnsi="Times New Roman" w:cs="Times New Roman" w:eastAsia="Times New Roman" w:hint="default"/>
        </w:rPr>
        <w:t>20%</w:t>
      </w:r>
      <w:r>
        <w:rPr/>
        <w:t>以上增长。</w:t>
      </w:r>
    </w:p>
    <w:p>
      <w:pPr>
        <w:pStyle w:val="Heading3"/>
        <w:spacing w:line="240" w:lineRule="auto" w:before="75"/>
        <w:ind w:left="574" w:right="0"/>
        <w:jc w:val="left"/>
        <w:rPr>
          <w:b w:val="0"/>
          <w:bCs w:val="0"/>
        </w:rPr>
      </w:pPr>
      <w:r>
        <w:rPr/>
        <w:t>（二）公司战略及</w:t>
      </w:r>
      <w:r>
        <w:rPr>
          <w:rFonts w:ascii="Times New Roman" w:hAnsi="Times New Roman" w:cs="Times New Roman" w:eastAsia="Times New Roman" w:hint="default"/>
        </w:rPr>
        <w:t>2019</w:t>
      </w:r>
      <w:r>
        <w:rPr/>
        <w:t>年重点工作计划</w:t>
      </w:r>
      <w:r>
        <w:rPr>
          <w:b w:val="0"/>
          <w:bCs w:val="0"/>
        </w:rPr>
      </w:r>
    </w:p>
    <w:p>
      <w:pPr>
        <w:pStyle w:val="BodyText"/>
        <w:spacing w:line="386" w:lineRule="auto" w:before="177"/>
        <w:ind w:left="574" w:right="1015"/>
        <w:jc w:val="left"/>
      </w:pPr>
      <w:r>
        <w:rPr>
          <w:rFonts w:ascii="Times New Roman" w:hAnsi="Times New Roman" w:cs="Times New Roman" w:eastAsia="Times New Roman" w:hint="default"/>
          <w:b/>
          <w:bCs/>
        </w:rPr>
        <w:t>1</w:t>
      </w:r>
      <w:r>
        <w:rPr>
          <w:rFonts w:ascii="宋体" w:hAnsi="宋体" w:cs="宋体" w:eastAsia="宋体" w:hint="default"/>
          <w:b/>
          <w:bCs/>
        </w:rPr>
        <w:t>、公司战略</w:t>
      </w:r>
      <w:r>
        <w:rPr>
          <w:rFonts w:ascii="宋体" w:hAnsi="宋体" w:cs="宋体" w:eastAsia="宋体" w:hint="default"/>
          <w:b/>
          <w:bCs/>
          <w:spacing w:val="1"/>
          <w:w w:val="99"/>
        </w:rPr>
        <w:t> </w:t>
      </w:r>
      <w:r>
        <w:rPr>
          <w:spacing w:val="-3"/>
        </w:rPr>
        <w:t>公司始终坚持“成为国际领先的电子数据取证产品及服务提供商、网络空间安全及大数据信息化专家”</w:t>
      </w:r>
    </w:p>
    <w:p>
      <w:pPr>
        <w:pStyle w:val="BodyText"/>
        <w:spacing w:line="408" w:lineRule="auto" w:before="65"/>
        <w:ind w:right="0"/>
        <w:jc w:val="left"/>
      </w:pPr>
      <w:r>
        <w:rPr>
          <w:spacing w:val="-1"/>
        </w:rPr>
        <w:t>的战略发展目标。近几年，公司围绕战略发展目标，从产品、服务、市场、投资并购、人才进行了战略部</w:t>
      </w:r>
      <w:r>
        <w:rPr>
          <w:spacing w:val="-85"/>
        </w:rPr>
        <w:t> </w:t>
      </w:r>
      <w:r>
        <w:rPr>
          <w:spacing w:val="-85"/>
        </w:rPr>
      </w:r>
      <w:r>
        <w:rPr/>
        <w:t>署，目前已初见成效。</w:t>
      </w:r>
      <w:r>
        <w:rPr>
          <w:rFonts w:ascii="Times New Roman" w:hAnsi="Times New Roman" w:cs="Times New Roman" w:eastAsia="Times New Roman" w:hint="default"/>
        </w:rPr>
        <w:t>2019</w:t>
      </w:r>
      <w:r>
        <w:rPr/>
        <w:t>年公司将持续围绕五大战略开展经营工作，不断深化公司战略目标。</w:t>
      </w:r>
    </w:p>
    <w:p>
      <w:pPr>
        <w:pStyle w:val="BodyText"/>
        <w:spacing w:line="386" w:lineRule="auto" w:before="14"/>
        <w:ind w:right="1181" w:firstLine="420"/>
        <w:jc w:val="left"/>
      </w:pPr>
      <w:r>
        <w:rPr/>
        <w:t>产品战略：“取证装备化</w:t>
      </w:r>
      <w:r>
        <w:rPr>
          <w:rFonts w:ascii="Times New Roman" w:hAnsi="Times New Roman" w:cs="Times New Roman" w:eastAsia="Times New Roman" w:hint="default"/>
        </w:rPr>
        <w:t>+</w:t>
      </w:r>
      <w:r>
        <w:rPr/>
        <w:t>大数据信息化”，保持取证装备持续研发创新，使大数据智能化分析服务 于前端装备，加强前端装备与后端数据平台间的联动性。</w:t>
      </w:r>
    </w:p>
    <w:p>
      <w:pPr>
        <w:pStyle w:val="BodyText"/>
        <w:spacing w:line="386" w:lineRule="auto" w:before="65"/>
        <w:ind w:right="1181" w:firstLine="420"/>
        <w:jc w:val="left"/>
      </w:pPr>
      <w:r>
        <w:rPr/>
        <w:t>服务战略：“互联网</w:t>
      </w:r>
      <w:r>
        <w:rPr>
          <w:rFonts w:ascii="Times New Roman" w:hAnsi="Times New Roman" w:cs="Times New Roman" w:eastAsia="Times New Roman" w:hint="default"/>
        </w:rPr>
        <w:t>+</w:t>
      </w:r>
      <w:r>
        <w:rPr/>
        <w:t>大数据资源”，运用互联网思维、互联网渠道和大数据资源，立足自身产品， 大力发展基于互联网技术和大数据资源的服务项目。</w:t>
      </w:r>
    </w:p>
    <w:p>
      <w:pPr>
        <w:pStyle w:val="BodyText"/>
        <w:spacing w:line="386" w:lineRule="auto" w:before="65"/>
        <w:ind w:right="1181" w:firstLine="420"/>
        <w:jc w:val="left"/>
      </w:pPr>
      <w:r>
        <w:rPr/>
        <w:t>市场战略：“培训营销模式</w:t>
      </w:r>
      <w:r>
        <w:rPr>
          <w:rFonts w:ascii="Times New Roman" w:hAnsi="Times New Roman" w:cs="Times New Roman" w:eastAsia="Times New Roman" w:hint="default"/>
        </w:rPr>
        <w:t>+</w:t>
      </w:r>
      <w:r>
        <w:rPr/>
        <w:t>一带一路市场”，培训带动销售，是公司特有的营销模式。培训营销模 式也逐步复制到了子公司，及“一带一路”沿路国家市场的开拓。</w:t>
      </w:r>
    </w:p>
    <w:p>
      <w:pPr>
        <w:pStyle w:val="BodyText"/>
        <w:spacing w:line="386" w:lineRule="auto" w:before="65"/>
        <w:ind w:right="1181" w:firstLine="420"/>
        <w:jc w:val="left"/>
      </w:pPr>
      <w:r>
        <w:rPr/>
        <w:t>投资并购战略：“内部创业</w:t>
      </w:r>
      <w:r>
        <w:rPr>
          <w:rFonts w:ascii="Times New Roman" w:hAnsi="Times New Roman" w:cs="Times New Roman" w:eastAsia="Times New Roman" w:hint="default"/>
        </w:rPr>
        <w:t>+</w:t>
      </w:r>
      <w:r>
        <w:rPr/>
        <w:t>投资并购”，推动内部创业和外部投资并购，完善公司产业环境及生态 链。</w:t>
      </w:r>
    </w:p>
    <w:p>
      <w:pPr>
        <w:pStyle w:val="BodyText"/>
        <w:spacing w:line="386" w:lineRule="auto" w:before="65"/>
        <w:ind w:right="1181" w:firstLine="420"/>
        <w:jc w:val="left"/>
      </w:pPr>
      <w:r>
        <w:rPr/>
        <w:t>人才战略：“激励引进</w:t>
      </w:r>
      <w:r>
        <w:rPr>
          <w:rFonts w:ascii="Times New Roman" w:hAnsi="Times New Roman" w:cs="Times New Roman" w:eastAsia="Times New Roman" w:hint="default"/>
        </w:rPr>
        <w:t>+</w:t>
      </w:r>
      <w:r>
        <w:rPr/>
        <w:t>合作培养”，完善激励机制，通过推出股权激励等措施留住优秀人才；通过 与高校合作培养的方式引进高端人才，长期培养中低端人才。</w:t>
      </w:r>
    </w:p>
    <w:p>
      <w:pPr>
        <w:spacing w:line="386" w:lineRule="auto" w:before="65"/>
        <w:ind w:left="576" w:right="1126" w:hanging="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2019</w:t>
      </w:r>
      <w:r>
        <w:rPr>
          <w:rFonts w:ascii="宋体" w:hAnsi="宋体" w:cs="宋体" w:eastAsia="宋体" w:hint="default"/>
          <w:b/>
          <w:bCs/>
          <w:sz w:val="21"/>
          <w:szCs w:val="21"/>
        </w:rPr>
        <w:t>年度重点经营计划</w:t>
      </w:r>
      <w:r>
        <w:rPr>
          <w:rFonts w:ascii="宋体" w:hAnsi="宋体" w:cs="宋体" w:eastAsia="宋体" w:hint="default"/>
          <w:b/>
          <w:bCs/>
          <w:w w:val="99"/>
          <w:sz w:val="21"/>
          <w:szCs w:val="21"/>
        </w:rPr>
        <w:t> </w:t>
      </w:r>
      <w:r>
        <w:rPr>
          <w:rFonts w:ascii="宋体" w:hAnsi="宋体" w:cs="宋体" w:eastAsia="宋体" w:hint="default"/>
          <w:b/>
          <w:bCs/>
          <w:spacing w:val="-1"/>
          <w:sz w:val="21"/>
          <w:szCs w:val="21"/>
        </w:rPr>
        <w:t>公司治理计划：</w:t>
      </w:r>
      <w:r>
        <w:rPr>
          <w:rFonts w:ascii="宋体" w:hAnsi="宋体" w:cs="宋体" w:eastAsia="宋体" w:hint="default"/>
          <w:spacing w:val="-1"/>
          <w:sz w:val="21"/>
          <w:szCs w:val="21"/>
        </w:rPr>
        <w:t>强化总部职能、做强区域市场，设立北京和厦门双总部，其中厦门主要以集团化管理</w:t>
      </w:r>
    </w:p>
    <w:p>
      <w:pPr>
        <w:pStyle w:val="BodyText"/>
        <w:spacing w:line="408" w:lineRule="auto" w:before="65"/>
        <w:ind w:right="1090"/>
        <w:jc w:val="left"/>
      </w:pPr>
      <w:r>
        <w:rPr/>
        <w:t>及技术研发为主、北京将主要以市场、行业为主。在集团委员会治理架构下，充分发挥技术管理委员会、 </w:t>
      </w:r>
      <w:r>
        <w:rPr>
          <w:spacing w:val="-1"/>
        </w:rPr>
        <w:t>营销管理委员会、行业管理委员会、业务支撑委员会和运营管理委员会五大委员会的作用，从集团大局出</w:t>
      </w:r>
    </w:p>
    <w:p>
      <w:pPr>
        <w:spacing w:after="0" w:line="408"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21"/>
        <w:jc w:val="left"/>
      </w:pPr>
      <w:r>
        <w:rPr/>
        <w:t>发，促进知识、经验和研发资源的共享，提升新技术的应用速度和产品研发核心竞争力，加强市场资源的 </w:t>
      </w:r>
      <w:r>
        <w:rPr>
          <w:spacing w:val="-3"/>
        </w:rPr>
        <w:t>整合。继续坚持召开“美亚峰会”和“美亚智会”，通过汇聚整合集团内各分子公司资源，深化产业布局，</w:t>
      </w:r>
      <w:r>
        <w:rPr>
          <w:spacing w:val="-90"/>
        </w:rPr>
        <w:t> </w:t>
      </w:r>
      <w:r>
        <w:rPr>
          <w:spacing w:val="-90"/>
        </w:rPr>
      </w:r>
      <w:r>
        <w:rPr/>
        <w:t>扩大公司业务生态，并实现生态共生协调发展，从而保持公司长期稳定发展。</w:t>
      </w:r>
    </w:p>
    <w:p>
      <w:pPr>
        <w:pStyle w:val="BodyText"/>
        <w:spacing w:line="405" w:lineRule="auto" w:before="46"/>
        <w:ind w:left="153" w:right="1084" w:firstLine="422"/>
        <w:jc w:val="left"/>
      </w:pPr>
      <w:r>
        <w:rPr>
          <w:rFonts w:ascii="宋体" w:hAnsi="宋体" w:cs="宋体" w:eastAsia="宋体" w:hint="default"/>
          <w:b/>
          <w:bCs/>
          <w:spacing w:val="-1"/>
        </w:rPr>
        <w:t>产品研发计划：</w:t>
      </w:r>
      <w:r>
        <w:rPr>
          <w:spacing w:val="-1"/>
        </w:rPr>
        <w:t>技术持续创新是公司保持发展的核心。公司已将取证装备、大数据、人工智能技术三</w:t>
      </w:r>
      <w:r>
        <w:rPr/>
        <w:t> 大技术作为公司主要技术支撑体系，结合日益多元化的市场需求，不断研发推出新产品和解决方案，提高 产品综合竞争力。</w:t>
      </w:r>
      <w:r>
        <w:rPr>
          <w:rFonts w:ascii="宋体" w:hAnsi="宋体" w:cs="宋体" w:eastAsia="宋体" w:hint="default"/>
          <w:b/>
          <w:bCs/>
        </w:rPr>
        <w:t>取证装备类：</w:t>
      </w:r>
      <w:r>
        <w:rPr/>
        <w:t>打造大数据联动和智能型取证3.0产品及实验室，优化新一代实验室管理 系统，实现检验流程及取证设备的有效管理；加大人工智能技术投入与产品化，完善智能取证助手，推动 取证航母、取证金刚、取证塔等主要产品的智能化；大力拓展云数据，完善云勘大师产品，持续研发升级 手机云勘大师，不断完善云应用数据获取能力；加强物联网取证技术的探索，深化汽车取证等物联网取证 产品的应用。</w:t>
      </w:r>
      <w:r>
        <w:rPr>
          <w:rFonts w:ascii="宋体" w:hAnsi="宋体" w:cs="宋体" w:eastAsia="宋体" w:hint="default"/>
          <w:b/>
          <w:bCs/>
        </w:rPr>
        <w:t>大数据信息化产品：</w:t>
      </w:r>
      <w:r>
        <w:rPr/>
        <w:t>加强硬件平台和软件平台的整合，通过前端数据汇聚和后端数据联动， </w:t>
      </w:r>
      <w:r>
        <w:rPr>
          <w:w w:val="95"/>
        </w:rPr>
        <w:t>提高产品的综合竞争力。增加模型分析组件，实现专用大数据系统向通用的大数据平台转换。</w:t>
      </w:r>
      <w:r>
        <w:rPr>
          <w:rFonts w:ascii="宋体" w:hAnsi="宋体" w:cs="宋体" w:eastAsia="宋体" w:hint="default"/>
          <w:b/>
          <w:bCs/>
          <w:w w:val="95"/>
        </w:rPr>
        <w:t>人工智能技</w:t>
      </w:r>
      <w:r>
        <w:rPr>
          <w:rFonts w:ascii="宋体" w:hAnsi="宋体" w:cs="宋体" w:eastAsia="宋体" w:hint="default"/>
          <w:b/>
          <w:bCs/>
          <w:spacing w:val="52"/>
          <w:w w:val="95"/>
        </w:rPr>
        <w:t> </w:t>
      </w:r>
      <w:r>
        <w:rPr>
          <w:rFonts w:ascii="宋体" w:hAnsi="宋体" w:cs="宋体" w:eastAsia="宋体" w:hint="default"/>
          <w:b/>
          <w:bCs/>
          <w:spacing w:val="52"/>
          <w:w w:val="95"/>
        </w:rPr>
      </w:r>
      <w:r>
        <w:rPr>
          <w:rFonts w:ascii="宋体" w:hAnsi="宋体" w:cs="宋体" w:eastAsia="宋体" w:hint="default"/>
          <w:b/>
          <w:bCs/>
        </w:rPr>
        <w:t>术</w:t>
      </w:r>
      <w:r>
        <w:rPr/>
        <w:t>：依托公司的</w:t>
      </w:r>
      <w:r>
        <w:rPr>
          <w:rFonts w:ascii="Times New Roman" w:hAnsi="Times New Roman" w:cs="Times New Roman" w:eastAsia="Times New Roman" w:hint="default"/>
        </w:rPr>
        <w:t>MiaAI</w:t>
      </w:r>
      <w:r>
        <w:rPr/>
        <w:t>人工智能平台，持续深入人工智能技术的研究和应用；建立人工智能模型，提高人 </w:t>
      </w:r>
      <w:r>
        <w:rPr>
          <w:spacing w:val="-1"/>
        </w:rPr>
        <w:t>脸识别精度，优化和完善视频结构化属性，丰富社会治理场景</w:t>
      </w:r>
      <w:r>
        <w:rPr>
          <w:rFonts w:ascii="Times New Roman" w:hAnsi="Times New Roman" w:cs="Times New Roman" w:eastAsia="Times New Roman" w:hint="default"/>
          <w:spacing w:val="-1"/>
        </w:rPr>
        <w:t>AI</w:t>
      </w:r>
      <w:r>
        <w:rPr>
          <w:spacing w:val="-1"/>
        </w:rPr>
        <w:t>识别能力，研究语音识别，声纹识别等新</w:t>
      </w:r>
      <w:r>
        <w:rPr>
          <w:spacing w:val="-95"/>
        </w:rPr>
        <w:t> </w:t>
      </w:r>
      <w:r>
        <w:rPr>
          <w:spacing w:val="-95"/>
        </w:rPr>
      </w:r>
      <w:r>
        <w:rPr/>
        <w:t>领域。成立人工智能研发团队，加强在人工智能技术研发和产业推广。</w:t>
      </w:r>
      <w:r>
        <w:rPr>
          <w:spacing w:val="-1"/>
        </w:rPr>
        <w:t> </w:t>
      </w:r>
      <w:r>
        <w:rPr/>
        <w:t>将人工智能技术逐步发展成为大</w:t>
      </w:r>
      <w:r>
        <w:rPr/>
        <w:t> 数据和取证装备项目的重要能力支撑，提升公司电子数据取证及大数据信息平台等产品的综合技术能力， 满足行业用户需求。</w:t>
      </w:r>
    </w:p>
    <w:p>
      <w:pPr>
        <w:pStyle w:val="BodyText"/>
        <w:spacing w:line="408" w:lineRule="auto" w:before="48"/>
        <w:ind w:left="153" w:right="1007" w:firstLine="422"/>
        <w:jc w:val="left"/>
      </w:pPr>
      <w:r>
        <w:rPr>
          <w:rFonts w:ascii="宋体" w:hAnsi="宋体" w:cs="宋体" w:eastAsia="宋体" w:hint="default"/>
          <w:b/>
          <w:bCs/>
          <w:spacing w:val="-3"/>
        </w:rPr>
        <w:t>市场营销服务计划：</w:t>
      </w:r>
      <w:r>
        <w:rPr>
          <w:spacing w:val="-3"/>
        </w:rPr>
        <w:t>持续优化以培训带动销售的营销模式，不断加大市场的横向和纵向拓展。横向上，</w:t>
      </w:r>
      <w:r>
        <w:rPr/>
        <w:t> 随着国务院机构改革的陆续落地，在深耕司法行业的同时，持续拓展监察委、市场监督、税务等行业，抓 住机构调整带来的新的业务机会，同时将行业由原来司法机关、行政执法部门拓展到政务监管部门、企事 业单位等。纵向上，客户区域由省部级逐步拓展到地市级及区县级，提高发达地区的区县产出。抓住重点 项目建设机会，如大数据信息化项目，积极打造省市级样板，并做好项目试点。积极争取重要事件的安全 保障机会。继续深化</w:t>
      </w:r>
      <w:r>
        <w:rPr>
          <w:rFonts w:ascii="Times New Roman" w:hAnsi="Times New Roman" w:cs="Times New Roman" w:eastAsia="Times New Roman" w:hint="default"/>
          <w:b/>
          <w:bCs/>
        </w:rPr>
        <w:t>“</w:t>
      </w:r>
      <w:r>
        <w:rPr>
          <w:rFonts w:ascii="宋体" w:hAnsi="宋体" w:cs="宋体" w:eastAsia="宋体" w:hint="default"/>
          <w:b/>
          <w:bCs/>
        </w:rPr>
        <w:t>以客户为中心</w:t>
      </w:r>
      <w:r>
        <w:rPr>
          <w:rFonts w:ascii="Times New Roman" w:hAnsi="Times New Roman" w:cs="Times New Roman" w:eastAsia="Times New Roman" w:hint="default"/>
          <w:b/>
          <w:bCs/>
        </w:rPr>
        <w:t>”</w:t>
      </w:r>
      <w:r>
        <w:rPr>
          <w:rFonts w:ascii="宋体" w:hAnsi="宋体" w:cs="宋体" w:eastAsia="宋体" w:hint="default"/>
          <w:b/>
          <w:bCs/>
        </w:rPr>
        <w:t>的理念，</w:t>
      </w:r>
      <w:r>
        <w:rPr/>
        <w:t>提供</w:t>
      </w:r>
      <w:r>
        <w:rPr>
          <w:rFonts w:ascii="Times New Roman" w:hAnsi="Times New Roman" w:cs="Times New Roman" w:eastAsia="Times New Roman" w:hint="default"/>
        </w:rPr>
        <w:t>7*24</w:t>
      </w:r>
      <w:r>
        <w:rPr/>
        <w:t>小时的客户服务，建设品牌化优质服务。</w:t>
      </w:r>
    </w:p>
    <w:p>
      <w:pPr>
        <w:spacing w:line="3341" w:lineRule="exact"/>
        <w:ind w:left="3134"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2601646" cy="2121693"/>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2601646" cy="2121693"/>
                    </a:xfrm>
                    <a:prstGeom prst="rect">
                      <a:avLst/>
                    </a:prstGeom>
                  </pic:spPr>
                </pic:pic>
              </a:graphicData>
            </a:graphic>
          </wp:inline>
        </w:drawing>
      </w:r>
      <w:r>
        <w:rPr>
          <w:rFonts w:ascii="宋体" w:hAnsi="宋体" w:cs="宋体" w:eastAsia="宋体" w:hint="default"/>
          <w:position w:val="-66"/>
          <w:sz w:val="20"/>
          <w:szCs w:val="20"/>
        </w:rPr>
      </w:r>
    </w:p>
    <w:p>
      <w:pPr>
        <w:spacing w:after="0" w:line="3341" w:lineRule="exact"/>
        <w:rPr>
          <w:rFonts w:ascii="宋体" w:hAnsi="宋体" w:cs="宋体" w:eastAsia="宋体" w:hint="default"/>
          <w:sz w:val="20"/>
          <w:szCs w:val="20"/>
        </w:rPr>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97" w:firstLine="422"/>
        <w:jc w:val="both"/>
      </w:pPr>
      <w:r>
        <w:rPr>
          <w:rFonts w:ascii="宋体" w:hAnsi="宋体" w:cs="宋体" w:eastAsia="宋体" w:hint="default"/>
          <w:b/>
          <w:bCs/>
        </w:rPr>
        <w:t>企业文化和人力资源计划</w:t>
      </w:r>
      <w:r>
        <w:rPr/>
        <w:t>：人才是公司发展的动力和源泉，配合业务发展需求，加强“学习型组织” 的建设和加大人才的引进和培养，加强人才机制建设，完善集团化组织架构，实施战略管控型和程序管控 型管理模式，强化公司整体核心竞争力和导向有效业绩增长的组织绩效体系。优化人才结构，强化岗位职 能，完善后备干部选拨流程，坚持干部自主培养和外部引进相结合。规划并统一公司企业文化建设思路和 方法，充分发挥企业文化在思想统一、行为牵引和员工激励方面的强有力作用。进一步加强公司思想政治 和管理作风建设，培养锻炼年轻后备干部，建立中心指导员工作机制，不断推进公司长远健康发展。</w:t>
      </w:r>
    </w:p>
    <w:p>
      <w:pPr>
        <w:pStyle w:val="BodyText"/>
        <w:spacing w:line="408" w:lineRule="auto" w:before="46"/>
        <w:ind w:right="1007" w:firstLine="422"/>
        <w:jc w:val="left"/>
      </w:pPr>
      <w:r>
        <w:rPr>
          <w:rFonts w:ascii="宋体" w:hAnsi="宋体" w:cs="宋体" w:eastAsia="宋体" w:hint="default"/>
          <w:b/>
          <w:bCs/>
          <w:spacing w:val="-3"/>
        </w:rPr>
        <w:t>投资并购计划：</w:t>
      </w:r>
      <w:r>
        <w:rPr>
          <w:spacing w:val="-3"/>
        </w:rPr>
        <w:t>投资并购是公司重要战略部署之一。通过内生式发展和外延式并购方式进行产业布局，</w:t>
      </w:r>
      <w:r>
        <w:rPr/>
        <w:t> 完善公司生态链。内生式发展，主要依托公司的创业平台、青果创客汇等鼓励内部创业及创新。外延式并 购，通过专业的投资团队，借力资本市场专业的基金投资机构，不断提升公司的技术实力和市场竞争力。</w:t>
      </w:r>
    </w:p>
    <w:p>
      <w:pPr>
        <w:pStyle w:val="Heading3"/>
        <w:spacing w:line="240" w:lineRule="auto" w:before="46"/>
        <w:ind w:left="574" w:right="0"/>
        <w:jc w:val="left"/>
        <w:rPr>
          <w:b w:val="0"/>
          <w:bCs w:val="0"/>
        </w:rPr>
      </w:pPr>
      <w:r>
        <w:rPr/>
        <w:t>（三）可能面临的风险因素</w:t>
      </w:r>
      <w:r>
        <w:rPr>
          <w:b w:val="0"/>
          <w:bCs w:val="0"/>
        </w:rPr>
      </w:r>
    </w:p>
    <w:p>
      <w:pPr>
        <w:spacing w:line="240" w:lineRule="auto" w:before="10"/>
        <w:rPr>
          <w:rFonts w:ascii="宋体" w:hAnsi="宋体" w:cs="宋体" w:eastAsia="宋体" w:hint="default"/>
          <w:b/>
          <w:bCs/>
          <w:sz w:val="14"/>
          <w:szCs w:val="14"/>
        </w:rPr>
      </w:pPr>
    </w:p>
    <w:p>
      <w:pPr>
        <w:pStyle w:val="BodyText"/>
        <w:spacing w:line="405" w:lineRule="auto"/>
        <w:ind w:right="0" w:firstLine="422"/>
        <w:jc w:val="left"/>
      </w:pPr>
      <w:r>
        <w:rPr>
          <w:rFonts w:ascii="Times New Roman" w:hAnsi="Times New Roman" w:cs="Times New Roman" w:eastAsia="Times New Roman" w:hint="default"/>
          <w:b/>
          <w:bCs/>
        </w:rPr>
        <w:t>1</w:t>
      </w:r>
      <w:r>
        <w:rPr>
          <w:rFonts w:ascii="宋体" w:hAnsi="宋体" w:cs="宋体" w:eastAsia="宋体" w:hint="default"/>
          <w:b/>
          <w:bCs/>
        </w:rPr>
        <w:t>、市场风险：</w:t>
      </w:r>
      <w:r>
        <w:rPr/>
        <w:t>公司主要客户为国家各级司法机关，行政执法和政府监督部门。国务院机构改革如组 </w:t>
      </w:r>
      <w:r>
        <w:rPr>
          <w:spacing w:val="-1"/>
        </w:rPr>
        <w:t>建监察委、国地税合并、全国司法体制改革等方案会涉及客户组织机构的调整，调整进度有可能会影响公</w:t>
      </w:r>
      <w:r>
        <w:rPr>
          <w:spacing w:val="-83"/>
        </w:rPr>
        <w:t> </w:t>
      </w:r>
      <w:r>
        <w:rPr>
          <w:spacing w:val="-83"/>
        </w:rPr>
      </w:r>
      <w:r>
        <w:rPr>
          <w:spacing w:val="-1"/>
        </w:rPr>
        <w:t>司商机转换为订单和收入确认的进度。同时改革后的机构预算制定、预算审批及款项支付等需要一定的过</w:t>
      </w:r>
      <w:r>
        <w:rPr>
          <w:spacing w:val="-81"/>
        </w:rPr>
        <w:t> </w:t>
      </w:r>
      <w:r>
        <w:rPr>
          <w:spacing w:val="-81"/>
        </w:rPr>
      </w:r>
      <w:r>
        <w:rPr>
          <w:spacing w:val="-1"/>
        </w:rPr>
        <w:t>程，短期对公司的业务及收款会有一定影响。但机遇与挑战并存，组织机构调整带来风险的同时也会促进</w:t>
      </w:r>
      <w:r>
        <w:rPr>
          <w:spacing w:val="-83"/>
        </w:rPr>
        <w:t> </w:t>
      </w:r>
      <w:r>
        <w:rPr>
          <w:spacing w:val="-83"/>
        </w:rPr>
      </w:r>
      <w:r>
        <w:rPr>
          <w:spacing w:val="-1"/>
        </w:rPr>
        <w:t>行业新需求的增加，如国地税合并完成，监察委的成立等，采购需求恢复的同时，新的部门成立，也给公</w:t>
      </w:r>
      <w:r>
        <w:rPr>
          <w:spacing w:val="-83"/>
        </w:rPr>
        <w:t> </w:t>
      </w:r>
      <w:r>
        <w:rPr>
          <w:spacing w:val="-83"/>
        </w:rPr>
      </w:r>
      <w:r>
        <w:rPr>
          <w:spacing w:val="-1"/>
        </w:rPr>
        <w:t>司带来新的业务采购需求。面对风险，公司积极研发新产品、拓展新行业、扩大公司市场范围，降低对个</w:t>
      </w:r>
      <w:r>
        <w:rPr>
          <w:spacing w:val="-83"/>
        </w:rPr>
        <w:t> </w:t>
      </w:r>
      <w:r>
        <w:rPr>
          <w:spacing w:val="-83"/>
        </w:rPr>
      </w:r>
      <w:r>
        <w:rPr>
          <w:spacing w:val="-1"/>
        </w:rPr>
        <w:t>别行业的依赖性，从而尽量降低不利影响。公司也紧紧抓住重点项目的建设机遇，提前进行业务布局，减</w:t>
      </w:r>
      <w:r>
        <w:rPr>
          <w:spacing w:val="-82"/>
        </w:rPr>
        <w:t> </w:t>
      </w:r>
      <w:r>
        <w:rPr>
          <w:spacing w:val="-82"/>
        </w:rPr>
      </w:r>
      <w:r>
        <w:rPr/>
        <w:t>少个别行业采购需求的滞后对整体业务带来的影响。</w:t>
      </w:r>
    </w:p>
    <w:p>
      <w:pPr>
        <w:pStyle w:val="BodyText"/>
        <w:spacing w:line="400" w:lineRule="auto" w:before="89"/>
        <w:ind w:right="0" w:firstLine="422"/>
        <w:jc w:val="left"/>
      </w:pPr>
      <w:r>
        <w:rPr>
          <w:rFonts w:ascii="Times New Roman" w:hAnsi="Times New Roman" w:cs="Times New Roman" w:eastAsia="Times New Roman" w:hint="default"/>
          <w:b/>
          <w:bCs/>
        </w:rPr>
        <w:t>2</w:t>
      </w:r>
      <w:r>
        <w:rPr>
          <w:rFonts w:ascii="宋体" w:hAnsi="宋体" w:cs="宋体" w:eastAsia="宋体" w:hint="default"/>
          <w:b/>
          <w:bCs/>
        </w:rPr>
        <w:t>、商誉减值风险：</w:t>
      </w:r>
      <w:r>
        <w:rPr/>
        <w:t>公司发行股份购买江苏税软</w:t>
      </w:r>
      <w:r>
        <w:rPr>
          <w:rFonts w:ascii="Times New Roman" w:hAnsi="Times New Roman" w:cs="Times New Roman" w:eastAsia="Times New Roman" w:hint="default"/>
        </w:rPr>
        <w:t>100%</w:t>
      </w:r>
      <w:r>
        <w:rPr/>
        <w:t>股权和新德汇</w:t>
      </w:r>
      <w:r>
        <w:rPr>
          <w:rFonts w:ascii="Times New Roman" w:hAnsi="Times New Roman" w:cs="Times New Roman" w:eastAsia="Times New Roman" w:hint="default"/>
        </w:rPr>
        <w:t>49%</w:t>
      </w:r>
      <w:r>
        <w:rPr/>
        <w:t>股权的交易完成后，在公司合</w:t>
      </w:r>
      <w:r>
        <w:rPr>
          <w:spacing w:val="1"/>
        </w:rPr>
        <w:t> </w:t>
      </w:r>
      <w:r>
        <w:rPr/>
        <w:t>并资产负债表中将形成较大金额的商誉。目前江苏税软和新德汇的业绩承诺都已完成，但根据《企业会计</w:t>
      </w:r>
      <w:r>
        <w:rPr/>
        <w:t> 准则》规定，本次交易形成的商誉不作摊销处理，但需在未来每年年终进行减值测试。如果江苏税软和新 德汇未来经营状况恶化，则存在商誉减值的风险，从而对公司当期损益造成不利影响。对此，公司设立集 团协调中心，专门负责子公司整合后的管理工作，目前主要采取的管理措施如下：</w:t>
      </w:r>
      <w:r>
        <w:rPr>
          <w:rFonts w:ascii="Times New Roman" w:hAnsi="Times New Roman" w:cs="Times New Roman" w:eastAsia="Times New Roman" w:hint="default"/>
        </w:rPr>
        <w:t>1</w:t>
      </w:r>
      <w:r>
        <w:rPr/>
        <w:t>）在市场渠道和产品</w:t>
      </w:r>
      <w:r>
        <w:rPr>
          <w:spacing w:val="-35"/>
        </w:rPr>
        <w:t> </w:t>
      </w:r>
      <w:r>
        <w:rPr>
          <w:spacing w:val="-35"/>
        </w:rPr>
      </w:r>
      <w:r>
        <w:rPr>
          <w:spacing w:val="-4"/>
        </w:rPr>
        <w:t>研发上，加强资源管理和</w:t>
      </w:r>
      <w:r>
        <w:rPr>
          <w:rFonts w:ascii="Times New Roman" w:hAnsi="Times New Roman" w:cs="Times New Roman" w:eastAsia="Times New Roman" w:hint="default"/>
          <w:spacing w:val="-4"/>
        </w:rPr>
        <w:t>1+1&gt;2</w:t>
      </w:r>
      <w:r>
        <w:rPr>
          <w:spacing w:val="-4"/>
        </w:rPr>
        <w:t>的协同整合，提升子公司产品竞争力及促进子母公司间产品的交叉销售；</w:t>
      </w:r>
      <w:r>
        <w:rPr>
          <w:rFonts w:ascii="Times New Roman" w:hAnsi="Times New Roman" w:cs="Times New Roman" w:eastAsia="Times New Roman" w:hint="default"/>
          <w:spacing w:val="-4"/>
        </w:rPr>
        <w:t>2</w:t>
      </w:r>
      <w:r>
        <w:rPr>
          <w:spacing w:val="-4"/>
        </w:rPr>
        <w:t>）</w:t>
      </w:r>
      <w:r>
        <w:rPr>
          <w:spacing w:val="-65"/>
        </w:rPr>
        <w:t> </w:t>
      </w:r>
      <w:r>
        <w:rPr/>
        <w:t>核心人员稳定：通过签订劳动合同、竞业协议、保密协议等措施保障人员稳定；将公司的限制性股票等人</w:t>
      </w:r>
      <w:r>
        <w:rPr/>
        <w:t> 才激励措施，覆盖到子公司核心员工；</w:t>
      </w:r>
      <w:r>
        <w:rPr>
          <w:rFonts w:ascii="Times New Roman" w:hAnsi="Times New Roman" w:cs="Times New Roman" w:eastAsia="Times New Roman" w:hint="default"/>
        </w:rPr>
        <w:t>3</w:t>
      </w:r>
      <w:r>
        <w:rPr/>
        <w:t>）经营管理：公司每年将目标责任书和绩效考核指标分解到子公</w:t>
      </w:r>
      <w:r>
        <w:rPr>
          <w:spacing w:val="-34"/>
        </w:rPr>
        <w:t> </w:t>
      </w:r>
      <w:r>
        <w:rPr>
          <w:spacing w:val="-34"/>
        </w:rPr>
      </w:r>
      <w:r>
        <w:rPr/>
        <w:t>司，年终根据业绩的完成程度给予相应的激励，公司也从总部派驻核心财务骨干常驻子公司，担任子公司</w:t>
      </w:r>
      <w:r>
        <w:rPr/>
        <w:t> 财务负责人，协助子公司负责人进行经营管理，同时将子公司管理层纳入到公司管理体系中，让子公司管 理层和核心人员均有权参与公司管理。通过公司与子公司在经营管理、技术研发、市场拓展等方面的资源</w:t>
      </w:r>
    </w:p>
    <w:p>
      <w:pPr>
        <w:spacing w:after="0" w:line="400"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0"/>
        <w:jc w:val="left"/>
      </w:pPr>
      <w:r>
        <w:rPr/>
        <w:t>共享和协同合作，保持公司及各子公司的持续竞争力，尽量降低商誉对公司未来业绩的影响。</w:t>
      </w:r>
    </w:p>
    <w:p>
      <w:pPr>
        <w:spacing w:line="240" w:lineRule="auto" w:before="9"/>
        <w:rPr>
          <w:rFonts w:ascii="宋体" w:hAnsi="宋体" w:cs="宋体" w:eastAsia="宋体" w:hint="default"/>
          <w:sz w:val="17"/>
          <w:szCs w:val="17"/>
        </w:rPr>
      </w:pPr>
    </w:p>
    <w:p>
      <w:pPr>
        <w:pStyle w:val="BodyText"/>
        <w:spacing w:line="405" w:lineRule="auto"/>
        <w:ind w:right="1021" w:firstLine="422"/>
        <w:jc w:val="left"/>
      </w:pPr>
      <w:r>
        <w:rPr>
          <w:rFonts w:ascii="Times New Roman" w:hAnsi="Times New Roman" w:cs="Times New Roman" w:eastAsia="Times New Roman" w:hint="default"/>
          <w:b/>
          <w:bCs/>
        </w:rPr>
        <w:t>3</w:t>
      </w:r>
      <w:r>
        <w:rPr>
          <w:rFonts w:ascii="宋体" w:hAnsi="宋体" w:cs="宋体" w:eastAsia="宋体" w:hint="default"/>
          <w:b/>
          <w:bCs/>
        </w:rPr>
        <w:t>、规模化经营和人才紧缺风险：</w:t>
      </w:r>
      <w:r>
        <w:rPr/>
        <w:t>公司已逐步演化为集团化、知本密集的研发技术型企业，高端研发</w:t>
      </w:r>
      <w:r>
        <w:rPr>
          <w:spacing w:val="1"/>
        </w:rPr>
        <w:t> </w:t>
      </w:r>
      <w:r>
        <w:rPr/>
        <w:t>技术人才和管理人才对公司稳定发展起着重要的作用，人才是公司最大的生产力也是第一成本要素。随着</w:t>
      </w:r>
      <w:r>
        <w:rPr/>
        <w:t> 公司业务规模的增加，业务和经营管理难度增加，大数据、人工智能等技术的不断研究和应用，公司需要 补充大量高端专业技术人才和管理人才；若集团化管理不到位、组织变革和业务流程优化不到位、组织和 个人绩效管理不到位、压力传递不足，则容易出现规模收入增加但利润不增加的风险。对此公司加强集团 化治理和管理能力建设，增加专业人才储备，并成立西安研发中心、广东大数据中心、北京大数据中心。 </w:t>
      </w:r>
      <w:r>
        <w:rPr>
          <w:spacing w:val="-3"/>
        </w:rPr>
        <w:t>同时公司完善人力资源管理体系，加强干部的培养，建立长效人才激励机制，加强“全面薪酬包”的管理，</w:t>
      </w:r>
      <w:r>
        <w:rPr>
          <w:spacing w:val="-94"/>
        </w:rPr>
        <w:t> </w:t>
      </w:r>
      <w:r>
        <w:rPr>
          <w:spacing w:val="-94"/>
        </w:rPr>
      </w:r>
      <w:r>
        <w:rPr/>
        <w:t>提供比同行业更具有竞争力的薪资水平来吸引和留住人才。</w:t>
      </w:r>
    </w:p>
    <w:p>
      <w:pPr>
        <w:spacing w:before="88"/>
        <w:ind w:left="576"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、应收账款净额过高的风险：</w:t>
      </w:r>
      <w:r>
        <w:rPr>
          <w:rFonts w:ascii="宋体" w:hAnsi="宋体" w:cs="宋体" w:eastAsia="宋体" w:hint="default"/>
          <w:sz w:val="21"/>
          <w:szCs w:val="21"/>
        </w:rPr>
        <w:t>报告期末，公司应收账款净额62,500.07万元，占公司总资产的比例</w:t>
      </w:r>
    </w:p>
    <w:p>
      <w:pPr>
        <w:pStyle w:val="BodyText"/>
        <w:spacing w:line="408" w:lineRule="auto" w:before="177"/>
        <w:ind w:left="153" w:right="1022"/>
        <w:jc w:val="left"/>
      </w:pPr>
      <w:r>
        <w:rPr/>
        <w:t>18.15%。主要是因为公司主要客户司法机关和行政执法部门，该类客户的采购及付款审批周期较长，因而 </w:t>
      </w:r>
      <w:r>
        <w:rPr>
          <w:spacing w:val="-3"/>
        </w:rPr>
        <w:t>导致公司应收账款余额较高。并且随着公司平台类项目的销售收入比重不断增加，单个业务合同金额增大，</w:t>
      </w:r>
      <w:r>
        <w:rPr>
          <w:spacing w:val="-92"/>
        </w:rPr>
        <w:t> </w:t>
      </w:r>
      <w:r>
        <w:rPr>
          <w:spacing w:val="-92"/>
        </w:rPr>
      </w:r>
      <w:r>
        <w:rPr/>
        <w:t>实施周期较长，项目付款进度相应较长，应收账款的账期和绝对值也可能会相应上升。部分客户受机构体</w:t>
      </w:r>
      <w:r>
        <w:rPr/>
        <w:t> 制改革影响，付款审批时间也相应的延长。综合各种因素，本期的应收账款金额较大。对此，公司将持续 加大应收账款的催收力度，同时根据公司实际情况，执行合理的应收账款坏账计提准备政策，避免较高的 坏账风险。</w:t>
      </w:r>
    </w:p>
    <w:p>
      <w:pPr>
        <w:pStyle w:val="BodyText"/>
        <w:spacing w:line="403" w:lineRule="auto" w:before="166"/>
        <w:ind w:left="153" w:right="1022" w:firstLine="422"/>
        <w:jc w:val="left"/>
      </w:pPr>
      <w:r>
        <w:rPr>
          <w:rFonts w:ascii="Times New Roman" w:hAnsi="Times New Roman" w:cs="Times New Roman" w:eastAsia="Times New Roman" w:hint="default"/>
          <w:b/>
          <w:bCs/>
        </w:rPr>
        <w:t>5</w:t>
      </w:r>
      <w:r>
        <w:rPr>
          <w:rFonts w:ascii="宋体" w:hAnsi="宋体" w:cs="宋体" w:eastAsia="宋体" w:hint="default"/>
          <w:b/>
          <w:bCs/>
        </w:rPr>
        <w:t>、季节性风险：</w:t>
      </w:r>
      <w:r>
        <w:rPr/>
        <w:t>公司产品销售收入在上、下半年具有不均衡的特点，因为公司产品主要销售于司法 </w:t>
      </w:r>
      <w:r>
        <w:rPr>
          <w:spacing w:val="-3"/>
        </w:rPr>
        <w:t>机关、行政执法部门等，这些客户的普遍特点是：上半年制定计划、预算审批，下半年实施和验收。因此，</w:t>
      </w:r>
      <w:r>
        <w:rPr>
          <w:spacing w:val="-94"/>
        </w:rPr>
        <w:t> </w:t>
      </w:r>
      <w:r>
        <w:rPr>
          <w:spacing w:val="-94"/>
        </w:rPr>
      </w:r>
      <w:r>
        <w:rPr/>
        <w:t>公司产品销售收入的实现主要集中在下半年尤其是第四季度，第四季度的波动和会较大影响全年的收入和</w:t>
      </w:r>
      <w:r>
        <w:rPr/>
        <w:t> 利润水平。对此，公司将持续加大售前的进度引导、以及阶段验收等方式，尽量降低第四季度集中和不确 定性的影响。</w:t>
      </w:r>
    </w:p>
    <w:p>
      <w:pPr>
        <w:spacing w:line="240" w:lineRule="auto" w:before="13"/>
        <w:rPr>
          <w:rFonts w:ascii="宋体" w:hAnsi="宋体" w:cs="宋体" w:eastAsia="宋体" w:hint="default"/>
          <w:sz w:val="18"/>
          <w:szCs w:val="18"/>
        </w:rPr>
      </w:pPr>
    </w:p>
    <w:p>
      <w:pPr>
        <w:pStyle w:val="Heading2"/>
        <w:spacing w:line="240" w:lineRule="auto"/>
        <w:ind w:right="0"/>
        <w:jc w:val="left"/>
        <w:rPr>
          <w:b w:val="0"/>
          <w:bCs w:val="0"/>
        </w:rPr>
      </w:pPr>
      <w:r>
        <w:rPr/>
        <w:t>十、接待调研、沟通、采访等活动登记表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702"/>
        <w:gridCol w:w="992"/>
        <w:gridCol w:w="1276"/>
        <w:gridCol w:w="5599"/>
      </w:tblGrid>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5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2"/>
        <w:gridCol w:w="992"/>
        <w:gridCol w:w="1276"/>
        <w:gridCol w:w="5599"/>
      </w:tblGrid>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"300188 </w:t>
            </w:r>
            <w:r>
              <w:rPr>
                <w:rFonts w:ascii="宋体" w:hAnsi="宋体" w:cs="宋体" w:eastAsia="宋体" w:hint="default"/>
                <w:sz w:val="18"/>
                <w:szCs w:val="18"/>
              </w:rPr>
              <w:t>美亚柏科调研活动信息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20181212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right="3219"/>
        <w:jc w:val="center"/>
        <w:rPr>
          <w:b w:val="0"/>
          <w:bCs w:val="0"/>
        </w:rPr>
      </w:pPr>
      <w:bookmarkStart w:name="_TOC_250007" w:id="5"/>
      <w:r>
        <w:rPr/>
        <w:t>第五节</w:t>
      </w:r>
      <w:r>
        <w:rPr>
          <w:spacing w:val="-5"/>
        </w:rPr>
        <w:t> </w:t>
      </w:r>
      <w:r>
        <w:rPr/>
        <w:t>重要事项</w:t>
      </w:r>
      <w:bookmarkEnd w:id="5"/>
      <w:r>
        <w:rPr>
          <w:b w:val="0"/>
          <w:bCs w:val="0"/>
        </w:rPr>
      </w:r>
    </w:p>
    <w:p>
      <w:pPr>
        <w:spacing w:line="240" w:lineRule="auto" w:before="9"/>
        <w:rPr>
          <w:rFonts w:ascii="宋体" w:hAnsi="宋体" w:cs="宋体" w:eastAsia="宋体" w:hint="default"/>
          <w:b/>
          <w:bCs/>
          <w:sz w:val="38"/>
          <w:szCs w:val="38"/>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8" w:lineRule="auto" w:before="155"/>
        <w:ind w:right="1128" w:firstLine="420"/>
        <w:jc w:val="left"/>
      </w:pPr>
      <w:r>
        <w:rPr>
          <w:spacing w:val="-1"/>
        </w:rPr>
        <w:t>报告期内，公司董事会根据</w:t>
      </w:r>
      <w:r>
        <w:rPr>
          <w:rFonts w:ascii="Times New Roman" w:hAnsi="Times New Roman" w:cs="Times New Roman" w:eastAsia="Times New Roman" w:hint="default"/>
          <w:spacing w:val="-1"/>
        </w:rPr>
        <w:t>2017</w:t>
      </w:r>
      <w:r>
        <w:rPr>
          <w:spacing w:val="-1"/>
        </w:rPr>
        <w:t>年度盈利情况及《公司章程》的有关规定，在充分听取各方意见的基</w:t>
      </w:r>
      <w:r>
        <w:rPr/>
        <w:t> </w:t>
      </w:r>
      <w:r>
        <w:rPr>
          <w:spacing w:val="-1"/>
        </w:rPr>
        <w:t>础上制定了公司</w:t>
      </w:r>
      <w:r>
        <w:rPr>
          <w:rFonts w:ascii="Times New Roman" w:hAnsi="Times New Roman" w:cs="Times New Roman" w:eastAsia="Times New Roman" w:hint="default"/>
          <w:spacing w:val="-1"/>
        </w:rPr>
        <w:t>2017</w:t>
      </w:r>
      <w:r>
        <w:rPr>
          <w:spacing w:val="-1"/>
        </w:rPr>
        <w:t>年度利润分配方案。公司</w:t>
      </w:r>
      <w:r>
        <w:rPr>
          <w:rFonts w:ascii="Times New Roman" w:hAnsi="Times New Roman" w:cs="Times New Roman" w:eastAsia="Times New Roman" w:hint="default"/>
          <w:spacing w:val="-1"/>
        </w:rPr>
        <w:t>2017</w:t>
      </w:r>
      <w:r>
        <w:rPr>
          <w:spacing w:val="-1"/>
        </w:rPr>
        <w:t>年利润分配方案为：以公司总股本</w:t>
      </w:r>
      <w:r>
        <w:rPr>
          <w:rFonts w:ascii="Times New Roman" w:hAnsi="Times New Roman" w:cs="Times New Roman" w:eastAsia="Times New Roman" w:hint="default"/>
          <w:spacing w:val="-1"/>
        </w:rPr>
        <w:t>496,803,986</w:t>
      </w:r>
      <w:r>
        <w:rPr>
          <w:spacing w:val="-1"/>
        </w:rPr>
        <w:t>股为基数</w:t>
      </w:r>
      <w:r>
        <w:rPr>
          <w:spacing w:val="-83"/>
        </w:rPr>
        <w:t> </w:t>
      </w:r>
      <w:r>
        <w:rPr>
          <w:spacing w:val="-83"/>
        </w:rPr>
      </w:r>
      <w:r>
        <w:rPr/>
        <w:t>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2</w:t>
      </w:r>
      <w:r>
        <w:rPr/>
        <w:t>元人民币（含税），合计派发现金红利人民币</w:t>
      </w:r>
      <w:r>
        <w:rPr>
          <w:rFonts w:ascii="Times New Roman" w:hAnsi="Times New Roman" w:cs="Times New Roman" w:eastAsia="Times New Roman" w:hint="default"/>
        </w:rPr>
        <w:t>99,360,797.2</w:t>
      </w:r>
      <w:r>
        <w:rPr/>
        <w:t>元，同时，进 </w:t>
      </w:r>
      <w:r>
        <w:rPr>
          <w:spacing w:val="-3"/>
        </w:rPr>
        <w:t>行资本公积金转增股本，以总股本</w:t>
      </w:r>
      <w:r>
        <w:rPr>
          <w:rFonts w:ascii="Times New Roman" w:hAnsi="Times New Roman" w:cs="Times New Roman" w:eastAsia="Times New Roman" w:hint="default"/>
          <w:spacing w:val="-3"/>
        </w:rPr>
        <w:t>496,803,986</w:t>
      </w:r>
      <w:r>
        <w:rPr>
          <w:spacing w:val="-3"/>
        </w:rPr>
        <w:t>股为基数，向全体股东每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6</w:t>
      </w:r>
      <w:r>
        <w:rPr>
          <w:spacing w:val="-3"/>
        </w:rPr>
        <w:t>股，共计转增</w:t>
      </w:r>
      <w:r>
        <w:rPr>
          <w:rFonts w:ascii="Times New Roman" w:hAnsi="Times New Roman" w:cs="Times New Roman" w:eastAsia="Times New Roman" w:hint="default"/>
          <w:spacing w:val="-3"/>
        </w:rPr>
        <w:t>298,082,391</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t>股，转增后公司总股本增加至</w:t>
      </w:r>
      <w:r>
        <w:rPr>
          <w:rFonts w:ascii="Times New Roman" w:hAnsi="Times New Roman" w:cs="Times New Roman" w:eastAsia="Times New Roman" w:hint="default"/>
        </w:rPr>
        <w:t>794,886,377</w:t>
      </w:r>
      <w:r>
        <w:rPr/>
        <w:t>股。</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日召开的</w:t>
      </w:r>
      <w:r>
        <w:rPr>
          <w:rFonts w:ascii="Times New Roman" w:hAnsi="Times New Roman" w:cs="Times New Roman" w:eastAsia="Times New Roman" w:hint="default"/>
        </w:rPr>
        <w:t>2017</w:t>
      </w:r>
      <w:r>
        <w:rPr/>
        <w:t>年度股东大会审议通过了《</w:t>
      </w:r>
      <w:r>
        <w:rPr>
          <w:rFonts w:ascii="Times New Roman" w:hAnsi="Times New Roman" w:cs="Times New Roman" w:eastAsia="Times New Roman" w:hint="default"/>
        </w:rPr>
        <w:t>2017 </w:t>
      </w:r>
      <w:r>
        <w:rPr/>
        <w:t>年度利润分配及资本公积金转增股本预案》；</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日公司完成了</w:t>
      </w:r>
      <w:r>
        <w:rPr>
          <w:rFonts w:ascii="Times New Roman" w:hAnsi="Times New Roman" w:cs="Times New Roman" w:eastAsia="Times New Roman" w:hint="default"/>
        </w:rPr>
        <w:t>2017</w:t>
      </w:r>
      <w:r>
        <w:rPr/>
        <w:t>年度利润权益分派的实施。 </w:t>
      </w:r>
      <w:r>
        <w:rPr>
          <w:spacing w:val="-2"/>
        </w:rPr>
        <w:t>公司实施的</w:t>
      </w:r>
      <w:r>
        <w:rPr>
          <w:rFonts w:ascii="Times New Roman" w:hAnsi="Times New Roman" w:cs="Times New Roman" w:eastAsia="Times New Roman" w:hint="default"/>
          <w:spacing w:val="-2"/>
        </w:rPr>
        <w:t>2017</w:t>
      </w:r>
      <w:r>
        <w:rPr>
          <w:spacing w:val="-2"/>
        </w:rPr>
        <w:t>年度利润分配方案符合《公司章程》及公司《未来三年（</w:t>
      </w:r>
      <w:r>
        <w:rPr>
          <w:rFonts w:ascii="Times New Roman" w:hAnsi="Times New Roman" w:cs="Times New Roman" w:eastAsia="Times New Roman" w:hint="default"/>
          <w:spacing w:val="-2"/>
        </w:rPr>
        <w:t>2015-2017</w:t>
      </w:r>
      <w:r>
        <w:rPr>
          <w:spacing w:val="-2"/>
        </w:rPr>
        <w:t>年）股东回报规划》等</w:t>
      </w:r>
      <w:r>
        <w:rPr>
          <w:spacing w:val="-101"/>
        </w:rPr>
        <w:t> </w:t>
      </w:r>
      <w:r>
        <w:rPr>
          <w:spacing w:val="-101"/>
        </w:rPr>
      </w:r>
      <w:r>
        <w:rPr>
          <w:spacing w:val="-1"/>
        </w:rPr>
        <w:t>的相关规定，符合股东大会的决议，分红标准和比例明确，决策程序符合规定。独立董事尽职履责并发挥</w:t>
      </w:r>
      <w:r>
        <w:rPr>
          <w:spacing w:val="-82"/>
        </w:rPr>
        <w:t> </w:t>
      </w:r>
      <w:r>
        <w:rPr>
          <w:spacing w:val="-82"/>
        </w:rPr>
      </w:r>
      <w:r>
        <w:rPr/>
        <w:t>了应有的作用，中小股东具有充分表达意见和诉求的机会，其合法权益得到了充分地保护。</w:t>
      </w:r>
    </w:p>
    <w:tbl>
      <w:tblPr>
        <w:tblW w:w="0" w:type="auto"/>
        <w:jc w:val="left"/>
        <w:tblInd w:w="149" w:type="dxa"/>
        <w:tblLayout w:type="fixed"/>
        <w:tblCellMar>
          <w:top w:w="0" w:type="dxa"/>
          <w:left w:w="0" w:type="dxa"/>
          <w:bottom w:w="0" w:type="dxa"/>
          <w:right w:w="0" w:type="dxa"/>
        </w:tblCellMar>
        <w:tblLook w:val="01E0"/>
      </w:tblPr>
      <w:tblGrid>
        <w:gridCol w:w="6664"/>
        <w:gridCol w:w="2904"/>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6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48" w:lineRule="auto" w:before="117"/>
        <w:ind w:left="154" w:right="42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本年度利润分配及资本公积金转增股本情况</w:t>
      </w:r>
    </w:p>
    <w:p>
      <w:pPr>
        <w:spacing w:line="240" w:lineRule="auto" w:before="0"/>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5670"/>
        <w:gridCol w:w="3898"/>
      </w:tblGrid>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0.80</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794,832,809</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63,586,624.72</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670"/>
        <w:gridCol w:w="3898"/>
      </w:tblGrid>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63,586,624.72</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693,887,331.39</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现金分红总额（含其他方式）占利润分配总额的比例</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4850"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66"/>
              <w:jc w:val="center"/>
              <w:rPr>
                <w:rFonts w:ascii="宋体" w:hAnsi="宋体" w:cs="宋体" w:eastAsia="宋体" w:hint="default"/>
                <w:sz w:val="21"/>
                <w:szCs w:val="21"/>
              </w:rPr>
            </w:pPr>
            <w:r>
              <w:rPr>
                <w:rFonts w:ascii="宋体" w:hAnsi="宋体" w:cs="宋体" w:eastAsia="宋体" w:hint="default"/>
                <w:sz w:val="21"/>
                <w:szCs w:val="21"/>
              </w:rPr>
              <w:t>经致同会计师事务所（特殊普通合伙）审计，公司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年度实现归属于母公司所有者净利润</w:t>
            </w:r>
          </w:p>
          <w:p>
            <w:pPr>
              <w:pStyle w:val="TableParagraph"/>
              <w:spacing w:line="240" w:lineRule="auto" w:before="177"/>
              <w:ind w:left="22"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303,214,679.83</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元，母公司实现净利润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225,122,925.78</w:t>
            </w:r>
            <w:r>
              <w:rPr>
                <w:rFonts w:ascii="Times New Roman" w:hAnsi="Times New Roman" w:cs="Times New Roman" w:eastAsia="Times New Roman" w:hint="default"/>
                <w:spacing w:val="49"/>
                <w:sz w:val="21"/>
                <w:szCs w:val="21"/>
              </w:rPr>
              <w:t> </w:t>
            </w:r>
            <w:r>
              <w:rPr>
                <w:rFonts w:ascii="宋体" w:hAnsi="宋体" w:cs="宋体" w:eastAsia="宋体" w:hint="default"/>
                <w:spacing w:val="-6"/>
                <w:sz w:val="21"/>
                <w:szCs w:val="21"/>
              </w:rPr>
              <w:t>元，提取</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法定盈余公积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22,512,292.58</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7 </w:t>
            </w:r>
            <w:r>
              <w:rPr>
                <w:rFonts w:ascii="宋体" w:hAnsi="宋体" w:cs="宋体" w:eastAsia="宋体" w:hint="default"/>
                <w:spacing w:val="-7"/>
                <w:sz w:val="21"/>
                <w:szCs w:val="21"/>
              </w:rPr>
              <w:t>元，当</w:t>
            </w:r>
          </w:p>
          <w:p>
            <w:pPr>
              <w:pStyle w:val="TableParagraph"/>
              <w:spacing w:line="240" w:lineRule="auto" w:before="177"/>
              <w:ind w:left="22" w:right="0"/>
              <w:jc w:val="both"/>
              <w:rPr>
                <w:rFonts w:ascii="宋体" w:hAnsi="宋体" w:cs="宋体" w:eastAsia="宋体" w:hint="default"/>
                <w:sz w:val="21"/>
                <w:szCs w:val="21"/>
              </w:rPr>
            </w:pPr>
            <w:r>
              <w:rPr>
                <w:rFonts w:ascii="宋体" w:hAnsi="宋体" w:cs="宋体" w:eastAsia="宋体" w:hint="default"/>
                <w:sz w:val="21"/>
                <w:szCs w:val="21"/>
              </w:rPr>
              <w:t>年实现的母公司可供分配利润为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225,122,925.78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元，加期初未分配利润</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590,637,495.39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元，扣减</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417" w:lineRule="auto" w:before="178"/>
              <w:ind w:left="382" w:right="22" w:hanging="360"/>
              <w:jc w:val="left"/>
              <w:rPr>
                <w:rFonts w:ascii="宋体" w:hAnsi="宋体" w:cs="宋体" w:eastAsia="宋体" w:hint="default"/>
                <w:sz w:val="21"/>
                <w:szCs w:val="21"/>
              </w:rPr>
            </w:pPr>
            <w:r>
              <w:rPr>
                <w:rFonts w:ascii="宋体" w:hAnsi="宋体" w:cs="宋体" w:eastAsia="宋体" w:hint="default"/>
                <w:sz w:val="21"/>
                <w:szCs w:val="21"/>
              </w:rPr>
              <w:t>已发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年度现金股利</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99,360,797.2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元，年末累计可供分配利润为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693,887,331.39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r>
              <w:rPr>
                <w:rFonts w:ascii="宋体" w:hAnsi="宋体" w:cs="宋体" w:eastAsia="宋体" w:hint="default"/>
                <w:spacing w:val="-2"/>
                <w:sz w:val="21"/>
                <w:szCs w:val="21"/>
              </w:rPr>
              <w:t> </w:t>
            </w:r>
            <w:r>
              <w:rPr>
                <w:rFonts w:ascii="宋体" w:hAnsi="宋体" w:cs="宋体" w:eastAsia="宋体" w:hint="default"/>
                <w:spacing w:val="-7"/>
                <w:sz w:val="21"/>
                <w:szCs w:val="21"/>
              </w:rPr>
              <w:t>根据中国证券监督管理委员会《关于进一步落实上市公司现金分红有关事项的通知》、《上市公司监管</w:t>
            </w:r>
          </w:p>
          <w:p>
            <w:pPr>
              <w:pStyle w:val="TableParagraph"/>
              <w:spacing w:line="398" w:lineRule="auto" w:before="37"/>
              <w:ind w:left="22" w:right="67"/>
              <w:jc w:val="both"/>
              <w:rPr>
                <w:rFonts w:ascii="宋体" w:hAnsi="宋体" w:cs="宋体" w:eastAsia="宋体" w:hint="default"/>
                <w:sz w:val="21"/>
                <w:szCs w:val="21"/>
              </w:rPr>
            </w:pPr>
            <w:r>
              <w:rPr>
                <w:rFonts w:ascii="宋体" w:hAnsi="宋体" w:cs="宋体" w:eastAsia="宋体" w:hint="default"/>
                <w:sz w:val="21"/>
                <w:szCs w:val="21"/>
              </w:rPr>
              <w:t>指引第</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pacing w:val="-4"/>
                <w:sz w:val="21"/>
                <w:szCs w:val="21"/>
              </w:rPr>
              <w:t>号</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上市公司现金分红》及《公司章程》、公司《未来三年（</w:t>
            </w:r>
            <w:r>
              <w:rPr>
                <w:rFonts w:ascii="Times New Roman" w:hAnsi="Times New Roman" w:cs="Times New Roman" w:eastAsia="Times New Roman" w:hint="default"/>
                <w:spacing w:val="-4"/>
                <w:sz w:val="21"/>
                <w:szCs w:val="21"/>
              </w:rPr>
              <w:t>2015-2017</w:t>
            </w:r>
            <w:r>
              <w:rPr>
                <w:rFonts w:ascii="Times New Roman" w:hAnsi="Times New Roman" w:cs="Times New Roman" w:eastAsia="Times New Roman" w:hint="default"/>
                <w:spacing w:val="11"/>
                <w:sz w:val="21"/>
                <w:szCs w:val="21"/>
              </w:rPr>
              <w:t> </w:t>
            </w:r>
            <w:r>
              <w:rPr>
                <w:rFonts w:ascii="宋体" w:hAnsi="宋体" w:cs="宋体" w:eastAsia="宋体" w:hint="default"/>
                <w:spacing w:val="-1"/>
                <w:sz w:val="21"/>
                <w:szCs w:val="21"/>
              </w:rPr>
              <w:t>年）股东回报规划》等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相关规定，为积极回报公司股东、与所有股东分享公司经营成果，在符合利润分配原则，保证公司正常 经营和长远发展的前提下，公司董事会提出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年度利润分配预案如下：</w:t>
            </w:r>
          </w:p>
          <w:p>
            <w:pPr>
              <w:pStyle w:val="TableParagraph"/>
              <w:spacing w:line="240" w:lineRule="auto" w:before="62"/>
              <w:ind w:left="382" w:right="0"/>
              <w:jc w:val="left"/>
              <w:rPr>
                <w:rFonts w:ascii="宋体" w:hAnsi="宋体" w:cs="宋体" w:eastAsia="宋体" w:hint="default"/>
                <w:sz w:val="21"/>
                <w:szCs w:val="21"/>
              </w:rPr>
            </w:pPr>
            <w:r>
              <w:rPr>
                <w:rFonts w:ascii="宋体" w:hAnsi="宋体" w:cs="宋体" w:eastAsia="宋体" w:hint="default"/>
                <w:sz w:val="21"/>
                <w:szCs w:val="21"/>
              </w:rPr>
              <w:t>以公司总股本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9</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3</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80</w:t>
            </w:r>
            <w:r>
              <w:rPr>
                <w:rFonts w:ascii="Times New Roman" w:hAnsi="Times New Roman" w:cs="Times New Roman" w:eastAsia="Times New Roman" w:hint="default"/>
                <w:sz w:val="21"/>
                <w:szCs w:val="21"/>
              </w:rPr>
              <w:t>9 </w:t>
            </w:r>
            <w:r>
              <w:rPr>
                <w:rFonts w:ascii="宋体" w:hAnsi="宋体" w:cs="宋体" w:eastAsia="宋体" w:hint="default"/>
                <w:sz w:val="21"/>
                <w:szCs w:val="21"/>
              </w:rPr>
              <w:t>股为基数</w:t>
            </w:r>
            <w:r>
              <w:rPr>
                <w:rFonts w:ascii="宋体" w:hAnsi="宋体" w:cs="宋体" w:eastAsia="宋体" w:hint="default"/>
                <w:spacing w:val="-2"/>
                <w:sz w:val="21"/>
                <w:szCs w:val="21"/>
              </w:rPr>
              <w:t>向</w:t>
            </w:r>
            <w:r>
              <w:rPr>
                <w:rFonts w:ascii="宋体" w:hAnsi="宋体" w:cs="宋体" w:eastAsia="宋体" w:hint="default"/>
                <w:sz w:val="21"/>
                <w:szCs w:val="21"/>
              </w:rPr>
              <w:t>全体股东每</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0 </w:t>
            </w:r>
            <w:r>
              <w:rPr>
                <w:rFonts w:ascii="宋体" w:hAnsi="宋体" w:cs="宋体" w:eastAsia="宋体" w:hint="default"/>
                <w:sz w:val="21"/>
                <w:szCs w:val="21"/>
              </w:rPr>
              <w:t>股派发现</w:t>
            </w:r>
            <w:r>
              <w:rPr>
                <w:rFonts w:ascii="宋体" w:hAnsi="宋体" w:cs="宋体" w:eastAsia="宋体" w:hint="default"/>
                <w:spacing w:val="-2"/>
                <w:sz w:val="21"/>
                <w:szCs w:val="21"/>
              </w:rPr>
              <w:t>金</w:t>
            </w:r>
            <w:r>
              <w:rPr>
                <w:rFonts w:ascii="宋体" w:hAnsi="宋体" w:cs="宋体" w:eastAsia="宋体" w:hint="default"/>
                <w:sz w:val="21"/>
                <w:szCs w:val="21"/>
              </w:rPr>
              <w:t>股利</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8 </w:t>
            </w:r>
            <w:r>
              <w:rPr>
                <w:rFonts w:ascii="宋体" w:hAnsi="宋体" w:cs="宋体" w:eastAsia="宋体" w:hint="default"/>
                <w:sz w:val="21"/>
                <w:szCs w:val="21"/>
              </w:rPr>
              <w:t>元</w:t>
            </w:r>
            <w:r>
              <w:rPr>
                <w:rFonts w:ascii="宋体" w:hAnsi="宋体" w:cs="宋体" w:eastAsia="宋体" w:hint="default"/>
                <w:spacing w:val="-2"/>
                <w:sz w:val="21"/>
                <w:szCs w:val="21"/>
              </w:rPr>
              <w:t>人</w:t>
            </w:r>
            <w:r>
              <w:rPr>
                <w:rFonts w:ascii="宋体" w:hAnsi="宋体" w:cs="宋体" w:eastAsia="宋体" w:hint="default"/>
                <w:sz w:val="21"/>
                <w:szCs w:val="21"/>
              </w:rPr>
              <w:t>民币（含税</w:t>
            </w:r>
            <w:r>
              <w:rPr>
                <w:rFonts w:ascii="宋体" w:hAnsi="宋体" w:cs="宋体" w:eastAsia="宋体" w:hint="default"/>
                <w:spacing w:val="-106"/>
                <w:sz w:val="21"/>
                <w:szCs w:val="21"/>
              </w:rPr>
              <w:t>）</w:t>
            </w:r>
            <w:r>
              <w:rPr>
                <w:rFonts w:ascii="宋体" w:hAnsi="宋体" w:cs="宋体" w:eastAsia="宋体" w:hint="default"/>
                <w:sz w:val="21"/>
                <w:szCs w:val="21"/>
              </w:rPr>
              <w:t>，合计派</w:t>
            </w:r>
          </w:p>
          <w:p>
            <w:pPr>
              <w:pStyle w:val="TableParagraph"/>
              <w:spacing w:line="240" w:lineRule="auto" w:before="178"/>
              <w:ind w:left="22" w:right="0"/>
              <w:jc w:val="both"/>
              <w:rPr>
                <w:rFonts w:ascii="宋体" w:hAnsi="宋体" w:cs="宋体" w:eastAsia="宋体" w:hint="default"/>
                <w:sz w:val="21"/>
                <w:szCs w:val="21"/>
              </w:rPr>
            </w:pPr>
            <w:r>
              <w:rPr>
                <w:rFonts w:ascii="宋体" w:hAnsi="宋体" w:cs="宋体" w:eastAsia="宋体" w:hint="default"/>
                <w:sz w:val="21"/>
                <w:szCs w:val="21"/>
              </w:rPr>
              <w:t>发现金红利人民币</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63,586,624.72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r>
        <w:rPr/>
        <w:t>公司近</w:t>
      </w:r>
      <w:r>
        <w:rPr>
          <w:spacing w:val="-53"/>
        </w:rPr>
        <w:t> </w:t>
      </w:r>
      <w:r>
        <w:rPr>
          <w:rFonts w:ascii="Times New Roman" w:hAnsi="Times New Roman" w:cs="Times New Roman" w:eastAsia="Times New Roman" w:hint="default"/>
        </w:rPr>
        <w:t>3 </w:t>
      </w:r>
      <w:r>
        <w:rPr>
          <w:spacing w:val="-2"/>
        </w:rPr>
        <w:t>年</w:t>
      </w:r>
      <w:r>
        <w:rPr/>
        <w:t>（包括本报告期）的普通股股利分配方案（预案</w:t>
      </w:r>
      <w:r>
        <w:rPr>
          <w:spacing w:val="-105"/>
        </w:rPr>
        <w:t>）</w:t>
      </w:r>
      <w:r>
        <w:rPr/>
        <w:t>、资本</w:t>
      </w:r>
      <w:r>
        <w:rPr>
          <w:spacing w:val="-2"/>
        </w:rPr>
        <w:t>公</w:t>
      </w:r>
      <w:r>
        <w:rPr/>
        <w:t>积金转增股本方案（预案）情况</w:t>
      </w:r>
    </w:p>
    <w:p>
      <w:pPr>
        <w:spacing w:line="240" w:lineRule="auto" w:before="8"/>
        <w:rPr>
          <w:rFonts w:ascii="宋体" w:hAnsi="宋体" w:cs="宋体" w:eastAsia="宋体" w:hint="default"/>
          <w:sz w:val="16"/>
          <w:szCs w:val="16"/>
        </w:rPr>
      </w:pPr>
    </w:p>
    <w:p>
      <w:pPr>
        <w:pStyle w:val="BodyText"/>
        <w:spacing w:line="240" w:lineRule="auto"/>
        <w:ind w:left="573"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年利润分配方案：以公司股本</w:t>
      </w:r>
      <w:r>
        <w:rPr>
          <w:rFonts w:ascii="Times New Roman" w:hAnsi="Times New Roman" w:cs="Times New Roman" w:eastAsia="Times New Roman" w:hint="default"/>
        </w:rPr>
        <w:t>496,340,506</w:t>
      </w:r>
      <w:r>
        <w:rPr/>
        <w:t>股为基数，向全体股东每</w:t>
      </w:r>
      <w:r>
        <w:rPr>
          <w:rFonts w:ascii="Times New Roman" w:hAnsi="Times New Roman" w:cs="Times New Roman" w:eastAsia="Times New Roman" w:hint="default"/>
        </w:rPr>
        <w:t>10</w:t>
      </w:r>
      <w:r>
        <w:rPr/>
        <w:t>股派发现金股利人民币</w:t>
      </w:r>
    </w:p>
    <w:p>
      <w:pPr>
        <w:pStyle w:val="BodyText"/>
        <w:spacing w:line="240" w:lineRule="auto" w:before="177"/>
        <w:ind w:right="0"/>
        <w:jc w:val="left"/>
      </w:pPr>
      <w:r>
        <w:rPr>
          <w:rFonts w:ascii="Times New Roman" w:hAnsi="Times New Roman" w:cs="Times New Roman" w:eastAsia="Times New Roman" w:hint="default"/>
        </w:rPr>
        <w:t>0.4</w:t>
      </w:r>
      <w:r>
        <w:rPr/>
        <w:t>元（含税）；</w:t>
      </w:r>
    </w:p>
    <w:p>
      <w:pPr>
        <w:pStyle w:val="BodyText"/>
        <w:spacing w:line="386" w:lineRule="auto" w:before="177"/>
        <w:ind w:right="1025" w:firstLine="419"/>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年利润分配方案：以公司总股本</w:t>
      </w:r>
      <w:r>
        <w:rPr>
          <w:rFonts w:ascii="Times New Roman" w:hAnsi="Times New Roman" w:cs="Times New Roman" w:eastAsia="Times New Roman" w:hint="default"/>
        </w:rPr>
        <w:t>496,803,986</w:t>
      </w:r>
      <w:r>
        <w:rPr/>
        <w:t>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2</w:t>
      </w:r>
      <w:r>
        <w:rPr/>
        <w:t>元人民 </w:t>
      </w:r>
      <w:r>
        <w:rPr>
          <w:spacing w:val="-9"/>
        </w:rPr>
        <w:t>币（含税），合计派发现金红利人民币</w:t>
      </w:r>
      <w:r>
        <w:rPr>
          <w:rFonts w:ascii="Times New Roman" w:hAnsi="Times New Roman" w:cs="Times New Roman" w:eastAsia="Times New Roman" w:hint="default"/>
          <w:spacing w:val="-9"/>
        </w:rPr>
        <w:t>99,360,797.2</w:t>
      </w:r>
      <w:r>
        <w:rPr>
          <w:spacing w:val="-9"/>
        </w:rPr>
        <w:t>元，同时，进行资本公积金转增股本，以总股本</w:t>
      </w:r>
      <w:r>
        <w:rPr>
          <w:rFonts w:ascii="Times New Roman" w:hAnsi="Times New Roman" w:cs="Times New Roman" w:eastAsia="Times New Roman" w:hint="default"/>
          <w:spacing w:val="-9"/>
        </w:rPr>
        <w:t>496,803,986</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spacing w:val="-1"/>
        </w:rPr>
        <w:t>股为基数，向全体股东每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6</w:t>
      </w:r>
      <w:r>
        <w:rPr>
          <w:spacing w:val="-1"/>
        </w:rPr>
        <w:t>股，共计转增</w:t>
      </w:r>
      <w:r>
        <w:rPr>
          <w:rFonts w:ascii="Times New Roman" w:hAnsi="Times New Roman" w:cs="Times New Roman" w:eastAsia="Times New Roman" w:hint="default"/>
          <w:spacing w:val="-1"/>
        </w:rPr>
        <w:t>298,082,391</w:t>
      </w:r>
      <w:r>
        <w:rPr>
          <w:spacing w:val="-1"/>
        </w:rPr>
        <w:t>股，转增后公司总股本增加至</w:t>
      </w:r>
      <w:r>
        <w:rPr>
          <w:rFonts w:ascii="Times New Roman" w:hAnsi="Times New Roman" w:cs="Times New Roman" w:eastAsia="Times New Roman" w:hint="default"/>
          <w:spacing w:val="-1"/>
        </w:rPr>
        <w:t>794,886,377</w:t>
      </w:r>
      <w:r>
        <w:rPr>
          <w:spacing w:val="-1"/>
        </w:rPr>
        <w:t>股。</w:t>
      </w:r>
    </w:p>
    <w:p>
      <w:pPr>
        <w:pStyle w:val="BodyText"/>
        <w:spacing w:line="386" w:lineRule="auto" w:before="35"/>
        <w:ind w:right="0" w:firstLine="420"/>
        <w:jc w:val="left"/>
      </w:pP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2018</w:t>
      </w:r>
      <w:r>
        <w:rPr>
          <w:spacing w:val="-1"/>
        </w:rPr>
        <w:t>年利润分配方案：以公司总股本</w:t>
      </w:r>
      <w:r>
        <w:rPr>
          <w:rFonts w:ascii="Times New Roman" w:hAnsi="Times New Roman" w:cs="Times New Roman" w:eastAsia="Times New Roman" w:hint="default"/>
          <w:spacing w:val="-1"/>
        </w:rPr>
        <w:t>794,832,809</w:t>
      </w:r>
      <w:r>
        <w:rPr>
          <w:spacing w:val="-1"/>
        </w:rPr>
        <w:t>股为基数向全体股东每</w:t>
      </w:r>
      <w:r>
        <w:rPr>
          <w:rFonts w:ascii="Times New Roman" w:hAnsi="Times New Roman" w:cs="Times New Roman" w:eastAsia="Times New Roman" w:hint="default"/>
          <w:spacing w:val="-1"/>
        </w:rPr>
        <w:t>10</w:t>
      </w:r>
      <w:r>
        <w:rPr>
          <w:spacing w:val="-1"/>
        </w:rPr>
        <w:t>股派发现金股利</w:t>
      </w:r>
      <w:r>
        <w:rPr>
          <w:rFonts w:ascii="Times New Roman" w:hAnsi="Times New Roman" w:cs="Times New Roman" w:eastAsia="Times New Roman" w:hint="default"/>
          <w:spacing w:val="-1"/>
        </w:rPr>
        <w:t>0.8</w:t>
      </w:r>
      <w:r>
        <w:rPr>
          <w:spacing w:val="-1"/>
        </w:rPr>
        <w:t>元人</w:t>
      </w:r>
      <w:r>
        <w:rPr/>
        <w:t> 民币（含税），合计派发现金红利人民币</w:t>
      </w:r>
      <w:r>
        <w:rPr>
          <w:rFonts w:ascii="Times New Roman" w:hAnsi="Times New Roman" w:cs="Times New Roman" w:eastAsia="Times New Roman" w:hint="default"/>
        </w:rPr>
        <w:t>63,586,624.72</w:t>
      </w:r>
      <w:r>
        <w:rPr/>
        <w:t>元。</w:t>
      </w:r>
    </w:p>
    <w:p>
      <w:pPr>
        <w:spacing w:before="23"/>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6"/>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51"/>
        <w:gridCol w:w="1134"/>
        <w:gridCol w:w="1417"/>
        <w:gridCol w:w="1560"/>
        <w:gridCol w:w="1018"/>
        <w:gridCol w:w="1196"/>
        <w:gridCol w:w="1196"/>
        <w:gridCol w:w="1195"/>
      </w:tblGrid>
      <w:tr>
        <w:trPr>
          <w:trHeight w:val="367" w:hRule="exact"/>
        </w:trPr>
        <w:tc>
          <w:tcPr>
            <w:tcW w:w="851" w:type="dxa"/>
            <w:tcBorders>
              <w:top w:val="single" w:sz="4" w:space="0" w:color="000000"/>
              <w:left w:val="single" w:sz="4" w:space="0" w:color="000000"/>
              <w:bottom w:val="nil" w:sz="6" w:space="0" w:color="auto"/>
              <w:right w:val="single" w:sz="4" w:space="0" w:color="000000"/>
            </w:tcBorders>
            <w:shd w:val="clear" w:color="auto" w:fill="D3D3D3"/>
          </w:tcPr>
          <w:p>
            <w:pPr/>
          </w:p>
        </w:tc>
        <w:tc>
          <w:tcPr>
            <w:tcW w:w="1134" w:type="dxa"/>
            <w:tcBorders>
              <w:top w:val="single" w:sz="4" w:space="0" w:color="000000"/>
              <w:left w:val="single" w:sz="4" w:space="0" w:color="000000"/>
              <w:bottom w:val="nil" w:sz="6" w:space="0" w:color="auto"/>
              <w:right w:val="single" w:sz="4" w:space="0" w:color="000000"/>
            </w:tcBorders>
            <w:shd w:val="clear" w:color="auto" w:fill="D3D3D3"/>
          </w:tcPr>
          <w:p>
            <w:pPr/>
          </w:p>
        </w:tc>
        <w:tc>
          <w:tcPr>
            <w:tcW w:w="1417" w:type="dxa"/>
            <w:tcBorders>
              <w:top w:val="single" w:sz="4" w:space="0" w:color="000000"/>
              <w:left w:val="single" w:sz="4" w:space="0" w:color="000000"/>
              <w:bottom w:val="nil" w:sz="6" w:space="0" w:color="auto"/>
              <w:right w:val="single" w:sz="4" w:space="0" w:color="000000"/>
            </w:tcBorders>
            <w:shd w:val="clear" w:color="auto" w:fill="D3D3D3"/>
          </w:tcPr>
          <w:p>
            <w:pPr/>
          </w:p>
        </w:tc>
        <w:tc>
          <w:tcPr>
            <w:tcW w:w="156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18" w:type="dxa"/>
            <w:tcBorders>
              <w:top w:val="single" w:sz="4" w:space="0" w:color="000000"/>
              <w:left w:val="single" w:sz="4" w:space="0" w:color="000000"/>
              <w:bottom w:val="nil" w:sz="6" w:space="0" w:color="auto"/>
              <w:right w:val="single" w:sz="4" w:space="0" w:color="000000"/>
            </w:tcBorders>
            <w:shd w:val="clear" w:color="auto" w:fill="D3D3D3"/>
          </w:tcPr>
          <w:p>
            <w:pPr/>
          </w:p>
        </w:tc>
        <w:tc>
          <w:tcPr>
            <w:tcW w:w="119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以其他方式现</w:t>
            </w:r>
          </w:p>
        </w:tc>
        <w:tc>
          <w:tcPr>
            <w:tcW w:w="11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195"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tc>
      </w:tr>
      <w:tr>
        <w:trPr>
          <w:trHeight w:val="1248"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3"/>
                <w:szCs w:val="23"/>
              </w:rPr>
            </w:pPr>
          </w:p>
          <w:p>
            <w:pPr>
              <w:pStyle w:val="TableParagraph"/>
              <w:spacing w:line="316" w:lineRule="auto"/>
              <w:ind w:left="111" w:right="110"/>
              <w:jc w:val="left"/>
              <w:rPr>
                <w:rFonts w:ascii="宋体" w:hAnsi="宋体" w:cs="宋体" w:eastAsia="宋体" w:hint="default"/>
                <w:sz w:val="18"/>
                <w:szCs w:val="18"/>
              </w:rPr>
            </w:pPr>
            <w:r>
              <w:rPr>
                <w:rFonts w:ascii="宋体" w:hAnsi="宋体" w:cs="宋体" w:eastAsia="宋体" w:hint="default"/>
                <w:sz w:val="18"/>
                <w:szCs w:val="18"/>
              </w:rPr>
              <w:t>现金分红金 额（含税）</w:t>
            </w:r>
          </w:p>
        </w:tc>
        <w:tc>
          <w:tcPr>
            <w:tcW w:w="141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
              <w:ind w:left="73" w:right="72"/>
              <w:jc w:val="center"/>
              <w:rPr>
                <w:rFonts w:ascii="宋体" w:hAnsi="宋体" w:cs="宋体" w:eastAsia="宋体" w:hint="default"/>
                <w:sz w:val="18"/>
                <w:szCs w:val="18"/>
              </w:rPr>
            </w:pPr>
            <w:r>
              <w:rPr>
                <w:rFonts w:ascii="宋体" w:hAnsi="宋体" w:cs="宋体" w:eastAsia="宋体" w:hint="default"/>
                <w:sz w:val="18"/>
                <w:szCs w:val="18"/>
              </w:rPr>
              <w:t>分红年度合并报 表中归属于上市 公司普通股股东 的净利润</w:t>
            </w:r>
          </w:p>
        </w:tc>
        <w:tc>
          <w:tcPr>
            <w:tcW w:w="15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
              <w:ind w:left="54" w:right="54"/>
              <w:jc w:val="both"/>
              <w:rPr>
                <w:rFonts w:ascii="宋体" w:hAnsi="宋体" w:cs="宋体" w:eastAsia="宋体" w:hint="default"/>
                <w:sz w:val="18"/>
                <w:szCs w:val="18"/>
              </w:rPr>
            </w:pPr>
            <w:r>
              <w:rPr>
                <w:rFonts w:ascii="宋体" w:hAnsi="宋体" w:cs="宋体" w:eastAsia="宋体" w:hint="default"/>
                <w:sz w:val="18"/>
                <w:szCs w:val="18"/>
              </w:rPr>
              <w:t>现金分红金额占合 并报表中归属于上 市公司普通股股东 的净利润的比率</w:t>
            </w:r>
          </w:p>
        </w:tc>
        <w:tc>
          <w:tcPr>
            <w:tcW w:w="10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53" w:right="0"/>
              <w:jc w:val="both"/>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5"/>
              <w:ind w:left="53" w:right="53"/>
              <w:jc w:val="both"/>
              <w:rPr>
                <w:rFonts w:ascii="宋体" w:hAnsi="宋体" w:cs="宋体" w:eastAsia="宋体" w:hint="default"/>
                <w:sz w:val="18"/>
                <w:szCs w:val="18"/>
              </w:rPr>
            </w:pPr>
            <w:r>
              <w:rPr>
                <w:rFonts w:ascii="宋体" w:hAnsi="宋体" w:cs="宋体" w:eastAsia="宋体" w:hint="default"/>
                <w:sz w:val="18"/>
                <w:szCs w:val="18"/>
              </w:rPr>
              <w:t>（如回购股 份）现金分 红的金额</w:t>
            </w:r>
          </w:p>
        </w:tc>
        <w:tc>
          <w:tcPr>
            <w:tcW w:w="11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ind w:left="53" w:right="50"/>
              <w:jc w:val="both"/>
              <w:rPr>
                <w:rFonts w:ascii="宋体" w:hAnsi="宋体" w:cs="宋体" w:eastAsia="宋体" w:hint="default"/>
                <w:sz w:val="18"/>
                <w:szCs w:val="18"/>
              </w:rPr>
            </w:pPr>
            <w:r>
              <w:rPr>
                <w:rFonts w:ascii="宋体" w:hAnsi="宋体" w:cs="宋体" w:eastAsia="宋体" w:hint="default"/>
                <w:sz w:val="18"/>
                <w:szCs w:val="18"/>
              </w:rPr>
              <w:t>金分红金额占 合并报表中归 属于上市公司 普通股股东的</w:t>
            </w:r>
          </w:p>
        </w:tc>
        <w:tc>
          <w:tcPr>
            <w:tcW w:w="11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57"/>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412" w:right="143"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20"/>
              <w:ind w:left="52" w:right="50" w:firstLine="90"/>
              <w:jc w:val="left"/>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w:t>
            </w:r>
          </w:p>
        </w:tc>
      </w:tr>
      <w:tr>
        <w:trPr>
          <w:trHeight w:val="347" w:hRule="exact"/>
        </w:trPr>
        <w:tc>
          <w:tcPr>
            <w:tcW w:w="851" w:type="dxa"/>
            <w:tcBorders>
              <w:top w:val="nil" w:sz="6" w:space="0" w:color="auto"/>
              <w:left w:val="single" w:sz="4" w:space="0" w:color="000000"/>
              <w:bottom w:val="single" w:sz="4" w:space="0" w:color="000000"/>
              <w:right w:val="single" w:sz="4" w:space="0" w:color="000000"/>
            </w:tcBorders>
            <w:shd w:val="clear" w:color="auto" w:fill="D3D3D3"/>
          </w:tcPr>
          <w:p>
            <w:pPr/>
          </w:p>
        </w:tc>
        <w:tc>
          <w:tcPr>
            <w:tcW w:w="1134" w:type="dxa"/>
            <w:tcBorders>
              <w:top w:val="nil" w:sz="6" w:space="0" w:color="auto"/>
              <w:left w:val="single" w:sz="4" w:space="0" w:color="000000"/>
              <w:bottom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18"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
              <w:ind w:left="1" w:right="0"/>
              <w:jc w:val="center"/>
              <w:rPr>
                <w:rFonts w:ascii="宋体" w:hAnsi="宋体" w:cs="宋体" w:eastAsia="宋体" w:hint="default"/>
                <w:sz w:val="18"/>
                <w:szCs w:val="18"/>
              </w:rPr>
            </w:pPr>
            <w:r>
              <w:rPr>
                <w:rFonts w:ascii="宋体" w:hAnsi="宋体" w:cs="宋体" w:eastAsia="宋体" w:hint="default"/>
                <w:sz w:val="18"/>
                <w:szCs w:val="18"/>
              </w:rPr>
              <w:t>净利润的比例</w:t>
            </w:r>
          </w:p>
        </w:tc>
        <w:tc>
          <w:tcPr>
            <w:tcW w:w="11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5"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股东的净利润</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51"/>
        <w:gridCol w:w="1134"/>
        <w:gridCol w:w="1417"/>
        <w:gridCol w:w="1560"/>
        <w:gridCol w:w="1018"/>
        <w:gridCol w:w="1196"/>
        <w:gridCol w:w="1196"/>
        <w:gridCol w:w="1195"/>
      </w:tblGrid>
      <w:tr>
        <w:trPr>
          <w:trHeight w:val="362"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22" w:right="0"/>
              <w:jc w:val="left"/>
              <w:rPr>
                <w:rFonts w:ascii="宋体" w:hAnsi="宋体" w:cs="宋体" w:eastAsia="宋体" w:hint="default"/>
                <w:sz w:val="18"/>
                <w:szCs w:val="18"/>
              </w:rPr>
            </w:pPr>
            <w:r>
              <w:rPr>
                <w:rFonts w:ascii="宋体" w:hAnsi="宋体" w:cs="宋体" w:eastAsia="宋体" w:hint="default"/>
                <w:sz w:val="18"/>
                <w:szCs w:val="18"/>
              </w:rPr>
              <w:t>的比率</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63,586,624.72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303,214,679.83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20.97%</w:t>
            </w:r>
          </w:p>
        </w:tc>
        <w:tc>
          <w:tcPr>
            <w:tcW w:w="101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63,586,624.72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20.97%</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99,360,797.20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271,716,271.45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36.57%</w:t>
            </w:r>
          </w:p>
        </w:tc>
        <w:tc>
          <w:tcPr>
            <w:tcW w:w="101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99,360,797.20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36.57%</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19,853,620.24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182,624,041.44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10.87%</w:t>
            </w:r>
          </w:p>
        </w:tc>
        <w:tc>
          <w:tcPr>
            <w:tcW w:w="101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19,853,620.24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3"/>
          <w:szCs w:val="23"/>
        </w:rPr>
      </w:pPr>
    </w:p>
    <w:p>
      <w:pPr>
        <w:pStyle w:val="Heading2"/>
        <w:spacing w:line="240" w:lineRule="auto"/>
        <w:ind w:right="0"/>
        <w:jc w:val="left"/>
        <w:rPr>
          <w:b w:val="0"/>
          <w:bCs w:val="0"/>
        </w:rPr>
      </w:pPr>
      <w:r>
        <w:rPr/>
        <w:t>二、承诺事项履行情况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56" w:lineRule="auto"/>
        <w:ind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83" w:type="dxa"/>
        <w:tblLayout w:type="fixed"/>
        <w:tblCellMar>
          <w:top w:w="0" w:type="dxa"/>
          <w:left w:w="0" w:type="dxa"/>
          <w:bottom w:w="0" w:type="dxa"/>
          <w:right w:w="0" w:type="dxa"/>
        </w:tblCellMar>
        <w:tblLook w:val="01E0"/>
      </w:tblPr>
      <w:tblGrid>
        <w:gridCol w:w="1134"/>
        <w:gridCol w:w="1134"/>
        <w:gridCol w:w="709"/>
        <w:gridCol w:w="3970"/>
        <w:gridCol w:w="708"/>
        <w:gridCol w:w="568"/>
        <w:gridCol w:w="1345"/>
      </w:tblGrid>
      <w:tr>
        <w:trPr>
          <w:trHeight w:val="1338"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69" w:right="168"/>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68" w:right="168"/>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88" w:right="187"/>
              <w:jc w:val="both"/>
              <w:rPr>
                <w:rFonts w:ascii="宋体" w:hAnsi="宋体" w:cs="宋体" w:eastAsia="宋体" w:hint="default"/>
                <w:sz w:val="18"/>
                <w:szCs w:val="18"/>
              </w:rPr>
            </w:pPr>
            <w:r>
              <w:rPr>
                <w:rFonts w:ascii="宋体" w:hAnsi="宋体" w:cs="宋体" w:eastAsia="宋体" w:hint="default"/>
                <w:sz w:val="18"/>
                <w:szCs w:val="18"/>
              </w:rPr>
              <w:t>承 诺 期 限</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58" w:hRule="exact"/>
        </w:trPr>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收购报告书</w:t>
            </w:r>
          </w:p>
        </w:tc>
        <w:tc>
          <w:tcPr>
            <w:tcW w:w="1134"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3970" w:type="dxa"/>
            <w:tcBorders>
              <w:top w:val="single" w:sz="4" w:space="0" w:color="000000"/>
              <w:left w:val="single" w:sz="4" w:space="0" w:color="000000"/>
              <w:bottom w:val="nil" w:sz="6" w:space="0" w:color="auto"/>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56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8" w:right="187"/>
              <w:jc w:val="both"/>
              <w:rPr>
                <w:rFonts w:ascii="宋体" w:hAnsi="宋体" w:cs="宋体" w:eastAsia="宋体" w:hint="default"/>
                <w:sz w:val="18"/>
                <w:szCs w:val="18"/>
              </w:rPr>
            </w:pPr>
            <w:r>
              <w:rPr>
                <w:rFonts w:ascii="宋体" w:hAnsi="宋体" w:cs="宋体" w:eastAsia="宋体" w:hint="default"/>
                <w:sz w:val="18"/>
                <w:szCs w:val="18"/>
              </w:rPr>
              <w:t>不 适 用</w:t>
            </w:r>
          </w:p>
        </w:tc>
        <w:tc>
          <w:tcPr>
            <w:tcW w:w="1345" w:type="dxa"/>
            <w:tcBorders>
              <w:top w:val="single" w:sz="4" w:space="0" w:color="000000"/>
              <w:left w:val="single" w:sz="4" w:space="0" w:color="000000"/>
              <w:bottom w:val="nil" w:sz="6" w:space="0" w:color="auto"/>
              <w:right w:val="single" w:sz="4" w:space="0" w:color="000000"/>
            </w:tcBorders>
          </w:tcPr>
          <w:p>
            <w:pPr/>
          </w:p>
        </w:tc>
      </w:tr>
      <w:tr>
        <w:trPr>
          <w:trHeight w:val="625" w:hRule="exact"/>
        </w:trPr>
        <w:tc>
          <w:tcPr>
            <w:tcW w:w="113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19"/>
              <w:jc w:val="left"/>
              <w:rPr>
                <w:rFonts w:ascii="宋体" w:hAnsi="宋体" w:cs="宋体" w:eastAsia="宋体" w:hint="default"/>
                <w:sz w:val="18"/>
                <w:szCs w:val="18"/>
              </w:rPr>
            </w:pPr>
            <w:r>
              <w:rPr>
                <w:rFonts w:ascii="宋体" w:hAnsi="宋体" w:cs="宋体" w:eastAsia="宋体" w:hint="default"/>
                <w:sz w:val="18"/>
                <w:szCs w:val="18"/>
              </w:rPr>
              <w:t>或权益变动 报告书中所</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103" w:right="234"/>
              <w:jc w:val="left"/>
              <w:rPr>
                <w:rFonts w:ascii="宋体" w:hAnsi="宋体" w:cs="宋体" w:eastAsia="宋体" w:hint="default"/>
                <w:sz w:val="18"/>
                <w:szCs w:val="18"/>
              </w:rPr>
            </w:pPr>
            <w:r>
              <w:rPr>
                <w:rFonts w:ascii="宋体" w:hAnsi="宋体" w:cs="宋体" w:eastAsia="宋体" w:hint="default"/>
                <w:sz w:val="18"/>
                <w:szCs w:val="18"/>
              </w:rPr>
              <w:t>不适 用</w:t>
            </w: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5" w:hRule="exact"/>
        </w:trPr>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作承诺</w:t>
            </w:r>
          </w:p>
        </w:tc>
        <w:tc>
          <w:tcPr>
            <w:tcW w:w="1134"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3970" w:type="dxa"/>
            <w:tcBorders>
              <w:top w:val="nil" w:sz="6" w:space="0" w:color="auto"/>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13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39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、盈利预测江苏税软交易对方承诺，</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08"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年（即江苏税软收购交易项下的</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补偿期限）的每一会计年度期末产生于补偿期限</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内的江苏税软合并报表中扣除非经常性损益后</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4056" w:hRule="exact"/>
        </w:trPr>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316" w:lineRule="auto"/>
              <w:ind w:left="103" w:right="119"/>
              <w:jc w:val="left"/>
              <w:rPr>
                <w:rFonts w:ascii="宋体" w:hAnsi="宋体" w:cs="宋体" w:eastAsia="宋体" w:hint="default"/>
                <w:sz w:val="18"/>
                <w:szCs w:val="18"/>
              </w:rPr>
            </w:pPr>
            <w:r>
              <w:rPr>
                <w:rFonts w:ascii="宋体" w:hAnsi="宋体" w:cs="宋体" w:eastAsia="宋体" w:hint="default"/>
                <w:sz w:val="18"/>
                <w:szCs w:val="18"/>
              </w:rPr>
              <w:t>资产重组时 所作承诺</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316" w:lineRule="auto"/>
              <w:ind w:left="103" w:right="11"/>
              <w:jc w:val="left"/>
              <w:rPr>
                <w:rFonts w:ascii="宋体" w:hAnsi="宋体" w:cs="宋体" w:eastAsia="宋体" w:hint="default"/>
                <w:sz w:val="18"/>
                <w:szCs w:val="18"/>
              </w:rPr>
            </w:pPr>
            <w:r>
              <w:rPr>
                <w:rFonts w:ascii="宋体" w:hAnsi="宋体" w:cs="宋体" w:eastAsia="宋体" w:hint="default"/>
                <w:sz w:val="18"/>
                <w:szCs w:val="18"/>
              </w:rPr>
              <w:t>安林冲；包 </w:t>
            </w:r>
            <w:r>
              <w:rPr>
                <w:rFonts w:ascii="宋体" w:hAnsi="宋体" w:cs="宋体" w:eastAsia="宋体" w:hint="default"/>
                <w:spacing w:val="-12"/>
                <w:sz w:val="18"/>
                <w:szCs w:val="18"/>
              </w:rPr>
              <w:t>志翔；陈燕；</w:t>
            </w:r>
            <w:r>
              <w:rPr>
                <w:rFonts w:ascii="宋体" w:hAnsi="宋体" w:cs="宋体" w:eastAsia="宋体" w:hint="default"/>
                <w:sz w:val="18"/>
                <w:szCs w:val="18"/>
              </w:rPr>
              <w:t> 仇宏远；郭 玉智；韩海 青；黄新； </w:t>
            </w:r>
            <w:r>
              <w:rPr>
                <w:rFonts w:ascii="宋体" w:hAnsi="宋体" w:cs="宋体" w:eastAsia="宋体" w:hint="default"/>
                <w:spacing w:val="-12"/>
                <w:sz w:val="18"/>
                <w:szCs w:val="18"/>
              </w:rPr>
              <w:t>李佳；李江；</w:t>
            </w:r>
            <w:r>
              <w:rPr>
                <w:rFonts w:ascii="宋体" w:hAnsi="宋体" w:cs="宋体" w:eastAsia="宋体" w:hint="default"/>
                <w:sz w:val="18"/>
                <w:szCs w:val="18"/>
              </w:rPr>
              <w:t> 卢晓英；任 </w:t>
            </w:r>
            <w:r>
              <w:rPr>
                <w:rFonts w:ascii="宋体" w:hAnsi="宋体" w:cs="宋体" w:eastAsia="宋体" w:hint="default"/>
                <w:spacing w:val="-12"/>
                <w:sz w:val="18"/>
                <w:szCs w:val="18"/>
              </w:rPr>
              <w:t>炜；孙士玉；</w:t>
            </w:r>
            <w:r>
              <w:rPr>
                <w:rFonts w:ascii="宋体" w:hAnsi="宋体" w:cs="宋体" w:eastAsia="宋体" w:hint="default"/>
                <w:sz w:val="18"/>
                <w:szCs w:val="18"/>
              </w:rPr>
              <w:t> 王亚明；韦 玉荣；叶树 军；张红光</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103" w:right="234"/>
              <w:jc w:val="both"/>
              <w:rPr>
                <w:rFonts w:ascii="宋体" w:hAnsi="宋体" w:cs="宋体" w:eastAsia="宋体" w:hint="default"/>
                <w:sz w:val="18"/>
                <w:szCs w:val="18"/>
              </w:rPr>
            </w:pPr>
            <w:r>
              <w:rPr>
                <w:rFonts w:ascii="宋体" w:hAnsi="宋体" w:cs="宋体" w:eastAsia="宋体" w:hint="default"/>
                <w:sz w:val="18"/>
                <w:szCs w:val="18"/>
              </w:rPr>
              <w:t>业绩 承诺 及补 偿安 排</w:t>
            </w: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103" w:right="13"/>
              <w:jc w:val="left"/>
              <w:rPr>
                <w:rFonts w:ascii="宋体" w:hAnsi="宋体" w:cs="宋体" w:eastAsia="宋体" w:hint="default"/>
                <w:sz w:val="18"/>
                <w:szCs w:val="18"/>
              </w:rPr>
            </w:pPr>
            <w:r>
              <w:rPr>
                <w:rFonts w:ascii="宋体" w:hAnsi="宋体" w:cs="宋体" w:eastAsia="宋体" w:hint="default"/>
                <w:sz w:val="18"/>
                <w:szCs w:val="18"/>
              </w:rPr>
              <w:t>归属于母公司的累计净利润合计数不低于《评估 报告》中相应会计年度期末累计的净利润预测合 计数，该利润合计数以按照企业会计准则出具的 江苏税软合并审计报告为准。根据经审核的盈利 </w:t>
            </w:r>
            <w:r>
              <w:rPr>
                <w:rFonts w:ascii="宋体" w:hAnsi="宋体" w:cs="宋体" w:eastAsia="宋体" w:hint="default"/>
                <w:spacing w:val="-6"/>
                <w:sz w:val="18"/>
                <w:szCs w:val="18"/>
              </w:rPr>
              <w:t>预测，江苏税软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2016</w:t>
            </w:r>
            <w:r>
              <w:rPr>
                <w:rFonts w:ascii="Times New Roman" w:hAnsi="Times New Roman" w:cs="Times New Roman" w:eastAsia="Times New Roman" w:hint="default"/>
                <w:sz w:val="18"/>
                <w:szCs w:val="18"/>
              </w:rPr>
              <w:t> </w:t>
            </w:r>
            <w:r>
              <w:rPr>
                <w:rFonts w:ascii="宋体" w:hAnsi="宋体" w:cs="宋体" w:eastAsia="宋体" w:hint="default"/>
                <w:sz w:val="18"/>
                <w:szCs w:val="18"/>
              </w:rPr>
              <w:t>年及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年当期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扣除非经常性损益后归属于母公司的预测净利 润额分别为</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2,800</w:t>
            </w:r>
            <w:r>
              <w:rPr>
                <w:rFonts w:ascii="Times New Roman" w:hAnsi="Times New Roman" w:cs="Times New Roman" w:eastAsia="Times New Roman" w:hint="default"/>
                <w:spacing w:val="-5"/>
                <w:sz w:val="18"/>
                <w:szCs w:val="18"/>
              </w:rPr>
              <w:t> </w:t>
            </w:r>
            <w:r>
              <w:rPr>
                <w:rFonts w:ascii="宋体" w:hAnsi="宋体" w:cs="宋体" w:eastAsia="宋体" w:hint="default"/>
                <w:spacing w:val="-12"/>
                <w:sz w:val="18"/>
                <w:szCs w:val="18"/>
              </w:rPr>
              <w:t>万元、</w:t>
            </w:r>
            <w:r>
              <w:rPr>
                <w:rFonts w:ascii="Times New Roman" w:hAnsi="Times New Roman" w:cs="Times New Roman" w:eastAsia="Times New Roman" w:hint="default"/>
                <w:spacing w:val="-12"/>
                <w:sz w:val="18"/>
                <w:szCs w:val="18"/>
              </w:rPr>
              <w:t>3,750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万元及</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4,560</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万元。</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、实际净利润的确定美亚柏科应当在补偿期限 内每一会计年度审计时对江苏税软当年的实际 净利润数与净利润预测数的差异进行审核，并由 各方共同聘请的具有证券期货相关业务资格的 会计师事务所对此出具专项审核意见（该专项审 核意见应基于按照企业会计准则出具的江苏税</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23</w:t>
            </w:r>
          </w:p>
          <w:p>
            <w:pPr>
              <w:pStyle w:val="TableParagraph"/>
              <w:spacing w:line="240" w:lineRule="auto" w:before="66"/>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103" w:right="101"/>
              <w:jc w:val="both"/>
              <w:rPr>
                <w:rFonts w:ascii="Times New Roman" w:hAnsi="Times New Roman" w:cs="Times New Roman" w:eastAsia="Times New Roman" w:hint="default"/>
                <w:sz w:val="18"/>
                <w:szCs w:val="18"/>
              </w:rPr>
            </w:pPr>
            <w:r>
              <w:rPr>
                <w:rFonts w:ascii="宋体" w:hAnsi="宋体" w:cs="宋体" w:eastAsia="宋体" w:hint="default"/>
                <w:sz w:val="18"/>
                <w:szCs w:val="18"/>
              </w:rPr>
              <w:t>已履行完毕， 业绩承诺已达 到。详见公司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23</w:t>
            </w:r>
          </w:p>
          <w:p>
            <w:pPr>
              <w:pStyle w:val="TableParagraph"/>
              <w:spacing w:line="314" w:lineRule="auto"/>
              <w:ind w:left="103" w:right="102"/>
              <w:jc w:val="both"/>
              <w:rPr>
                <w:rFonts w:ascii="宋体" w:hAnsi="宋体" w:cs="宋体" w:eastAsia="宋体" w:hint="default"/>
                <w:sz w:val="18"/>
                <w:szCs w:val="18"/>
              </w:rPr>
            </w:pPr>
            <w:r>
              <w:rPr>
                <w:rFonts w:ascii="宋体" w:hAnsi="宋体" w:cs="宋体" w:eastAsia="宋体" w:hint="default"/>
                <w:sz w:val="18"/>
                <w:szCs w:val="18"/>
              </w:rPr>
              <w:t>日披露于巨潮 资讯网《关于 重大资产重组 购买</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年度 业绩承诺实现 情况的说明审 核报告（江苏 </w:t>
            </w:r>
            <w:r>
              <w:rPr>
                <w:rFonts w:ascii="宋体" w:hAnsi="宋体" w:cs="宋体" w:eastAsia="宋体" w:hint="default"/>
                <w:spacing w:val="-23"/>
                <w:sz w:val="18"/>
                <w:szCs w:val="18"/>
              </w:rPr>
              <w:t>税软）》</w:t>
            </w:r>
          </w:p>
        </w:tc>
      </w:tr>
      <w:tr>
        <w:trPr>
          <w:trHeight w:val="312" w:hRule="exact"/>
        </w:trPr>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软合并报告</w:t>
            </w:r>
            <w:r>
              <w:rPr>
                <w:rFonts w:ascii="宋体" w:hAnsi="宋体" w:cs="宋体" w:eastAsia="宋体" w:hint="default"/>
                <w:spacing w:val="-90"/>
                <w:sz w:val="18"/>
                <w:szCs w:val="18"/>
              </w:rPr>
              <w:t>）</w:t>
            </w:r>
            <w:r>
              <w:rPr>
                <w:rFonts w:ascii="宋体" w:hAnsi="宋体" w:cs="宋体" w:eastAsia="宋体" w:hint="default"/>
                <w:sz w:val="18"/>
                <w:szCs w:val="18"/>
              </w:rPr>
              <w:t>。净利润差额将按照净利润预测数</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减去实际净利润数计算，以会计师事务所出具的</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专项审核意见为准。上述净利润均为扣除非经常</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39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性损益后的净利润。</w:t>
            </w:r>
            <w:r>
              <w:rPr>
                <w:rFonts w:ascii="Times New Roman" w:hAnsi="Times New Roman" w:cs="Times New Roman" w:eastAsia="Times New Roman" w:hint="default"/>
                <w:sz w:val="18"/>
                <w:szCs w:val="18"/>
              </w:rPr>
              <w:t>3</w:t>
            </w:r>
            <w:r>
              <w:rPr>
                <w:rFonts w:ascii="宋体" w:hAnsi="宋体" w:cs="宋体" w:eastAsia="宋体" w:hint="default"/>
                <w:sz w:val="18"/>
                <w:szCs w:val="18"/>
              </w:rPr>
              <w:t>、补偿方式及标准若江苏</w:t>
            </w:r>
          </w:p>
        </w:tc>
        <w:tc>
          <w:tcPr>
            <w:tcW w:w="708"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3" w:type="dxa"/>
        <w:tblLayout w:type="fixed"/>
        <w:tblCellMar>
          <w:top w:w="0" w:type="dxa"/>
          <w:left w:w="0" w:type="dxa"/>
          <w:bottom w:w="0" w:type="dxa"/>
          <w:right w:w="0" w:type="dxa"/>
        </w:tblCellMar>
        <w:tblLook w:val="01E0"/>
      </w:tblPr>
      <w:tblGrid>
        <w:gridCol w:w="1134"/>
        <w:gridCol w:w="1134"/>
        <w:gridCol w:w="709"/>
        <w:gridCol w:w="3970"/>
        <w:gridCol w:w="708"/>
        <w:gridCol w:w="568"/>
        <w:gridCol w:w="1345"/>
      </w:tblGrid>
      <w:tr>
        <w:trPr>
          <w:trHeight w:val="317" w:hRule="exact"/>
        </w:trPr>
        <w:tc>
          <w:tcPr>
            <w:tcW w:w="1134"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39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151"/>
              <w:jc w:val="center"/>
              <w:rPr>
                <w:rFonts w:ascii="宋体" w:hAnsi="宋体" w:cs="宋体" w:eastAsia="宋体" w:hint="default"/>
                <w:sz w:val="18"/>
                <w:szCs w:val="18"/>
              </w:rPr>
            </w:pPr>
            <w:r>
              <w:rPr>
                <w:rFonts w:ascii="宋体" w:hAnsi="宋体" w:cs="宋体" w:eastAsia="宋体" w:hint="default"/>
                <w:sz w:val="18"/>
                <w:szCs w:val="18"/>
              </w:rPr>
              <w:t>税软在补偿期限内截至任一年度末的累积实际</w:t>
            </w:r>
          </w:p>
        </w:tc>
        <w:tc>
          <w:tcPr>
            <w:tcW w:w="708" w:type="dxa"/>
            <w:vMerge w:val="restart"/>
            <w:tcBorders>
              <w:top w:val="single" w:sz="4" w:space="0" w:color="000000"/>
              <w:left w:val="single" w:sz="4" w:space="0" w:color="000000"/>
              <w:right w:val="single" w:sz="4" w:space="0" w:color="000000"/>
            </w:tcBorders>
          </w:tcPr>
          <w:p>
            <w:pPr/>
          </w:p>
        </w:tc>
        <w:tc>
          <w:tcPr>
            <w:tcW w:w="568" w:type="dxa"/>
            <w:vMerge w:val="restart"/>
            <w:tcBorders>
              <w:top w:val="single" w:sz="4" w:space="0" w:color="000000"/>
              <w:left w:val="single" w:sz="4" w:space="0" w:color="000000"/>
              <w:right w:val="single" w:sz="4" w:space="0" w:color="000000"/>
            </w:tcBorders>
          </w:tcPr>
          <w:p>
            <w:pPr/>
          </w:p>
        </w:tc>
        <w:tc>
          <w:tcPr>
            <w:tcW w:w="1345" w:type="dxa"/>
            <w:vMerge w:val="restart"/>
            <w:tcBorders>
              <w:top w:val="single" w:sz="4" w:space="0" w:color="000000"/>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center"/>
              <w:rPr>
                <w:rFonts w:ascii="宋体" w:hAnsi="宋体" w:cs="宋体" w:eastAsia="宋体" w:hint="default"/>
                <w:sz w:val="18"/>
                <w:szCs w:val="18"/>
              </w:rPr>
            </w:pPr>
            <w:r>
              <w:rPr>
                <w:rFonts w:ascii="宋体" w:hAnsi="宋体" w:cs="宋体" w:eastAsia="宋体" w:hint="default"/>
                <w:sz w:val="18"/>
                <w:szCs w:val="18"/>
              </w:rPr>
              <w:t>净利润数低于截至当年度末累积净利润预测数，</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江苏税软交易对方将按照以下方式、标准对美亚</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柏科进行补偿</w:t>
            </w:r>
            <w:r>
              <w:rPr>
                <w:rFonts w:ascii="宋体" w:hAnsi="宋体" w:cs="宋体" w:eastAsia="宋体" w:hint="default"/>
                <w:spacing w:val="-104"/>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14"/>
                <w:sz w:val="18"/>
                <w:szCs w:val="18"/>
              </w:rPr>
              <w:t>）</w:t>
            </w:r>
            <w:r>
              <w:rPr>
                <w:rFonts w:ascii="宋体" w:hAnsi="宋体" w:cs="宋体" w:eastAsia="宋体" w:hint="default"/>
                <w:sz w:val="18"/>
                <w:szCs w:val="18"/>
              </w:rPr>
              <w:t>江苏税</w:t>
            </w:r>
            <w:r>
              <w:rPr>
                <w:rFonts w:ascii="宋体" w:hAnsi="宋体" w:cs="宋体" w:eastAsia="宋体" w:hint="default"/>
                <w:spacing w:val="-2"/>
                <w:sz w:val="18"/>
                <w:szCs w:val="18"/>
              </w:rPr>
              <w:t>软</w:t>
            </w:r>
            <w:r>
              <w:rPr>
                <w:rFonts w:ascii="宋体" w:hAnsi="宋体" w:cs="宋体" w:eastAsia="宋体" w:hint="default"/>
                <w:sz w:val="18"/>
                <w:szCs w:val="18"/>
              </w:rPr>
              <w:t>交易对方应优先以</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股份向美亚柏科进行补偿，不足部分以现金进行</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补偿。补偿应由各江苏税软交易对方按照其各自</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51"/>
              <w:jc w:val="center"/>
              <w:rPr>
                <w:rFonts w:ascii="宋体" w:hAnsi="宋体" w:cs="宋体" w:eastAsia="宋体" w:hint="default"/>
                <w:sz w:val="18"/>
                <w:szCs w:val="18"/>
              </w:rPr>
            </w:pPr>
            <w:r>
              <w:rPr>
                <w:rFonts w:ascii="宋体" w:hAnsi="宋体" w:cs="宋体" w:eastAsia="宋体" w:hint="default"/>
                <w:sz w:val="18"/>
                <w:szCs w:val="18"/>
              </w:rPr>
              <w:t>在本次江苏税软收购交易中获得的股份比例承</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担。各江苏税软交易对方就此项补偿对美亚柏科</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承担连带责任。补偿金额总额不应超过本次江苏</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税软收购交易中获得的收购对价总额</w:t>
            </w:r>
            <w:r>
              <w:rPr>
                <w:rFonts w:ascii="宋体" w:hAnsi="宋体" w:cs="宋体" w:eastAsia="宋体" w:hint="default"/>
                <w:spacing w:val="-104"/>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14"/>
                <w:sz w:val="18"/>
                <w:szCs w:val="18"/>
              </w:rPr>
              <w:t>）</w:t>
            </w:r>
            <w:r>
              <w:rPr>
                <w:rFonts w:ascii="宋体" w:hAnsi="宋体" w:cs="宋体" w:eastAsia="宋体" w:hint="default"/>
                <w:sz w:val="18"/>
                <w:szCs w:val="18"/>
              </w:rPr>
              <w:t>应补</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center"/>
              <w:rPr>
                <w:rFonts w:ascii="宋体" w:hAnsi="宋体" w:cs="宋体" w:eastAsia="宋体" w:hint="default"/>
                <w:sz w:val="18"/>
                <w:szCs w:val="18"/>
              </w:rPr>
            </w:pPr>
            <w:r>
              <w:rPr>
                <w:rFonts w:ascii="宋体" w:hAnsi="宋体" w:cs="宋体" w:eastAsia="宋体" w:hint="default"/>
                <w:sz w:val="18"/>
                <w:szCs w:val="18"/>
              </w:rPr>
              <w:t>偿股份数量应按照以下公式计算所得数值确定：</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49"/>
              <w:jc w:val="center"/>
              <w:rPr>
                <w:rFonts w:ascii="宋体" w:hAnsi="宋体" w:cs="宋体" w:eastAsia="宋体" w:hint="default"/>
                <w:sz w:val="18"/>
                <w:szCs w:val="18"/>
              </w:rPr>
            </w:pPr>
            <w:r>
              <w:rPr>
                <w:rFonts w:ascii="宋体" w:hAnsi="宋体" w:cs="宋体" w:eastAsia="宋体" w:hint="default"/>
                <w:sz w:val="18"/>
                <w:szCs w:val="18"/>
              </w:rPr>
              <w:t>当年应补偿股份数量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（补偿期限内截至当期期</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51"/>
              <w:jc w:val="center"/>
              <w:rPr>
                <w:rFonts w:ascii="宋体" w:hAnsi="宋体" w:cs="宋体" w:eastAsia="宋体" w:hint="default"/>
                <w:sz w:val="18"/>
                <w:szCs w:val="18"/>
              </w:rPr>
            </w:pPr>
            <w:r>
              <w:rPr>
                <w:rFonts w:ascii="宋体" w:hAnsi="宋体" w:cs="宋体" w:eastAsia="宋体" w:hint="default"/>
                <w:sz w:val="18"/>
                <w:szCs w:val="18"/>
              </w:rPr>
              <w:t>末的累积净利润预测数－补偿期限内截至当期</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3"/>
              <w:jc w:val="center"/>
              <w:rPr>
                <w:rFonts w:ascii="宋体" w:hAnsi="宋体" w:cs="宋体" w:eastAsia="宋体" w:hint="default"/>
                <w:sz w:val="18"/>
                <w:szCs w:val="18"/>
              </w:rPr>
            </w:pPr>
            <w:r>
              <w:rPr>
                <w:rFonts w:ascii="宋体" w:hAnsi="宋体" w:cs="宋体" w:eastAsia="宋体" w:hint="default"/>
                <w:sz w:val="18"/>
                <w:szCs w:val="18"/>
              </w:rPr>
              <w:t>期末累积实际净利润数）</w:t>
            </w:r>
            <w:r>
              <w:rPr>
                <w:rFonts w:ascii="Times New Roman" w:hAnsi="Times New Roman" w:cs="Times New Roman" w:eastAsia="Times New Roman" w:hint="default"/>
                <w:sz w:val="18"/>
                <w:szCs w:val="18"/>
              </w:rPr>
              <w:t>÷</w:t>
            </w:r>
            <w:r>
              <w:rPr>
                <w:rFonts w:ascii="宋体" w:hAnsi="宋体" w:cs="宋体" w:eastAsia="宋体" w:hint="default"/>
                <w:sz w:val="18"/>
                <w:szCs w:val="18"/>
              </w:rPr>
              <w:t>补偿期限内各年的净</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pacing w:val="-3"/>
                <w:sz w:val="18"/>
                <w:szCs w:val="18"/>
              </w:rPr>
              <w:t>利润预测数总和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（江苏税软收购对价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每股发行</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52"/>
              <w:jc w:val="center"/>
              <w:rPr>
                <w:rFonts w:ascii="Times New Roman" w:hAnsi="Times New Roman" w:cs="Times New Roman" w:eastAsia="Times New Roman" w:hint="default"/>
                <w:sz w:val="18"/>
                <w:szCs w:val="18"/>
              </w:rPr>
            </w:pPr>
            <w:r>
              <w:rPr>
                <w:rFonts w:ascii="宋体" w:hAnsi="宋体" w:cs="宋体" w:eastAsia="宋体" w:hint="default"/>
                <w:sz w:val="18"/>
                <w:szCs w:val="18"/>
              </w:rPr>
              <w:t>价格）－已补偿股份数量－（已补偿现金金额</w:t>
            </w:r>
            <w:r>
              <w:rPr>
                <w:rFonts w:ascii="Times New Roman" w:hAnsi="Times New Roman" w:cs="Times New Roman" w:eastAsia="Times New Roman" w:hint="default"/>
                <w:sz w:val="18"/>
                <w:szCs w:val="18"/>
              </w:rPr>
              <w:t>÷</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61"/>
              <w:jc w:val="center"/>
              <w:rPr>
                <w:rFonts w:ascii="宋体" w:hAnsi="宋体" w:cs="宋体" w:eastAsia="宋体" w:hint="default"/>
                <w:sz w:val="18"/>
                <w:szCs w:val="18"/>
              </w:rPr>
            </w:pPr>
            <w:r>
              <w:rPr>
                <w:rFonts w:ascii="宋体" w:hAnsi="宋体" w:cs="宋体" w:eastAsia="宋体" w:hint="default"/>
                <w:sz w:val="18"/>
                <w:szCs w:val="18"/>
              </w:rPr>
              <w:t>每股发行价格</w:t>
            </w:r>
            <w:r>
              <w:rPr>
                <w:rFonts w:ascii="宋体" w:hAnsi="宋体" w:cs="宋体" w:eastAsia="宋体" w:hint="default"/>
                <w:spacing w:val="-90"/>
                <w:sz w:val="18"/>
                <w:szCs w:val="18"/>
              </w:rPr>
              <w:t>）</w:t>
            </w:r>
            <w:r>
              <w:rPr>
                <w:rFonts w:ascii="宋体" w:hAnsi="宋体" w:cs="宋体" w:eastAsia="宋体" w:hint="default"/>
                <w:sz w:val="18"/>
                <w:szCs w:val="18"/>
              </w:rPr>
              <w:t>。某一江苏税软交易对方应补偿</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股份数量的计算公式为：某一江苏税软交易对方</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49"/>
              <w:jc w:val="center"/>
              <w:rPr>
                <w:rFonts w:ascii="宋体" w:hAnsi="宋体" w:cs="宋体" w:eastAsia="宋体" w:hint="default"/>
                <w:sz w:val="18"/>
                <w:szCs w:val="18"/>
              </w:rPr>
            </w:pPr>
            <w:r>
              <w:rPr>
                <w:rFonts w:ascii="宋体" w:hAnsi="宋体" w:cs="宋体" w:eastAsia="宋体" w:hint="default"/>
                <w:sz w:val="18"/>
                <w:szCs w:val="18"/>
              </w:rPr>
              <w:t>当年应补偿股份数量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（补偿期限内截至当期期</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51"/>
              <w:jc w:val="center"/>
              <w:rPr>
                <w:rFonts w:ascii="宋体" w:hAnsi="宋体" w:cs="宋体" w:eastAsia="宋体" w:hint="default"/>
                <w:sz w:val="18"/>
                <w:szCs w:val="18"/>
              </w:rPr>
            </w:pPr>
            <w:r>
              <w:rPr>
                <w:rFonts w:ascii="宋体" w:hAnsi="宋体" w:cs="宋体" w:eastAsia="宋体" w:hint="default"/>
                <w:sz w:val="18"/>
                <w:szCs w:val="18"/>
              </w:rPr>
              <w:t>末的累积净利润预测数－补偿期限内截至当期</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3"/>
              <w:jc w:val="center"/>
              <w:rPr>
                <w:rFonts w:ascii="宋体" w:hAnsi="宋体" w:cs="宋体" w:eastAsia="宋体" w:hint="default"/>
                <w:sz w:val="18"/>
                <w:szCs w:val="18"/>
              </w:rPr>
            </w:pPr>
            <w:r>
              <w:rPr>
                <w:rFonts w:ascii="宋体" w:hAnsi="宋体" w:cs="宋体" w:eastAsia="宋体" w:hint="default"/>
                <w:sz w:val="18"/>
                <w:szCs w:val="18"/>
              </w:rPr>
              <w:t>期末累积实际净利润数）</w:t>
            </w:r>
            <w:r>
              <w:rPr>
                <w:rFonts w:ascii="Times New Roman" w:hAnsi="Times New Roman" w:cs="Times New Roman" w:eastAsia="Times New Roman" w:hint="default"/>
                <w:sz w:val="18"/>
                <w:szCs w:val="18"/>
              </w:rPr>
              <w:t>÷</w:t>
            </w:r>
            <w:r>
              <w:rPr>
                <w:rFonts w:ascii="宋体" w:hAnsi="宋体" w:cs="宋体" w:eastAsia="宋体" w:hint="default"/>
                <w:sz w:val="18"/>
                <w:szCs w:val="18"/>
              </w:rPr>
              <w:t>补偿期限内各年的净</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pacing w:val="-3"/>
                <w:sz w:val="18"/>
                <w:szCs w:val="18"/>
              </w:rPr>
              <w:t>利润预测数总和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（江苏税软收购对价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每股发行</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价格）</w:t>
            </w:r>
            <w:r>
              <w:rPr>
                <w:rFonts w:ascii="Times New Roman" w:hAnsi="Times New Roman" w:cs="Times New Roman" w:eastAsia="Times New Roman" w:hint="default"/>
                <w:sz w:val="18"/>
                <w:szCs w:val="18"/>
              </w:rPr>
              <w:t>×[</w:t>
            </w:r>
            <w:r>
              <w:rPr>
                <w:rFonts w:ascii="宋体" w:hAnsi="宋体" w:cs="宋体" w:eastAsia="宋体" w:hint="default"/>
                <w:sz w:val="18"/>
                <w:szCs w:val="18"/>
              </w:rPr>
              <w:t>（该江苏税软交易对方在本次江苏税软</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Times New Roman" w:hAnsi="Times New Roman" w:cs="Times New Roman" w:eastAsia="Times New Roman" w:hint="default"/>
                <w:sz w:val="18"/>
                <w:szCs w:val="18"/>
              </w:rPr>
            </w:pPr>
            <w:r>
              <w:rPr>
                <w:rFonts w:ascii="宋体" w:hAnsi="宋体" w:cs="宋体" w:eastAsia="宋体" w:hint="default"/>
                <w:spacing w:val="-3"/>
                <w:sz w:val="18"/>
                <w:szCs w:val="18"/>
              </w:rPr>
              <w:t>收购交易中获得的全部股份数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每股发行价格）</w:t>
            </w:r>
            <w:r>
              <w:rPr>
                <w:rFonts w:ascii="Times New Roman" w:hAnsi="Times New Roman" w:cs="Times New Roman" w:eastAsia="Times New Roman" w:hint="default"/>
                <w:spacing w:val="-3"/>
                <w:sz w:val="18"/>
                <w:szCs w:val="18"/>
              </w:rPr>
              <w:t>÷</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91"/>
              <w:jc w:val="center"/>
              <w:rPr>
                <w:rFonts w:ascii="宋体" w:hAnsi="宋体" w:cs="宋体" w:eastAsia="宋体" w:hint="default"/>
                <w:sz w:val="18"/>
                <w:szCs w:val="18"/>
              </w:rPr>
            </w:pPr>
            <w:r>
              <w:rPr>
                <w:rFonts w:ascii="宋体" w:hAnsi="宋体" w:cs="宋体" w:eastAsia="宋体" w:hint="default"/>
                <w:sz w:val="18"/>
                <w:szCs w:val="18"/>
              </w:rPr>
              <w:t>江苏税软收购对价</w:t>
            </w:r>
            <w:r>
              <w:rPr>
                <w:rFonts w:ascii="Times New Roman" w:hAnsi="Times New Roman" w:cs="Times New Roman" w:eastAsia="Times New Roman" w:hint="default"/>
                <w:sz w:val="18"/>
                <w:szCs w:val="18"/>
              </w:rPr>
              <w:t>]</w:t>
            </w:r>
            <w:r>
              <w:rPr>
                <w:rFonts w:ascii="宋体" w:hAnsi="宋体" w:cs="宋体" w:eastAsia="宋体" w:hint="default"/>
                <w:sz w:val="18"/>
                <w:szCs w:val="18"/>
              </w:rPr>
              <w:t>－该江苏税软交易对方已补</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偿股份数</w:t>
            </w:r>
            <w:r>
              <w:rPr>
                <w:rFonts w:ascii="宋体" w:hAnsi="宋体" w:cs="宋体" w:eastAsia="宋体" w:hint="default"/>
                <w:spacing w:val="-27"/>
                <w:sz w:val="18"/>
                <w:szCs w:val="18"/>
              </w:rPr>
              <w:t>量</w:t>
            </w:r>
            <w:r>
              <w:rPr>
                <w:rFonts w:ascii="宋体" w:hAnsi="宋体" w:cs="宋体" w:eastAsia="宋体" w:hint="default"/>
                <w:spacing w:val="-154"/>
                <w:sz w:val="18"/>
                <w:szCs w:val="18"/>
              </w:rPr>
              <w:t>（</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该江苏税软交易对方已补偿现金金</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每股发行价格</w:t>
            </w:r>
            <w:r>
              <w:rPr>
                <w:rFonts w:ascii="宋体" w:hAnsi="宋体" w:cs="宋体" w:eastAsia="宋体" w:hint="default"/>
                <w:spacing w:val="-90"/>
                <w:sz w:val="18"/>
                <w:szCs w:val="18"/>
              </w:rPr>
              <w:t>）</w:t>
            </w:r>
            <w:r>
              <w:rPr>
                <w:rFonts w:ascii="宋体" w:hAnsi="宋体" w:cs="宋体" w:eastAsia="宋体" w:hint="default"/>
                <w:spacing w:val="-36"/>
                <w:sz w:val="18"/>
                <w:szCs w:val="18"/>
              </w:rPr>
              <w:t>。</w:t>
            </w:r>
            <w:r>
              <w:rPr>
                <w:rFonts w:ascii="宋体" w:hAnsi="宋体" w:cs="宋体" w:eastAsia="宋体" w:hint="default"/>
                <w:sz w:val="18"/>
                <w:szCs w:val="18"/>
              </w:rPr>
              <w:t>上述计算公式中的净利润预</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51"/>
              <w:jc w:val="center"/>
              <w:rPr>
                <w:rFonts w:ascii="宋体" w:hAnsi="宋体" w:cs="宋体" w:eastAsia="宋体" w:hint="default"/>
                <w:sz w:val="18"/>
                <w:szCs w:val="18"/>
              </w:rPr>
            </w:pPr>
            <w:r>
              <w:rPr>
                <w:rFonts w:ascii="宋体" w:hAnsi="宋体" w:cs="宋体" w:eastAsia="宋体" w:hint="default"/>
                <w:sz w:val="18"/>
                <w:szCs w:val="18"/>
              </w:rPr>
              <w:t>测数指江苏税软合并报表中扣除非经常性损益</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后归属于母公司的净利润预测数之和。上述计算</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51"/>
              <w:jc w:val="center"/>
              <w:rPr>
                <w:rFonts w:ascii="宋体" w:hAnsi="宋体" w:cs="宋体" w:eastAsia="宋体" w:hint="default"/>
                <w:sz w:val="18"/>
                <w:szCs w:val="18"/>
              </w:rPr>
            </w:pPr>
            <w:r>
              <w:rPr>
                <w:rFonts w:ascii="宋体" w:hAnsi="宋体" w:cs="宋体" w:eastAsia="宋体" w:hint="default"/>
                <w:sz w:val="18"/>
                <w:szCs w:val="18"/>
              </w:rPr>
              <w:t>公式中的实际净利润数指江苏税软合并报表中</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51"/>
              <w:jc w:val="center"/>
              <w:rPr>
                <w:rFonts w:ascii="宋体" w:hAnsi="宋体" w:cs="宋体" w:eastAsia="宋体" w:hint="default"/>
                <w:sz w:val="18"/>
                <w:szCs w:val="18"/>
              </w:rPr>
            </w:pPr>
            <w:r>
              <w:rPr>
                <w:rFonts w:ascii="宋体" w:hAnsi="宋体" w:cs="宋体" w:eastAsia="宋体" w:hint="default"/>
                <w:sz w:val="18"/>
                <w:szCs w:val="18"/>
              </w:rPr>
              <w:t>扣除非经常性损益后归属于母公司的实际净利</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润数之和。每股发行价格指美亚柏科在本次江苏</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51"/>
              <w:jc w:val="center"/>
              <w:rPr>
                <w:rFonts w:ascii="宋体" w:hAnsi="宋体" w:cs="宋体" w:eastAsia="宋体" w:hint="default"/>
                <w:sz w:val="18"/>
                <w:szCs w:val="18"/>
              </w:rPr>
            </w:pPr>
            <w:r>
              <w:rPr>
                <w:rFonts w:ascii="宋体" w:hAnsi="宋体" w:cs="宋体" w:eastAsia="宋体" w:hint="default"/>
                <w:sz w:val="18"/>
                <w:szCs w:val="18"/>
              </w:rPr>
              <w:t>税软收购交易中向江苏税软交易对方非公开发</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行股份的每股发行价格。如果自江苏税软的股东</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51"/>
              <w:jc w:val="center"/>
              <w:rPr>
                <w:rFonts w:ascii="宋体" w:hAnsi="宋体" w:cs="宋体" w:eastAsia="宋体" w:hint="default"/>
                <w:sz w:val="18"/>
                <w:szCs w:val="18"/>
              </w:rPr>
            </w:pPr>
            <w:r>
              <w:rPr>
                <w:rFonts w:ascii="宋体" w:hAnsi="宋体" w:cs="宋体" w:eastAsia="宋体" w:hint="default"/>
                <w:sz w:val="18"/>
                <w:szCs w:val="18"/>
              </w:rPr>
              <w:t>在公司登记管理机关变更为美亚柏科之日至股</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center"/>
              <w:rPr>
                <w:rFonts w:ascii="宋体" w:hAnsi="宋体" w:cs="宋体" w:eastAsia="宋体" w:hint="default"/>
                <w:sz w:val="18"/>
                <w:szCs w:val="18"/>
              </w:rPr>
            </w:pPr>
            <w:r>
              <w:rPr>
                <w:rFonts w:ascii="宋体" w:hAnsi="宋体" w:cs="宋体" w:eastAsia="宋体" w:hint="default"/>
                <w:sz w:val="18"/>
                <w:szCs w:val="18"/>
              </w:rPr>
              <w:t>份补偿实施之日的期间内，美亚柏科如有派息、</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送股、转增股本等除权除息事项发生，则应补偿</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center"/>
              <w:rPr>
                <w:rFonts w:ascii="宋体" w:hAnsi="宋体" w:cs="宋体" w:eastAsia="宋体" w:hint="default"/>
                <w:sz w:val="18"/>
                <w:szCs w:val="18"/>
              </w:rPr>
            </w:pPr>
            <w:r>
              <w:rPr>
                <w:rFonts w:ascii="宋体" w:hAnsi="宋体" w:cs="宋体" w:eastAsia="宋体" w:hint="default"/>
                <w:sz w:val="18"/>
                <w:szCs w:val="18"/>
              </w:rPr>
              <w:t>股份数量，以及随补偿股份而发生的返还金额，</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应做相应调整。应补偿股份数量不超过江苏税软</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51"/>
              <w:jc w:val="center"/>
              <w:rPr>
                <w:rFonts w:ascii="宋体" w:hAnsi="宋体" w:cs="宋体" w:eastAsia="宋体" w:hint="default"/>
                <w:sz w:val="18"/>
                <w:szCs w:val="18"/>
              </w:rPr>
            </w:pPr>
            <w:r>
              <w:rPr>
                <w:rFonts w:ascii="宋体" w:hAnsi="宋体" w:cs="宋体" w:eastAsia="宋体" w:hint="default"/>
                <w:sz w:val="18"/>
                <w:szCs w:val="18"/>
              </w:rPr>
              <w:t>交易对方本次江苏税软收购交易中认购股份的</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总量。如按上述</w:t>
            </w:r>
            <w:r>
              <w:rPr>
                <w:rFonts w:ascii="Times New Roman" w:hAnsi="Times New Roman" w:cs="Times New Roman" w:eastAsia="Times New Roman" w:hint="default"/>
                <w:sz w:val="18"/>
                <w:szCs w:val="18"/>
              </w:rPr>
              <w:t>"</w:t>
            </w:r>
            <w:r>
              <w:rPr>
                <w:rFonts w:ascii="宋体" w:hAnsi="宋体" w:cs="宋体" w:eastAsia="宋体" w:hint="default"/>
                <w:sz w:val="18"/>
                <w:szCs w:val="18"/>
              </w:rPr>
              <w:t>应补偿股份数量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的计算公式计</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7"/>
              <w:jc w:val="center"/>
              <w:rPr>
                <w:rFonts w:ascii="宋体" w:hAnsi="宋体" w:cs="宋体" w:eastAsia="宋体" w:hint="default"/>
                <w:sz w:val="18"/>
                <w:szCs w:val="18"/>
              </w:rPr>
            </w:pPr>
            <w:r>
              <w:rPr>
                <w:rFonts w:ascii="宋体" w:hAnsi="宋体" w:cs="宋体" w:eastAsia="宋体" w:hint="default"/>
                <w:sz w:val="18"/>
                <w:szCs w:val="18"/>
              </w:rPr>
              <w:t>算的补偿期限内某一年的补偿股份数量小于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8" w:right="0"/>
              <w:jc w:val="center"/>
              <w:rPr>
                <w:rFonts w:ascii="宋体" w:hAnsi="宋体" w:cs="宋体" w:eastAsia="宋体" w:hint="default"/>
                <w:sz w:val="18"/>
                <w:szCs w:val="18"/>
              </w:rPr>
            </w:pPr>
            <w:r>
              <w:rPr>
                <w:rFonts w:ascii="宋体" w:hAnsi="宋体" w:cs="宋体" w:eastAsia="宋体" w:hint="default"/>
                <w:sz w:val="18"/>
                <w:szCs w:val="18"/>
              </w:rPr>
              <w:t>则应按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取</w:t>
            </w:r>
            <w:r>
              <w:rPr>
                <w:rFonts w:ascii="宋体" w:hAnsi="宋体" w:cs="宋体" w:eastAsia="宋体" w:hint="default"/>
                <w:spacing w:val="1"/>
                <w:sz w:val="18"/>
                <w:szCs w:val="18"/>
              </w:rPr>
              <w:t>值</w:t>
            </w:r>
            <w:r>
              <w:rPr>
                <w:rFonts w:ascii="宋体" w:hAnsi="宋体" w:cs="宋体" w:eastAsia="宋体" w:hint="default"/>
                <w:sz w:val="18"/>
                <w:szCs w:val="18"/>
              </w:rPr>
              <w:t>，即已经补偿的股份不冲回</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3" w:hRule="exact"/>
        </w:trPr>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39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151"/>
              <w:jc w:val="center"/>
              <w:rPr>
                <w:rFonts w:ascii="宋体" w:hAnsi="宋体" w:cs="宋体" w:eastAsia="宋体" w:hint="default"/>
                <w:sz w:val="18"/>
                <w:szCs w:val="18"/>
              </w:rPr>
            </w:pPr>
            <w:r>
              <w:rPr>
                <w:rFonts w:ascii="宋体" w:hAnsi="宋体" w:cs="宋体" w:eastAsia="宋体" w:hint="default"/>
                <w:sz w:val="18"/>
                <w:szCs w:val="18"/>
              </w:rPr>
              <w:t>如按照上述公式计算的补偿期限内某一年某一</w:t>
            </w:r>
          </w:p>
        </w:tc>
        <w:tc>
          <w:tcPr>
            <w:tcW w:w="708"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1345"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3" w:type="dxa"/>
        <w:tblLayout w:type="fixed"/>
        <w:tblCellMar>
          <w:top w:w="0" w:type="dxa"/>
          <w:left w:w="0" w:type="dxa"/>
          <w:bottom w:w="0" w:type="dxa"/>
          <w:right w:w="0" w:type="dxa"/>
        </w:tblCellMar>
        <w:tblLook w:val="01E0"/>
      </w:tblPr>
      <w:tblGrid>
        <w:gridCol w:w="1134"/>
        <w:gridCol w:w="1134"/>
        <w:gridCol w:w="709"/>
        <w:gridCol w:w="3970"/>
        <w:gridCol w:w="708"/>
        <w:gridCol w:w="568"/>
        <w:gridCol w:w="1345"/>
      </w:tblGrid>
      <w:tr>
        <w:trPr>
          <w:trHeight w:val="317" w:hRule="exact"/>
        </w:trPr>
        <w:tc>
          <w:tcPr>
            <w:tcW w:w="1134"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39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江苏税软交易对方的补偿股份数量，超过了该江</w:t>
            </w:r>
          </w:p>
        </w:tc>
        <w:tc>
          <w:tcPr>
            <w:tcW w:w="708" w:type="dxa"/>
            <w:vMerge w:val="restart"/>
            <w:tcBorders>
              <w:top w:val="single" w:sz="4" w:space="0" w:color="000000"/>
              <w:left w:val="single" w:sz="4" w:space="0" w:color="000000"/>
              <w:right w:val="single" w:sz="4" w:space="0" w:color="000000"/>
            </w:tcBorders>
          </w:tcPr>
          <w:p>
            <w:pPr/>
          </w:p>
        </w:tc>
        <w:tc>
          <w:tcPr>
            <w:tcW w:w="568" w:type="dxa"/>
            <w:vMerge w:val="restart"/>
            <w:tcBorders>
              <w:top w:val="single" w:sz="4" w:space="0" w:color="000000"/>
              <w:left w:val="single" w:sz="4" w:space="0" w:color="000000"/>
              <w:right w:val="single" w:sz="4" w:space="0" w:color="000000"/>
            </w:tcBorders>
          </w:tcPr>
          <w:p>
            <w:pPr/>
          </w:p>
        </w:tc>
        <w:tc>
          <w:tcPr>
            <w:tcW w:w="1345" w:type="dxa"/>
            <w:vMerge w:val="restart"/>
            <w:tcBorders>
              <w:top w:val="single" w:sz="4" w:space="0" w:color="000000"/>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center"/>
              <w:rPr>
                <w:rFonts w:ascii="宋体" w:hAnsi="宋体" w:cs="宋体" w:eastAsia="宋体" w:hint="default"/>
                <w:sz w:val="18"/>
                <w:szCs w:val="18"/>
              </w:rPr>
            </w:pPr>
            <w:r>
              <w:rPr>
                <w:rFonts w:ascii="宋体" w:hAnsi="宋体" w:cs="宋体" w:eastAsia="宋体" w:hint="default"/>
                <w:sz w:val="18"/>
                <w:szCs w:val="18"/>
              </w:rPr>
              <w:t>苏税软交易对方届时所持美亚柏科的股份总数，</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51"/>
              <w:jc w:val="center"/>
              <w:rPr>
                <w:rFonts w:ascii="宋体" w:hAnsi="宋体" w:cs="宋体" w:eastAsia="宋体" w:hint="default"/>
                <w:sz w:val="18"/>
                <w:szCs w:val="18"/>
              </w:rPr>
            </w:pPr>
            <w:r>
              <w:rPr>
                <w:rFonts w:ascii="宋体" w:hAnsi="宋体" w:cs="宋体" w:eastAsia="宋体" w:hint="default"/>
                <w:sz w:val="18"/>
                <w:szCs w:val="18"/>
              </w:rPr>
              <w:t>则差额部分应由该江苏税软交易对方用现金进</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行补偿。现金补偿金额的计算公式为：相关江苏</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49"/>
              <w:jc w:val="center"/>
              <w:rPr>
                <w:rFonts w:ascii="宋体" w:hAnsi="宋体" w:cs="宋体" w:eastAsia="宋体" w:hint="default"/>
                <w:sz w:val="18"/>
                <w:szCs w:val="18"/>
              </w:rPr>
            </w:pPr>
            <w:r>
              <w:rPr>
                <w:rFonts w:ascii="宋体" w:hAnsi="宋体" w:cs="宋体" w:eastAsia="宋体" w:hint="default"/>
                <w:sz w:val="18"/>
                <w:szCs w:val="18"/>
              </w:rPr>
              <w:t>税软交易对方现金补偿金额</w:t>
            </w:r>
            <w:r>
              <w:rPr>
                <w:rFonts w:ascii="Times New Roman" w:hAnsi="Times New Roman" w:cs="Times New Roman" w:eastAsia="Times New Roman" w:hint="default"/>
                <w:sz w:val="18"/>
                <w:szCs w:val="18"/>
              </w:rPr>
              <w:t>=</w:t>
            </w:r>
            <w:r>
              <w:rPr>
                <w:rFonts w:ascii="宋体" w:hAnsi="宋体" w:cs="宋体" w:eastAsia="宋体" w:hint="default"/>
                <w:sz w:val="18"/>
                <w:szCs w:val="18"/>
              </w:rPr>
              <w:t>（该江苏税软交易</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51"/>
              <w:jc w:val="center"/>
              <w:rPr>
                <w:rFonts w:ascii="宋体" w:hAnsi="宋体" w:cs="宋体" w:eastAsia="宋体" w:hint="default"/>
                <w:sz w:val="18"/>
                <w:szCs w:val="18"/>
              </w:rPr>
            </w:pPr>
            <w:r>
              <w:rPr>
                <w:rFonts w:ascii="宋体" w:hAnsi="宋体" w:cs="宋体" w:eastAsia="宋体" w:hint="default"/>
                <w:sz w:val="18"/>
                <w:szCs w:val="18"/>
              </w:rPr>
              <w:t>对方应补偿股份数量－该江苏税软交易对方届</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49"/>
              <w:jc w:val="center"/>
              <w:rPr>
                <w:rFonts w:ascii="宋体" w:hAnsi="宋体" w:cs="宋体" w:eastAsia="宋体" w:hint="default"/>
                <w:sz w:val="18"/>
                <w:szCs w:val="18"/>
              </w:rPr>
            </w:pPr>
            <w:r>
              <w:rPr>
                <w:rFonts w:ascii="宋体" w:hAnsi="宋体" w:cs="宋体" w:eastAsia="宋体" w:hint="default"/>
                <w:sz w:val="18"/>
                <w:szCs w:val="18"/>
              </w:rPr>
              <w:t>时所持股份数量）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每股发行价格</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）减值测</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51"/>
              <w:jc w:val="center"/>
              <w:rPr>
                <w:rFonts w:ascii="宋体" w:hAnsi="宋体" w:cs="宋体" w:eastAsia="宋体" w:hint="default"/>
                <w:sz w:val="18"/>
                <w:szCs w:val="18"/>
              </w:rPr>
            </w:pPr>
            <w:r>
              <w:rPr>
                <w:rFonts w:ascii="宋体" w:hAnsi="宋体" w:cs="宋体" w:eastAsia="宋体" w:hint="default"/>
                <w:sz w:val="18"/>
                <w:szCs w:val="18"/>
              </w:rPr>
              <w:t>试如补偿期限内某一年度或多个年度实际净利</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润数低于当年度净利润预测数，则在补偿期限届</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满时，各方将共同聘请具有证券期货相关业务资</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格的会计师事务所审核美亚柏科出具的《减值测</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试报告</w:t>
            </w:r>
            <w:r>
              <w:rPr>
                <w:rFonts w:ascii="宋体" w:hAnsi="宋体" w:cs="宋体" w:eastAsia="宋体" w:hint="default"/>
                <w:spacing w:val="-90"/>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并出</w:t>
            </w:r>
            <w:r>
              <w:rPr>
                <w:rFonts w:ascii="宋体" w:hAnsi="宋体" w:cs="宋体" w:eastAsia="宋体" w:hint="default"/>
                <w:spacing w:val="-9"/>
                <w:sz w:val="18"/>
                <w:szCs w:val="18"/>
              </w:rPr>
              <w:t>具</w:t>
            </w:r>
            <w:r>
              <w:rPr>
                <w:rFonts w:ascii="宋体" w:hAnsi="宋体" w:cs="宋体" w:eastAsia="宋体" w:hint="default"/>
                <w:sz w:val="18"/>
                <w:szCs w:val="18"/>
              </w:rPr>
              <w:t>《减值测</w:t>
            </w:r>
            <w:r>
              <w:rPr>
                <w:rFonts w:ascii="宋体" w:hAnsi="宋体" w:cs="宋体" w:eastAsia="宋体" w:hint="default"/>
                <w:spacing w:val="-2"/>
                <w:sz w:val="18"/>
                <w:szCs w:val="18"/>
              </w:rPr>
              <w:t>试</w:t>
            </w:r>
            <w:r>
              <w:rPr>
                <w:rFonts w:ascii="宋体" w:hAnsi="宋体" w:cs="宋体" w:eastAsia="宋体" w:hint="default"/>
                <w:sz w:val="18"/>
                <w:szCs w:val="18"/>
              </w:rPr>
              <w:t>审核报告</w:t>
            </w:r>
            <w:r>
              <w:rPr>
                <w:rFonts w:ascii="宋体" w:hAnsi="宋体" w:cs="宋体" w:eastAsia="宋体" w:hint="default"/>
                <w:spacing w:val="-90"/>
                <w:sz w:val="18"/>
                <w:szCs w:val="18"/>
              </w:rPr>
              <w:t>》</w:t>
            </w:r>
            <w:r>
              <w:rPr>
                <w:rFonts w:ascii="宋体" w:hAnsi="宋体" w:cs="宋体" w:eastAsia="宋体" w:hint="default"/>
                <w:spacing w:val="-9"/>
                <w:sz w:val="18"/>
                <w:szCs w:val="18"/>
              </w:rPr>
              <w:t>，</w:t>
            </w:r>
            <w:r>
              <w:rPr>
                <w:rFonts w:ascii="宋体" w:hAnsi="宋体" w:cs="宋体" w:eastAsia="宋体" w:hint="default"/>
                <w:spacing w:val="-2"/>
                <w:sz w:val="18"/>
                <w:szCs w:val="18"/>
              </w:rPr>
              <w:t>如</w:t>
            </w:r>
            <w:r>
              <w:rPr>
                <w:rFonts w:ascii="宋体" w:hAnsi="宋体" w:cs="宋体" w:eastAsia="宋体" w:hint="default"/>
                <w:sz w:val="18"/>
                <w:szCs w:val="18"/>
              </w:rPr>
              <w:t>期末</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减值额</w:t>
            </w:r>
            <w:r>
              <w:rPr>
                <w:rFonts w:ascii="Times New Roman" w:hAnsi="Times New Roman" w:cs="Times New Roman" w:eastAsia="Times New Roman" w:hint="default"/>
                <w:sz w:val="18"/>
                <w:szCs w:val="18"/>
              </w:rPr>
              <w:t>÷</w:t>
            </w:r>
            <w:r>
              <w:rPr>
                <w:rFonts w:ascii="宋体" w:hAnsi="宋体" w:cs="宋体" w:eastAsia="宋体" w:hint="default"/>
                <w:sz w:val="18"/>
                <w:szCs w:val="18"/>
              </w:rPr>
              <w:t>江苏税软作价 </w:t>
            </w:r>
            <w:r>
              <w:rPr>
                <w:rFonts w:ascii="Times New Roman" w:hAnsi="Times New Roman" w:cs="Times New Roman" w:eastAsia="Times New Roman" w:hint="default"/>
                <w:sz w:val="18"/>
                <w:szCs w:val="18"/>
              </w:rPr>
              <w:t>&gt;</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（补偿期限内已补偿股</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80"/>
              <w:jc w:val="center"/>
              <w:rPr>
                <w:rFonts w:ascii="宋体" w:hAnsi="宋体" w:cs="宋体" w:eastAsia="宋体" w:hint="default"/>
                <w:sz w:val="18"/>
                <w:szCs w:val="18"/>
              </w:rPr>
            </w:pPr>
            <w:r>
              <w:rPr>
                <w:rFonts w:ascii="宋体" w:hAnsi="宋体" w:cs="宋体" w:eastAsia="宋体" w:hint="default"/>
                <w:sz w:val="18"/>
                <w:szCs w:val="18"/>
              </w:rPr>
              <w:t>份总数</w:t>
            </w:r>
            <w:r>
              <w:rPr>
                <w:rFonts w:ascii="Times New Roman" w:hAnsi="Times New Roman" w:cs="Times New Roman" w:eastAsia="Times New Roman" w:hint="default"/>
                <w:sz w:val="18"/>
                <w:szCs w:val="18"/>
              </w:rPr>
              <w:t>+</w:t>
            </w:r>
            <w:r>
              <w:rPr>
                <w:rFonts w:ascii="宋体" w:hAnsi="宋体" w:cs="宋体" w:eastAsia="宋体" w:hint="default"/>
                <w:sz w:val="18"/>
                <w:szCs w:val="18"/>
              </w:rPr>
              <w:t>已补偿现金</w:t>
            </w:r>
            <w:r>
              <w:rPr>
                <w:rFonts w:ascii="Times New Roman" w:hAnsi="Times New Roman" w:cs="Times New Roman" w:eastAsia="Times New Roman" w:hint="default"/>
                <w:sz w:val="18"/>
                <w:szCs w:val="18"/>
              </w:rPr>
              <w:t>/</w:t>
            </w:r>
            <w:r>
              <w:rPr>
                <w:rFonts w:ascii="宋体" w:hAnsi="宋体" w:cs="宋体" w:eastAsia="宋体" w:hint="default"/>
                <w:sz w:val="18"/>
                <w:szCs w:val="18"/>
              </w:rPr>
              <w:t>每股发行价格）</w:t>
            </w:r>
            <w:r>
              <w:rPr>
                <w:rFonts w:ascii="Times New Roman" w:hAnsi="Times New Roman" w:cs="Times New Roman" w:eastAsia="Times New Roman" w:hint="default"/>
                <w:sz w:val="18"/>
                <w:szCs w:val="18"/>
              </w:rPr>
              <w:t>÷</w:t>
            </w:r>
            <w:r>
              <w:rPr>
                <w:rFonts w:ascii="宋体" w:hAnsi="宋体" w:cs="宋体" w:eastAsia="宋体" w:hint="default"/>
                <w:sz w:val="18"/>
                <w:szCs w:val="18"/>
              </w:rPr>
              <w:t>（江苏税</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软收购对价</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每股发行价格</w:t>
            </w:r>
            <w:r>
              <w:rPr>
                <w:rFonts w:ascii="宋体" w:hAnsi="宋体" w:cs="宋体" w:eastAsia="宋体" w:hint="default"/>
                <w:spacing w:val="-90"/>
                <w:sz w:val="18"/>
                <w:szCs w:val="18"/>
              </w:rPr>
              <w:t>）</w:t>
            </w:r>
            <w:r>
              <w:rPr>
                <w:rFonts w:ascii="宋体" w:hAnsi="宋体" w:cs="宋体" w:eastAsia="宋体" w:hint="default"/>
                <w:spacing w:val="-36"/>
                <w:sz w:val="18"/>
                <w:szCs w:val="18"/>
              </w:rPr>
              <w:t>，</w:t>
            </w:r>
            <w:r>
              <w:rPr>
                <w:rFonts w:ascii="宋体" w:hAnsi="宋体" w:cs="宋体" w:eastAsia="宋体" w:hint="default"/>
                <w:sz w:val="18"/>
                <w:szCs w:val="18"/>
              </w:rPr>
              <w:t>则江苏税软交易对</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方应另行向美亚柏科补偿股份。另行补偿股份数</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49"/>
              <w:jc w:val="center"/>
              <w:rPr>
                <w:rFonts w:ascii="宋体" w:hAnsi="宋体" w:cs="宋体" w:eastAsia="宋体" w:hint="default"/>
                <w:sz w:val="18"/>
                <w:szCs w:val="18"/>
              </w:rPr>
            </w:pPr>
            <w:r>
              <w:rPr>
                <w:rFonts w:ascii="宋体" w:hAnsi="宋体" w:cs="宋体" w:eastAsia="宋体" w:hint="default"/>
                <w:sz w:val="18"/>
                <w:szCs w:val="18"/>
              </w:rPr>
              <w:t>量计算公式为：期末减值额补偿股份数量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期末</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减值额</w:t>
            </w:r>
            <w:r>
              <w:rPr>
                <w:rFonts w:ascii="Times New Roman" w:hAnsi="Times New Roman" w:cs="Times New Roman" w:eastAsia="Times New Roman" w:hint="default"/>
                <w:sz w:val="18"/>
                <w:szCs w:val="18"/>
              </w:rPr>
              <w:t>÷</w:t>
            </w:r>
            <w:r>
              <w:rPr>
                <w:rFonts w:ascii="宋体" w:hAnsi="宋体" w:cs="宋体" w:eastAsia="宋体" w:hint="default"/>
                <w:sz w:val="18"/>
                <w:szCs w:val="18"/>
              </w:rPr>
              <w:t>每股发行价格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已补偿股份总数－（已</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补偿现金金额</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每股发行价格</w:t>
            </w:r>
            <w:r>
              <w:rPr>
                <w:rFonts w:ascii="宋体" w:hAnsi="宋体" w:cs="宋体" w:eastAsia="宋体" w:hint="default"/>
                <w:spacing w:val="-90"/>
                <w:sz w:val="18"/>
                <w:szCs w:val="18"/>
              </w:rPr>
              <w:t>）</w:t>
            </w:r>
            <w:r>
              <w:rPr>
                <w:rFonts w:ascii="宋体" w:hAnsi="宋体" w:cs="宋体" w:eastAsia="宋体" w:hint="default"/>
                <w:spacing w:val="-36"/>
                <w:sz w:val="18"/>
                <w:szCs w:val="18"/>
              </w:rPr>
              <w:t>。</w:t>
            </w:r>
            <w:r>
              <w:rPr>
                <w:rFonts w:ascii="宋体" w:hAnsi="宋体" w:cs="宋体" w:eastAsia="宋体" w:hint="default"/>
                <w:sz w:val="18"/>
                <w:szCs w:val="18"/>
              </w:rPr>
              <w:t>上述计算公式中</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47"/>
              <w:jc w:val="center"/>
              <w:rPr>
                <w:rFonts w:ascii="宋体" w:hAnsi="宋体" w:cs="宋体" w:eastAsia="宋体" w:hint="default"/>
                <w:sz w:val="18"/>
                <w:szCs w:val="18"/>
              </w:rPr>
            </w:pPr>
            <w:r>
              <w:rPr>
                <w:rFonts w:ascii="宋体" w:hAnsi="宋体" w:cs="宋体" w:eastAsia="宋体" w:hint="default"/>
                <w:sz w:val="18"/>
                <w:szCs w:val="18"/>
              </w:rPr>
              <w:t>的期末减值额指江苏税软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股权所对应的江</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苏税软期末减值额。如按照上述公式计算的补偿</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股份数量，超过了江苏税软交易对方所持美亚柏</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科的股份总数，则差额部分应由江苏税软交易对</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49"/>
              <w:jc w:val="center"/>
              <w:rPr>
                <w:rFonts w:ascii="宋体" w:hAnsi="宋体" w:cs="宋体" w:eastAsia="宋体" w:hint="default"/>
                <w:sz w:val="18"/>
                <w:szCs w:val="18"/>
              </w:rPr>
            </w:pPr>
            <w:r>
              <w:rPr>
                <w:rFonts w:ascii="宋体" w:hAnsi="宋体" w:cs="宋体" w:eastAsia="宋体" w:hint="default"/>
                <w:sz w:val="18"/>
                <w:szCs w:val="18"/>
              </w:rPr>
              <w:t>方用现金进行补偿，补偿现金</w:t>
            </w:r>
            <w:r>
              <w:rPr>
                <w:rFonts w:ascii="Times New Roman" w:hAnsi="Times New Roman" w:cs="Times New Roman" w:eastAsia="Times New Roman" w:hint="default"/>
                <w:sz w:val="18"/>
                <w:szCs w:val="18"/>
              </w:rPr>
              <w:t>=</w:t>
            </w:r>
            <w:r>
              <w:rPr>
                <w:rFonts w:ascii="宋体" w:hAnsi="宋体" w:cs="宋体" w:eastAsia="宋体" w:hint="default"/>
                <w:sz w:val="18"/>
                <w:szCs w:val="18"/>
              </w:rPr>
              <w:t>（期末减值额补</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51"/>
              <w:jc w:val="center"/>
              <w:rPr>
                <w:rFonts w:ascii="宋体" w:hAnsi="宋体" w:cs="宋体" w:eastAsia="宋体" w:hint="default"/>
                <w:sz w:val="18"/>
                <w:szCs w:val="18"/>
              </w:rPr>
            </w:pPr>
            <w:r>
              <w:rPr>
                <w:rFonts w:ascii="宋体" w:hAnsi="宋体" w:cs="宋体" w:eastAsia="宋体" w:hint="default"/>
                <w:sz w:val="18"/>
                <w:szCs w:val="18"/>
              </w:rPr>
              <w:t>偿股份数量－江苏税软交易对方届时所持股份</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49"/>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每股发行价格。各江苏税软交易对方就</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期末减值额补偿对美亚柏科承担连带责任。无论</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如何，江苏税软交易对方承担的补偿金额总额不</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51"/>
              <w:jc w:val="center"/>
              <w:rPr>
                <w:rFonts w:ascii="宋体" w:hAnsi="宋体" w:cs="宋体" w:eastAsia="宋体" w:hint="default"/>
                <w:sz w:val="18"/>
                <w:szCs w:val="18"/>
              </w:rPr>
            </w:pPr>
            <w:r>
              <w:rPr>
                <w:rFonts w:ascii="宋体" w:hAnsi="宋体" w:cs="宋体" w:eastAsia="宋体" w:hint="default"/>
                <w:sz w:val="18"/>
                <w:szCs w:val="18"/>
              </w:rPr>
              <w:t>超过本次江苏税软收购交易中获得的收购对价</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总额</w:t>
            </w:r>
            <w:r>
              <w:rPr>
                <w:rFonts w:ascii="宋体" w:hAnsi="宋体" w:cs="宋体" w:eastAsia="宋体" w:hint="default"/>
                <w:spacing w:val="-104"/>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pacing w:val="-14"/>
                <w:sz w:val="18"/>
                <w:szCs w:val="18"/>
              </w:rPr>
              <w:t>）</w:t>
            </w:r>
            <w:r>
              <w:rPr>
                <w:rFonts w:ascii="宋体" w:hAnsi="宋体" w:cs="宋体" w:eastAsia="宋体" w:hint="default"/>
                <w:spacing w:val="-2"/>
                <w:sz w:val="18"/>
                <w:szCs w:val="18"/>
              </w:rPr>
              <w:t>补</w:t>
            </w:r>
            <w:r>
              <w:rPr>
                <w:rFonts w:ascii="宋体" w:hAnsi="宋体" w:cs="宋体" w:eastAsia="宋体" w:hint="default"/>
                <w:sz w:val="18"/>
                <w:szCs w:val="18"/>
              </w:rPr>
              <w:t>偿实施各方应在补偿期限内每一会</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51"/>
              <w:jc w:val="center"/>
              <w:rPr>
                <w:rFonts w:ascii="宋体" w:hAnsi="宋体" w:cs="宋体" w:eastAsia="宋体" w:hint="default"/>
                <w:sz w:val="18"/>
                <w:szCs w:val="18"/>
              </w:rPr>
            </w:pPr>
            <w:r>
              <w:rPr>
                <w:rFonts w:ascii="宋体" w:hAnsi="宋体" w:cs="宋体" w:eastAsia="宋体" w:hint="default"/>
                <w:sz w:val="18"/>
                <w:szCs w:val="18"/>
              </w:rPr>
              <w:t>计年度审计报告出具后十个工作日内按照上述</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规定计算该会计年度的应补偿股份数，并且美亚</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柏科应在该期限内发出董事会通知，召开董事会</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审议美亚柏科以</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元的总价回购并注销补偿义务</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人当年补偿的股份事宜。美亚柏科董事会审议通</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过上述股份回购注销方案后，应于五个工作日内</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发出召开股东大会通知。如果美亚柏科股东大会</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51"/>
              <w:jc w:val="center"/>
              <w:rPr>
                <w:rFonts w:ascii="宋体" w:hAnsi="宋体" w:cs="宋体" w:eastAsia="宋体" w:hint="default"/>
                <w:sz w:val="18"/>
                <w:szCs w:val="18"/>
              </w:rPr>
            </w:pPr>
            <w:r>
              <w:rPr>
                <w:rFonts w:ascii="宋体" w:hAnsi="宋体" w:cs="宋体" w:eastAsia="宋体" w:hint="default"/>
                <w:sz w:val="18"/>
                <w:szCs w:val="18"/>
              </w:rPr>
              <w:t>审议通过上述股份回购注销方案并就该方案向</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债权人发出通知并对外公告，美亚柏科应于股东</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51"/>
              <w:jc w:val="center"/>
              <w:rPr>
                <w:rFonts w:ascii="宋体" w:hAnsi="宋体" w:cs="宋体" w:eastAsia="宋体" w:hint="default"/>
                <w:sz w:val="18"/>
                <w:szCs w:val="18"/>
              </w:rPr>
            </w:pPr>
            <w:r>
              <w:rPr>
                <w:rFonts w:ascii="宋体" w:hAnsi="宋体" w:cs="宋体" w:eastAsia="宋体" w:hint="default"/>
                <w:sz w:val="18"/>
                <w:szCs w:val="18"/>
              </w:rPr>
              <w:t>大会决议公告后五个工作日内书面通知江苏税</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软交易对方，江苏税软交易对方应在公告期满后</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51"/>
              <w:jc w:val="center"/>
              <w:rPr>
                <w:rFonts w:ascii="宋体" w:hAnsi="宋体" w:cs="宋体" w:eastAsia="宋体" w:hint="default"/>
                <w:sz w:val="18"/>
                <w:szCs w:val="18"/>
              </w:rPr>
            </w:pPr>
            <w:r>
              <w:rPr>
                <w:rFonts w:ascii="宋体" w:hAnsi="宋体" w:cs="宋体" w:eastAsia="宋体" w:hint="default"/>
                <w:sz w:val="18"/>
                <w:szCs w:val="18"/>
              </w:rPr>
              <w:t>的五个工作日内与美亚柏科共同到中国证券登</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51"/>
              <w:jc w:val="center"/>
              <w:rPr>
                <w:rFonts w:ascii="宋体" w:hAnsi="宋体" w:cs="宋体" w:eastAsia="宋体" w:hint="default"/>
                <w:sz w:val="18"/>
                <w:szCs w:val="18"/>
              </w:rPr>
            </w:pPr>
            <w:r>
              <w:rPr>
                <w:rFonts w:ascii="宋体" w:hAnsi="宋体" w:cs="宋体" w:eastAsia="宋体" w:hint="default"/>
                <w:sz w:val="18"/>
                <w:szCs w:val="18"/>
              </w:rPr>
              <w:t>记结算有限责任公司深圳分公司办理应补偿股</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8" w:hRule="exact"/>
        </w:trPr>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39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份的注销手续。在前述董事会召开后，注销手续</w:t>
            </w:r>
          </w:p>
        </w:tc>
        <w:tc>
          <w:tcPr>
            <w:tcW w:w="708"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1345"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3" w:type="dxa"/>
        <w:tblLayout w:type="fixed"/>
        <w:tblCellMar>
          <w:top w:w="0" w:type="dxa"/>
          <w:left w:w="0" w:type="dxa"/>
          <w:bottom w:w="0" w:type="dxa"/>
          <w:right w:w="0" w:type="dxa"/>
        </w:tblCellMar>
        <w:tblLook w:val="01E0"/>
      </w:tblPr>
      <w:tblGrid>
        <w:gridCol w:w="1134"/>
        <w:gridCol w:w="1134"/>
        <w:gridCol w:w="709"/>
        <w:gridCol w:w="3970"/>
        <w:gridCol w:w="708"/>
        <w:gridCol w:w="568"/>
        <w:gridCol w:w="1345"/>
      </w:tblGrid>
      <w:tr>
        <w:trPr>
          <w:trHeight w:val="317" w:hRule="exact"/>
        </w:trPr>
        <w:tc>
          <w:tcPr>
            <w:tcW w:w="1134"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39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完成之前，江苏税软交易对方就应补偿股份不拥</w:t>
            </w:r>
          </w:p>
        </w:tc>
        <w:tc>
          <w:tcPr>
            <w:tcW w:w="708" w:type="dxa"/>
            <w:vMerge w:val="restart"/>
            <w:tcBorders>
              <w:top w:val="single" w:sz="4" w:space="0" w:color="000000"/>
              <w:left w:val="single" w:sz="4" w:space="0" w:color="000000"/>
              <w:right w:val="single" w:sz="4" w:space="0" w:color="000000"/>
            </w:tcBorders>
          </w:tcPr>
          <w:p>
            <w:pPr/>
          </w:p>
        </w:tc>
        <w:tc>
          <w:tcPr>
            <w:tcW w:w="568" w:type="dxa"/>
            <w:vMerge w:val="restart"/>
            <w:tcBorders>
              <w:top w:val="single" w:sz="4" w:space="0" w:color="000000"/>
              <w:left w:val="single" w:sz="4" w:space="0" w:color="000000"/>
              <w:right w:val="single" w:sz="4" w:space="0" w:color="000000"/>
            </w:tcBorders>
          </w:tcPr>
          <w:p>
            <w:pPr/>
          </w:p>
        </w:tc>
        <w:tc>
          <w:tcPr>
            <w:tcW w:w="1345" w:type="dxa"/>
            <w:vMerge w:val="restart"/>
            <w:tcBorders>
              <w:top w:val="single" w:sz="4" w:space="0" w:color="000000"/>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有表决权且不享有股利分配的权利。如按照上述</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公式计算的补偿期限内某一年某一江苏税软交</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易对方的补偿股份数量，超过了该江苏税软交易</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对方届时所持美亚柏科的股份总数，则差额部分</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应由该江苏税软交易对方用现金进行补偿，该江</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苏税软交易对方应在差额部分确认后十个工作</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3"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日内将补偿金额一次性汇入美亚柏科指定的银</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5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39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行账户中。</w:t>
            </w:r>
            <w:r>
              <w:rPr>
                <w:rFonts w:ascii="Times New Roman" w:hAnsi="Times New Roman" w:cs="Times New Roman" w:eastAsia="Times New Roman" w:hint="default"/>
                <w:sz w:val="18"/>
                <w:szCs w:val="18"/>
              </w:rPr>
              <w:t>"</w:t>
            </w:r>
          </w:p>
        </w:tc>
        <w:tc>
          <w:tcPr>
            <w:tcW w:w="708"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1345" w:type="dxa"/>
            <w:vMerge/>
            <w:tcBorders>
              <w:left w:val="single" w:sz="4" w:space="0" w:color="000000"/>
              <w:bottom w:val="single" w:sz="4" w:space="0" w:color="000000"/>
              <w:right w:val="single" w:sz="4" w:space="0" w:color="000000"/>
            </w:tcBorders>
          </w:tcPr>
          <w:p>
            <w:pPr/>
          </w:p>
        </w:tc>
      </w:tr>
      <w:tr>
        <w:trPr>
          <w:trHeight w:val="362" w:hRule="exact"/>
        </w:trPr>
        <w:tc>
          <w:tcPr>
            <w:tcW w:w="1134" w:type="dxa"/>
            <w:vMerge/>
            <w:tcBorders>
              <w:left w:val="single" w:sz="4" w:space="0" w:color="000000"/>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39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78"/>
                <w:sz w:val="18"/>
                <w:szCs w:val="18"/>
              </w:rPr>
              <w:t>、</w:t>
            </w:r>
            <w:r>
              <w:rPr>
                <w:rFonts w:ascii="宋体" w:hAnsi="宋体" w:cs="宋体" w:eastAsia="宋体" w:hint="default"/>
                <w:sz w:val="18"/>
                <w:szCs w:val="18"/>
              </w:rPr>
              <w:t>盈利预测新德汇交易对方承诺</w:t>
            </w:r>
            <w:r>
              <w:rPr>
                <w:rFonts w:ascii="宋体" w:hAnsi="宋体" w:cs="宋体" w:eastAsia="宋体" w:hint="default"/>
                <w:spacing w:val="-78"/>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78"/>
                <w:sz w:val="18"/>
                <w:szCs w:val="18"/>
              </w:rPr>
              <w:t>、</w:t>
            </w:r>
            <w:r>
              <w:rPr>
                <w:rFonts w:ascii="Times New Roman" w:hAnsi="Times New Roman" w:cs="Times New Roman" w:eastAsia="Times New Roman" w:hint="default"/>
                <w:sz w:val="18"/>
                <w:szCs w:val="18"/>
              </w:rPr>
              <w:t>2016</w:t>
            </w:r>
          </w:p>
        </w:tc>
        <w:tc>
          <w:tcPr>
            <w:tcW w:w="708"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年及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年（即新德汇收购交易项下的补偿期</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限）的每一会计年度期末产生于补偿期限内的新</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德汇合并报表中扣除非经常性损益后归属于母</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公司的累计净利润合计数不低于《评估报告》中</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相应会计年度期末累计的净利润预测合计数，该</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利润合计数以按照企业会计准则出具的新德汇</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合并审计报告为准。根据经审核的盈利预测，新</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德汇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7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年当期扣除非经常</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性损益后归属于母公司的预测净利润额分别为</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3,900</w:t>
            </w:r>
            <w:r>
              <w:rPr>
                <w:rFonts w:ascii="Times New Roman" w:hAnsi="Times New Roman" w:cs="Times New Roman" w:eastAsia="Times New Roman" w:hint="default"/>
                <w:sz w:val="18"/>
                <w:szCs w:val="18"/>
              </w:rPr>
              <w:t> </w:t>
            </w:r>
            <w:r>
              <w:rPr>
                <w:rFonts w:ascii="宋体" w:hAnsi="宋体" w:cs="宋体" w:eastAsia="宋体" w:hint="default"/>
                <w:sz w:val="18"/>
                <w:szCs w:val="18"/>
              </w:rPr>
              <w:t>万元及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4,860 </w:t>
            </w:r>
            <w:r>
              <w:rPr>
                <w:rFonts w:ascii="宋体" w:hAnsi="宋体" w:cs="宋体" w:eastAsia="宋体" w:hint="default"/>
                <w:spacing w:val="-6"/>
                <w:sz w:val="18"/>
                <w:szCs w:val="18"/>
              </w:rPr>
              <w:t>万元。</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、实际净</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4056"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19" w:lineRule="auto"/>
              <w:ind w:left="103" w:right="119"/>
              <w:jc w:val="left"/>
              <w:rPr>
                <w:rFonts w:ascii="宋体" w:hAnsi="宋体" w:cs="宋体" w:eastAsia="宋体" w:hint="default"/>
                <w:sz w:val="18"/>
                <w:szCs w:val="18"/>
              </w:rPr>
            </w:pPr>
            <w:r>
              <w:rPr>
                <w:rFonts w:ascii="宋体" w:hAnsi="宋体" w:cs="宋体" w:eastAsia="宋体" w:hint="default"/>
                <w:sz w:val="18"/>
                <w:szCs w:val="18"/>
              </w:rPr>
              <w:t>邓炽成；水 军；苏学武</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9" w:lineRule="auto"/>
              <w:ind w:left="103" w:right="234"/>
              <w:jc w:val="both"/>
              <w:rPr>
                <w:rFonts w:ascii="宋体" w:hAnsi="宋体" w:cs="宋体" w:eastAsia="宋体" w:hint="default"/>
                <w:sz w:val="18"/>
                <w:szCs w:val="18"/>
              </w:rPr>
            </w:pPr>
            <w:r>
              <w:rPr>
                <w:rFonts w:ascii="宋体" w:hAnsi="宋体" w:cs="宋体" w:eastAsia="宋体" w:hint="default"/>
                <w:sz w:val="18"/>
                <w:szCs w:val="18"/>
              </w:rPr>
              <w:t>业绩 承诺 及补 偿安 排</w:t>
            </w: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103" w:right="74"/>
              <w:jc w:val="left"/>
              <w:rPr>
                <w:rFonts w:ascii="宋体" w:hAnsi="宋体" w:cs="宋体" w:eastAsia="宋体" w:hint="default"/>
                <w:sz w:val="18"/>
                <w:szCs w:val="18"/>
              </w:rPr>
            </w:pPr>
            <w:r>
              <w:rPr>
                <w:rFonts w:ascii="宋体" w:hAnsi="宋体" w:cs="宋体" w:eastAsia="宋体" w:hint="default"/>
                <w:sz w:val="18"/>
                <w:szCs w:val="18"/>
              </w:rPr>
              <w:t>利润的确定美亚柏科应当在补偿期限内每一会 计年度审计时对新德汇当年的实际净利润数与 </w:t>
            </w:r>
            <w:r>
              <w:rPr>
                <w:rFonts w:ascii="宋体" w:hAnsi="宋体" w:cs="宋体" w:eastAsia="宋体" w:hint="default"/>
                <w:spacing w:val="-2"/>
                <w:sz w:val="18"/>
                <w:szCs w:val="18"/>
              </w:rPr>
              <w:t>净利润预测数的差异进行审核，并由各方共同聘</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请的具有证券期货相关业务资格的会计师事务 </w:t>
            </w:r>
            <w:r>
              <w:rPr>
                <w:rFonts w:ascii="宋体" w:hAnsi="宋体" w:cs="宋体" w:eastAsia="宋体" w:hint="default"/>
                <w:spacing w:val="-2"/>
                <w:sz w:val="18"/>
                <w:szCs w:val="18"/>
              </w:rPr>
              <w:t>所对此出具专项审核意见（该专项审核意见应基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5"/>
                <w:sz w:val="18"/>
                <w:szCs w:val="18"/>
              </w:rPr>
              <w:t>于按照企业会计准则出具的新德汇报告）。净利</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润差额将按照净利润预测数减去实际净利润数 计算，以会计师事务所出具的专项审核意见为 </w:t>
            </w:r>
            <w:r>
              <w:rPr>
                <w:rFonts w:ascii="宋体" w:hAnsi="宋体" w:cs="宋体" w:eastAsia="宋体" w:hint="default"/>
                <w:spacing w:val="-2"/>
                <w:sz w:val="18"/>
                <w:szCs w:val="18"/>
              </w:rPr>
              <w:t>准。上述净利润均为扣除非经常性损益后的净利</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润。</w:t>
            </w:r>
            <w:r>
              <w:rPr>
                <w:rFonts w:ascii="Times New Roman" w:hAnsi="Times New Roman" w:cs="Times New Roman" w:eastAsia="Times New Roman" w:hint="default"/>
                <w:sz w:val="18"/>
                <w:szCs w:val="18"/>
              </w:rPr>
              <w:t>3</w:t>
            </w:r>
            <w:r>
              <w:rPr>
                <w:rFonts w:ascii="宋体" w:hAnsi="宋体" w:cs="宋体" w:eastAsia="宋体" w:hint="default"/>
                <w:sz w:val="18"/>
                <w:szCs w:val="18"/>
              </w:rPr>
              <w:t>、补偿方式及标准若新德汇在补偿期限内 截至任一年度末的累积实际净利润数低于截至 </w:t>
            </w:r>
            <w:r>
              <w:rPr>
                <w:rFonts w:ascii="宋体" w:hAnsi="宋体" w:cs="宋体" w:eastAsia="宋体" w:hint="default"/>
                <w:spacing w:val="-2"/>
                <w:sz w:val="18"/>
                <w:szCs w:val="18"/>
              </w:rPr>
              <w:t>当年度末累积净利润预测数，新德汇交易对方将</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5"/>
                <w:sz w:val="18"/>
                <w:szCs w:val="18"/>
              </w:rPr>
              <w:t>按照以下方式、标准对美亚柏科进行补偿：（</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23</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316" w:lineRule="auto" w:before="142"/>
              <w:ind w:left="103" w:right="101"/>
              <w:jc w:val="both"/>
              <w:rPr>
                <w:rFonts w:ascii="Times New Roman" w:hAnsi="Times New Roman" w:cs="Times New Roman" w:eastAsia="Times New Roman" w:hint="default"/>
                <w:sz w:val="18"/>
                <w:szCs w:val="18"/>
              </w:rPr>
            </w:pPr>
            <w:r>
              <w:rPr>
                <w:rFonts w:ascii="宋体" w:hAnsi="宋体" w:cs="宋体" w:eastAsia="宋体" w:hint="default"/>
                <w:sz w:val="18"/>
                <w:szCs w:val="18"/>
              </w:rPr>
              <w:t>已履行完毕， 业绩承诺已达 到。详见公司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23</w:t>
            </w:r>
          </w:p>
          <w:p>
            <w:pPr>
              <w:pStyle w:val="TableParagraph"/>
              <w:spacing w:line="314" w:lineRule="auto"/>
              <w:ind w:left="103" w:right="102"/>
              <w:jc w:val="both"/>
              <w:rPr>
                <w:rFonts w:ascii="宋体" w:hAnsi="宋体" w:cs="宋体" w:eastAsia="宋体" w:hint="default"/>
                <w:sz w:val="18"/>
                <w:szCs w:val="18"/>
              </w:rPr>
            </w:pPr>
            <w:r>
              <w:rPr>
                <w:rFonts w:ascii="宋体" w:hAnsi="宋体" w:cs="宋体" w:eastAsia="宋体" w:hint="default"/>
                <w:sz w:val="18"/>
                <w:szCs w:val="18"/>
              </w:rPr>
              <w:t>日披露于巨潮 资讯网《关于 重大资产重组 购买</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年度 业绩承诺实现 情况的说明审 核报告（新德 </w:t>
            </w:r>
            <w:r>
              <w:rPr>
                <w:rFonts w:ascii="宋体" w:hAnsi="宋体" w:cs="宋体" w:eastAsia="宋体" w:hint="default"/>
                <w:spacing w:val="-30"/>
                <w:sz w:val="18"/>
                <w:szCs w:val="18"/>
              </w:rPr>
              <w:t>汇）》</w:t>
            </w:r>
          </w:p>
        </w:tc>
      </w:tr>
      <w:tr>
        <w:trPr>
          <w:trHeight w:val="307"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新德汇交易对方应优先以股份向美亚柏科进行</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补偿，不足部分以现金进行补偿。补偿应由各新</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德汇交易对方按照其各自在本次新德汇收购交</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易中获得的股份比例承担。各新德汇交易对方就</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此项补偿对美亚柏科承担连带责任，美亚柏科届</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时另行豁免除外。新德汇交易对方因未实现盈利</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预测而需承担的补偿金额总额不超过本次交易</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中获得的收购对价的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w:t>
            </w:r>
            <w:r>
              <w:rPr>
                <w:rFonts w:ascii="宋体" w:hAnsi="宋体" w:cs="宋体" w:eastAsia="宋体" w:hint="default"/>
                <w:spacing w:val="-111"/>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21"/>
                <w:sz w:val="18"/>
                <w:szCs w:val="18"/>
              </w:rPr>
              <w:t>）</w:t>
            </w:r>
            <w:r>
              <w:rPr>
                <w:rFonts w:ascii="宋体" w:hAnsi="宋体" w:cs="宋体" w:eastAsia="宋体" w:hint="default"/>
                <w:sz w:val="18"/>
                <w:szCs w:val="18"/>
              </w:rPr>
              <w:t>应补偿股</w:t>
            </w:r>
            <w:r>
              <w:rPr>
                <w:rFonts w:ascii="宋体" w:hAnsi="宋体" w:cs="宋体" w:eastAsia="宋体" w:hint="default"/>
                <w:spacing w:val="-2"/>
                <w:sz w:val="18"/>
                <w:szCs w:val="18"/>
              </w:rPr>
              <w:t>份</w:t>
            </w:r>
            <w:r>
              <w:rPr>
                <w:rFonts w:ascii="宋体" w:hAnsi="宋体" w:cs="宋体" w:eastAsia="宋体" w:hint="default"/>
                <w:sz w:val="18"/>
                <w:szCs w:val="18"/>
              </w:rPr>
              <w:t>数量</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应按照以下公式计算所得数值确定：当年应补偿</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（补偿期限内截至当期期末的累积净</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134" w:type="dxa"/>
            <w:vMerge/>
            <w:tcBorders>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39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利润预测数－补偿期限内截至当期期末累积实</w:t>
            </w:r>
          </w:p>
        </w:tc>
        <w:tc>
          <w:tcPr>
            <w:tcW w:w="708"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3" w:type="dxa"/>
        <w:tblLayout w:type="fixed"/>
        <w:tblCellMar>
          <w:top w:w="0" w:type="dxa"/>
          <w:left w:w="0" w:type="dxa"/>
          <w:bottom w:w="0" w:type="dxa"/>
          <w:right w:w="0" w:type="dxa"/>
        </w:tblCellMar>
        <w:tblLook w:val="01E0"/>
      </w:tblPr>
      <w:tblGrid>
        <w:gridCol w:w="1134"/>
        <w:gridCol w:w="1134"/>
        <w:gridCol w:w="709"/>
        <w:gridCol w:w="3970"/>
        <w:gridCol w:w="708"/>
        <w:gridCol w:w="568"/>
        <w:gridCol w:w="1345"/>
      </w:tblGrid>
      <w:tr>
        <w:trPr>
          <w:trHeight w:val="322" w:hRule="exact"/>
        </w:trPr>
        <w:tc>
          <w:tcPr>
            <w:tcW w:w="1134"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39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53"/>
              <w:jc w:val="center"/>
              <w:rPr>
                <w:rFonts w:ascii="宋体" w:hAnsi="宋体" w:cs="宋体" w:eastAsia="宋体" w:hint="default"/>
                <w:sz w:val="18"/>
                <w:szCs w:val="18"/>
              </w:rPr>
            </w:pPr>
            <w:r>
              <w:rPr>
                <w:rFonts w:ascii="宋体" w:hAnsi="宋体" w:cs="宋体" w:eastAsia="宋体" w:hint="default"/>
                <w:sz w:val="18"/>
                <w:szCs w:val="18"/>
              </w:rPr>
              <w:t>际净利润数）</w:t>
            </w:r>
            <w:r>
              <w:rPr>
                <w:rFonts w:ascii="Times New Roman" w:hAnsi="Times New Roman" w:cs="Times New Roman" w:eastAsia="Times New Roman" w:hint="default"/>
                <w:sz w:val="18"/>
                <w:szCs w:val="18"/>
              </w:rPr>
              <w:t>÷</w:t>
            </w:r>
            <w:r>
              <w:rPr>
                <w:rFonts w:ascii="宋体" w:hAnsi="宋体" w:cs="宋体" w:eastAsia="宋体" w:hint="default"/>
                <w:sz w:val="18"/>
                <w:szCs w:val="18"/>
              </w:rPr>
              <w:t>补偿期限内各年的净利润预测数</w:t>
            </w:r>
          </w:p>
        </w:tc>
        <w:tc>
          <w:tcPr>
            <w:tcW w:w="708" w:type="dxa"/>
            <w:vMerge w:val="restart"/>
            <w:tcBorders>
              <w:top w:val="single" w:sz="4" w:space="0" w:color="000000"/>
              <w:left w:val="single" w:sz="4" w:space="0" w:color="000000"/>
              <w:right w:val="single" w:sz="4" w:space="0" w:color="000000"/>
            </w:tcBorders>
          </w:tcPr>
          <w:p>
            <w:pPr/>
          </w:p>
        </w:tc>
        <w:tc>
          <w:tcPr>
            <w:tcW w:w="568" w:type="dxa"/>
            <w:vMerge w:val="restart"/>
            <w:tcBorders>
              <w:top w:val="single" w:sz="4" w:space="0" w:color="000000"/>
              <w:left w:val="single" w:sz="4" w:space="0" w:color="000000"/>
              <w:right w:val="single" w:sz="4" w:space="0" w:color="000000"/>
            </w:tcBorders>
          </w:tcPr>
          <w:p>
            <w:pPr/>
          </w:p>
        </w:tc>
        <w:tc>
          <w:tcPr>
            <w:tcW w:w="1345" w:type="dxa"/>
            <w:vMerge w:val="restart"/>
            <w:tcBorders>
              <w:top w:val="single" w:sz="4" w:space="0" w:color="000000"/>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16"/>
              <w:jc w:val="center"/>
              <w:rPr>
                <w:rFonts w:ascii="宋体" w:hAnsi="宋体" w:cs="宋体" w:eastAsia="宋体" w:hint="default"/>
                <w:sz w:val="18"/>
                <w:szCs w:val="18"/>
              </w:rPr>
            </w:pPr>
            <w:r>
              <w:rPr>
                <w:rFonts w:ascii="宋体" w:hAnsi="宋体" w:cs="宋体" w:eastAsia="宋体" w:hint="default"/>
                <w:sz w:val="18"/>
                <w:szCs w:val="18"/>
              </w:rPr>
              <w:t>总和</w:t>
            </w:r>
            <w:r>
              <w:rPr>
                <w:rFonts w:ascii="Times New Roman" w:hAnsi="Times New Roman" w:cs="Times New Roman" w:eastAsia="Times New Roman" w:hint="default"/>
                <w:sz w:val="18"/>
                <w:szCs w:val="18"/>
              </w:rPr>
              <w:t>×</w:t>
            </w:r>
            <w:r>
              <w:rPr>
                <w:rFonts w:ascii="宋体" w:hAnsi="宋体" w:cs="宋体" w:eastAsia="宋体" w:hint="default"/>
                <w:sz w:val="18"/>
                <w:szCs w:val="18"/>
              </w:rPr>
              <w:t>（新德汇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股权收购对价</w:t>
            </w:r>
            <w:r>
              <w:rPr>
                <w:rFonts w:ascii="Times New Roman" w:hAnsi="Times New Roman" w:cs="Times New Roman" w:eastAsia="Times New Roman" w:hint="default"/>
                <w:sz w:val="18"/>
                <w:szCs w:val="18"/>
              </w:rPr>
              <w:t>÷</w:t>
            </w:r>
            <w:r>
              <w:rPr>
                <w:rFonts w:ascii="宋体" w:hAnsi="宋体" w:cs="宋体" w:eastAsia="宋体" w:hint="default"/>
                <w:sz w:val="18"/>
                <w:szCs w:val="18"/>
              </w:rPr>
              <w:t>每股发行价</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79"/>
              <w:jc w:val="center"/>
              <w:rPr>
                <w:rFonts w:ascii="宋体" w:hAnsi="宋体" w:cs="宋体" w:eastAsia="宋体" w:hint="default"/>
                <w:sz w:val="18"/>
                <w:szCs w:val="18"/>
              </w:rPr>
            </w:pPr>
            <w:r>
              <w:rPr>
                <w:rFonts w:ascii="宋体" w:hAnsi="宋体" w:cs="宋体" w:eastAsia="宋体" w:hint="default"/>
                <w:sz w:val="18"/>
                <w:szCs w:val="18"/>
              </w:rPr>
              <w:t>格）</w:t>
            </w:r>
            <w:r>
              <w:rPr>
                <w:rFonts w:ascii="Times New Roman" w:hAnsi="Times New Roman" w:cs="Times New Roman" w:eastAsia="Times New Roman" w:hint="default"/>
                <w:sz w:val="18"/>
                <w:szCs w:val="18"/>
              </w:rPr>
              <w:t>×49%</w:t>
            </w:r>
            <w:r>
              <w:rPr>
                <w:rFonts w:ascii="宋体" w:hAnsi="宋体" w:cs="宋体" w:eastAsia="宋体" w:hint="default"/>
                <w:sz w:val="18"/>
                <w:szCs w:val="18"/>
              </w:rPr>
              <w:t>－已补偿股份数量－（已补偿现金金</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每股发行价格</w:t>
            </w:r>
            <w:r>
              <w:rPr>
                <w:rFonts w:ascii="宋体" w:hAnsi="宋体" w:cs="宋体" w:eastAsia="宋体" w:hint="default"/>
                <w:spacing w:val="-90"/>
                <w:sz w:val="18"/>
                <w:szCs w:val="18"/>
              </w:rPr>
              <w:t>）</w:t>
            </w:r>
            <w:r>
              <w:rPr>
                <w:rFonts w:ascii="宋体" w:hAnsi="宋体" w:cs="宋体" w:eastAsia="宋体" w:hint="default"/>
                <w:spacing w:val="-36"/>
                <w:sz w:val="18"/>
                <w:szCs w:val="18"/>
              </w:rPr>
              <w:t>。</w:t>
            </w:r>
            <w:r>
              <w:rPr>
                <w:rFonts w:ascii="宋体" w:hAnsi="宋体" w:cs="宋体" w:eastAsia="宋体" w:hint="default"/>
                <w:sz w:val="18"/>
                <w:szCs w:val="18"/>
              </w:rPr>
              <w:t>某一新德汇交易对方应补偿</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股份数量的计算公式为：某一新德汇交易对方当</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49"/>
              <w:jc w:val="center"/>
              <w:rPr>
                <w:rFonts w:ascii="宋体" w:hAnsi="宋体" w:cs="宋体" w:eastAsia="宋体" w:hint="default"/>
                <w:sz w:val="18"/>
                <w:szCs w:val="18"/>
              </w:rPr>
            </w:pPr>
            <w:r>
              <w:rPr>
                <w:rFonts w:ascii="宋体" w:hAnsi="宋体" w:cs="宋体" w:eastAsia="宋体" w:hint="default"/>
                <w:sz w:val="18"/>
                <w:szCs w:val="18"/>
              </w:rPr>
              <w:t>年应补偿股份数量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（补偿期限内截至当期期末</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51"/>
              <w:jc w:val="center"/>
              <w:rPr>
                <w:rFonts w:ascii="宋体" w:hAnsi="宋体" w:cs="宋体" w:eastAsia="宋体" w:hint="default"/>
                <w:sz w:val="18"/>
                <w:szCs w:val="18"/>
              </w:rPr>
            </w:pPr>
            <w:r>
              <w:rPr>
                <w:rFonts w:ascii="宋体" w:hAnsi="宋体" w:cs="宋体" w:eastAsia="宋体" w:hint="default"/>
                <w:sz w:val="18"/>
                <w:szCs w:val="18"/>
              </w:rPr>
              <w:t>的累积净利润预测数－补偿期限内截至当期期</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3"/>
              <w:jc w:val="center"/>
              <w:rPr>
                <w:rFonts w:ascii="宋体" w:hAnsi="宋体" w:cs="宋体" w:eastAsia="宋体" w:hint="default"/>
                <w:sz w:val="18"/>
                <w:szCs w:val="18"/>
              </w:rPr>
            </w:pPr>
            <w:r>
              <w:rPr>
                <w:rFonts w:ascii="宋体" w:hAnsi="宋体" w:cs="宋体" w:eastAsia="宋体" w:hint="default"/>
                <w:sz w:val="18"/>
                <w:szCs w:val="18"/>
              </w:rPr>
              <w:t>末累积实际净利润数）</w:t>
            </w:r>
            <w:r>
              <w:rPr>
                <w:rFonts w:ascii="Times New Roman" w:hAnsi="Times New Roman" w:cs="Times New Roman" w:eastAsia="Times New Roman" w:hint="default"/>
                <w:sz w:val="18"/>
                <w:szCs w:val="18"/>
              </w:rPr>
              <w:t>÷</w:t>
            </w:r>
            <w:r>
              <w:rPr>
                <w:rFonts w:ascii="宋体" w:hAnsi="宋体" w:cs="宋体" w:eastAsia="宋体" w:hint="default"/>
                <w:sz w:val="18"/>
                <w:szCs w:val="18"/>
              </w:rPr>
              <w:t>补偿期限内各年的净利</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pacing w:val="-6"/>
                <w:sz w:val="18"/>
                <w:szCs w:val="18"/>
              </w:rPr>
              <w:t>润预测数总和</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（新德汇</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股权收购对价</w:t>
            </w:r>
            <w:r>
              <w:rPr>
                <w:rFonts w:ascii="Times New Roman" w:hAnsi="Times New Roman" w:cs="Times New Roman" w:eastAsia="Times New Roman" w:hint="default"/>
                <w:sz w:val="18"/>
                <w:szCs w:val="18"/>
              </w:rPr>
              <w:t>÷</w:t>
            </w:r>
            <w:r>
              <w:rPr>
                <w:rFonts w:ascii="宋体" w:hAnsi="宋体" w:cs="宋体" w:eastAsia="宋体" w:hint="default"/>
                <w:sz w:val="18"/>
                <w:szCs w:val="18"/>
              </w:rPr>
              <w:t>每股</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pacing w:val="-4"/>
                <w:sz w:val="18"/>
                <w:szCs w:val="18"/>
              </w:rPr>
              <w:t>发行价格）</w:t>
            </w:r>
            <w:r>
              <w:rPr>
                <w:rFonts w:ascii="Times New Roman" w:hAnsi="Times New Roman" w:cs="Times New Roman" w:eastAsia="Times New Roman" w:hint="default"/>
                <w:spacing w:val="-4"/>
                <w:sz w:val="18"/>
                <w:szCs w:val="18"/>
              </w:rPr>
              <w:t>×49%×[</w:t>
            </w:r>
            <w:r>
              <w:rPr>
                <w:rFonts w:ascii="宋体" w:hAnsi="宋体" w:cs="宋体" w:eastAsia="宋体" w:hint="default"/>
                <w:spacing w:val="-4"/>
                <w:sz w:val="18"/>
                <w:szCs w:val="18"/>
              </w:rPr>
              <w:t>（该新德汇交易对方在本次新</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49"/>
              <w:jc w:val="center"/>
              <w:rPr>
                <w:rFonts w:ascii="宋体" w:hAnsi="宋体" w:cs="宋体" w:eastAsia="宋体" w:hint="default"/>
                <w:sz w:val="18"/>
                <w:szCs w:val="18"/>
              </w:rPr>
            </w:pPr>
            <w:r>
              <w:rPr>
                <w:rFonts w:ascii="宋体" w:hAnsi="宋体" w:cs="宋体" w:eastAsia="宋体" w:hint="default"/>
                <w:sz w:val="18"/>
                <w:szCs w:val="18"/>
              </w:rPr>
              <w:t>德汇收购交易中获得的全部股份数</w:t>
            </w:r>
            <w:r>
              <w:rPr>
                <w:rFonts w:ascii="Times New Roman" w:hAnsi="Times New Roman" w:cs="Times New Roman" w:eastAsia="Times New Roman" w:hint="default"/>
                <w:sz w:val="18"/>
                <w:szCs w:val="18"/>
              </w:rPr>
              <w:t>×</w:t>
            </w:r>
            <w:r>
              <w:rPr>
                <w:rFonts w:ascii="宋体" w:hAnsi="宋体" w:cs="宋体" w:eastAsia="宋体" w:hint="default"/>
                <w:sz w:val="18"/>
                <w:szCs w:val="18"/>
              </w:rPr>
              <w:t>每股发行价</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67"/>
              <w:jc w:val="center"/>
              <w:rPr>
                <w:rFonts w:ascii="宋体" w:hAnsi="宋体" w:cs="宋体" w:eastAsia="宋体" w:hint="default"/>
                <w:sz w:val="18"/>
                <w:szCs w:val="18"/>
              </w:rPr>
            </w:pPr>
            <w:r>
              <w:rPr>
                <w:rFonts w:ascii="宋体" w:hAnsi="宋体" w:cs="宋体" w:eastAsia="宋体" w:hint="default"/>
                <w:sz w:val="18"/>
                <w:szCs w:val="18"/>
              </w:rPr>
              <w:t>格）</w:t>
            </w:r>
            <w:r>
              <w:rPr>
                <w:rFonts w:ascii="Times New Roman" w:hAnsi="Times New Roman" w:cs="Times New Roman" w:eastAsia="Times New Roman" w:hint="default"/>
                <w:sz w:val="18"/>
                <w:szCs w:val="18"/>
              </w:rPr>
              <w:t>÷</w:t>
            </w:r>
            <w:r>
              <w:rPr>
                <w:rFonts w:ascii="宋体" w:hAnsi="宋体" w:cs="宋体" w:eastAsia="宋体" w:hint="default"/>
                <w:sz w:val="18"/>
                <w:szCs w:val="18"/>
              </w:rPr>
              <w:t>新德汇 </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股权收购对价</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－该新德汇交</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易对方已补偿股份数量－（该新德汇交易对方已</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补偿现金金额</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每股发行价格</w:t>
            </w:r>
            <w:r>
              <w:rPr>
                <w:rFonts w:ascii="宋体" w:hAnsi="宋体" w:cs="宋体" w:eastAsia="宋体" w:hint="default"/>
                <w:spacing w:val="-90"/>
                <w:sz w:val="18"/>
                <w:szCs w:val="18"/>
              </w:rPr>
              <w:t>）</w:t>
            </w:r>
            <w:r>
              <w:rPr>
                <w:rFonts w:ascii="宋体" w:hAnsi="宋体" w:cs="宋体" w:eastAsia="宋体" w:hint="default"/>
                <w:spacing w:val="-36"/>
                <w:sz w:val="18"/>
                <w:szCs w:val="18"/>
              </w:rPr>
              <w:t>。</w:t>
            </w:r>
            <w:r>
              <w:rPr>
                <w:rFonts w:ascii="宋体" w:hAnsi="宋体" w:cs="宋体" w:eastAsia="宋体" w:hint="default"/>
                <w:sz w:val="18"/>
                <w:szCs w:val="18"/>
              </w:rPr>
              <w:t>上述计算公式中</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51"/>
              <w:jc w:val="center"/>
              <w:rPr>
                <w:rFonts w:ascii="宋体" w:hAnsi="宋体" w:cs="宋体" w:eastAsia="宋体" w:hint="default"/>
                <w:sz w:val="18"/>
                <w:szCs w:val="18"/>
              </w:rPr>
            </w:pPr>
            <w:r>
              <w:rPr>
                <w:rFonts w:ascii="宋体" w:hAnsi="宋体" w:cs="宋体" w:eastAsia="宋体" w:hint="default"/>
                <w:sz w:val="18"/>
                <w:szCs w:val="18"/>
              </w:rPr>
              <w:t>的净利润预测数指新德汇合并报表中扣除非经</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center"/>
              <w:rPr>
                <w:rFonts w:ascii="宋体" w:hAnsi="宋体" w:cs="宋体" w:eastAsia="宋体" w:hint="default"/>
                <w:sz w:val="18"/>
                <w:szCs w:val="18"/>
              </w:rPr>
            </w:pPr>
            <w:r>
              <w:rPr>
                <w:rFonts w:ascii="宋体" w:hAnsi="宋体" w:cs="宋体" w:eastAsia="宋体" w:hint="default"/>
                <w:sz w:val="18"/>
                <w:szCs w:val="18"/>
              </w:rPr>
              <w:t>常性损益后归属于母公司的净利润预测数之和。</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51"/>
              <w:jc w:val="center"/>
              <w:rPr>
                <w:rFonts w:ascii="宋体" w:hAnsi="宋体" w:cs="宋体" w:eastAsia="宋体" w:hint="default"/>
                <w:sz w:val="18"/>
                <w:szCs w:val="18"/>
              </w:rPr>
            </w:pPr>
            <w:r>
              <w:rPr>
                <w:rFonts w:ascii="宋体" w:hAnsi="宋体" w:cs="宋体" w:eastAsia="宋体" w:hint="default"/>
                <w:sz w:val="18"/>
                <w:szCs w:val="18"/>
              </w:rPr>
              <w:t>上述计算公式中的实际净利润数指新德汇合并</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51"/>
              <w:jc w:val="center"/>
              <w:rPr>
                <w:rFonts w:ascii="宋体" w:hAnsi="宋体" w:cs="宋体" w:eastAsia="宋体" w:hint="default"/>
                <w:sz w:val="18"/>
                <w:szCs w:val="18"/>
              </w:rPr>
            </w:pPr>
            <w:r>
              <w:rPr>
                <w:rFonts w:ascii="宋体" w:hAnsi="宋体" w:cs="宋体" w:eastAsia="宋体" w:hint="default"/>
                <w:sz w:val="18"/>
                <w:szCs w:val="18"/>
              </w:rPr>
              <w:t>报表中扣除非经常性损益后归属于母公司的实</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际净利润数之和。每股发行价格指美亚柏科在本</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51"/>
              <w:jc w:val="center"/>
              <w:rPr>
                <w:rFonts w:ascii="宋体" w:hAnsi="宋体" w:cs="宋体" w:eastAsia="宋体" w:hint="default"/>
                <w:sz w:val="18"/>
                <w:szCs w:val="18"/>
              </w:rPr>
            </w:pPr>
            <w:r>
              <w:rPr>
                <w:rFonts w:ascii="宋体" w:hAnsi="宋体" w:cs="宋体" w:eastAsia="宋体" w:hint="default"/>
                <w:sz w:val="18"/>
                <w:szCs w:val="18"/>
              </w:rPr>
              <w:t>次新德汇收购交易中向新德汇交易对方非公开</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发行股份的每股发行价格。如果自新德汇的唯一</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51"/>
              <w:jc w:val="center"/>
              <w:rPr>
                <w:rFonts w:ascii="宋体" w:hAnsi="宋体" w:cs="宋体" w:eastAsia="宋体" w:hint="default"/>
                <w:sz w:val="18"/>
                <w:szCs w:val="18"/>
              </w:rPr>
            </w:pPr>
            <w:r>
              <w:rPr>
                <w:rFonts w:ascii="宋体" w:hAnsi="宋体" w:cs="宋体" w:eastAsia="宋体" w:hint="default"/>
                <w:sz w:val="18"/>
                <w:szCs w:val="18"/>
              </w:rPr>
              <w:t>股东在公司登记管理机关变更为美亚柏科之日</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至股份补偿实施之日的期间内，美亚柏科如有派</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息、送股、转增股本等除权除息事项发生，则应</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补偿股份数量，以及随补偿股份而发生的返还金</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额，应做相应调整。新德汇交易对方因未实现盈</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51"/>
              <w:jc w:val="center"/>
              <w:rPr>
                <w:rFonts w:ascii="宋体" w:hAnsi="宋体" w:cs="宋体" w:eastAsia="宋体" w:hint="default"/>
                <w:sz w:val="18"/>
                <w:szCs w:val="18"/>
              </w:rPr>
            </w:pPr>
            <w:r>
              <w:rPr>
                <w:rFonts w:ascii="宋体" w:hAnsi="宋体" w:cs="宋体" w:eastAsia="宋体" w:hint="default"/>
                <w:sz w:val="18"/>
                <w:szCs w:val="18"/>
              </w:rPr>
              <w:t>利预测而需承担的应补偿股份数量不超过新德</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51"/>
              <w:jc w:val="center"/>
              <w:rPr>
                <w:rFonts w:ascii="宋体" w:hAnsi="宋体" w:cs="宋体" w:eastAsia="宋体" w:hint="default"/>
                <w:sz w:val="18"/>
                <w:szCs w:val="18"/>
              </w:rPr>
            </w:pPr>
            <w:r>
              <w:rPr>
                <w:rFonts w:ascii="宋体" w:hAnsi="宋体" w:cs="宋体" w:eastAsia="宋体" w:hint="default"/>
                <w:sz w:val="18"/>
                <w:szCs w:val="18"/>
              </w:rPr>
              <w:t>汇交易对方本次新德汇收购交易中认购股份的</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总量的</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。如按上述</w:t>
            </w:r>
            <w:r>
              <w:rPr>
                <w:rFonts w:ascii="Times New Roman" w:hAnsi="Times New Roman" w:cs="Times New Roman" w:eastAsia="Times New Roman" w:hint="default"/>
                <w:sz w:val="18"/>
                <w:szCs w:val="18"/>
              </w:rPr>
              <w:t>"</w:t>
            </w:r>
            <w:r>
              <w:rPr>
                <w:rFonts w:ascii="宋体" w:hAnsi="宋体" w:cs="宋体" w:eastAsia="宋体" w:hint="default"/>
                <w:sz w:val="18"/>
                <w:szCs w:val="18"/>
              </w:rPr>
              <w:t>应补偿股份数量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的计算</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51"/>
              <w:jc w:val="center"/>
              <w:rPr>
                <w:rFonts w:ascii="宋体" w:hAnsi="宋体" w:cs="宋体" w:eastAsia="宋体" w:hint="default"/>
                <w:sz w:val="18"/>
                <w:szCs w:val="18"/>
              </w:rPr>
            </w:pPr>
            <w:r>
              <w:rPr>
                <w:rFonts w:ascii="宋体" w:hAnsi="宋体" w:cs="宋体" w:eastAsia="宋体" w:hint="default"/>
                <w:sz w:val="18"/>
                <w:szCs w:val="18"/>
              </w:rPr>
              <w:t>公式计算的补偿期限内某一年的补偿股份数量</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5"/>
              <w:jc w:val="center"/>
              <w:rPr>
                <w:rFonts w:ascii="宋体" w:hAnsi="宋体" w:cs="宋体" w:eastAsia="宋体" w:hint="default"/>
                <w:sz w:val="18"/>
                <w:szCs w:val="18"/>
              </w:rPr>
            </w:pPr>
            <w:r>
              <w:rPr>
                <w:rFonts w:ascii="宋体" w:hAnsi="宋体" w:cs="宋体" w:eastAsia="宋体" w:hint="default"/>
                <w:sz w:val="18"/>
                <w:szCs w:val="18"/>
              </w:rPr>
              <w:t>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，则应按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取值，即已经补偿的股份不冲</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pacing w:val="-104"/>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14"/>
                <w:sz w:val="18"/>
                <w:szCs w:val="18"/>
              </w:rPr>
              <w:t>）</w:t>
            </w:r>
            <w:r>
              <w:rPr>
                <w:rFonts w:ascii="宋体" w:hAnsi="宋体" w:cs="宋体" w:eastAsia="宋体" w:hint="default"/>
                <w:sz w:val="18"/>
                <w:szCs w:val="18"/>
              </w:rPr>
              <w:t>如</w:t>
            </w:r>
            <w:r>
              <w:rPr>
                <w:rFonts w:ascii="宋体" w:hAnsi="宋体" w:cs="宋体" w:eastAsia="宋体" w:hint="default"/>
                <w:spacing w:val="-2"/>
                <w:sz w:val="18"/>
                <w:szCs w:val="18"/>
              </w:rPr>
              <w:t>按</w:t>
            </w:r>
            <w:r>
              <w:rPr>
                <w:rFonts w:ascii="宋体" w:hAnsi="宋体" w:cs="宋体" w:eastAsia="宋体" w:hint="default"/>
                <w:sz w:val="18"/>
                <w:szCs w:val="18"/>
              </w:rPr>
              <w:t>照上述公式计算的补偿期限内某一</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年某一新德汇交易对方的补偿股份数量，超过了</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51"/>
              <w:jc w:val="center"/>
              <w:rPr>
                <w:rFonts w:ascii="宋体" w:hAnsi="宋体" w:cs="宋体" w:eastAsia="宋体" w:hint="default"/>
                <w:sz w:val="18"/>
                <w:szCs w:val="18"/>
              </w:rPr>
            </w:pPr>
            <w:r>
              <w:rPr>
                <w:rFonts w:ascii="宋体" w:hAnsi="宋体" w:cs="宋体" w:eastAsia="宋体" w:hint="default"/>
                <w:sz w:val="18"/>
                <w:szCs w:val="18"/>
              </w:rPr>
              <w:t>该新德汇交易对方届时所持美亚柏科的股份总</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数，则差额部分应由该新德汇交易对方用现金进</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行补偿。现金补偿金额的计算公式为：相关新德</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49"/>
              <w:jc w:val="center"/>
              <w:rPr>
                <w:rFonts w:ascii="宋体" w:hAnsi="宋体" w:cs="宋体" w:eastAsia="宋体" w:hint="default"/>
                <w:sz w:val="18"/>
                <w:szCs w:val="18"/>
              </w:rPr>
            </w:pPr>
            <w:r>
              <w:rPr>
                <w:rFonts w:ascii="宋体" w:hAnsi="宋体" w:cs="宋体" w:eastAsia="宋体" w:hint="default"/>
                <w:sz w:val="18"/>
                <w:szCs w:val="18"/>
              </w:rPr>
              <w:t>汇交易对方现金补偿金额</w:t>
            </w:r>
            <w:r>
              <w:rPr>
                <w:rFonts w:ascii="Times New Roman" w:hAnsi="Times New Roman" w:cs="Times New Roman" w:eastAsia="Times New Roman" w:hint="default"/>
                <w:sz w:val="18"/>
                <w:szCs w:val="18"/>
              </w:rPr>
              <w:t>=</w:t>
            </w:r>
            <w:r>
              <w:rPr>
                <w:rFonts w:ascii="宋体" w:hAnsi="宋体" w:cs="宋体" w:eastAsia="宋体" w:hint="default"/>
                <w:sz w:val="18"/>
                <w:szCs w:val="18"/>
              </w:rPr>
              <w:t>（该新德汇交易对方</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51"/>
              <w:jc w:val="center"/>
              <w:rPr>
                <w:rFonts w:ascii="宋体" w:hAnsi="宋体" w:cs="宋体" w:eastAsia="宋体" w:hint="default"/>
                <w:sz w:val="18"/>
                <w:szCs w:val="18"/>
              </w:rPr>
            </w:pPr>
            <w:r>
              <w:rPr>
                <w:rFonts w:ascii="宋体" w:hAnsi="宋体" w:cs="宋体" w:eastAsia="宋体" w:hint="default"/>
                <w:sz w:val="18"/>
                <w:szCs w:val="18"/>
              </w:rPr>
              <w:t>应补偿股份数量－该新德汇交易对方届时所持</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49"/>
              <w:jc w:val="center"/>
              <w:rPr>
                <w:rFonts w:ascii="宋体" w:hAnsi="宋体" w:cs="宋体" w:eastAsia="宋体" w:hint="default"/>
                <w:sz w:val="18"/>
                <w:szCs w:val="18"/>
              </w:rPr>
            </w:pPr>
            <w:r>
              <w:rPr>
                <w:rFonts w:ascii="宋体" w:hAnsi="宋体" w:cs="宋体" w:eastAsia="宋体" w:hint="default"/>
                <w:sz w:val="18"/>
                <w:szCs w:val="18"/>
              </w:rPr>
              <w:t>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每股发行价格</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）减值测试在补</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偿期限届满时，各方将共同聘请具有证券期货相</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51"/>
              <w:jc w:val="center"/>
              <w:rPr>
                <w:rFonts w:ascii="宋体" w:hAnsi="宋体" w:cs="宋体" w:eastAsia="宋体" w:hint="default"/>
                <w:sz w:val="18"/>
                <w:szCs w:val="18"/>
              </w:rPr>
            </w:pPr>
            <w:r>
              <w:rPr>
                <w:rFonts w:ascii="宋体" w:hAnsi="宋体" w:cs="宋体" w:eastAsia="宋体" w:hint="default"/>
                <w:sz w:val="18"/>
                <w:szCs w:val="18"/>
              </w:rPr>
              <w:t>关业务资格的会计师事务所审核美亚柏科就新</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德汇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股权出具</w:t>
            </w:r>
            <w:r>
              <w:rPr>
                <w:rFonts w:ascii="宋体" w:hAnsi="宋体" w:cs="宋体" w:eastAsia="宋体" w:hint="default"/>
                <w:spacing w:val="-21"/>
                <w:sz w:val="18"/>
                <w:szCs w:val="18"/>
              </w:rPr>
              <w:t>的</w:t>
            </w:r>
            <w:r>
              <w:rPr>
                <w:rFonts w:ascii="宋体" w:hAnsi="宋体" w:cs="宋体" w:eastAsia="宋体" w:hint="default"/>
                <w:sz w:val="18"/>
                <w:szCs w:val="18"/>
              </w:rPr>
              <w:t>《减</w:t>
            </w:r>
            <w:r>
              <w:rPr>
                <w:rFonts w:ascii="宋体" w:hAnsi="宋体" w:cs="宋体" w:eastAsia="宋体" w:hint="default"/>
                <w:spacing w:val="-2"/>
                <w:sz w:val="18"/>
                <w:szCs w:val="18"/>
              </w:rPr>
              <w:t>值</w:t>
            </w:r>
            <w:r>
              <w:rPr>
                <w:rFonts w:ascii="宋体" w:hAnsi="宋体" w:cs="宋体" w:eastAsia="宋体" w:hint="default"/>
                <w:sz w:val="18"/>
                <w:szCs w:val="18"/>
              </w:rPr>
              <w:t>测试报告</w:t>
            </w:r>
            <w:r>
              <w:rPr>
                <w:rFonts w:ascii="宋体" w:hAnsi="宋体" w:cs="宋体" w:eastAsia="宋体" w:hint="default"/>
                <w:spacing w:val="-90"/>
                <w:sz w:val="18"/>
                <w:szCs w:val="18"/>
              </w:rPr>
              <w:t>》</w:t>
            </w:r>
            <w:r>
              <w:rPr>
                <w:rFonts w:ascii="宋体" w:hAnsi="宋体" w:cs="宋体" w:eastAsia="宋体" w:hint="default"/>
                <w:spacing w:val="-21"/>
                <w:sz w:val="18"/>
                <w:szCs w:val="18"/>
              </w:rPr>
              <w:t>，</w:t>
            </w:r>
            <w:r>
              <w:rPr>
                <w:rFonts w:ascii="宋体" w:hAnsi="宋体" w:cs="宋体" w:eastAsia="宋体" w:hint="default"/>
                <w:spacing w:val="-2"/>
                <w:sz w:val="18"/>
                <w:szCs w:val="18"/>
              </w:rPr>
              <w:t>并</w:t>
            </w:r>
            <w:r>
              <w:rPr>
                <w:rFonts w:ascii="宋体" w:hAnsi="宋体" w:cs="宋体" w:eastAsia="宋体" w:hint="default"/>
                <w:sz w:val="18"/>
                <w:szCs w:val="18"/>
              </w:rPr>
              <w:t>出具</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《减值测试审核报告</w:t>
            </w:r>
            <w:r>
              <w:rPr>
                <w:rFonts w:ascii="宋体" w:hAnsi="宋体" w:cs="宋体" w:eastAsia="宋体" w:hint="default"/>
                <w:spacing w:val="-90"/>
                <w:sz w:val="18"/>
                <w:szCs w:val="18"/>
              </w:rPr>
              <w:t>》</w:t>
            </w:r>
            <w:r>
              <w:rPr>
                <w:rFonts w:ascii="宋体" w:hAnsi="宋体" w:cs="宋体" w:eastAsia="宋体" w:hint="default"/>
                <w:spacing w:val="-39"/>
                <w:sz w:val="18"/>
                <w:szCs w:val="18"/>
              </w:rPr>
              <w:t>，</w:t>
            </w:r>
            <w:r>
              <w:rPr>
                <w:rFonts w:ascii="宋体" w:hAnsi="宋体" w:cs="宋体" w:eastAsia="宋体" w:hint="default"/>
                <w:sz w:val="18"/>
                <w:szCs w:val="18"/>
              </w:rPr>
              <w:t>如期末减值额 </w:t>
            </w:r>
            <w:r>
              <w:rPr>
                <w:rFonts w:ascii="Times New Roman" w:hAnsi="Times New Roman" w:cs="Times New Roman" w:eastAsia="Times New Roman" w:hint="default"/>
                <w:sz w:val="18"/>
                <w:szCs w:val="18"/>
              </w:rPr>
              <w:t>&gt;  </w:t>
            </w:r>
            <w:r>
              <w:rPr>
                <w:rFonts w:ascii="宋体" w:hAnsi="宋体" w:cs="宋体" w:eastAsia="宋体" w:hint="default"/>
                <w:sz w:val="18"/>
                <w:szCs w:val="18"/>
              </w:rPr>
              <w:t>补偿期</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3" w:hRule="exact"/>
        </w:trPr>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39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127"/>
              <w:jc w:val="center"/>
              <w:rPr>
                <w:rFonts w:ascii="宋体" w:hAnsi="宋体" w:cs="宋体" w:eastAsia="宋体" w:hint="default"/>
                <w:sz w:val="18"/>
                <w:szCs w:val="18"/>
              </w:rPr>
            </w:pPr>
            <w:r>
              <w:rPr>
                <w:rFonts w:ascii="宋体" w:hAnsi="宋体" w:cs="宋体" w:eastAsia="宋体" w:hint="default"/>
                <w:sz w:val="18"/>
                <w:szCs w:val="18"/>
              </w:rPr>
              <w:t>限内已补偿股份总数</w:t>
            </w:r>
            <w:r>
              <w:rPr>
                <w:rFonts w:ascii="Times New Roman" w:hAnsi="Times New Roman" w:cs="Times New Roman" w:eastAsia="Times New Roman" w:hint="default"/>
                <w:sz w:val="18"/>
                <w:szCs w:val="18"/>
              </w:rPr>
              <w:t>×</w:t>
            </w:r>
            <w:r>
              <w:rPr>
                <w:rFonts w:ascii="宋体" w:hAnsi="宋体" w:cs="宋体" w:eastAsia="宋体" w:hint="default"/>
                <w:sz w:val="18"/>
                <w:szCs w:val="18"/>
              </w:rPr>
              <w:t>每股发行价格</w:t>
            </w:r>
            <w:r>
              <w:rPr>
                <w:rFonts w:ascii="Times New Roman" w:hAnsi="Times New Roman" w:cs="Times New Roman" w:eastAsia="Times New Roman" w:hint="default"/>
                <w:sz w:val="18"/>
                <w:szCs w:val="18"/>
              </w:rPr>
              <w:t>+</w:t>
            </w:r>
            <w:r>
              <w:rPr>
                <w:rFonts w:ascii="宋体" w:hAnsi="宋体" w:cs="宋体" w:eastAsia="宋体" w:hint="default"/>
                <w:sz w:val="18"/>
                <w:szCs w:val="18"/>
              </w:rPr>
              <w:t>已补偿现</w:t>
            </w:r>
          </w:p>
        </w:tc>
        <w:tc>
          <w:tcPr>
            <w:tcW w:w="708"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1345"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3" w:type="dxa"/>
        <w:tblLayout w:type="fixed"/>
        <w:tblCellMar>
          <w:top w:w="0" w:type="dxa"/>
          <w:left w:w="0" w:type="dxa"/>
          <w:bottom w:w="0" w:type="dxa"/>
          <w:right w:w="0" w:type="dxa"/>
        </w:tblCellMar>
        <w:tblLook w:val="01E0"/>
      </w:tblPr>
      <w:tblGrid>
        <w:gridCol w:w="1134"/>
        <w:gridCol w:w="1134"/>
        <w:gridCol w:w="709"/>
        <w:gridCol w:w="3970"/>
        <w:gridCol w:w="708"/>
        <w:gridCol w:w="568"/>
        <w:gridCol w:w="1345"/>
      </w:tblGrid>
      <w:tr>
        <w:trPr>
          <w:trHeight w:val="317" w:hRule="exact"/>
        </w:trPr>
        <w:tc>
          <w:tcPr>
            <w:tcW w:w="1134"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39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金，则新德汇交易对方应另行向美亚柏科补偿股</w:t>
            </w:r>
          </w:p>
        </w:tc>
        <w:tc>
          <w:tcPr>
            <w:tcW w:w="708" w:type="dxa"/>
            <w:vMerge w:val="restart"/>
            <w:tcBorders>
              <w:top w:val="single" w:sz="4" w:space="0" w:color="000000"/>
              <w:left w:val="single" w:sz="4" w:space="0" w:color="000000"/>
              <w:right w:val="single" w:sz="4" w:space="0" w:color="000000"/>
            </w:tcBorders>
          </w:tcPr>
          <w:p>
            <w:pPr/>
          </w:p>
        </w:tc>
        <w:tc>
          <w:tcPr>
            <w:tcW w:w="568" w:type="dxa"/>
            <w:vMerge w:val="restart"/>
            <w:tcBorders>
              <w:top w:val="single" w:sz="4" w:space="0" w:color="000000"/>
              <w:left w:val="single" w:sz="4" w:space="0" w:color="000000"/>
              <w:right w:val="single" w:sz="4" w:space="0" w:color="000000"/>
            </w:tcBorders>
          </w:tcPr>
          <w:p>
            <w:pPr/>
          </w:p>
        </w:tc>
        <w:tc>
          <w:tcPr>
            <w:tcW w:w="1345" w:type="dxa"/>
            <w:vMerge w:val="restart"/>
            <w:tcBorders>
              <w:top w:val="single" w:sz="4" w:space="0" w:color="000000"/>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份。另行补偿股份数量计算公式为：期末减值额</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补偿股份数量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期末减值额</w:t>
            </w:r>
            <w:r>
              <w:rPr>
                <w:rFonts w:ascii="Times New Roman" w:hAnsi="Times New Roman" w:cs="Times New Roman" w:eastAsia="Times New Roman" w:hint="default"/>
                <w:sz w:val="18"/>
                <w:szCs w:val="18"/>
              </w:rPr>
              <w:t>÷</w:t>
            </w:r>
            <w:r>
              <w:rPr>
                <w:rFonts w:ascii="宋体" w:hAnsi="宋体" w:cs="宋体" w:eastAsia="宋体" w:hint="default"/>
                <w:sz w:val="18"/>
                <w:szCs w:val="18"/>
              </w:rPr>
              <w:t>每股发行价格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已</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补偿股份总数－（已补偿现金金额</w:t>
            </w:r>
            <w:r>
              <w:rPr>
                <w:rFonts w:ascii="Times New Roman" w:hAnsi="Times New Roman" w:cs="Times New Roman" w:eastAsia="Times New Roman" w:hint="default"/>
                <w:sz w:val="18"/>
                <w:szCs w:val="18"/>
              </w:rPr>
              <w:t>÷</w:t>
            </w:r>
            <w:r>
              <w:rPr>
                <w:rFonts w:ascii="宋体" w:hAnsi="宋体" w:cs="宋体" w:eastAsia="宋体" w:hint="default"/>
                <w:sz w:val="18"/>
                <w:szCs w:val="18"/>
              </w:rPr>
              <w:t>每股发行价</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格</w:t>
            </w:r>
            <w:r>
              <w:rPr>
                <w:rFonts w:ascii="宋体" w:hAnsi="宋体" w:cs="宋体" w:eastAsia="宋体" w:hint="default"/>
                <w:spacing w:val="-90"/>
                <w:sz w:val="18"/>
                <w:szCs w:val="18"/>
              </w:rPr>
              <w:t>）</w:t>
            </w:r>
            <w:r>
              <w:rPr>
                <w:rFonts w:ascii="宋体" w:hAnsi="宋体" w:cs="宋体" w:eastAsia="宋体" w:hint="default"/>
                <w:sz w:val="18"/>
                <w:szCs w:val="18"/>
              </w:rPr>
              <w:t>。上述计算公式中的期末减值额指新德汇</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股权补偿期限届满时期末评估值相比美亚</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柏科于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日签署协议向新德汇增资</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万元并向苏学武支付</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4,854.8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万元购买增资</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后新德汇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42.29%</w:t>
            </w:r>
            <w:r>
              <w:rPr>
                <w:rFonts w:ascii="宋体" w:hAnsi="宋体" w:cs="宋体" w:eastAsia="宋体" w:hint="default"/>
                <w:sz w:val="18"/>
                <w:szCs w:val="18"/>
              </w:rPr>
              <w:t>股权交易的增资款及转股款合</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5,854.8</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万元（简称</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前次交易对价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）和本次新</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德汇收购交易的收购对价之和的差额。如按照上</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述公式计算的补偿股份数量，超过了新德汇交易</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对方所持美亚柏科的股份总数，则差额部分应由</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6"/>
                <w:sz w:val="18"/>
                <w:szCs w:val="18"/>
              </w:rPr>
              <w:t>新德汇交易对方用现金进行补偿，补偿现金</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（期</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末减值额补偿股份数量－新德汇交易对方届时</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所持股份数量）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每股发行价格。各新德汇交易</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对方就期末减值额补偿对美亚柏科承担连带责</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任。无论如何，新德汇交易对方承担的补偿金额</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总额不超过前次交易对价和本次新德汇收购交</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易收购对价之和</w:t>
            </w:r>
            <w:r>
              <w:rPr>
                <w:rFonts w:ascii="宋体" w:hAnsi="宋体" w:cs="宋体" w:eastAsia="宋体" w:hint="default"/>
                <w:spacing w:val="-104"/>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pacing w:val="-14"/>
                <w:sz w:val="18"/>
                <w:szCs w:val="18"/>
              </w:rPr>
              <w:t>）</w:t>
            </w:r>
            <w:r>
              <w:rPr>
                <w:rFonts w:ascii="宋体" w:hAnsi="宋体" w:cs="宋体" w:eastAsia="宋体" w:hint="default"/>
                <w:sz w:val="18"/>
                <w:szCs w:val="18"/>
              </w:rPr>
              <w:t>补</w:t>
            </w:r>
            <w:r>
              <w:rPr>
                <w:rFonts w:ascii="宋体" w:hAnsi="宋体" w:cs="宋体" w:eastAsia="宋体" w:hint="default"/>
                <w:spacing w:val="-2"/>
                <w:sz w:val="18"/>
                <w:szCs w:val="18"/>
              </w:rPr>
              <w:t>偿</w:t>
            </w:r>
            <w:r>
              <w:rPr>
                <w:rFonts w:ascii="宋体" w:hAnsi="宋体" w:cs="宋体" w:eastAsia="宋体" w:hint="default"/>
                <w:sz w:val="18"/>
                <w:szCs w:val="18"/>
              </w:rPr>
              <w:t>实施各方应在补偿期</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限内每一会计年度审计报告出具后十个工作日</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内按照上述规定计算该会计年度的应补偿股份</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数，并且美亚柏科应在该期限内发出董事会通</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知，召开董事会审议美亚柏科以</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元的总价回购</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并注销补偿义务人当年补偿的股份事宜。美亚柏</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科董事会审议通过上述股份回购注销方案后，应</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于五个工作日内发出召开股东大会通知。如果美</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亚柏科股东大会审议通过上述股份回购注销方</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案并就该方案向债权人发出通知并对外公告，美</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亚柏科应于股东大会决议公告后五个工作日内</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书面通知新德汇交易对方，新德汇交易对方应在</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公告期满后的五个工作日内与美亚柏科共同到</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中国证券登记结算有限责任公司深圳分公司办</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理应补偿股份的注销手续。在前述董事会召开</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后，注销手续完成之前，新德汇交易对方就应补</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偿股份不拥有表决权且不享有股利分配的权利。</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如按照上述公式计算的补偿期限内某一年某一</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新德汇交易对方的补偿股份数量，超过了该新德</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汇交易对方届时所持美亚柏科的股份总数，则差</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额部分应由该新德汇交易对方用现金进行补偿，</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该新德汇交易对方应在差额部分确认后十个工</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3"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作日内将补偿金额一次性汇入美亚柏科指定的</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5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39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银行账户中。</w:t>
            </w:r>
            <w:r>
              <w:rPr>
                <w:rFonts w:ascii="Times New Roman" w:hAnsi="Times New Roman" w:cs="Times New Roman" w:eastAsia="Times New Roman" w:hint="default"/>
                <w:sz w:val="18"/>
                <w:szCs w:val="18"/>
              </w:rPr>
              <w:t>"</w:t>
            </w:r>
          </w:p>
        </w:tc>
        <w:tc>
          <w:tcPr>
            <w:tcW w:w="708"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1345" w:type="dxa"/>
            <w:vMerge/>
            <w:tcBorders>
              <w:left w:val="single" w:sz="4" w:space="0" w:color="000000"/>
              <w:bottom w:val="single" w:sz="4" w:space="0" w:color="000000"/>
              <w:right w:val="single" w:sz="4" w:space="0" w:color="000000"/>
            </w:tcBorders>
          </w:tcPr>
          <w:p>
            <w:pPr/>
          </w:p>
        </w:tc>
      </w:tr>
      <w:tr>
        <w:trPr>
          <w:trHeight w:val="402" w:hRule="exact"/>
        </w:trPr>
        <w:tc>
          <w:tcPr>
            <w:tcW w:w="1134"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苏学武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标的资产历史沿革事项的承诺</w:t>
            </w:r>
            <w:r>
              <w:rPr>
                <w:rFonts w:ascii="宋体" w:hAnsi="宋体" w:cs="宋体" w:eastAsia="宋体" w:hint="default"/>
                <w:spacing w:val="-47"/>
                <w:sz w:val="18"/>
                <w:szCs w:val="18"/>
              </w:rPr>
              <w:t> </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、新德汇成立于</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2" w:right="0"/>
              <w:jc w:val="left"/>
              <w:rPr>
                <w:rFonts w:ascii="Times New Roman" w:hAnsi="Times New Roman" w:cs="Times New Roman" w:eastAsia="Times New Roman" w:hint="default"/>
                <w:sz w:val="18"/>
                <w:szCs w:val="18"/>
              </w:rPr>
            </w:pPr>
            <w:r>
              <w:rPr>
                <w:rFonts w:ascii="Times New Roman"/>
                <w:sz w:val="18"/>
              </w:rPr>
              <w:t>2015</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Times New Roman" w:hAnsi="Times New Roman" w:cs="Times New Roman" w:eastAsia="Times New Roman" w:hint="default"/>
                <w:sz w:val="18"/>
                <w:szCs w:val="18"/>
              </w:rPr>
            </w:pPr>
            <w:r>
              <w:rPr>
                <w:rFonts w:ascii="Times New Roman"/>
                <w:sz w:val="18"/>
              </w:rPr>
              <w:t>999</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3" w:type="dxa"/>
        <w:tblLayout w:type="fixed"/>
        <w:tblCellMar>
          <w:top w:w="0" w:type="dxa"/>
          <w:left w:w="0" w:type="dxa"/>
          <w:bottom w:w="0" w:type="dxa"/>
          <w:right w:w="0" w:type="dxa"/>
        </w:tblCellMar>
        <w:tblLook w:val="01E0"/>
      </w:tblPr>
      <w:tblGrid>
        <w:gridCol w:w="1134"/>
        <w:gridCol w:w="1134"/>
        <w:gridCol w:w="709"/>
        <w:gridCol w:w="3970"/>
        <w:gridCol w:w="708"/>
        <w:gridCol w:w="568"/>
        <w:gridCol w:w="1345"/>
      </w:tblGrid>
      <w:tr>
        <w:trPr>
          <w:trHeight w:val="322" w:hRule="exact"/>
        </w:trPr>
        <w:tc>
          <w:tcPr>
            <w:tcW w:w="1134"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39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日，成立时股东为贺湘权（现已</w:t>
            </w: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5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9-12</w:t>
            </w:r>
          </w:p>
        </w:tc>
        <w:tc>
          <w:tcPr>
            <w:tcW w:w="1345" w:type="dxa"/>
            <w:vMerge w:val="restart"/>
            <w:tcBorders>
              <w:top w:val="single" w:sz="4" w:space="0" w:color="000000"/>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更名为贺湘荃</w:t>
            </w:r>
            <w:r>
              <w:rPr>
                <w:rFonts w:ascii="宋体" w:hAnsi="宋体" w:cs="宋体" w:eastAsia="宋体" w:hint="default"/>
                <w:spacing w:val="-90"/>
                <w:sz w:val="18"/>
                <w:szCs w:val="18"/>
              </w:rPr>
              <w:t>）</w:t>
            </w:r>
            <w:r>
              <w:rPr>
                <w:rFonts w:ascii="宋体" w:hAnsi="宋体" w:cs="宋体" w:eastAsia="宋体" w:hint="default"/>
                <w:sz w:val="18"/>
                <w:szCs w:val="18"/>
              </w:rPr>
              <w:t>、贺湘生、崔丹梅，贺湘生、贺</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3" w:right="0"/>
              <w:jc w:val="left"/>
              <w:rPr>
                <w:rFonts w:ascii="Times New Roman" w:hAnsi="Times New Roman" w:cs="Times New Roman" w:eastAsia="Times New Roman" w:hint="default"/>
                <w:sz w:val="18"/>
                <w:szCs w:val="18"/>
              </w:rPr>
            </w:pPr>
            <w:r>
              <w:rPr>
                <w:rFonts w:ascii="Times New Roman"/>
                <w:sz w:val="18"/>
              </w:rPr>
              <w:t>-31</w:t>
            </w: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湘荃各以现金出资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万元，崔丹梅以房产作价</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nil" w:sz="6" w:space="0" w:color="auto"/>
              <w:left w:val="single" w:sz="4" w:space="0" w:color="000000"/>
              <w:bottom w:val="nil" w:sz="6" w:space="0" w:color="auto"/>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出资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 </w:t>
            </w:r>
            <w:r>
              <w:rPr>
                <w:rFonts w:ascii="宋体" w:hAnsi="宋体" w:cs="宋体" w:eastAsia="宋体" w:hint="default"/>
                <w:spacing w:val="-6"/>
                <w:sz w:val="18"/>
                <w:szCs w:val="18"/>
              </w:rPr>
              <w:t>万元。</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1995</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pacing w:val="-4"/>
                <w:sz w:val="18"/>
                <w:szCs w:val="18"/>
              </w:rPr>
              <w:t>日，贺湘生与</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苏学武签订《珠海经济特区新德汇企业有限公司</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法定代表人、经营场所变更协议书》将新德汇法</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定代表人由贺湘生变更为苏学武，贺湘荃作为股</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东在该协议书下方签字。同时，三位原股东即将</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新德汇股权全部转让给苏学武和钟鹰，苏学武、</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钟鹰各受让新德汇</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50%</w:t>
            </w:r>
            <w:r>
              <w:rPr>
                <w:rFonts w:ascii="宋体" w:hAnsi="宋体" w:cs="宋体" w:eastAsia="宋体" w:hint="default"/>
                <w:spacing w:val="-3"/>
                <w:sz w:val="18"/>
                <w:szCs w:val="18"/>
              </w:rPr>
              <w:t>的股权。但相关转股工商</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档案由于主管工商机关变更时遗失且年代久远，</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现已无法取得。该次股权转让的转让价款已经全</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部由苏学武、钟鹰付清，股权已经全部过户给苏</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学武、钟鹰，交易各方没有争议。</w:t>
            </w:r>
            <w:r>
              <w:rPr>
                <w:rFonts w:ascii="Times New Roman" w:hAnsi="Times New Roman" w:cs="Times New Roman" w:eastAsia="Times New Roman" w:hint="default"/>
                <w:sz w:val="18"/>
                <w:szCs w:val="18"/>
              </w:rPr>
              <w:t>3</w:t>
            </w:r>
            <w:r>
              <w:rPr>
                <w:rFonts w:ascii="宋体" w:hAnsi="宋体" w:cs="宋体" w:eastAsia="宋体" w:hint="default"/>
                <w:sz w:val="18"/>
                <w:szCs w:val="18"/>
              </w:rPr>
              <w:t>、自受让股</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权至今，本人及新德汇从未收到且亦未预见将收</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到任何第三方对新德汇股权的任何权利主张或</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异议。</w:t>
            </w:r>
            <w:r>
              <w:rPr>
                <w:rFonts w:ascii="Times New Roman" w:hAnsi="Times New Roman" w:cs="Times New Roman" w:eastAsia="Times New Roman" w:hint="default"/>
                <w:sz w:val="18"/>
                <w:szCs w:val="18"/>
              </w:rPr>
              <w:t>4</w:t>
            </w:r>
            <w:r>
              <w:rPr>
                <w:rFonts w:ascii="宋体" w:hAnsi="宋体" w:cs="宋体" w:eastAsia="宋体" w:hint="default"/>
                <w:sz w:val="18"/>
                <w:szCs w:val="18"/>
              </w:rPr>
              <w:t>、本人承诺若新德汇及</w:t>
            </w:r>
            <w:r>
              <w:rPr>
                <w:rFonts w:ascii="Times New Roman" w:hAnsi="Times New Roman" w:cs="Times New Roman" w:eastAsia="Times New Roman" w:hint="default"/>
                <w:sz w:val="18"/>
                <w:szCs w:val="18"/>
              </w:rPr>
              <w:t>/</w:t>
            </w:r>
            <w:r>
              <w:rPr>
                <w:rFonts w:ascii="宋体" w:hAnsi="宋体" w:cs="宋体" w:eastAsia="宋体" w:hint="default"/>
                <w:sz w:val="18"/>
                <w:szCs w:val="18"/>
              </w:rPr>
              <w:t>或美亚柏科因上</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述股东变更的相关资料缺失而造成受到任何损</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失</w:t>
            </w:r>
            <w:r>
              <w:rPr>
                <w:rFonts w:ascii="宋体" w:hAnsi="宋体" w:cs="宋体" w:eastAsia="宋体" w:hint="default"/>
                <w:spacing w:val="-77"/>
                <w:sz w:val="18"/>
                <w:szCs w:val="18"/>
              </w:rPr>
              <w:t>，</w:t>
            </w:r>
            <w:r>
              <w:rPr>
                <w:rFonts w:ascii="宋体" w:hAnsi="宋体" w:cs="宋体" w:eastAsia="宋体" w:hint="default"/>
                <w:sz w:val="18"/>
                <w:szCs w:val="18"/>
              </w:rPr>
              <w:t>本人将就该等损失向新德汇及</w:t>
            </w:r>
            <w:r>
              <w:rPr>
                <w:rFonts w:ascii="Times New Roman" w:hAnsi="Times New Roman" w:cs="Times New Roman" w:eastAsia="Times New Roman" w:hint="default"/>
                <w:sz w:val="18"/>
                <w:szCs w:val="18"/>
              </w:rPr>
              <w:t>/</w:t>
            </w:r>
            <w:r>
              <w:rPr>
                <w:rFonts w:ascii="宋体" w:hAnsi="宋体" w:cs="宋体" w:eastAsia="宋体" w:hint="default"/>
                <w:sz w:val="18"/>
                <w:szCs w:val="18"/>
              </w:rPr>
              <w:t>或美亚柏科予</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vMerge/>
            <w:tcBorders>
              <w:left w:val="single" w:sz="4" w:space="0" w:color="000000"/>
              <w:right w:val="single" w:sz="4" w:space="0" w:color="000000"/>
            </w:tcBorders>
          </w:tcPr>
          <w:p>
            <w:pPr/>
          </w:p>
        </w:tc>
      </w:tr>
      <w:tr>
        <w:trPr>
          <w:trHeight w:val="308"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以及时、充分补偿，使新德汇及美亚柏科不受损</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vMerge/>
            <w:tcBorders>
              <w:left w:val="single" w:sz="4" w:space="0" w:color="000000"/>
              <w:right w:val="single" w:sz="4" w:space="0" w:color="000000"/>
            </w:tcBorders>
          </w:tcPr>
          <w:p>
            <w:pPr/>
          </w:p>
        </w:tc>
      </w:tr>
      <w:tr>
        <w:trPr>
          <w:trHeight w:val="35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39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失。</w:t>
            </w:r>
            <w:r>
              <w:rPr>
                <w:rFonts w:ascii="Times New Roman" w:hAnsi="Times New Roman" w:cs="Times New Roman" w:eastAsia="Times New Roman" w:hint="default"/>
                <w:sz w:val="18"/>
                <w:szCs w:val="18"/>
              </w:rPr>
              <w:t>"</w:t>
            </w:r>
          </w:p>
        </w:tc>
        <w:tc>
          <w:tcPr>
            <w:tcW w:w="708"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1345" w:type="dxa"/>
            <w:vMerge/>
            <w:tcBorders>
              <w:left w:val="single" w:sz="4" w:space="0" w:color="000000"/>
              <w:bottom w:val="single" w:sz="4" w:space="0" w:color="000000"/>
              <w:right w:val="single" w:sz="4" w:space="0" w:color="000000"/>
            </w:tcBorders>
          </w:tcPr>
          <w:p>
            <w:pPr/>
          </w:p>
        </w:tc>
      </w:tr>
      <w:tr>
        <w:trPr>
          <w:trHeight w:val="362" w:hRule="exact"/>
        </w:trPr>
        <w:tc>
          <w:tcPr>
            <w:tcW w:w="1134" w:type="dxa"/>
            <w:vMerge/>
            <w:tcBorders>
              <w:left w:val="single" w:sz="4" w:space="0" w:color="000000"/>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39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保证上市公司独立性的承诺</w:t>
            </w:r>
            <w:r>
              <w:rPr>
                <w:rFonts w:ascii="宋体" w:hAnsi="宋体" w:cs="宋体" w:eastAsia="宋体" w:hint="default"/>
                <w:spacing w:val="-40"/>
                <w:sz w:val="18"/>
                <w:szCs w:val="18"/>
              </w:rPr>
              <w:t> </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、本人（包括本人</w:t>
            </w:r>
          </w:p>
        </w:tc>
        <w:tc>
          <w:tcPr>
            <w:tcW w:w="708"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6"/>
                <w:sz w:val="18"/>
                <w:szCs w:val="18"/>
              </w:rPr>
              <w:t>的一致行动人）与公司的人员、资产、财务分开，</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机构、业务独立，公司能够自主经营管理。公司</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最近十二个月内不存在违规对外提供担保或者</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1249"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103" w:right="119"/>
              <w:jc w:val="left"/>
              <w:rPr>
                <w:rFonts w:ascii="宋体" w:hAnsi="宋体" w:cs="宋体" w:eastAsia="宋体" w:hint="default"/>
                <w:sz w:val="18"/>
                <w:szCs w:val="18"/>
              </w:rPr>
            </w:pPr>
            <w:r>
              <w:rPr>
                <w:rFonts w:ascii="宋体" w:hAnsi="宋体" w:cs="宋体" w:eastAsia="宋体" w:hint="default"/>
                <w:sz w:val="18"/>
                <w:szCs w:val="18"/>
              </w:rPr>
              <w:t>郭永芳；滕 达</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103" w:right="234"/>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312" w:lineRule="auto" w:before="10"/>
              <w:ind w:left="103" w:right="101"/>
              <w:jc w:val="left"/>
              <w:rPr>
                <w:rFonts w:ascii="宋体" w:hAnsi="宋体" w:cs="宋体" w:eastAsia="宋体" w:hint="default"/>
                <w:sz w:val="18"/>
                <w:szCs w:val="18"/>
              </w:rPr>
            </w:pPr>
            <w:r>
              <w:rPr>
                <w:rFonts w:ascii="宋体" w:hAnsi="宋体" w:cs="宋体" w:eastAsia="宋体" w:hint="default"/>
                <w:spacing w:val="-2"/>
                <w:sz w:val="18"/>
                <w:szCs w:val="18"/>
              </w:rPr>
              <w:t>资金被本人（包括本人的一致行动人）及其控制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的其他企业以借款、代偿债务、代垫款项或者其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他方式占用的情形。</w:t>
            </w:r>
            <w:r>
              <w:rPr>
                <w:rFonts w:ascii="Times New Roman" w:hAnsi="Times New Roman" w:cs="Times New Roman" w:eastAsia="Times New Roman" w:hint="default"/>
                <w:sz w:val="18"/>
                <w:szCs w:val="18"/>
              </w:rPr>
              <w:t>2</w:t>
            </w:r>
            <w:r>
              <w:rPr>
                <w:rFonts w:ascii="宋体" w:hAnsi="宋体" w:cs="宋体" w:eastAsia="宋体" w:hint="default"/>
                <w:sz w:val="18"/>
                <w:szCs w:val="18"/>
              </w:rPr>
              <w:t>、在本次交易完成后，将 </w:t>
            </w:r>
            <w:r>
              <w:rPr>
                <w:rFonts w:ascii="宋体" w:hAnsi="宋体" w:cs="宋体" w:eastAsia="宋体" w:hint="default"/>
                <w:spacing w:val="-2"/>
                <w:sz w:val="18"/>
                <w:szCs w:val="18"/>
              </w:rPr>
              <w:t>保证美亚柏科的人员独立性、资产独立性、财务</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0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999</w:t>
            </w:r>
          </w:p>
          <w:p>
            <w:pPr>
              <w:pStyle w:val="TableParagraph"/>
              <w:spacing w:line="240" w:lineRule="auto" w:before="104"/>
              <w:ind w:left="103" w:right="0"/>
              <w:jc w:val="left"/>
              <w:rPr>
                <w:rFonts w:ascii="Times New Roman" w:hAnsi="Times New Roman" w:cs="Times New Roman" w:eastAsia="Times New Roman" w:hint="default"/>
                <w:sz w:val="18"/>
                <w:szCs w:val="18"/>
              </w:rPr>
            </w:pPr>
            <w:r>
              <w:rPr>
                <w:rFonts w:ascii="Times New Roman"/>
                <w:sz w:val="18"/>
              </w:rPr>
              <w:t>9-12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-31</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311"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0"/>
                <w:sz w:val="18"/>
                <w:szCs w:val="18"/>
              </w:rPr>
              <w:t>独立性、机构独立性和业务独立性，使之符合《上</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6"/>
                <w:sz w:val="18"/>
                <w:szCs w:val="18"/>
              </w:rPr>
              <w:t>市公司重大资产重组管理办法》第十一条第（六）</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6"/>
                <w:sz w:val="18"/>
                <w:szCs w:val="18"/>
              </w:rPr>
              <w:t>项之规定和第四十三条第一款第（一）项之规定。</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39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Times New Roman" w:hAnsi="Times New Roman" w:cs="Times New Roman" w:eastAsia="Times New Roman" w:hint="default"/>
                <w:sz w:val="18"/>
                <w:szCs w:val="18"/>
              </w:rPr>
            </w:pPr>
            <w:r>
              <w:rPr>
                <w:rFonts w:ascii="Times New Roman"/>
                <w:sz w:val="18"/>
              </w:rPr>
              <w:t>"</w:t>
            </w:r>
          </w:p>
        </w:tc>
        <w:tc>
          <w:tcPr>
            <w:tcW w:w="708"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134" w:type="dxa"/>
            <w:vMerge/>
            <w:tcBorders>
              <w:left w:val="single" w:sz="4" w:space="0" w:color="000000"/>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厦门市美亚</w:t>
            </w:r>
          </w:p>
        </w:tc>
        <w:tc>
          <w:tcPr>
            <w:tcW w:w="709" w:type="dxa"/>
            <w:tcBorders>
              <w:top w:val="single" w:sz="4" w:space="0" w:color="000000"/>
              <w:left w:val="single" w:sz="4" w:space="0" w:color="000000"/>
              <w:bottom w:val="nil" w:sz="6" w:space="0" w:color="auto"/>
              <w:right w:val="single" w:sz="4" w:space="0" w:color="000000"/>
            </w:tcBorders>
          </w:tcPr>
          <w:p>
            <w:pPr/>
          </w:p>
        </w:tc>
        <w:tc>
          <w:tcPr>
            <w:tcW w:w="39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美亚柏科及其全体董事、监事及高级管理人员：</w:t>
            </w:r>
          </w:p>
        </w:tc>
        <w:tc>
          <w:tcPr>
            <w:tcW w:w="708"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柏科信息股</w:t>
            </w: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关于提供材料真实性、准确性、完整性的承诺本</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份有限公</w:t>
            </w: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公司及董事会全体成员、监事会全体成员、全部</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1"/>
              <w:jc w:val="left"/>
              <w:rPr>
                <w:rFonts w:ascii="宋体" w:hAnsi="宋体" w:cs="宋体" w:eastAsia="宋体" w:hint="default"/>
                <w:sz w:val="18"/>
                <w:szCs w:val="18"/>
              </w:rPr>
            </w:pPr>
            <w:r>
              <w:rPr>
                <w:rFonts w:ascii="宋体" w:hAnsi="宋体" w:cs="宋体" w:eastAsia="宋体" w:hint="default"/>
                <w:spacing w:val="-12"/>
                <w:sz w:val="18"/>
                <w:szCs w:val="18"/>
              </w:rPr>
              <w:t>司；郭永芳；</w:t>
            </w:r>
            <w:r>
              <w:rPr>
                <w:rFonts w:ascii="宋体" w:hAnsi="宋体" w:cs="宋体" w:eastAsia="宋体" w:hint="default"/>
                <w:sz w:val="18"/>
                <w:szCs w:val="18"/>
              </w:rPr>
              <w:t> 滕达；李国 林；申强； 卢永华；曲 晓辉；仲丽</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9" w:lineRule="auto"/>
              <w:ind w:left="103" w:right="234"/>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2"/>
              <w:jc w:val="left"/>
              <w:rPr>
                <w:rFonts w:ascii="宋体" w:hAnsi="宋体" w:cs="宋体" w:eastAsia="宋体" w:hint="default"/>
                <w:sz w:val="18"/>
                <w:szCs w:val="18"/>
              </w:rPr>
            </w:pPr>
            <w:r>
              <w:rPr>
                <w:rFonts w:ascii="宋体" w:hAnsi="宋体" w:cs="宋体" w:eastAsia="宋体" w:hint="default"/>
                <w:sz w:val="18"/>
                <w:szCs w:val="18"/>
              </w:rPr>
              <w:t>高级管理人员保证本次交易的信息披露和申请 </w:t>
            </w:r>
            <w:r>
              <w:rPr>
                <w:rFonts w:ascii="宋体" w:hAnsi="宋体" w:cs="宋体" w:eastAsia="宋体" w:hint="default"/>
                <w:spacing w:val="-6"/>
                <w:sz w:val="18"/>
                <w:szCs w:val="18"/>
              </w:rPr>
              <w:t>文件的内容真实、准确和完整，不存在虚假记载、</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误导性陈述或重大遗漏，并对本次交易的信息披</w:t>
            </w:r>
            <w:r>
              <w:rPr>
                <w:rFonts w:ascii="宋体" w:hAnsi="宋体" w:cs="宋体" w:eastAsia="宋体" w:hint="default"/>
                <w:sz w:val="18"/>
                <w:szCs w:val="18"/>
              </w:rPr>
              <w:t> 露和申请文件中的虚假记载、误导性陈述或者重 大遗漏承担个别及连带的法律责任。如本次交易</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103" w:right="0"/>
              <w:jc w:val="left"/>
              <w:rPr>
                <w:rFonts w:ascii="Times New Roman" w:hAnsi="Times New Roman" w:cs="Times New Roman" w:eastAsia="Times New Roman" w:hint="default"/>
                <w:sz w:val="18"/>
                <w:szCs w:val="18"/>
              </w:rPr>
            </w:pPr>
            <w:r>
              <w:rPr>
                <w:rFonts w:ascii="Times New Roman"/>
                <w:sz w:val="18"/>
              </w:rPr>
              <w:t>999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9-12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-31</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312"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2"/>
                <w:sz w:val="18"/>
                <w:szCs w:val="18"/>
              </w:rPr>
              <w:t>华；刘冬颖；</w:t>
            </w: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因涉嫌所提供或者披露的信息存在虚假记载、误</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屈文洲；吴</w:t>
            </w: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导性陈述或者重大遗漏，被司法机关立案侦查或</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134" w:type="dxa"/>
            <w:vMerge/>
            <w:tcBorders>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鸿伟；张乃</w:t>
            </w:r>
          </w:p>
        </w:tc>
        <w:tc>
          <w:tcPr>
            <w:tcW w:w="709" w:type="dxa"/>
            <w:tcBorders>
              <w:top w:val="nil" w:sz="6" w:space="0" w:color="auto"/>
              <w:left w:val="single" w:sz="4" w:space="0" w:color="000000"/>
              <w:bottom w:val="single" w:sz="4" w:space="0" w:color="000000"/>
              <w:right w:val="single" w:sz="4" w:space="0" w:color="000000"/>
            </w:tcBorders>
          </w:tcPr>
          <w:p>
            <w:pPr/>
          </w:p>
        </w:tc>
        <w:tc>
          <w:tcPr>
            <w:tcW w:w="39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者被中国证监会立案调查的，在案件调查结论明</w:t>
            </w:r>
          </w:p>
        </w:tc>
        <w:tc>
          <w:tcPr>
            <w:tcW w:w="708"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3" w:type="dxa"/>
        <w:tblLayout w:type="fixed"/>
        <w:tblCellMar>
          <w:top w:w="0" w:type="dxa"/>
          <w:left w:w="0" w:type="dxa"/>
          <w:bottom w:w="0" w:type="dxa"/>
          <w:right w:w="0" w:type="dxa"/>
        </w:tblCellMar>
        <w:tblLook w:val="01E0"/>
      </w:tblPr>
      <w:tblGrid>
        <w:gridCol w:w="1134"/>
        <w:gridCol w:w="1134"/>
        <w:gridCol w:w="709"/>
        <w:gridCol w:w="3970"/>
        <w:gridCol w:w="708"/>
        <w:gridCol w:w="568"/>
        <w:gridCol w:w="1345"/>
      </w:tblGrid>
      <w:tr>
        <w:trPr>
          <w:trHeight w:val="317" w:hRule="exact"/>
        </w:trPr>
        <w:tc>
          <w:tcPr>
            <w:tcW w:w="1134" w:type="dxa"/>
            <w:vMerge w:val="restart"/>
            <w:tcBorders>
              <w:top w:val="single" w:sz="4" w:space="0" w:color="000000"/>
              <w:left w:val="single" w:sz="4" w:space="0" w:color="000000"/>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2"/>
                <w:sz w:val="18"/>
                <w:szCs w:val="18"/>
              </w:rPr>
              <w:t>军；张雪峰；</w:t>
            </w:r>
          </w:p>
        </w:tc>
        <w:tc>
          <w:tcPr>
            <w:tcW w:w="709" w:type="dxa"/>
            <w:vMerge w:val="restart"/>
            <w:tcBorders>
              <w:top w:val="single" w:sz="4" w:space="0" w:color="000000"/>
              <w:left w:val="single" w:sz="4" w:space="0" w:color="000000"/>
              <w:right w:val="single" w:sz="4" w:space="0" w:color="000000"/>
            </w:tcBorders>
          </w:tcPr>
          <w:p>
            <w:pPr/>
          </w:p>
        </w:tc>
        <w:tc>
          <w:tcPr>
            <w:tcW w:w="39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确之前，将暂停转让其在上市公司拥有权益的股</w:t>
            </w:r>
          </w:p>
        </w:tc>
        <w:tc>
          <w:tcPr>
            <w:tcW w:w="708" w:type="dxa"/>
            <w:vMerge w:val="restart"/>
            <w:tcBorders>
              <w:top w:val="single" w:sz="4" w:space="0" w:color="000000"/>
              <w:left w:val="single" w:sz="4" w:space="0" w:color="000000"/>
              <w:right w:val="single" w:sz="4" w:space="0" w:color="000000"/>
            </w:tcBorders>
          </w:tcPr>
          <w:p>
            <w:pPr/>
          </w:p>
        </w:tc>
        <w:tc>
          <w:tcPr>
            <w:tcW w:w="568" w:type="dxa"/>
            <w:vMerge w:val="restart"/>
            <w:tcBorders>
              <w:top w:val="single" w:sz="4" w:space="0" w:color="000000"/>
              <w:left w:val="single" w:sz="4" w:space="0" w:color="000000"/>
              <w:right w:val="single" w:sz="4" w:space="0" w:color="000000"/>
            </w:tcBorders>
          </w:tcPr>
          <w:p>
            <w:pPr/>
          </w:p>
        </w:tc>
        <w:tc>
          <w:tcPr>
            <w:tcW w:w="1345" w:type="dxa"/>
            <w:vMerge w:val="restart"/>
            <w:tcBorders>
              <w:top w:val="single" w:sz="4" w:space="0" w:color="000000"/>
              <w:left w:val="single" w:sz="4" w:space="0" w:color="000000"/>
              <w:right w:val="single" w:sz="4" w:space="0" w:color="000000"/>
            </w:tcBorders>
          </w:tcPr>
          <w:p>
            <w:pPr/>
          </w:p>
        </w:tc>
      </w:tr>
      <w:tr>
        <w:trPr>
          <w:trHeight w:val="318"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2"/>
                <w:sz w:val="18"/>
                <w:szCs w:val="18"/>
              </w:rPr>
              <w:t>赵庸；葛鹏；</w:t>
            </w: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份。</w:t>
            </w:r>
            <w:r>
              <w:rPr>
                <w:rFonts w:ascii="Times New Roman" w:hAnsi="Times New Roman" w:cs="Times New Roman" w:eastAsia="Times New Roman" w:hint="default"/>
                <w:sz w:val="18"/>
                <w:szCs w:val="18"/>
              </w:rPr>
              <w:t>"</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51"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栾江霞</w:t>
            </w:r>
          </w:p>
        </w:tc>
        <w:tc>
          <w:tcPr>
            <w:tcW w:w="709" w:type="dxa"/>
            <w:vMerge/>
            <w:tcBorders>
              <w:left w:val="single" w:sz="4" w:space="0" w:color="000000"/>
              <w:bottom w:val="single" w:sz="4" w:space="0" w:color="000000"/>
              <w:right w:val="single" w:sz="4" w:space="0" w:color="000000"/>
            </w:tcBorders>
          </w:tcPr>
          <w:p>
            <w:pPr/>
          </w:p>
        </w:tc>
        <w:tc>
          <w:tcPr>
            <w:tcW w:w="3970" w:type="dxa"/>
            <w:tcBorders>
              <w:top w:val="nil" w:sz="6" w:space="0" w:color="auto"/>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1345" w:type="dxa"/>
            <w:vMerge/>
            <w:tcBorders>
              <w:left w:val="single" w:sz="4" w:space="0" w:color="000000"/>
              <w:bottom w:val="single" w:sz="4" w:space="0" w:color="000000"/>
              <w:right w:val="single" w:sz="4" w:space="0" w:color="000000"/>
            </w:tcBorders>
          </w:tcPr>
          <w:p>
            <w:pPr/>
          </w:p>
        </w:tc>
      </w:tr>
      <w:tr>
        <w:trPr>
          <w:trHeight w:val="362" w:hRule="exact"/>
        </w:trPr>
        <w:tc>
          <w:tcPr>
            <w:tcW w:w="1134" w:type="dxa"/>
            <w:vMerge/>
            <w:tcBorders>
              <w:left w:val="single" w:sz="4" w:space="0" w:color="000000"/>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39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一、江苏税软交易对方：</w:t>
            </w:r>
            <w:r>
              <w:rPr>
                <w:rFonts w:ascii="Times New Roman" w:hAnsi="Times New Roman" w:cs="Times New Roman" w:eastAsia="Times New Roman" w:hint="default"/>
                <w:sz w:val="18"/>
                <w:szCs w:val="18"/>
              </w:rPr>
              <w:t>1</w:t>
            </w:r>
            <w:r>
              <w:rPr>
                <w:rFonts w:ascii="宋体" w:hAnsi="宋体" w:cs="宋体" w:eastAsia="宋体" w:hint="default"/>
                <w:sz w:val="18"/>
                <w:szCs w:val="18"/>
              </w:rPr>
              <w:t>、本人通过本次交易</w:t>
            </w:r>
          </w:p>
        </w:tc>
        <w:tc>
          <w:tcPr>
            <w:tcW w:w="708"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获得的美亚柏科增发股份自本次发行完成之日</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个月内，本人将不通过任何方式转让。此</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后分步解锁，具体为：</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累计可转让股票数量不超过其在本次发行中所</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认购总数的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个月内，累计</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可转让股票数量不超过其在本次发行中所认购</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总数的</w:t>
            </w:r>
            <w:r>
              <w:rPr>
                <w:rFonts w:ascii="宋体" w:hAnsi="宋体" w:cs="宋体" w:eastAsia="宋体" w:hint="default"/>
                <w:spacing w:val="-38"/>
                <w:sz w:val="18"/>
                <w:szCs w:val="18"/>
              </w:rPr>
              <w:t> </w:t>
            </w:r>
            <w:r>
              <w:rPr>
                <w:rFonts w:ascii="Times New Roman" w:hAnsi="Times New Roman" w:cs="Times New Roman" w:eastAsia="Times New Roman" w:hint="default"/>
                <w:spacing w:val="-8"/>
                <w:sz w:val="18"/>
                <w:szCs w:val="18"/>
              </w:rPr>
              <w:t>50%</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36</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个月后，可自由转让其在本次发</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行中所认购的全部股份数量。本人实际解锁股份</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数须扣除因盈利预测补偿而需由美亚柏科回购</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的股份数（若有</w:t>
            </w:r>
            <w:r>
              <w:rPr>
                <w:rFonts w:ascii="宋体" w:hAnsi="宋体" w:cs="宋体" w:eastAsia="宋体" w:hint="default"/>
                <w:spacing w:val="-90"/>
                <w:sz w:val="18"/>
                <w:szCs w:val="18"/>
              </w:rPr>
              <w:t>）</w:t>
            </w:r>
            <w:r>
              <w:rPr>
                <w:rFonts w:ascii="宋体" w:hAnsi="宋体" w:cs="宋体" w:eastAsia="宋体" w:hint="default"/>
                <w:sz w:val="18"/>
                <w:szCs w:val="18"/>
              </w:rPr>
              <w:t>。本次重组实施完成后，本人</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由于美亚柏科配股、转增股本等原因增持的美亚</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柏科股份，亦应遵守上述承诺。本人如担任美亚</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柏科董监高，则会同时遵守美亚柏科章程以及公</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安林冲；包</w:t>
            </w: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司法</w:t>
            </w:r>
            <w:r>
              <w:rPr>
                <w:rFonts w:ascii="宋体" w:hAnsi="宋体" w:cs="宋体" w:eastAsia="宋体" w:hint="default"/>
                <w:spacing w:val="-90"/>
                <w:sz w:val="18"/>
                <w:szCs w:val="18"/>
              </w:rPr>
              <w:t>、</w:t>
            </w:r>
            <w:r>
              <w:rPr>
                <w:rFonts w:ascii="宋体" w:hAnsi="宋体" w:cs="宋体" w:eastAsia="宋体" w:hint="default"/>
                <w:sz w:val="18"/>
                <w:szCs w:val="18"/>
              </w:rPr>
              <w:t>《中华人民共和国证券法</w:t>
            </w:r>
            <w:r>
              <w:rPr>
                <w:rFonts w:ascii="宋体" w:hAnsi="宋体" w:cs="宋体" w:eastAsia="宋体" w:hint="default"/>
                <w:spacing w:val="-90"/>
                <w:sz w:val="18"/>
                <w:szCs w:val="18"/>
              </w:rPr>
              <w:t>》、</w:t>
            </w:r>
            <w:r>
              <w:rPr>
                <w:rFonts w:ascii="宋体" w:hAnsi="宋体" w:cs="宋体" w:eastAsia="宋体" w:hint="default"/>
                <w:sz w:val="18"/>
                <w:szCs w:val="18"/>
              </w:rPr>
              <w:t>《深圳证券交</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pacing w:val="-12"/>
                <w:sz w:val="18"/>
                <w:szCs w:val="18"/>
              </w:rPr>
              <w:t>志翔；陈燕；</w:t>
            </w: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易所股票上市规则》等法律、法规、规章、规范</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仇宏远；邓</w:t>
            </w: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性文件有关股份有限公司及上市公司董事、监</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炽成；郭玉</w:t>
            </w: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事、高级管理人员买卖公司股票的限制性规定。</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1565"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103" w:right="11"/>
              <w:jc w:val="left"/>
              <w:rPr>
                <w:rFonts w:ascii="宋体" w:hAnsi="宋体" w:cs="宋体" w:eastAsia="宋体" w:hint="default"/>
                <w:sz w:val="18"/>
                <w:szCs w:val="18"/>
              </w:rPr>
            </w:pPr>
            <w:r>
              <w:rPr>
                <w:rFonts w:ascii="宋体" w:hAnsi="宋体" w:cs="宋体" w:eastAsia="宋体" w:hint="default"/>
                <w:spacing w:val="-12"/>
                <w:sz w:val="18"/>
                <w:szCs w:val="18"/>
              </w:rPr>
              <w:t>智；韩海青；</w:t>
            </w:r>
            <w:r>
              <w:rPr>
                <w:rFonts w:ascii="宋体" w:hAnsi="宋体" w:cs="宋体" w:eastAsia="宋体" w:hint="default"/>
                <w:sz w:val="18"/>
                <w:szCs w:val="18"/>
              </w:rPr>
              <w:t> </w:t>
            </w:r>
            <w:r>
              <w:rPr>
                <w:rFonts w:ascii="宋体" w:hAnsi="宋体" w:cs="宋体" w:eastAsia="宋体" w:hint="default"/>
                <w:spacing w:val="-12"/>
                <w:sz w:val="18"/>
                <w:szCs w:val="18"/>
              </w:rPr>
              <w:t>黄新；李佳；</w:t>
            </w:r>
            <w:r>
              <w:rPr>
                <w:rFonts w:ascii="宋体" w:hAnsi="宋体" w:cs="宋体" w:eastAsia="宋体" w:hint="default"/>
                <w:sz w:val="18"/>
                <w:szCs w:val="18"/>
              </w:rPr>
              <w:t> 李江；卢晓 英；任炜； 水军；苏学</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103" w:right="234"/>
              <w:jc w:val="both"/>
              <w:rPr>
                <w:rFonts w:ascii="宋体" w:hAnsi="宋体" w:cs="宋体" w:eastAsia="宋体" w:hint="default"/>
                <w:sz w:val="18"/>
                <w:szCs w:val="18"/>
              </w:rPr>
            </w:pPr>
            <w:r>
              <w:rPr>
                <w:rFonts w:ascii="宋体" w:hAnsi="宋体" w:cs="宋体" w:eastAsia="宋体" w:hint="default"/>
                <w:sz w:val="18"/>
                <w:szCs w:val="18"/>
              </w:rPr>
              <w:t>股份 限售 承诺</w:t>
            </w: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309" w:lineRule="auto" w:before="20"/>
              <w:ind w:left="103"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、本次发行结束后，就本次重组本人获得的美 亚柏科增发股份因美亚柏科发生除权除息事项 而增加的股份，亦遵守上述锁定期承诺。</w:t>
            </w:r>
            <w:r>
              <w:rPr>
                <w:rFonts w:ascii="Times New Roman" w:hAnsi="Times New Roman" w:cs="Times New Roman" w:eastAsia="Times New Roman" w:hint="default"/>
                <w:sz w:val="18"/>
                <w:szCs w:val="18"/>
              </w:rPr>
              <w:t>3</w:t>
            </w:r>
            <w:r>
              <w:rPr>
                <w:rFonts w:ascii="宋体" w:hAnsi="宋体" w:cs="宋体" w:eastAsia="宋体" w:hint="default"/>
                <w:sz w:val="18"/>
                <w:szCs w:val="18"/>
              </w:rPr>
              <w:t>、除 </w:t>
            </w:r>
            <w:r>
              <w:rPr>
                <w:rFonts w:ascii="宋体" w:hAnsi="宋体" w:cs="宋体" w:eastAsia="宋体" w:hint="default"/>
                <w:spacing w:val="-2"/>
                <w:sz w:val="18"/>
                <w:szCs w:val="18"/>
              </w:rPr>
              <w:t>上述锁定期之外，如本人未来在美亚柏科担任董</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事</w:t>
            </w:r>
            <w:r>
              <w:rPr>
                <w:rFonts w:ascii="Times New Roman" w:hAnsi="Times New Roman" w:cs="Times New Roman" w:eastAsia="Times New Roman" w:hint="default"/>
                <w:sz w:val="18"/>
                <w:szCs w:val="18"/>
              </w:rPr>
              <w:t>/</w:t>
            </w:r>
            <w:r>
              <w:rPr>
                <w:rFonts w:ascii="宋体" w:hAnsi="宋体" w:cs="宋体" w:eastAsia="宋体" w:hint="default"/>
                <w:sz w:val="18"/>
                <w:szCs w:val="18"/>
              </w:rPr>
              <w:t>监事</w:t>
            </w:r>
            <w:r>
              <w:rPr>
                <w:rFonts w:ascii="Times New Roman" w:hAnsi="Times New Roman" w:cs="Times New Roman" w:eastAsia="Times New Roman" w:hint="default"/>
                <w:sz w:val="18"/>
                <w:szCs w:val="18"/>
              </w:rPr>
              <w:t>/</w:t>
            </w:r>
            <w:r>
              <w:rPr>
                <w:rFonts w:ascii="宋体" w:hAnsi="宋体" w:cs="宋体" w:eastAsia="宋体" w:hint="default"/>
                <w:sz w:val="18"/>
                <w:szCs w:val="18"/>
              </w:rPr>
              <w:t>高级管理人员，则本人在任期内每年转</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9-01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-18</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307"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武；孙士玉；</w:t>
            </w: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让的股份不超过本人所持有的美亚柏科股份总</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王亚明；韦</w:t>
            </w: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数的</w:t>
            </w:r>
            <w:r>
              <w:rPr>
                <w:rFonts w:ascii="宋体" w:hAnsi="宋体" w:cs="宋体" w:eastAsia="宋体" w:hint="default"/>
                <w:spacing w:val="-29"/>
                <w:sz w:val="18"/>
                <w:szCs w:val="18"/>
              </w:rPr>
              <w:t> </w:t>
            </w:r>
            <w:r>
              <w:rPr>
                <w:rFonts w:ascii="Times New Roman" w:hAnsi="Times New Roman" w:cs="Times New Roman" w:eastAsia="Times New Roman" w:hint="default"/>
                <w:spacing w:val="-3"/>
                <w:sz w:val="18"/>
                <w:szCs w:val="18"/>
              </w:rPr>
              <w:t>25%</w:t>
            </w:r>
            <w:r>
              <w:rPr>
                <w:rFonts w:ascii="宋体" w:hAnsi="宋体" w:cs="宋体" w:eastAsia="宋体" w:hint="default"/>
                <w:spacing w:val="-3"/>
                <w:sz w:val="18"/>
                <w:szCs w:val="18"/>
              </w:rPr>
              <w:t>；离职后半年内，不转让本人所持有的</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玉荣；叶树</w:t>
            </w: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美亚柏科股份。</w:t>
            </w:r>
            <w:r>
              <w:rPr>
                <w:rFonts w:ascii="Times New Roman" w:hAnsi="Times New Roman" w:cs="Times New Roman" w:eastAsia="Times New Roman" w:hint="default"/>
                <w:sz w:val="18"/>
                <w:szCs w:val="18"/>
              </w:rPr>
              <w:t>4</w:t>
            </w:r>
            <w:r>
              <w:rPr>
                <w:rFonts w:ascii="宋体" w:hAnsi="宋体" w:cs="宋体" w:eastAsia="宋体" w:hint="default"/>
                <w:sz w:val="18"/>
                <w:szCs w:val="18"/>
              </w:rPr>
              <w:t>、如截至本次发行完成之日，</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军；张红光</w:t>
            </w: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本人对用于认购对价股份的资产持续拥有权益</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的时间不足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个月，则本人须按照适用法律的</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规定，从本次发行完成日起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个月内不得转让</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对价股份。二、新德汇交易对方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、本人通过本</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次交易获得的美亚柏科增发股份自本次发行完</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个月内，本人将不通过任何方式转</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让。此后分步解锁，具体为：</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月内，累计转让股票数量不超过本人在本次发行</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中所认购股票总数的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内，累计转让股票数量不超过本人在本次发行中</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所认购股票总数的</w:t>
            </w:r>
            <w:r>
              <w:rPr>
                <w:rFonts w:ascii="宋体" w:hAnsi="宋体" w:cs="宋体" w:eastAsia="宋体" w:hint="default"/>
                <w:spacing w:val="-44"/>
                <w:sz w:val="18"/>
                <w:szCs w:val="18"/>
              </w:rPr>
              <w:t> </w:t>
            </w:r>
            <w:r>
              <w:rPr>
                <w:rFonts w:ascii="Times New Roman" w:hAnsi="Times New Roman" w:cs="Times New Roman" w:eastAsia="Times New Roman" w:hint="default"/>
                <w:spacing w:val="-8"/>
                <w:sz w:val="18"/>
                <w:szCs w:val="18"/>
              </w:rPr>
              <w:t>60%</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个月后，可自由转让</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其在本次发行中所认购的全部股份数量。本人实</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际解锁股份数须扣除因盈利预测补偿而需由美</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亚柏科回购的股份数（若有</w:t>
            </w:r>
            <w:r>
              <w:rPr>
                <w:rFonts w:ascii="宋体" w:hAnsi="宋体" w:cs="宋体" w:eastAsia="宋体" w:hint="default"/>
                <w:spacing w:val="-90"/>
                <w:sz w:val="18"/>
                <w:szCs w:val="18"/>
              </w:rPr>
              <w:t>）</w:t>
            </w:r>
            <w:r>
              <w:rPr>
                <w:rFonts w:ascii="宋体" w:hAnsi="宋体" w:cs="宋体" w:eastAsia="宋体" w:hint="default"/>
                <w:sz w:val="18"/>
                <w:szCs w:val="18"/>
              </w:rPr>
              <w:t>。本次重组实施完</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134" w:type="dxa"/>
            <w:vMerge/>
            <w:tcBorders>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39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成后，本人由于美亚柏科配股、转增股本等原因</w:t>
            </w:r>
          </w:p>
        </w:tc>
        <w:tc>
          <w:tcPr>
            <w:tcW w:w="708"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3" w:type="dxa"/>
        <w:tblLayout w:type="fixed"/>
        <w:tblCellMar>
          <w:top w:w="0" w:type="dxa"/>
          <w:left w:w="0" w:type="dxa"/>
          <w:bottom w:w="0" w:type="dxa"/>
          <w:right w:w="0" w:type="dxa"/>
        </w:tblCellMar>
        <w:tblLook w:val="01E0"/>
      </w:tblPr>
      <w:tblGrid>
        <w:gridCol w:w="1134"/>
        <w:gridCol w:w="1134"/>
        <w:gridCol w:w="709"/>
        <w:gridCol w:w="3970"/>
        <w:gridCol w:w="708"/>
        <w:gridCol w:w="568"/>
        <w:gridCol w:w="1345"/>
      </w:tblGrid>
      <w:tr>
        <w:trPr>
          <w:trHeight w:val="317" w:hRule="exact"/>
        </w:trPr>
        <w:tc>
          <w:tcPr>
            <w:tcW w:w="1134"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39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增持的美亚柏科股份，亦应遵守上述承诺。本人</w:t>
            </w:r>
          </w:p>
        </w:tc>
        <w:tc>
          <w:tcPr>
            <w:tcW w:w="708" w:type="dxa"/>
            <w:vMerge w:val="restart"/>
            <w:tcBorders>
              <w:top w:val="single" w:sz="4" w:space="0" w:color="000000"/>
              <w:left w:val="single" w:sz="4" w:space="0" w:color="000000"/>
              <w:right w:val="single" w:sz="4" w:space="0" w:color="000000"/>
            </w:tcBorders>
          </w:tcPr>
          <w:p>
            <w:pPr/>
          </w:p>
        </w:tc>
        <w:tc>
          <w:tcPr>
            <w:tcW w:w="568" w:type="dxa"/>
            <w:vMerge w:val="restart"/>
            <w:tcBorders>
              <w:top w:val="single" w:sz="4" w:space="0" w:color="000000"/>
              <w:left w:val="single" w:sz="4" w:space="0" w:color="000000"/>
              <w:right w:val="single" w:sz="4" w:space="0" w:color="000000"/>
            </w:tcBorders>
          </w:tcPr>
          <w:p>
            <w:pPr/>
          </w:p>
        </w:tc>
        <w:tc>
          <w:tcPr>
            <w:tcW w:w="1345" w:type="dxa"/>
            <w:vMerge w:val="restart"/>
            <w:tcBorders>
              <w:top w:val="single" w:sz="4" w:space="0" w:color="000000"/>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如担任美亚柏科董监高，则会同时遵守美亚柏科</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章程以及公司法</w:t>
            </w:r>
            <w:r>
              <w:rPr>
                <w:rFonts w:ascii="宋体" w:hAnsi="宋体" w:cs="宋体" w:eastAsia="宋体" w:hint="default"/>
                <w:spacing w:val="-149"/>
                <w:sz w:val="18"/>
                <w:szCs w:val="18"/>
              </w:rPr>
              <w:t>、</w:t>
            </w:r>
            <w:r>
              <w:rPr>
                <w:rFonts w:ascii="宋体" w:hAnsi="宋体" w:cs="宋体" w:eastAsia="宋体" w:hint="default"/>
                <w:sz w:val="18"/>
                <w:szCs w:val="18"/>
              </w:rPr>
              <w:t>《中华人民共和国证券法</w:t>
            </w:r>
            <w:r>
              <w:rPr>
                <w:rFonts w:ascii="宋体" w:hAnsi="宋体" w:cs="宋体" w:eastAsia="宋体" w:hint="default"/>
                <w:spacing w:val="-90"/>
                <w:sz w:val="18"/>
                <w:szCs w:val="18"/>
              </w:rPr>
              <w:t>》</w:t>
            </w:r>
            <w:r>
              <w:rPr>
                <w:rFonts w:ascii="宋体" w:hAnsi="宋体" w:cs="宋体" w:eastAsia="宋体" w:hint="default"/>
                <w:spacing w:val="-149"/>
                <w:sz w:val="18"/>
                <w:szCs w:val="18"/>
              </w:rPr>
              <w:t>、</w:t>
            </w:r>
            <w:r>
              <w:rPr>
                <w:rFonts w:ascii="宋体" w:hAnsi="宋体" w:cs="宋体" w:eastAsia="宋体" w:hint="default"/>
                <w:sz w:val="18"/>
                <w:szCs w:val="18"/>
              </w:rPr>
              <w:t>《深</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圳证券交易所股票上市规则》等法律、法规、规</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章、规范性文件有关股份有限公司及上市公司董</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事、监事、高级管理人员买卖公司股票的限制性</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规定。</w:t>
            </w:r>
            <w:r>
              <w:rPr>
                <w:rFonts w:ascii="Times New Roman" w:hAnsi="Times New Roman" w:cs="Times New Roman" w:eastAsia="Times New Roman" w:hint="default"/>
                <w:sz w:val="18"/>
                <w:szCs w:val="18"/>
              </w:rPr>
              <w:t>2</w:t>
            </w:r>
            <w:r>
              <w:rPr>
                <w:rFonts w:ascii="宋体" w:hAnsi="宋体" w:cs="宋体" w:eastAsia="宋体" w:hint="default"/>
                <w:sz w:val="18"/>
                <w:szCs w:val="18"/>
              </w:rPr>
              <w:t>、本次发行结束后，就本次重组本人获</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得的美亚柏科增发股份因美亚柏科发生除权除</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息事项而增加的股份，亦遵守上述锁定期承诺。</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、除上述锁定期之外，如本人未来在美亚柏科</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担任董事</w:t>
            </w:r>
            <w:r>
              <w:rPr>
                <w:rFonts w:ascii="Times New Roman" w:hAnsi="Times New Roman" w:cs="Times New Roman" w:eastAsia="Times New Roman" w:hint="default"/>
                <w:sz w:val="18"/>
                <w:szCs w:val="18"/>
              </w:rPr>
              <w:t>/</w:t>
            </w:r>
            <w:r>
              <w:rPr>
                <w:rFonts w:ascii="宋体" w:hAnsi="宋体" w:cs="宋体" w:eastAsia="宋体" w:hint="default"/>
                <w:sz w:val="18"/>
                <w:szCs w:val="18"/>
              </w:rPr>
              <w:t>监事</w:t>
            </w:r>
            <w:r>
              <w:rPr>
                <w:rFonts w:ascii="Times New Roman" w:hAnsi="Times New Roman" w:cs="Times New Roman" w:eastAsia="Times New Roman" w:hint="default"/>
                <w:sz w:val="18"/>
                <w:szCs w:val="18"/>
              </w:rPr>
              <w:t>/</w:t>
            </w:r>
            <w:r>
              <w:rPr>
                <w:rFonts w:ascii="宋体" w:hAnsi="宋体" w:cs="宋体" w:eastAsia="宋体" w:hint="default"/>
                <w:sz w:val="18"/>
                <w:szCs w:val="18"/>
              </w:rPr>
              <w:t>高级管理人员，则本人在任期内</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每年转让的股份不超过本人所持有的美亚柏科</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8"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股份总数的</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25%</w:t>
            </w:r>
            <w:r>
              <w:rPr>
                <w:rFonts w:ascii="宋体" w:hAnsi="宋体" w:cs="宋体" w:eastAsia="宋体" w:hint="default"/>
                <w:spacing w:val="-3"/>
                <w:sz w:val="18"/>
                <w:szCs w:val="18"/>
              </w:rPr>
              <w:t>；离职后半年内，不转让本人所</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5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39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持有的美亚柏科股份。</w:t>
            </w:r>
            <w:r>
              <w:rPr>
                <w:rFonts w:ascii="Times New Roman" w:hAnsi="Times New Roman" w:cs="Times New Roman" w:eastAsia="Times New Roman" w:hint="default"/>
                <w:sz w:val="18"/>
                <w:szCs w:val="18"/>
              </w:rPr>
              <w:t>"</w:t>
            </w:r>
          </w:p>
        </w:tc>
        <w:tc>
          <w:tcPr>
            <w:tcW w:w="708"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1345" w:type="dxa"/>
            <w:vMerge/>
            <w:tcBorders>
              <w:left w:val="single" w:sz="4" w:space="0" w:color="000000"/>
              <w:bottom w:val="single" w:sz="4" w:space="0" w:color="000000"/>
              <w:right w:val="single" w:sz="4" w:space="0" w:color="000000"/>
            </w:tcBorders>
          </w:tcPr>
          <w:p>
            <w:pPr/>
          </w:p>
        </w:tc>
      </w:tr>
      <w:tr>
        <w:trPr>
          <w:trHeight w:val="362" w:hRule="exact"/>
        </w:trPr>
        <w:tc>
          <w:tcPr>
            <w:tcW w:w="1134" w:type="dxa"/>
            <w:vMerge/>
            <w:tcBorders>
              <w:left w:val="single" w:sz="4" w:space="0" w:color="000000"/>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39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、本人未直接或间接从事与美亚柏科及其下属</w:t>
            </w:r>
          </w:p>
        </w:tc>
        <w:tc>
          <w:tcPr>
            <w:tcW w:w="708"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子公司相同或相似业务的情形。</w:t>
            </w:r>
            <w:r>
              <w:rPr>
                <w:rFonts w:ascii="Times New Roman" w:hAnsi="Times New Roman" w:cs="Times New Roman" w:eastAsia="Times New Roman" w:hint="default"/>
                <w:sz w:val="18"/>
                <w:szCs w:val="18"/>
              </w:rPr>
              <w:t>2</w:t>
            </w:r>
            <w:r>
              <w:rPr>
                <w:rFonts w:ascii="宋体" w:hAnsi="宋体" w:cs="宋体" w:eastAsia="宋体" w:hint="default"/>
                <w:sz w:val="18"/>
                <w:szCs w:val="18"/>
              </w:rPr>
              <w:t>、本人及本人</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直接或间接控制的其他企业不会直接或间接经</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营任何与美亚柏科及其下属子公司经营业务构</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关于</w:t>
            </w: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成竞争或可能构成竞争的业务，亦不会投资任何</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同业</w:t>
            </w: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与美亚柏科及其下属子公司经营的业务构成竞</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竞争、</w:t>
            </w: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争或可能构成竞争的其他企业；如本人及本人控</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1249"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103" w:right="119"/>
              <w:jc w:val="left"/>
              <w:rPr>
                <w:rFonts w:ascii="宋体" w:hAnsi="宋体" w:cs="宋体" w:eastAsia="宋体" w:hint="default"/>
                <w:sz w:val="18"/>
                <w:szCs w:val="18"/>
              </w:rPr>
            </w:pPr>
            <w:r>
              <w:rPr>
                <w:rFonts w:ascii="宋体" w:hAnsi="宋体" w:cs="宋体" w:eastAsia="宋体" w:hint="default"/>
                <w:sz w:val="18"/>
                <w:szCs w:val="18"/>
              </w:rPr>
              <w:t>郭永芳；滕 达</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54"/>
              <w:jc w:val="left"/>
              <w:rPr>
                <w:rFonts w:ascii="宋体" w:hAnsi="宋体" w:cs="宋体" w:eastAsia="宋体" w:hint="default"/>
                <w:sz w:val="18"/>
                <w:szCs w:val="18"/>
              </w:rPr>
            </w:pPr>
            <w:r>
              <w:rPr>
                <w:rFonts w:ascii="宋体" w:hAnsi="宋体" w:cs="宋体" w:eastAsia="宋体" w:hint="default"/>
                <w:sz w:val="18"/>
                <w:szCs w:val="18"/>
              </w:rPr>
              <w:t>关联 交易、 资金 占用</w:t>
            </w: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z w:val="18"/>
                <w:szCs w:val="18"/>
              </w:rPr>
              <w:t>制的企业与美亚柏科及其下属子公司经营的业 </w:t>
            </w:r>
            <w:r>
              <w:rPr>
                <w:rFonts w:ascii="宋体" w:hAnsi="宋体" w:cs="宋体" w:eastAsia="宋体" w:hint="default"/>
                <w:spacing w:val="-2"/>
                <w:sz w:val="18"/>
                <w:szCs w:val="18"/>
              </w:rPr>
              <w:t>务产生竞争，则本人及本人控制的企业将采取停</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止经营产生竞争的业务的方式，或者采取将竞争</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的业务纳入美亚柏科的方式，或者采取将产生竞</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0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999</w:t>
            </w:r>
          </w:p>
          <w:p>
            <w:pPr>
              <w:pStyle w:val="TableParagraph"/>
              <w:spacing w:line="240" w:lineRule="auto" w:before="104"/>
              <w:ind w:left="103" w:right="0"/>
              <w:jc w:val="left"/>
              <w:rPr>
                <w:rFonts w:ascii="Times New Roman" w:hAnsi="Times New Roman" w:cs="Times New Roman" w:eastAsia="Times New Roman" w:hint="default"/>
                <w:sz w:val="18"/>
                <w:szCs w:val="18"/>
              </w:rPr>
            </w:pPr>
            <w:r>
              <w:rPr>
                <w:rFonts w:ascii="Times New Roman"/>
                <w:sz w:val="18"/>
              </w:rPr>
              <w:t>9-12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-31</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311"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方面</w:t>
            </w: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争的业务转让给无关联第三方等合法方式，使本</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的承</w:t>
            </w: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人及本人控制的企业不再从事与美亚柏科及其</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下属子公司主营业务相同或类似的业务，以避免</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同业竞争。</w:t>
            </w:r>
            <w:r>
              <w:rPr>
                <w:rFonts w:ascii="Times New Roman" w:hAnsi="Times New Roman" w:cs="Times New Roman" w:eastAsia="Times New Roman" w:hint="default"/>
                <w:sz w:val="18"/>
                <w:szCs w:val="18"/>
              </w:rPr>
              <w:t>3</w:t>
            </w:r>
            <w:r>
              <w:rPr>
                <w:rFonts w:ascii="宋体" w:hAnsi="宋体" w:cs="宋体" w:eastAsia="宋体" w:hint="default"/>
                <w:sz w:val="18"/>
                <w:szCs w:val="18"/>
              </w:rPr>
              <w:t>、如违反上述承诺给美亚柏科造成</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损失的，本人将依法作出赔偿。</w:t>
            </w:r>
            <w:r>
              <w:rPr>
                <w:rFonts w:ascii="Times New Roman" w:hAnsi="Times New Roman" w:cs="Times New Roman" w:eastAsia="Times New Roman" w:hint="default"/>
                <w:sz w:val="18"/>
                <w:szCs w:val="18"/>
              </w:rPr>
              <w:t>4</w:t>
            </w:r>
            <w:r>
              <w:rPr>
                <w:rFonts w:ascii="宋体" w:hAnsi="宋体" w:cs="宋体" w:eastAsia="宋体" w:hint="default"/>
                <w:sz w:val="18"/>
                <w:szCs w:val="18"/>
              </w:rPr>
              <w:t>、上述承诺至</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本人不再作为本公司的实际控制人满两年之日</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39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终止。</w:t>
            </w:r>
            <w:r>
              <w:rPr>
                <w:rFonts w:ascii="Times New Roman" w:hAnsi="Times New Roman" w:cs="Times New Roman" w:eastAsia="Times New Roman" w:hint="default"/>
                <w:sz w:val="18"/>
                <w:szCs w:val="18"/>
              </w:rPr>
              <w:t>"</w:t>
            </w:r>
          </w:p>
        </w:tc>
        <w:tc>
          <w:tcPr>
            <w:tcW w:w="708"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
        </w:tc>
      </w:tr>
      <w:tr>
        <w:trPr>
          <w:trHeight w:val="3794" w:hRule="exact"/>
        </w:trPr>
        <w:tc>
          <w:tcPr>
            <w:tcW w:w="1134"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103" w:right="11"/>
              <w:jc w:val="left"/>
              <w:rPr>
                <w:rFonts w:ascii="宋体" w:hAnsi="宋体" w:cs="宋体" w:eastAsia="宋体" w:hint="default"/>
                <w:sz w:val="18"/>
                <w:szCs w:val="18"/>
              </w:rPr>
            </w:pPr>
            <w:r>
              <w:rPr>
                <w:rFonts w:ascii="宋体" w:hAnsi="宋体" w:cs="宋体" w:eastAsia="宋体" w:hint="default"/>
                <w:sz w:val="18"/>
                <w:szCs w:val="18"/>
              </w:rPr>
              <w:t>安林冲；包 </w:t>
            </w:r>
            <w:r>
              <w:rPr>
                <w:rFonts w:ascii="宋体" w:hAnsi="宋体" w:cs="宋体" w:eastAsia="宋体" w:hint="default"/>
                <w:spacing w:val="-12"/>
                <w:sz w:val="18"/>
                <w:szCs w:val="18"/>
              </w:rPr>
              <w:t>志翔；陈燕；</w:t>
            </w:r>
            <w:r>
              <w:rPr>
                <w:rFonts w:ascii="宋体" w:hAnsi="宋体" w:cs="宋体" w:eastAsia="宋体" w:hint="default"/>
                <w:sz w:val="18"/>
                <w:szCs w:val="18"/>
              </w:rPr>
              <w:t> 仇宏远；郭 玉智；韩海 青；黄新； </w:t>
            </w:r>
            <w:r>
              <w:rPr>
                <w:rFonts w:ascii="宋体" w:hAnsi="宋体" w:cs="宋体" w:eastAsia="宋体" w:hint="default"/>
                <w:spacing w:val="-12"/>
                <w:sz w:val="18"/>
                <w:szCs w:val="18"/>
              </w:rPr>
              <w:t>李佳；李江；</w:t>
            </w:r>
            <w:r>
              <w:rPr>
                <w:rFonts w:ascii="宋体" w:hAnsi="宋体" w:cs="宋体" w:eastAsia="宋体" w:hint="default"/>
                <w:sz w:val="18"/>
                <w:szCs w:val="18"/>
              </w:rPr>
              <w:t> 卢晓英；任 </w:t>
            </w:r>
            <w:r>
              <w:rPr>
                <w:rFonts w:ascii="宋体" w:hAnsi="宋体" w:cs="宋体" w:eastAsia="宋体" w:hint="default"/>
                <w:spacing w:val="-12"/>
                <w:sz w:val="18"/>
                <w:szCs w:val="18"/>
              </w:rPr>
              <w:t>炜；孙士玉；</w:t>
            </w:r>
            <w:r>
              <w:rPr>
                <w:rFonts w:ascii="宋体" w:hAnsi="宋体" w:cs="宋体" w:eastAsia="宋体" w:hint="default"/>
                <w:sz w:val="18"/>
                <w:szCs w:val="18"/>
              </w:rPr>
              <w:t> 王亚明；韦 玉荣；叶树 军；张红光</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6"/>
              <w:ind w:left="103" w:right="54"/>
              <w:jc w:val="left"/>
              <w:rPr>
                <w:rFonts w:ascii="宋体" w:hAnsi="宋体" w:cs="宋体" w:eastAsia="宋体" w:hint="default"/>
                <w:sz w:val="18"/>
                <w:szCs w:val="18"/>
              </w:rPr>
            </w:pPr>
            <w:r>
              <w:rPr>
                <w:rFonts w:ascii="宋体" w:hAnsi="宋体" w:cs="宋体" w:eastAsia="宋体" w:hint="default"/>
                <w:sz w:val="18"/>
                <w:szCs w:val="18"/>
              </w:rPr>
              <w:t>关于 同业 竞争、 关联 交易、 资金 占用 方面 的承</w:t>
            </w:r>
          </w:p>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一、避免同业竞争的承诺</w:t>
            </w:r>
            <w:r>
              <w:rPr>
                <w:rFonts w:ascii="宋体" w:hAnsi="宋体" w:cs="宋体" w:eastAsia="宋体" w:hint="default"/>
                <w:spacing w:val="-58"/>
                <w:sz w:val="18"/>
                <w:szCs w:val="18"/>
              </w:rPr>
              <w:t> </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、本次重组前，本人</w:t>
            </w:r>
            <w:r>
              <w:rPr>
                <w:rFonts w:ascii="宋体" w:hAnsi="宋体" w:cs="宋体" w:eastAsia="宋体" w:hint="default"/>
                <w:sz w:val="18"/>
                <w:szCs w:val="18"/>
              </w:rPr>
              <w:t> 未直接或间接从事与美亚柏科及其下属子公司 相同或相似业务的情形。</w:t>
            </w:r>
            <w:r>
              <w:rPr>
                <w:rFonts w:ascii="Times New Roman" w:hAnsi="Times New Roman" w:cs="Times New Roman" w:eastAsia="Times New Roman" w:hint="default"/>
                <w:sz w:val="18"/>
                <w:szCs w:val="18"/>
              </w:rPr>
              <w:t>2</w:t>
            </w:r>
            <w:r>
              <w:rPr>
                <w:rFonts w:ascii="宋体" w:hAnsi="宋体" w:cs="宋体" w:eastAsia="宋体" w:hint="default"/>
                <w:sz w:val="18"/>
                <w:szCs w:val="18"/>
              </w:rPr>
              <w:t>、本次重组完成后， 本人及本人直接或间接控制的其他企业不会直 接或间接经营任何与美亚柏科及其下属子公司 </w:t>
            </w:r>
            <w:r>
              <w:rPr>
                <w:rFonts w:ascii="宋体" w:hAnsi="宋体" w:cs="宋体" w:eastAsia="宋体" w:hint="default"/>
                <w:spacing w:val="-2"/>
                <w:sz w:val="18"/>
                <w:szCs w:val="18"/>
              </w:rPr>
              <w:t>经营业务构成竞争或可能构成竞争的业务，亦不</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会投资任何与美亚柏科及其下属子公司经营的 </w:t>
            </w:r>
            <w:r>
              <w:rPr>
                <w:rFonts w:ascii="宋体" w:hAnsi="宋体" w:cs="宋体" w:eastAsia="宋体" w:hint="default"/>
                <w:spacing w:val="-2"/>
                <w:sz w:val="18"/>
                <w:szCs w:val="18"/>
              </w:rPr>
              <w:t>业务构成竞争或可能构成竞争的其他企业；如本</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人及本人控制的企业与美亚柏科及其下属子公 </w:t>
            </w:r>
            <w:r>
              <w:rPr>
                <w:rFonts w:ascii="宋体" w:hAnsi="宋体" w:cs="宋体" w:eastAsia="宋体" w:hint="default"/>
                <w:spacing w:val="-2"/>
                <w:sz w:val="18"/>
                <w:szCs w:val="18"/>
              </w:rPr>
              <w:t>司经营的业务产生竞争，则本人及本人控制的企</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业将采取停止经营产生竞争的业务的方式，或者</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采取将竞争的业务纳入美亚柏科的方式，或者采</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999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9-12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-31</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3" w:type="dxa"/>
        <w:tblLayout w:type="fixed"/>
        <w:tblCellMar>
          <w:top w:w="0" w:type="dxa"/>
          <w:left w:w="0" w:type="dxa"/>
          <w:bottom w:w="0" w:type="dxa"/>
          <w:right w:w="0" w:type="dxa"/>
        </w:tblCellMar>
        <w:tblLook w:val="01E0"/>
      </w:tblPr>
      <w:tblGrid>
        <w:gridCol w:w="1134"/>
        <w:gridCol w:w="1134"/>
        <w:gridCol w:w="709"/>
        <w:gridCol w:w="3970"/>
        <w:gridCol w:w="708"/>
        <w:gridCol w:w="568"/>
        <w:gridCol w:w="1345"/>
      </w:tblGrid>
      <w:tr>
        <w:trPr>
          <w:trHeight w:val="317" w:hRule="exact"/>
        </w:trPr>
        <w:tc>
          <w:tcPr>
            <w:tcW w:w="1134"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39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取将产生竞争的业务转让给无关联关系第三方</w:t>
            </w:r>
          </w:p>
        </w:tc>
        <w:tc>
          <w:tcPr>
            <w:tcW w:w="708" w:type="dxa"/>
            <w:vMerge w:val="restart"/>
            <w:tcBorders>
              <w:top w:val="single" w:sz="4" w:space="0" w:color="000000"/>
              <w:left w:val="single" w:sz="4" w:space="0" w:color="000000"/>
              <w:right w:val="single" w:sz="4" w:space="0" w:color="000000"/>
            </w:tcBorders>
          </w:tcPr>
          <w:p>
            <w:pPr/>
          </w:p>
        </w:tc>
        <w:tc>
          <w:tcPr>
            <w:tcW w:w="568" w:type="dxa"/>
            <w:vMerge w:val="restart"/>
            <w:tcBorders>
              <w:top w:val="single" w:sz="4" w:space="0" w:color="000000"/>
              <w:left w:val="single" w:sz="4" w:space="0" w:color="000000"/>
              <w:right w:val="single" w:sz="4" w:space="0" w:color="000000"/>
            </w:tcBorders>
          </w:tcPr>
          <w:p>
            <w:pPr/>
          </w:p>
        </w:tc>
        <w:tc>
          <w:tcPr>
            <w:tcW w:w="1345" w:type="dxa"/>
            <w:vMerge w:val="restart"/>
            <w:tcBorders>
              <w:top w:val="single" w:sz="4" w:space="0" w:color="000000"/>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等合法方式，使本人及本人控制的企业不再从事</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与美亚柏科及其下属子公司主营业务相同或类</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似的业务，以避免同业竞争。</w:t>
            </w:r>
            <w:r>
              <w:rPr>
                <w:rFonts w:ascii="Times New Roman" w:hAnsi="Times New Roman" w:cs="Times New Roman" w:eastAsia="Times New Roman" w:hint="default"/>
                <w:sz w:val="18"/>
                <w:szCs w:val="18"/>
              </w:rPr>
              <w:t>3</w:t>
            </w:r>
            <w:r>
              <w:rPr>
                <w:rFonts w:ascii="宋体" w:hAnsi="宋体" w:cs="宋体" w:eastAsia="宋体" w:hint="default"/>
                <w:sz w:val="18"/>
                <w:szCs w:val="18"/>
              </w:rPr>
              <w:t>、如违反上述承</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诺给美亚柏科造成损失的，本人将依法作出赔</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偿。二、关于规范及减少关联交易的承诺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、本</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次重组完成后，本人及本人的关联企业与美亚柏</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科及其包括目标公司在内的合并报表范围内各</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2"/>
                <w:sz w:val="18"/>
                <w:szCs w:val="18"/>
              </w:rPr>
              <w:t>级控股公司将尽可能的避免和减少关联交易。</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对于确有必要且无法避免的关联交易，本人及本</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人的关联企业将遵循市场化的公正、公平、公开</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的原则，按照有关法律法规、规范性文件和章程</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等有关规定，履行包括回避表决等合法程序，不</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通过关联关系谋求特殊的利益，不会进行任何有</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损美亚柏科和美亚柏科其他股东利益、特别是中</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小股东利益的关联交易。</w:t>
            </w:r>
            <w:r>
              <w:rPr>
                <w:rFonts w:ascii="Times New Roman" w:hAnsi="Times New Roman" w:cs="Times New Roman" w:eastAsia="Times New Roman" w:hint="default"/>
                <w:sz w:val="18"/>
                <w:szCs w:val="18"/>
              </w:rPr>
              <w:t>3</w:t>
            </w:r>
            <w:r>
              <w:rPr>
                <w:rFonts w:ascii="宋体" w:hAnsi="宋体" w:cs="宋体" w:eastAsia="宋体" w:hint="default"/>
                <w:sz w:val="18"/>
                <w:szCs w:val="18"/>
              </w:rPr>
              <w:t>、本人及本人的关联</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企业与目标公司之间资金往来情况（如有</w:t>
            </w:r>
            <w:r>
              <w:rPr>
                <w:rFonts w:ascii="宋体" w:hAnsi="宋体" w:cs="宋体" w:eastAsia="宋体" w:hint="default"/>
                <w:spacing w:val="-90"/>
                <w:sz w:val="18"/>
                <w:szCs w:val="18"/>
              </w:rPr>
              <w:t>）</w:t>
            </w:r>
            <w:r>
              <w:rPr>
                <w:rFonts w:ascii="宋体" w:hAnsi="宋体" w:cs="宋体" w:eastAsia="宋体" w:hint="default"/>
                <w:sz w:val="18"/>
                <w:szCs w:val="18"/>
              </w:rPr>
              <w:t>，均</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发生在本次重组前，且相关资金占用款项已于</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1"/>
                <w:sz w:val="18"/>
                <w:szCs w:val="18"/>
              </w:rPr>
              <w:t>前</w:t>
            </w:r>
            <w:r>
              <w:rPr>
                <w:rFonts w:ascii="宋体" w:hAnsi="宋体" w:cs="宋体" w:eastAsia="宋体" w:hint="default"/>
                <w:sz w:val="18"/>
                <w:szCs w:val="18"/>
              </w:rPr>
              <w:t>全部偿还</w:t>
            </w:r>
            <w:r>
              <w:rPr>
                <w:rFonts w:ascii="宋体" w:hAnsi="宋体" w:cs="宋体" w:eastAsia="宋体" w:hint="default"/>
                <w:spacing w:val="-72"/>
                <w:sz w:val="18"/>
                <w:szCs w:val="18"/>
              </w:rPr>
              <w:t>；</w:t>
            </w:r>
            <w:r>
              <w:rPr>
                <w:rFonts w:ascii="宋体" w:hAnsi="宋体" w:cs="宋体" w:eastAsia="宋体" w:hint="default"/>
                <w:sz w:val="18"/>
                <w:szCs w:val="18"/>
              </w:rPr>
              <w:t>本人及本人的关联企业</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将不以任何方式违法违规占用美亚柏科及其包</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括目标公司在内的合并报表范围内各级控股公</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司的资金、资产，亦不要求美亚柏科及其包括目</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标公司在内的合并报表范围内各级控股公司为</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本人及本人的关联企业进行违规担保。</w:t>
            </w:r>
            <w:r>
              <w:rPr>
                <w:rFonts w:ascii="Times New Roman" w:hAnsi="Times New Roman" w:cs="Times New Roman" w:eastAsia="Times New Roman" w:hint="default"/>
                <w:sz w:val="18"/>
                <w:szCs w:val="18"/>
              </w:rPr>
              <w:t>4</w:t>
            </w:r>
            <w:r>
              <w:rPr>
                <w:rFonts w:ascii="宋体" w:hAnsi="宋体" w:cs="宋体" w:eastAsia="宋体" w:hint="default"/>
                <w:sz w:val="18"/>
                <w:szCs w:val="18"/>
              </w:rPr>
              <w:t>、为规</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范关联交易和杜绝关联方占用资金的隐患，江苏</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税软已完善内控制度，且本次重组完成后江苏税</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软将进行董事会改选，美亚柏科有权任命江苏税</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软的财务总监，江苏税软将按照上市公司要求规</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8"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范关联交易审批程序。</w:t>
            </w:r>
            <w:r>
              <w:rPr>
                <w:rFonts w:ascii="Times New Roman" w:hAnsi="Times New Roman" w:cs="Times New Roman" w:eastAsia="Times New Roman" w:hint="default"/>
                <w:sz w:val="18"/>
                <w:szCs w:val="18"/>
              </w:rPr>
              <w:t>5</w:t>
            </w:r>
            <w:r>
              <w:rPr>
                <w:rFonts w:ascii="宋体" w:hAnsi="宋体" w:cs="宋体" w:eastAsia="宋体" w:hint="default"/>
                <w:sz w:val="18"/>
                <w:szCs w:val="18"/>
              </w:rPr>
              <w:t>、如违反上述承诺给美</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5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39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亚柏科造成损失的，本人将依法作出赔偿。</w:t>
            </w:r>
            <w:r>
              <w:rPr>
                <w:rFonts w:ascii="Times New Roman" w:hAnsi="Times New Roman" w:cs="Times New Roman" w:eastAsia="Times New Roman" w:hint="default"/>
                <w:sz w:val="18"/>
                <w:szCs w:val="18"/>
              </w:rPr>
              <w:t>"</w:t>
            </w:r>
          </w:p>
        </w:tc>
        <w:tc>
          <w:tcPr>
            <w:tcW w:w="708"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1345" w:type="dxa"/>
            <w:vMerge/>
            <w:tcBorders>
              <w:left w:val="single" w:sz="4" w:space="0" w:color="000000"/>
              <w:bottom w:val="single" w:sz="4" w:space="0" w:color="000000"/>
              <w:right w:val="single" w:sz="4" w:space="0" w:color="000000"/>
            </w:tcBorders>
          </w:tcPr>
          <w:p>
            <w:pPr/>
          </w:p>
        </w:tc>
      </w:tr>
      <w:tr>
        <w:trPr>
          <w:trHeight w:val="362" w:hRule="exact"/>
        </w:trPr>
        <w:tc>
          <w:tcPr>
            <w:tcW w:w="1134" w:type="dxa"/>
            <w:vMerge/>
            <w:tcBorders>
              <w:left w:val="single" w:sz="4" w:space="0" w:color="000000"/>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39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一、避免同业竞争的承诺</w:t>
            </w:r>
            <w:r>
              <w:rPr>
                <w:rFonts w:ascii="宋体" w:hAnsi="宋体" w:cs="宋体" w:eastAsia="宋体" w:hint="default"/>
                <w:spacing w:val="-61"/>
                <w:sz w:val="18"/>
                <w:szCs w:val="18"/>
              </w:rPr>
              <w:t> </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、本次重组前，除所</w:t>
            </w:r>
          </w:p>
        </w:tc>
        <w:tc>
          <w:tcPr>
            <w:tcW w:w="708"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
        </w:tc>
      </w:tr>
      <w:tr>
        <w:trPr>
          <w:trHeight w:val="297"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经营新德汇外本人未直接或间接从事与美亚柏</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关于</w:t>
            </w: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科及其下属子公司相同或相似业务的情形。</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同业</w:t>
            </w: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本次重组完成后，本人及本人直接或间接控制的</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竞争、</w:t>
            </w: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其他企业不会直接或间接经营任何与美亚柏科</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103" w:right="119"/>
              <w:jc w:val="left"/>
              <w:rPr>
                <w:rFonts w:ascii="宋体" w:hAnsi="宋体" w:cs="宋体" w:eastAsia="宋体" w:hint="default"/>
                <w:sz w:val="18"/>
                <w:szCs w:val="18"/>
              </w:rPr>
            </w:pPr>
            <w:r>
              <w:rPr>
                <w:rFonts w:ascii="宋体" w:hAnsi="宋体" w:cs="宋体" w:eastAsia="宋体" w:hint="default"/>
                <w:sz w:val="18"/>
                <w:szCs w:val="18"/>
              </w:rPr>
              <w:t>邓炽成；水 军；苏学武</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103" w:right="54"/>
              <w:jc w:val="left"/>
              <w:rPr>
                <w:rFonts w:ascii="宋体" w:hAnsi="宋体" w:cs="宋体" w:eastAsia="宋体" w:hint="default"/>
                <w:sz w:val="18"/>
                <w:szCs w:val="18"/>
              </w:rPr>
            </w:pPr>
            <w:r>
              <w:rPr>
                <w:rFonts w:ascii="宋体" w:hAnsi="宋体" w:cs="宋体" w:eastAsia="宋体" w:hint="default"/>
                <w:sz w:val="18"/>
                <w:szCs w:val="18"/>
              </w:rPr>
              <w:t>关联 交易、 资金 占用</w:t>
            </w: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103" w:right="102"/>
              <w:jc w:val="left"/>
              <w:rPr>
                <w:rFonts w:ascii="宋体" w:hAnsi="宋体" w:cs="宋体" w:eastAsia="宋体" w:hint="default"/>
                <w:sz w:val="18"/>
                <w:szCs w:val="18"/>
              </w:rPr>
            </w:pPr>
            <w:r>
              <w:rPr>
                <w:rFonts w:ascii="宋体" w:hAnsi="宋体" w:cs="宋体" w:eastAsia="宋体" w:hint="default"/>
                <w:sz w:val="18"/>
                <w:szCs w:val="18"/>
              </w:rPr>
              <w:t>及其下属子公司现有销售的产品线及其提供的 </w:t>
            </w:r>
            <w:r>
              <w:rPr>
                <w:rFonts w:ascii="宋体" w:hAnsi="宋体" w:cs="宋体" w:eastAsia="宋体" w:hint="default"/>
                <w:spacing w:val="-2"/>
                <w:sz w:val="18"/>
                <w:szCs w:val="18"/>
              </w:rPr>
              <w:t>服务构成竞争或可能构成竞争的业务，亦不会投</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资任何与美亚柏科及其下属子公司现有销售的 产品线及其提供的服务构成竞争或可能构成竞</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999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9-12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-31</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312"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方面</w:t>
            </w: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争的其他企业；如本人及本人控制的企业与美亚</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的承</w:t>
            </w: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柏科及其下属子公司现有销售的产品线及其提</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21"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供的服务产生竞争，则本人及本人控制的企业将</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采取停止经营产生竞争的业务的方式，或者采取</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134" w:type="dxa"/>
            <w:vMerge/>
            <w:tcBorders>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39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将竞争的业务纳入美亚柏科的方式，或者采取将</w:t>
            </w:r>
          </w:p>
        </w:tc>
        <w:tc>
          <w:tcPr>
            <w:tcW w:w="708"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3" w:type="dxa"/>
        <w:tblLayout w:type="fixed"/>
        <w:tblCellMar>
          <w:top w:w="0" w:type="dxa"/>
          <w:left w:w="0" w:type="dxa"/>
          <w:bottom w:w="0" w:type="dxa"/>
          <w:right w:w="0" w:type="dxa"/>
        </w:tblCellMar>
        <w:tblLook w:val="01E0"/>
      </w:tblPr>
      <w:tblGrid>
        <w:gridCol w:w="1134"/>
        <w:gridCol w:w="1134"/>
        <w:gridCol w:w="709"/>
        <w:gridCol w:w="3970"/>
        <w:gridCol w:w="708"/>
        <w:gridCol w:w="568"/>
        <w:gridCol w:w="1345"/>
      </w:tblGrid>
      <w:tr>
        <w:trPr>
          <w:trHeight w:val="317" w:hRule="exact"/>
        </w:trPr>
        <w:tc>
          <w:tcPr>
            <w:tcW w:w="1134"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39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产生竞争的业务转让给无关联关系第三方等合</w:t>
            </w:r>
          </w:p>
        </w:tc>
        <w:tc>
          <w:tcPr>
            <w:tcW w:w="708" w:type="dxa"/>
            <w:vMerge w:val="restart"/>
            <w:tcBorders>
              <w:top w:val="single" w:sz="4" w:space="0" w:color="000000"/>
              <w:left w:val="single" w:sz="4" w:space="0" w:color="000000"/>
              <w:right w:val="single" w:sz="4" w:space="0" w:color="000000"/>
            </w:tcBorders>
          </w:tcPr>
          <w:p>
            <w:pPr/>
          </w:p>
        </w:tc>
        <w:tc>
          <w:tcPr>
            <w:tcW w:w="568" w:type="dxa"/>
            <w:vMerge w:val="restart"/>
            <w:tcBorders>
              <w:top w:val="single" w:sz="4" w:space="0" w:color="000000"/>
              <w:left w:val="single" w:sz="4" w:space="0" w:color="000000"/>
              <w:right w:val="single" w:sz="4" w:space="0" w:color="000000"/>
            </w:tcBorders>
          </w:tcPr>
          <w:p>
            <w:pPr/>
          </w:p>
        </w:tc>
        <w:tc>
          <w:tcPr>
            <w:tcW w:w="1345" w:type="dxa"/>
            <w:vMerge w:val="restart"/>
            <w:tcBorders>
              <w:top w:val="single" w:sz="4" w:space="0" w:color="000000"/>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法方式，使本人及本人控制的企业不再从事与美</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亚柏科及其下属子公司现有销售的产品线及其</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提供的服务相同或类似的业务，以避免同业竞</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2"/>
                <w:sz w:val="18"/>
                <w:szCs w:val="18"/>
              </w:rPr>
              <w:t>争。</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、如违反上述承诺给美亚柏科造成损失的，</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本人将依法作出赔偿。二、关于规范及减少关联</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交易的承诺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、本次重组完成后，本人及本人的</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关联企业与美亚柏科及其包括目标公司在内的</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合并报表范围内各级控股公司将尽可能的避免</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和减少关联交易。</w:t>
            </w:r>
            <w:r>
              <w:rPr>
                <w:rFonts w:ascii="Times New Roman" w:hAnsi="Times New Roman" w:cs="Times New Roman" w:eastAsia="Times New Roman" w:hint="default"/>
                <w:sz w:val="18"/>
                <w:szCs w:val="18"/>
              </w:rPr>
              <w:t>2</w:t>
            </w:r>
            <w:r>
              <w:rPr>
                <w:rFonts w:ascii="宋体" w:hAnsi="宋体" w:cs="宋体" w:eastAsia="宋体" w:hint="default"/>
                <w:sz w:val="18"/>
                <w:szCs w:val="18"/>
              </w:rPr>
              <w:t>、对于确有必要且无法避免</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的关联交易，本人及本人的关联企业将遵循市场</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化的公正、公平、公开的原则，按照有关法律法</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规、规范性文件和章程等有关规定，履行包括回</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避表决等合法程序，不通过关联关系谋求特殊的</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利益，不会进行任何有损美亚柏科和美亚柏科其</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他股东利益、特别是中小股东利益的关联交易。</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、本人及本人的关联企业将不以任何方式违法</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违规占用美亚柏科及其包括目标公司在内的合</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并报表范围内各级控股公司的资金、资产，亦不</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要求美亚柏科及其包括目标公司在内的合并报</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表范围内各级控股公司为本人及本人的关联企</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18"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业进行违规担保。</w:t>
            </w:r>
            <w:r>
              <w:rPr>
                <w:rFonts w:ascii="Times New Roman" w:hAnsi="Times New Roman" w:cs="Times New Roman" w:eastAsia="Times New Roman" w:hint="default"/>
                <w:sz w:val="18"/>
                <w:szCs w:val="18"/>
              </w:rPr>
              <w:t>4</w:t>
            </w:r>
            <w:r>
              <w:rPr>
                <w:rFonts w:ascii="宋体" w:hAnsi="宋体" w:cs="宋体" w:eastAsia="宋体" w:hint="default"/>
                <w:sz w:val="18"/>
                <w:szCs w:val="18"/>
              </w:rPr>
              <w:t>、如违反上述承诺给美亚柏</w:t>
            </w: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35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39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科造成损失的，本人将依法作出赔偿。</w:t>
            </w:r>
            <w:r>
              <w:rPr>
                <w:rFonts w:ascii="Times New Roman" w:hAnsi="Times New Roman" w:cs="Times New Roman" w:eastAsia="Times New Roman" w:hint="default"/>
                <w:sz w:val="18"/>
                <w:szCs w:val="18"/>
              </w:rPr>
              <w:t>"</w:t>
            </w:r>
          </w:p>
        </w:tc>
        <w:tc>
          <w:tcPr>
            <w:tcW w:w="708"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1345" w:type="dxa"/>
            <w:vMerge/>
            <w:tcBorders>
              <w:left w:val="single" w:sz="4" w:space="0" w:color="000000"/>
              <w:bottom w:val="single" w:sz="4" w:space="0" w:color="000000"/>
              <w:right w:val="single" w:sz="4" w:space="0" w:color="000000"/>
            </w:tcBorders>
          </w:tcPr>
          <w:p>
            <w:pPr/>
          </w:p>
        </w:tc>
      </w:tr>
      <w:tr>
        <w:trPr>
          <w:trHeight w:val="4146" w:hRule="exact"/>
        </w:trPr>
        <w:tc>
          <w:tcPr>
            <w:tcW w:w="1134"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安林冲；包 </w:t>
            </w:r>
            <w:r>
              <w:rPr>
                <w:rFonts w:ascii="宋体" w:hAnsi="宋体" w:cs="宋体" w:eastAsia="宋体" w:hint="default"/>
                <w:spacing w:val="-12"/>
                <w:sz w:val="18"/>
                <w:szCs w:val="18"/>
              </w:rPr>
              <w:t>志翔；陈燕；</w:t>
            </w:r>
            <w:r>
              <w:rPr>
                <w:rFonts w:ascii="宋体" w:hAnsi="宋体" w:cs="宋体" w:eastAsia="宋体" w:hint="default"/>
                <w:sz w:val="18"/>
                <w:szCs w:val="18"/>
              </w:rPr>
              <w:t> 仇宏远；邓 炽成；郭玉 </w:t>
            </w:r>
            <w:r>
              <w:rPr>
                <w:rFonts w:ascii="宋体" w:hAnsi="宋体" w:cs="宋体" w:eastAsia="宋体" w:hint="default"/>
                <w:spacing w:val="-12"/>
                <w:sz w:val="18"/>
                <w:szCs w:val="18"/>
              </w:rPr>
              <w:t>智；韩海青；</w:t>
            </w:r>
            <w:r>
              <w:rPr>
                <w:rFonts w:ascii="宋体" w:hAnsi="宋体" w:cs="宋体" w:eastAsia="宋体" w:hint="default"/>
                <w:sz w:val="18"/>
                <w:szCs w:val="18"/>
              </w:rPr>
              <w:t> </w:t>
            </w:r>
            <w:r>
              <w:rPr>
                <w:rFonts w:ascii="宋体" w:hAnsi="宋体" w:cs="宋体" w:eastAsia="宋体" w:hint="default"/>
                <w:spacing w:val="-12"/>
                <w:sz w:val="18"/>
                <w:szCs w:val="18"/>
              </w:rPr>
              <w:t>黄新；李佳；</w:t>
            </w:r>
            <w:r>
              <w:rPr>
                <w:rFonts w:ascii="宋体" w:hAnsi="宋体" w:cs="宋体" w:eastAsia="宋体" w:hint="default"/>
                <w:sz w:val="18"/>
                <w:szCs w:val="18"/>
              </w:rPr>
              <w:t> 李江；卢晓 英；任炜； 水军；苏学 </w:t>
            </w:r>
            <w:r>
              <w:rPr>
                <w:rFonts w:ascii="宋体" w:hAnsi="宋体" w:cs="宋体" w:eastAsia="宋体" w:hint="default"/>
                <w:spacing w:val="-12"/>
                <w:sz w:val="18"/>
                <w:szCs w:val="18"/>
              </w:rPr>
              <w:t>武；孙士玉；</w:t>
            </w:r>
            <w:r>
              <w:rPr>
                <w:rFonts w:ascii="宋体" w:hAnsi="宋体" w:cs="宋体" w:eastAsia="宋体" w:hint="default"/>
                <w:sz w:val="18"/>
                <w:szCs w:val="18"/>
              </w:rPr>
              <w:t> 王亚明；韦 玉荣；叶树 军；张红光</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103" w:right="234"/>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江苏税软及新德汇交易对方</w:t>
            </w:r>
            <w:r>
              <w:rPr>
                <w:rFonts w:ascii="Times New Roman" w:hAnsi="Times New Roman" w:cs="Times New Roman" w:eastAsia="Times New Roman" w:hint="default"/>
                <w:sz w:val="18"/>
                <w:szCs w:val="18"/>
              </w:rPr>
              <w:t>:</w:t>
            </w:r>
            <w:r>
              <w:rPr>
                <w:rFonts w:ascii="宋体" w:hAnsi="宋体" w:cs="宋体" w:eastAsia="宋体" w:hint="default"/>
                <w:sz w:val="18"/>
                <w:szCs w:val="18"/>
              </w:rPr>
              <w:t>关于提供材料真实 性、准确性、完整性的承诺本人保证所提供的信 </w:t>
            </w:r>
            <w:r>
              <w:rPr>
                <w:rFonts w:ascii="宋体" w:hAnsi="宋体" w:cs="宋体" w:eastAsia="宋体" w:hint="default"/>
                <w:spacing w:val="-6"/>
                <w:sz w:val="18"/>
                <w:szCs w:val="18"/>
              </w:rPr>
              <w:t>息的真实性、准确性和完整性，不存在虚假记载、</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误导性陈述或重大遗漏；本人对所提供信息的真</w:t>
            </w:r>
            <w:r>
              <w:rPr>
                <w:rFonts w:ascii="宋体" w:hAnsi="宋体" w:cs="宋体" w:eastAsia="宋体" w:hint="default"/>
                <w:sz w:val="18"/>
                <w:szCs w:val="18"/>
              </w:rPr>
              <w:t> 实性、准确性和完整性承担个别和连带的法律责 任。如因提供的信息存在虚假记载、误导性陈述 或者重大遗漏，本人将依法承担赔偿责任。如本 次重组因涉嫌所提供或者披露的信息存在虚假 记载、误导性陈述或者重大遗漏，被司法机关立 案侦查或者被中国证监会立案调查的，在案件调 查结论明确之前，本人将暂停转让在上市公司拥 有权益的股份。</w:t>
            </w:r>
            <w:r>
              <w:rPr>
                <w:rFonts w:ascii="Times New Roman" w:hAnsi="Times New Roman" w:cs="Times New Roman" w:eastAsia="Times New Roman"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999</w:t>
            </w:r>
          </w:p>
          <w:p>
            <w:pPr>
              <w:pStyle w:val="TableParagraph"/>
              <w:spacing w:line="240" w:lineRule="auto" w:before="104"/>
              <w:ind w:left="103" w:right="0"/>
              <w:jc w:val="left"/>
              <w:rPr>
                <w:rFonts w:ascii="Times New Roman" w:hAnsi="Times New Roman" w:cs="Times New Roman" w:eastAsia="Times New Roman" w:hint="default"/>
                <w:sz w:val="18"/>
                <w:szCs w:val="18"/>
              </w:rPr>
            </w:pPr>
            <w:r>
              <w:rPr>
                <w:rFonts w:ascii="Times New Roman"/>
                <w:sz w:val="18"/>
              </w:rPr>
              <w:t>9-12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-31</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1650" w:hRule="exact"/>
        </w:trPr>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9" w:lineRule="auto"/>
              <w:ind w:left="103" w:right="119"/>
              <w:jc w:val="both"/>
              <w:rPr>
                <w:rFonts w:ascii="宋体" w:hAnsi="宋体" w:cs="宋体" w:eastAsia="宋体" w:hint="default"/>
                <w:sz w:val="18"/>
                <w:szCs w:val="18"/>
              </w:rPr>
            </w:pPr>
            <w:r>
              <w:rPr>
                <w:rFonts w:ascii="宋体" w:hAnsi="宋体" w:cs="宋体" w:eastAsia="宋体" w:hint="default"/>
                <w:sz w:val="18"/>
                <w:szCs w:val="18"/>
              </w:rPr>
              <w:t>首次公开发 行或再融资 时所作承诺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郭永芳；李 </w:t>
            </w:r>
            <w:r>
              <w:rPr>
                <w:rFonts w:ascii="宋体" w:hAnsi="宋体" w:cs="宋体" w:eastAsia="宋体" w:hint="default"/>
                <w:spacing w:val="-12"/>
                <w:sz w:val="18"/>
                <w:szCs w:val="18"/>
              </w:rPr>
              <w:t>国林；申强；</w:t>
            </w:r>
            <w:r>
              <w:rPr>
                <w:rFonts w:ascii="宋体" w:hAnsi="宋体" w:cs="宋体" w:eastAsia="宋体" w:hint="default"/>
                <w:sz w:val="18"/>
                <w:szCs w:val="18"/>
              </w:rPr>
              <w:t> 吴鸿伟；张 乃军；张雪 峰；赵庸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34"/>
              <w:jc w:val="both"/>
              <w:rPr>
                <w:rFonts w:ascii="宋体" w:hAnsi="宋体" w:cs="宋体" w:eastAsia="宋体" w:hint="default"/>
                <w:sz w:val="18"/>
                <w:szCs w:val="18"/>
              </w:rPr>
            </w:pPr>
            <w:r>
              <w:rPr>
                <w:rFonts w:ascii="宋体" w:hAnsi="宋体" w:cs="宋体" w:eastAsia="宋体" w:hint="default"/>
                <w:sz w:val="18"/>
                <w:szCs w:val="18"/>
              </w:rPr>
              <w:t>股份 减持 承诺</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7" w:lineRule="auto"/>
              <w:ind w:left="103" w:right="10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任职期间每年转让直接或间接持有的发行人股 份不超过其所持有发行人股份总数的</w:t>
            </w:r>
            <w:r>
              <w:rPr>
                <w:rFonts w:ascii="宋体" w:hAnsi="宋体" w:cs="宋体" w:eastAsia="宋体" w:hint="default"/>
                <w:spacing w:val="-46"/>
                <w:sz w:val="18"/>
                <w:szCs w:val="18"/>
              </w:rPr>
              <w:t> </w:t>
            </w:r>
            <w:r>
              <w:rPr>
                <w:rFonts w:ascii="Times New Roman" w:hAnsi="Times New Roman" w:cs="Times New Roman" w:eastAsia="Times New Roman" w:hint="default"/>
                <w:spacing w:val="-7"/>
                <w:sz w:val="18"/>
                <w:szCs w:val="18"/>
              </w:rPr>
              <w:t>25%</w:t>
            </w:r>
            <w:r>
              <w:rPr>
                <w:rFonts w:ascii="宋体" w:hAnsi="宋体" w:cs="宋体" w:eastAsia="宋体" w:hint="default"/>
                <w:spacing w:val="-7"/>
                <w:sz w:val="18"/>
                <w:szCs w:val="18"/>
              </w:rPr>
              <w:t>；离职</w:t>
            </w:r>
            <w:r>
              <w:rPr>
                <w:rFonts w:ascii="宋体" w:hAnsi="宋体" w:cs="宋体" w:eastAsia="宋体" w:hint="default"/>
                <w:sz w:val="18"/>
                <w:szCs w:val="18"/>
              </w:rPr>
              <w:t> </w:t>
            </w:r>
            <w:r>
              <w:rPr>
                <w:rFonts w:ascii="宋体" w:hAnsi="宋体" w:cs="宋体" w:eastAsia="宋体" w:hint="default"/>
                <w:spacing w:val="-2"/>
                <w:sz w:val="18"/>
                <w:szCs w:val="18"/>
              </w:rPr>
              <w:t>后半年内，不转让其直接或间接持有的发行人股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份。</w:t>
            </w:r>
            <w:r>
              <w:rPr>
                <w:rFonts w:ascii="Times New Roman" w:hAnsi="Times New Roman" w:cs="Times New Roman" w:eastAsia="Times New Roman"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40" w:lineRule="auto" w:before="64"/>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999</w:t>
            </w:r>
          </w:p>
          <w:p>
            <w:pPr>
              <w:pStyle w:val="TableParagraph"/>
              <w:spacing w:line="240" w:lineRule="auto" w:before="104"/>
              <w:ind w:left="103" w:right="0"/>
              <w:jc w:val="left"/>
              <w:rPr>
                <w:rFonts w:ascii="Times New Roman" w:hAnsi="Times New Roman" w:cs="Times New Roman" w:eastAsia="Times New Roman" w:hint="default"/>
                <w:sz w:val="18"/>
                <w:szCs w:val="18"/>
              </w:rPr>
            </w:pPr>
            <w:r>
              <w:rPr>
                <w:rFonts w:ascii="Times New Roman"/>
                <w:sz w:val="18"/>
              </w:rPr>
              <w:t>9-12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-31</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373" w:hRule="exact"/>
        </w:trPr>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郭永芳；李</w:t>
            </w:r>
          </w:p>
        </w:tc>
        <w:tc>
          <w:tcPr>
            <w:tcW w:w="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关于</w:t>
            </w:r>
          </w:p>
        </w:tc>
        <w:tc>
          <w:tcPr>
            <w:tcW w:w="39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关于关联交易的承诺：在本人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本公司持有美亚</w:t>
            </w: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1"/>
              <w:ind w:left="102" w:right="0"/>
              <w:jc w:val="left"/>
              <w:rPr>
                <w:rFonts w:ascii="Times New Roman" w:hAnsi="Times New Roman" w:cs="Times New Roman" w:eastAsia="Times New Roman" w:hint="default"/>
                <w:sz w:val="18"/>
                <w:szCs w:val="18"/>
              </w:rPr>
            </w:pPr>
            <w:r>
              <w:rPr>
                <w:rFonts w:ascii="Times New Roman"/>
                <w:sz w:val="18"/>
              </w:rPr>
              <w:t>2011</w:t>
            </w:r>
          </w:p>
        </w:tc>
        <w:tc>
          <w:tcPr>
            <w:tcW w:w="5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1"/>
              <w:ind w:right="79"/>
              <w:jc w:val="center"/>
              <w:rPr>
                <w:rFonts w:ascii="Times New Roman" w:hAnsi="Times New Roman" w:cs="Times New Roman" w:eastAsia="Times New Roman" w:hint="default"/>
                <w:sz w:val="18"/>
                <w:szCs w:val="18"/>
              </w:rPr>
            </w:pPr>
            <w:r>
              <w:rPr>
                <w:rFonts w:ascii="Times New Roman"/>
                <w:sz w:val="18"/>
              </w:rPr>
              <w:t>999</w:t>
            </w:r>
          </w:p>
        </w:tc>
        <w:tc>
          <w:tcPr>
            <w:tcW w:w="13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正在履行，未</w:t>
            </w:r>
          </w:p>
        </w:tc>
      </w:tr>
      <w:tr>
        <w:trPr>
          <w:trHeight w:val="341" w:hRule="exact"/>
        </w:trPr>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国林</w:t>
            </w:r>
          </w:p>
        </w:tc>
        <w:tc>
          <w:tcPr>
            <w:tcW w:w="70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同业</w:t>
            </w:r>
          </w:p>
        </w:tc>
        <w:tc>
          <w:tcPr>
            <w:tcW w:w="39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柏科股份期间，本人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本公司投资</w:t>
            </w: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tc>
        <w:tc>
          <w:tcPr>
            <w:tcW w:w="5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4"/>
              <w:ind w:right="19"/>
              <w:jc w:val="center"/>
              <w:rPr>
                <w:rFonts w:ascii="Times New Roman" w:hAnsi="Times New Roman" w:cs="Times New Roman" w:eastAsia="Times New Roman" w:hint="default"/>
                <w:sz w:val="18"/>
                <w:szCs w:val="18"/>
              </w:rPr>
            </w:pPr>
            <w:r>
              <w:rPr>
                <w:rFonts w:ascii="Times New Roman"/>
                <w:sz w:val="18"/>
              </w:rPr>
              <w:t>9-12</w:t>
            </w:r>
          </w:p>
        </w:tc>
        <w:tc>
          <w:tcPr>
            <w:tcW w:w="13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发现违反承诺</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3" w:type="dxa"/>
        <w:tblLayout w:type="fixed"/>
        <w:tblCellMar>
          <w:top w:w="0" w:type="dxa"/>
          <w:left w:w="0" w:type="dxa"/>
          <w:bottom w:w="0" w:type="dxa"/>
          <w:right w:w="0" w:type="dxa"/>
        </w:tblCellMar>
        <w:tblLook w:val="01E0"/>
      </w:tblPr>
      <w:tblGrid>
        <w:gridCol w:w="1134"/>
        <w:gridCol w:w="1134"/>
        <w:gridCol w:w="709"/>
        <w:gridCol w:w="3970"/>
        <w:gridCol w:w="708"/>
        <w:gridCol w:w="568"/>
        <w:gridCol w:w="1345"/>
      </w:tblGrid>
      <w:tr>
        <w:trPr>
          <w:trHeight w:val="322" w:hRule="exact"/>
        </w:trPr>
        <w:tc>
          <w:tcPr>
            <w:tcW w:w="1134"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竞争、</w:t>
            </w:r>
          </w:p>
        </w:tc>
        <w:tc>
          <w:tcPr>
            <w:tcW w:w="39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的全资、控股子企业或公司将尽量避免与美亚柏</w:t>
            </w: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c>
          <w:tcPr>
            <w:tcW w:w="5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-31</w:t>
            </w:r>
          </w:p>
        </w:tc>
        <w:tc>
          <w:tcPr>
            <w:tcW w:w="13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的情况</w:t>
            </w:r>
          </w:p>
        </w:tc>
      </w:tr>
      <w:tr>
        <w:trPr>
          <w:trHeight w:val="308"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关联</w:t>
            </w: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科发生关联交易，如与美亚柏科发生不可避免的</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交易、</w:t>
            </w: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2"/>
                <w:sz w:val="18"/>
                <w:szCs w:val="18"/>
              </w:rPr>
              <w:t>关联交易，本人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本公司及本人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本公司下属全资、</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控股子企业或公司将严格按</w:t>
            </w:r>
            <w:r>
              <w:rPr>
                <w:rFonts w:ascii="宋体" w:hAnsi="宋体" w:cs="宋体" w:eastAsia="宋体" w:hint="default"/>
                <w:spacing w:val="-14"/>
                <w:sz w:val="18"/>
                <w:szCs w:val="18"/>
              </w:rPr>
              <w:t>照</w:t>
            </w:r>
            <w:r>
              <w:rPr>
                <w:rFonts w:ascii="宋体" w:hAnsi="宋体" w:cs="宋体" w:eastAsia="宋体" w:hint="default"/>
                <w:sz w:val="18"/>
                <w:szCs w:val="18"/>
              </w:rPr>
              <w:t>《公司法</w:t>
            </w:r>
            <w:r>
              <w:rPr>
                <w:rFonts w:ascii="宋体" w:hAnsi="宋体" w:cs="宋体" w:eastAsia="宋体" w:hint="default"/>
                <w:spacing w:val="-90"/>
                <w:sz w:val="18"/>
                <w:szCs w:val="18"/>
              </w:rPr>
              <w:t>》</w:t>
            </w:r>
            <w:r>
              <w:rPr>
                <w:rFonts w:ascii="宋体" w:hAnsi="宋体" w:cs="宋体" w:eastAsia="宋体" w:hint="default"/>
                <w:spacing w:val="-104"/>
                <w:sz w:val="18"/>
                <w:szCs w:val="18"/>
              </w:rPr>
              <w:t>、</w:t>
            </w:r>
            <w:r>
              <w:rPr>
                <w:rFonts w:ascii="宋体" w:hAnsi="宋体" w:cs="宋体" w:eastAsia="宋体" w:hint="default"/>
                <w:sz w:val="18"/>
                <w:szCs w:val="18"/>
              </w:rPr>
              <w:t>《证券</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占用</w:t>
            </w: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法</w:t>
            </w:r>
            <w:r>
              <w:rPr>
                <w:rFonts w:ascii="宋体" w:hAnsi="宋体" w:cs="宋体" w:eastAsia="宋体" w:hint="default"/>
                <w:spacing w:val="-90"/>
                <w:sz w:val="18"/>
                <w:szCs w:val="18"/>
              </w:rPr>
              <w:t>》、</w:t>
            </w:r>
            <w:r>
              <w:rPr>
                <w:rFonts w:ascii="宋体" w:hAnsi="宋体" w:cs="宋体" w:eastAsia="宋体" w:hint="default"/>
                <w:sz w:val="18"/>
                <w:szCs w:val="18"/>
              </w:rPr>
              <w:t>《厦门市美亚柏科信息股份有限公司章程》</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方面</w:t>
            </w: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和《厦门市美亚柏科信息股份有限公司关联交易</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的承</w:t>
            </w: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管理制度》的规定规范关联交易行为。如违反上</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述承诺</w:t>
            </w:r>
            <w:r>
              <w:rPr>
                <w:rFonts w:ascii="宋体" w:hAnsi="宋体" w:cs="宋体" w:eastAsia="宋体" w:hint="default"/>
                <w:spacing w:val="-77"/>
                <w:sz w:val="18"/>
                <w:szCs w:val="18"/>
              </w:rPr>
              <w:t>，</w:t>
            </w:r>
            <w:r>
              <w:rPr>
                <w:rFonts w:ascii="宋体" w:hAnsi="宋体" w:cs="宋体" w:eastAsia="宋体" w:hint="default"/>
                <w:sz w:val="18"/>
                <w:szCs w:val="18"/>
              </w:rPr>
              <w:t>本人</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本公司愿承担由此产生的一切法律</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134" w:type="dxa"/>
            <w:vMerge/>
            <w:tcBorders>
              <w:left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39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责任。</w:t>
            </w:r>
            <w:r>
              <w:rPr>
                <w:rFonts w:ascii="Times New Roman" w:hAnsi="Times New Roman" w:cs="Times New Roman" w:eastAsia="Times New Roman" w:hint="default"/>
                <w:sz w:val="18"/>
                <w:szCs w:val="18"/>
              </w:rPr>
              <w:t>"</w:t>
            </w:r>
          </w:p>
        </w:tc>
        <w:tc>
          <w:tcPr>
            <w:tcW w:w="708"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134" w:type="dxa"/>
            <w:vMerge/>
            <w:tcBorders>
              <w:left w:val="single" w:sz="4" w:space="0" w:color="000000"/>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39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《避免同业竞争承诺函》承诺：</w:t>
            </w:r>
            <w:r>
              <w:rPr>
                <w:rFonts w:ascii="Times New Roman" w:hAnsi="Times New Roman" w:cs="Times New Roman" w:eastAsia="Times New Roman" w:hint="default"/>
                <w:sz w:val="18"/>
                <w:szCs w:val="18"/>
              </w:rPr>
              <w:t>"</w:t>
            </w:r>
            <w:r>
              <w:rPr>
                <w:rFonts w:ascii="宋体" w:hAnsi="宋体" w:cs="宋体" w:eastAsia="宋体" w:hint="default"/>
                <w:sz w:val="18"/>
                <w:szCs w:val="18"/>
              </w:rPr>
              <w:t>确认及保证在</w:t>
            </w:r>
          </w:p>
        </w:tc>
        <w:tc>
          <w:tcPr>
            <w:tcW w:w="708"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承诺函签署之日前与美亚柏科不存在直接或间</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432"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103" w:right="11"/>
              <w:jc w:val="left"/>
              <w:rPr>
                <w:rFonts w:ascii="宋体" w:hAnsi="宋体" w:cs="宋体" w:eastAsia="宋体" w:hint="default"/>
                <w:sz w:val="18"/>
                <w:szCs w:val="18"/>
              </w:rPr>
            </w:pPr>
            <w:r>
              <w:rPr>
                <w:rFonts w:ascii="宋体" w:hAnsi="宋体" w:cs="宋体" w:eastAsia="宋体" w:hint="default"/>
                <w:sz w:val="18"/>
                <w:szCs w:val="18"/>
              </w:rPr>
              <w:t>丛艳芬；高 </w:t>
            </w:r>
            <w:r>
              <w:rPr>
                <w:rFonts w:ascii="宋体" w:hAnsi="宋体" w:cs="宋体" w:eastAsia="宋体" w:hint="default"/>
                <w:spacing w:val="-12"/>
                <w:sz w:val="18"/>
                <w:szCs w:val="18"/>
              </w:rPr>
              <w:t>峰；郭永芳；</w:t>
            </w:r>
            <w:r>
              <w:rPr>
                <w:rFonts w:ascii="宋体" w:hAnsi="宋体" w:cs="宋体" w:eastAsia="宋体" w:hint="default"/>
                <w:sz w:val="18"/>
                <w:szCs w:val="18"/>
              </w:rPr>
              <w:t> 黄基鹏；李 </w:t>
            </w:r>
            <w:r>
              <w:rPr>
                <w:rFonts w:ascii="宋体" w:hAnsi="宋体" w:cs="宋体" w:eastAsia="宋体" w:hint="default"/>
                <w:spacing w:val="-12"/>
                <w:sz w:val="18"/>
                <w:szCs w:val="18"/>
              </w:rPr>
              <w:t>国林；申强；</w:t>
            </w:r>
            <w:r>
              <w:rPr>
                <w:rFonts w:ascii="宋体" w:hAnsi="宋体" w:cs="宋体" w:eastAsia="宋体" w:hint="default"/>
                <w:sz w:val="18"/>
                <w:szCs w:val="18"/>
              </w:rPr>
              <w:t> 滕达；吴鸿 </w:t>
            </w:r>
            <w:r>
              <w:rPr>
                <w:rFonts w:ascii="宋体" w:hAnsi="宋体" w:cs="宋体" w:eastAsia="宋体" w:hint="default"/>
                <w:spacing w:val="-12"/>
                <w:sz w:val="18"/>
                <w:szCs w:val="18"/>
              </w:rPr>
              <w:t>伟；张乃军；</w:t>
            </w:r>
            <w:r>
              <w:rPr>
                <w:rFonts w:ascii="宋体" w:hAnsi="宋体" w:cs="宋体" w:eastAsia="宋体" w:hint="default"/>
                <w:sz w:val="18"/>
                <w:szCs w:val="18"/>
              </w:rPr>
              <w:t> 张雪峰；赵 庸</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103" w:right="54"/>
              <w:jc w:val="left"/>
              <w:rPr>
                <w:rFonts w:ascii="宋体" w:hAnsi="宋体" w:cs="宋体" w:eastAsia="宋体" w:hint="default"/>
                <w:sz w:val="18"/>
                <w:szCs w:val="18"/>
              </w:rPr>
            </w:pPr>
            <w:r>
              <w:rPr>
                <w:rFonts w:ascii="宋体" w:hAnsi="宋体" w:cs="宋体" w:eastAsia="宋体" w:hint="default"/>
                <w:sz w:val="18"/>
                <w:szCs w:val="18"/>
              </w:rPr>
              <w:t>关于 同业 竞争、 关联 交易、 资金 占用 方面 的承</w:t>
            </w:r>
          </w:p>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2"/>
                <w:sz w:val="18"/>
                <w:szCs w:val="18"/>
              </w:rPr>
              <w:t>接的同业竞争情形；承诺不直接或间接从事或发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展与美亚柏科经营范围相同或相类似的业务或 </w:t>
            </w:r>
            <w:r>
              <w:rPr>
                <w:rFonts w:ascii="宋体" w:hAnsi="宋体" w:cs="宋体" w:eastAsia="宋体" w:hint="default"/>
                <w:spacing w:val="-2"/>
                <w:sz w:val="18"/>
                <w:szCs w:val="18"/>
              </w:rPr>
              <w:t>项目，也不为自身或代表任何第三方与美亚柏科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进行直接或间接的竞争；承诺不利用从美亚柏科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获取的信息从事、直接或间接参与与美亚柏科相</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竞争的活动，并承诺不进行任何损害或可能损害</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美亚柏科利益的其他竞争行为；从任何第三方获</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得的任何商业机会与美亚柏科所从事的业务有 </w:t>
            </w:r>
            <w:r>
              <w:rPr>
                <w:rFonts w:ascii="宋体" w:hAnsi="宋体" w:cs="宋体" w:eastAsia="宋体" w:hint="default"/>
                <w:spacing w:val="-2"/>
                <w:sz w:val="18"/>
                <w:szCs w:val="18"/>
              </w:rPr>
              <w:t>实质性竞争或可能有实质性竞争，将立即通知美</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亚柏科，并将该商业机会让与美亚柏科；如出现</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违反上述承诺与保证而导致美亚柏科或其他股</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2"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40" w:lineRule="auto" w:before="64"/>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999</w:t>
            </w:r>
          </w:p>
          <w:p>
            <w:pPr>
              <w:pStyle w:val="TableParagraph"/>
              <w:spacing w:line="240" w:lineRule="auto" w:before="104"/>
              <w:ind w:left="103" w:right="0"/>
              <w:jc w:val="left"/>
              <w:rPr>
                <w:rFonts w:ascii="Times New Roman" w:hAnsi="Times New Roman" w:cs="Times New Roman" w:eastAsia="Times New Roman" w:hint="default"/>
                <w:sz w:val="18"/>
                <w:szCs w:val="18"/>
              </w:rPr>
            </w:pPr>
            <w:r>
              <w:rPr>
                <w:rFonts w:ascii="Times New Roman"/>
                <w:sz w:val="18"/>
              </w:rPr>
              <w:t>9-12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-31</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6" w:lineRule="auto"/>
              <w:ind w:left="103" w:right="150"/>
              <w:jc w:val="both"/>
              <w:rPr>
                <w:rFonts w:ascii="宋体" w:hAnsi="宋体" w:cs="宋体" w:eastAsia="宋体" w:hint="default"/>
                <w:sz w:val="18"/>
                <w:szCs w:val="18"/>
              </w:rPr>
            </w:pPr>
            <w:r>
              <w:rPr>
                <w:rFonts w:ascii="宋体" w:hAnsi="宋体" w:cs="宋体" w:eastAsia="宋体" w:hint="default"/>
                <w:sz w:val="18"/>
                <w:szCs w:val="18"/>
              </w:rPr>
              <w:t>正在履行，未 发现违反承诺 的情况</w:t>
            </w:r>
          </w:p>
        </w:tc>
      </w:tr>
      <w:tr>
        <w:trPr>
          <w:trHeight w:val="313" w:hRule="exact"/>
        </w:trPr>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东权益受到损害的情况，承诺人将依法承担相应</w:t>
            </w:r>
          </w:p>
        </w:tc>
        <w:tc>
          <w:tcPr>
            <w:tcW w:w="708"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134" w:type="dxa"/>
            <w:vMerge/>
            <w:tcBorders>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39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的赔偿责任。</w:t>
            </w:r>
            <w:r>
              <w:rPr>
                <w:rFonts w:ascii="Times New Roman" w:hAnsi="Times New Roman" w:cs="Times New Roman" w:eastAsia="Times New Roman" w:hint="default"/>
                <w:sz w:val="18"/>
                <w:szCs w:val="18"/>
              </w:rPr>
              <w:t>"</w:t>
            </w:r>
          </w:p>
        </w:tc>
        <w:tc>
          <w:tcPr>
            <w:tcW w:w="708"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113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19"/>
              <w:jc w:val="both"/>
              <w:rPr>
                <w:rFonts w:ascii="宋体" w:hAnsi="宋体" w:cs="宋体" w:eastAsia="宋体" w:hint="default"/>
                <w:sz w:val="18"/>
                <w:szCs w:val="18"/>
              </w:rPr>
            </w:pPr>
            <w:r>
              <w:rPr>
                <w:rFonts w:ascii="宋体" w:hAnsi="宋体" w:cs="宋体" w:eastAsia="宋体" w:hint="default"/>
                <w:sz w:val="18"/>
                <w:szCs w:val="18"/>
              </w:rPr>
              <w:t>厦门市美亚 柏科信息股 份有限公司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34"/>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2"/>
              <w:jc w:val="left"/>
              <w:rPr>
                <w:rFonts w:ascii="宋体" w:hAnsi="宋体" w:cs="宋体" w:eastAsia="宋体" w:hint="default"/>
                <w:sz w:val="18"/>
                <w:szCs w:val="18"/>
              </w:rPr>
            </w:pPr>
            <w:r>
              <w:rPr>
                <w:rFonts w:ascii="宋体" w:hAnsi="宋体" w:cs="宋体" w:eastAsia="宋体" w:hint="default"/>
                <w:sz w:val="18"/>
                <w:szCs w:val="18"/>
              </w:rPr>
              <w:t>公司承诺不为公司第二期限制股票激励对象提 </w:t>
            </w:r>
            <w:r>
              <w:rPr>
                <w:rFonts w:ascii="宋体" w:hAnsi="宋体" w:cs="宋体" w:eastAsia="宋体" w:hint="default"/>
                <w:spacing w:val="-2"/>
                <w:sz w:val="18"/>
                <w:szCs w:val="18"/>
              </w:rPr>
              <w:t>供贷款以及其他任何形式的财务资助，包括为其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贷款提供担保。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202</w:t>
            </w:r>
          </w:p>
          <w:p>
            <w:pPr>
              <w:pStyle w:val="TableParagraph"/>
              <w:spacing w:line="240" w:lineRule="auto" w:before="104"/>
              <w:ind w:left="103" w:right="0"/>
              <w:jc w:val="left"/>
              <w:rPr>
                <w:rFonts w:ascii="Times New Roman" w:hAnsi="Times New Roman" w:cs="Times New Roman" w:eastAsia="Times New Roman" w:hint="default"/>
                <w:sz w:val="18"/>
                <w:szCs w:val="18"/>
              </w:rPr>
            </w:pPr>
            <w:r>
              <w:rPr>
                <w:rFonts w:ascii="Times New Roman"/>
                <w:sz w:val="18"/>
              </w:rPr>
              <w:t>0-12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-07</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2898" w:hRule="exact"/>
        </w:trPr>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319" w:lineRule="auto"/>
              <w:ind w:left="103" w:right="119"/>
              <w:jc w:val="left"/>
              <w:rPr>
                <w:rFonts w:ascii="宋体" w:hAnsi="宋体" w:cs="宋体" w:eastAsia="宋体" w:hint="default"/>
                <w:sz w:val="18"/>
                <w:szCs w:val="18"/>
              </w:rPr>
            </w:pPr>
            <w:r>
              <w:rPr>
                <w:rFonts w:ascii="宋体" w:hAnsi="宋体" w:cs="宋体" w:eastAsia="宋体" w:hint="default"/>
                <w:sz w:val="18"/>
                <w:szCs w:val="18"/>
              </w:rPr>
              <w:t>股权激励承 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103" w:right="11"/>
              <w:jc w:val="left"/>
              <w:rPr>
                <w:rFonts w:ascii="宋体" w:hAnsi="宋体" w:cs="宋体" w:eastAsia="宋体" w:hint="default"/>
                <w:sz w:val="18"/>
                <w:szCs w:val="18"/>
              </w:rPr>
            </w:pPr>
            <w:r>
              <w:rPr>
                <w:rFonts w:ascii="宋体" w:hAnsi="宋体" w:cs="宋体" w:eastAsia="宋体" w:hint="default"/>
                <w:sz w:val="18"/>
                <w:szCs w:val="18"/>
              </w:rPr>
              <w:t>葛鹏；李滢 </w:t>
            </w:r>
            <w:r>
              <w:rPr>
                <w:rFonts w:ascii="宋体" w:hAnsi="宋体" w:cs="宋体" w:eastAsia="宋体" w:hint="default"/>
                <w:spacing w:val="-12"/>
                <w:sz w:val="18"/>
                <w:szCs w:val="18"/>
              </w:rPr>
              <w:t>雪；栾江霞；</w:t>
            </w:r>
            <w:r>
              <w:rPr>
                <w:rFonts w:ascii="宋体" w:hAnsi="宋体" w:cs="宋体" w:eastAsia="宋体" w:hint="default"/>
                <w:sz w:val="18"/>
                <w:szCs w:val="18"/>
              </w:rPr>
              <w:t> 苏学武；吴 鸿伟；张乃 军；赵庸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103" w:right="234"/>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公司第二期限制性股票激励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471</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名激励对象（包</w:t>
            </w:r>
          </w:p>
          <w:p>
            <w:pPr>
              <w:pStyle w:val="TableParagraph"/>
              <w:spacing w:line="314" w:lineRule="auto" w:before="61"/>
              <w:ind w:left="103" w:right="101"/>
              <w:jc w:val="left"/>
              <w:rPr>
                <w:rFonts w:ascii="宋体" w:hAnsi="宋体" w:cs="宋体" w:eastAsia="宋体" w:hint="default"/>
                <w:sz w:val="18"/>
                <w:szCs w:val="18"/>
              </w:rPr>
            </w:pPr>
            <w:r>
              <w:rPr>
                <w:rFonts w:ascii="宋体" w:hAnsi="宋体" w:cs="宋体" w:eastAsia="宋体" w:hint="default"/>
                <w:sz w:val="18"/>
                <w:szCs w:val="18"/>
              </w:rPr>
              <w:t>括</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名董事及高管：苏学武、葛鹏、赵庸、吴鸿 </w:t>
            </w:r>
            <w:r>
              <w:rPr>
                <w:rFonts w:ascii="宋体" w:hAnsi="宋体" w:cs="宋体" w:eastAsia="宋体" w:hint="default"/>
                <w:spacing w:val="-2"/>
                <w:sz w:val="18"/>
                <w:szCs w:val="18"/>
              </w:rPr>
              <w:t>伟、栾江霞、李滢雪、张乃军）承诺：作为公司</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第二期限制性股票激励计划的激励对象，承诺如</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因公司信息披露文件有虚假记载、误导性陈述或</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者重大遗漏，导致不符合授予权益或行使权益安</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排的，自相关信息披露文件被确认存在虚假记 </w:t>
            </w:r>
            <w:r>
              <w:rPr>
                <w:rFonts w:ascii="宋体" w:hAnsi="宋体" w:cs="宋体" w:eastAsia="宋体" w:hint="default"/>
                <w:spacing w:val="-2"/>
                <w:sz w:val="18"/>
                <w:szCs w:val="18"/>
              </w:rPr>
              <w:t>载、误导性陈述或者重大遗漏后，将由本计划所</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获得的全部利益反还公司。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202</w:t>
            </w:r>
          </w:p>
          <w:p>
            <w:pPr>
              <w:pStyle w:val="TableParagraph"/>
              <w:spacing w:line="240" w:lineRule="auto" w:before="104"/>
              <w:ind w:left="103" w:right="0"/>
              <w:jc w:val="left"/>
              <w:rPr>
                <w:rFonts w:ascii="Times New Roman" w:hAnsi="Times New Roman" w:cs="Times New Roman" w:eastAsia="Times New Roman" w:hint="default"/>
                <w:sz w:val="18"/>
                <w:szCs w:val="18"/>
              </w:rPr>
            </w:pPr>
            <w:r>
              <w:rPr>
                <w:rFonts w:ascii="Times New Roman"/>
                <w:sz w:val="18"/>
              </w:rPr>
              <w:t>0-12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-07</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02"/>
              <w:jc w:val="left"/>
              <w:rPr>
                <w:rFonts w:ascii="宋体" w:hAnsi="宋体" w:cs="宋体" w:eastAsia="宋体" w:hint="default"/>
                <w:sz w:val="18"/>
                <w:szCs w:val="18"/>
              </w:rPr>
            </w:pPr>
            <w:r>
              <w:rPr>
                <w:rFonts w:ascii="宋体" w:hAnsi="宋体" w:cs="宋体" w:eastAsia="宋体" w:hint="default"/>
                <w:sz w:val="18"/>
                <w:szCs w:val="18"/>
              </w:rPr>
              <w:t>正常履行中， 其中</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名原激 励对象离职， 授予的限制性 股票已回购， 激励对象由 </w:t>
            </w:r>
            <w:r>
              <w:rPr>
                <w:rFonts w:ascii="Times New Roman" w:hAnsi="Times New Roman" w:cs="Times New Roman" w:eastAsia="Times New Roman" w:hint="default"/>
                <w:sz w:val="18"/>
                <w:szCs w:val="18"/>
              </w:rPr>
              <w:t>471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名变为</w:t>
            </w:r>
          </w:p>
          <w:p>
            <w:pPr>
              <w:pStyle w:val="TableParagraph"/>
              <w:spacing w:line="240" w:lineRule="auto" w:before="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r>
      <w:tr>
        <w:trPr>
          <w:trHeight w:val="356" w:hRule="exact"/>
        </w:trPr>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39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公司第二期限制性股票激励计划预留部分</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名</w:t>
            </w:r>
          </w:p>
        </w:tc>
        <w:tc>
          <w:tcPr>
            <w:tcW w:w="708"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正常履行中</w:t>
            </w:r>
            <w:r>
              <w:rPr>
                <w:rFonts w:ascii="Times New Roman" w:hAnsi="Times New Roman" w:cs="Times New Roman" w:eastAsia="Times New Roman" w:hint="default"/>
                <w:sz w:val="18"/>
                <w:szCs w:val="18"/>
              </w:rPr>
              <w:t>,</w:t>
            </w:r>
            <w:r>
              <w:rPr>
                <w:rFonts w:ascii="宋体" w:hAnsi="宋体" w:cs="宋体" w:eastAsia="宋体" w:hint="default"/>
                <w:sz w:val="18"/>
                <w:szCs w:val="18"/>
              </w:rPr>
              <w:t>其</w:t>
            </w:r>
          </w:p>
        </w:tc>
      </w:tr>
      <w:tr>
        <w:trPr>
          <w:trHeight w:val="1248" w:hRule="exact"/>
        </w:trPr>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张雪峰</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19" w:lineRule="auto"/>
              <w:ind w:left="103" w:right="234"/>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103" w:right="102"/>
              <w:jc w:val="both"/>
              <w:rPr>
                <w:rFonts w:ascii="宋体" w:hAnsi="宋体" w:cs="宋体" w:eastAsia="宋体" w:hint="default"/>
                <w:sz w:val="18"/>
                <w:szCs w:val="18"/>
              </w:rPr>
            </w:pPr>
            <w:r>
              <w:rPr>
                <w:rFonts w:ascii="宋体" w:hAnsi="宋体" w:cs="宋体" w:eastAsia="宋体" w:hint="default"/>
                <w:spacing w:val="-2"/>
                <w:sz w:val="18"/>
                <w:szCs w:val="18"/>
              </w:rPr>
              <w:t>激励对象（包括高管张雪峰）承诺：作为公司第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二期限制性股票激励计划的激励对象，承诺如因</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公司信息披露文件有虚假记载、误导性陈述或者</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重大遗漏，导致不符合授予权益或行使权益安排</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01"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0-12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-07</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312" w:lineRule="auto" w:before="11"/>
              <w:ind w:left="103" w:right="150"/>
              <w:jc w:val="both"/>
              <w:rPr>
                <w:rFonts w:ascii="宋体" w:hAnsi="宋体" w:cs="宋体" w:eastAsia="宋体" w:hint="default"/>
                <w:sz w:val="18"/>
                <w:szCs w:val="18"/>
              </w:rPr>
            </w:pPr>
            <w:r>
              <w:rPr>
                <w:rFonts w:ascii="宋体" w:hAnsi="宋体" w:cs="宋体" w:eastAsia="宋体" w:hint="default"/>
                <w:sz w:val="18"/>
                <w:szCs w:val="18"/>
              </w:rPr>
              <w:t>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名原激励 对象离职，授 予的限制性股 票已回购，激</w:t>
            </w:r>
          </w:p>
        </w:tc>
      </w:tr>
      <w:tr>
        <w:trPr>
          <w:trHeight w:val="318" w:hRule="exact"/>
        </w:trPr>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39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的，自相关信息披露文件被确认存在虚假记载、</w:t>
            </w:r>
          </w:p>
        </w:tc>
        <w:tc>
          <w:tcPr>
            <w:tcW w:w="708"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励对象由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3" w:type="dxa"/>
        <w:tblLayout w:type="fixed"/>
        <w:tblCellMar>
          <w:top w:w="0" w:type="dxa"/>
          <w:left w:w="0" w:type="dxa"/>
          <w:bottom w:w="0" w:type="dxa"/>
          <w:right w:w="0" w:type="dxa"/>
        </w:tblCellMar>
        <w:tblLook w:val="01E0"/>
      </w:tblPr>
      <w:tblGrid>
        <w:gridCol w:w="1134"/>
        <w:gridCol w:w="1134"/>
        <w:gridCol w:w="709"/>
        <w:gridCol w:w="3970"/>
        <w:gridCol w:w="708"/>
        <w:gridCol w:w="568"/>
        <w:gridCol w:w="1345"/>
      </w:tblGrid>
      <w:tr>
        <w:trPr>
          <w:trHeight w:val="674" w:hRule="exact"/>
        </w:trPr>
        <w:tc>
          <w:tcPr>
            <w:tcW w:w="1134" w:type="dxa"/>
            <w:vMerge w:val="restart"/>
            <w:tcBorders>
              <w:top w:val="single" w:sz="4" w:space="0" w:color="000000"/>
              <w:left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02"/>
              <w:jc w:val="left"/>
              <w:rPr>
                <w:rFonts w:ascii="宋体" w:hAnsi="宋体" w:cs="宋体" w:eastAsia="宋体" w:hint="default"/>
                <w:sz w:val="18"/>
                <w:szCs w:val="18"/>
              </w:rPr>
            </w:pPr>
            <w:r>
              <w:rPr>
                <w:rFonts w:ascii="宋体" w:hAnsi="宋体" w:cs="宋体" w:eastAsia="宋体" w:hint="default"/>
                <w:spacing w:val="-2"/>
                <w:sz w:val="18"/>
                <w:szCs w:val="18"/>
              </w:rPr>
              <w:t>误导性陈述或者重大遗漏后，将由本计划所获得</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的全部利益反还公司。</w:t>
            </w: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名变为 </w:t>
            </w:r>
            <w:r>
              <w:rPr>
                <w:rFonts w:ascii="Times New Roman" w:hAnsi="Times New Roman" w:cs="Times New Roman" w:eastAsia="Times New Roman" w:hint="default"/>
                <w:sz w:val="18"/>
                <w:szCs w:val="18"/>
              </w:rPr>
              <w:t>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r>
      <w:tr>
        <w:trPr>
          <w:trHeight w:val="6330" w:hRule="exact"/>
        </w:trPr>
        <w:tc>
          <w:tcPr>
            <w:tcW w:w="1134"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103" w:right="119"/>
              <w:jc w:val="both"/>
              <w:rPr>
                <w:rFonts w:ascii="宋体" w:hAnsi="宋体" w:cs="宋体" w:eastAsia="宋体" w:hint="default"/>
                <w:sz w:val="18"/>
                <w:szCs w:val="18"/>
              </w:rPr>
            </w:pPr>
            <w:r>
              <w:rPr>
                <w:rFonts w:ascii="宋体" w:hAnsi="宋体" w:cs="宋体" w:eastAsia="宋体" w:hint="default"/>
                <w:sz w:val="18"/>
                <w:szCs w:val="18"/>
              </w:rPr>
              <w:t>厦门市美亚 柏科信息股 份有限公司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103" w:right="234"/>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本次限制性股票激励计划有效期为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pacing w:val="-6"/>
                <w:sz w:val="18"/>
                <w:szCs w:val="18"/>
              </w:rPr>
              <w:t>年，自限制</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性股票授予日起计，其中锁定期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年，解锁期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307" w:lineRule="auto" w:before="63"/>
              <w:ind w:left="103" w:right="12"/>
              <w:jc w:val="left"/>
              <w:rPr>
                <w:rFonts w:ascii="宋体" w:hAnsi="宋体" w:cs="宋体" w:eastAsia="宋体" w:hint="default"/>
                <w:sz w:val="18"/>
                <w:szCs w:val="18"/>
              </w:rPr>
            </w:pPr>
            <w:r>
              <w:rPr>
                <w:rFonts w:ascii="宋体" w:hAnsi="宋体" w:cs="宋体" w:eastAsia="宋体" w:hint="default"/>
                <w:spacing w:val="-8"/>
                <w:sz w:val="18"/>
                <w:szCs w:val="18"/>
              </w:rPr>
              <w:t>年。（</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）自董事会确定的限制性股票授予日起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个月内为锁定期。在锁定期内，激励对象根据本 </w:t>
            </w:r>
            <w:r>
              <w:rPr>
                <w:rFonts w:ascii="宋体" w:hAnsi="宋体" w:cs="宋体" w:eastAsia="宋体" w:hint="default"/>
                <w:spacing w:val="-10"/>
                <w:sz w:val="18"/>
                <w:szCs w:val="18"/>
              </w:rPr>
              <w:t>计划获授的限制性股票予以锁定，不得转让；（</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w:t>
            </w:r>
            <w:r>
              <w:rPr>
                <w:rFonts w:ascii="宋体" w:hAnsi="宋体" w:cs="宋体" w:eastAsia="宋体" w:hint="default"/>
                <w:spacing w:val="-68"/>
                <w:sz w:val="18"/>
                <w:szCs w:val="18"/>
              </w:rPr>
              <w:t> </w:t>
            </w:r>
            <w:r>
              <w:rPr>
                <w:rFonts w:ascii="宋体" w:hAnsi="宋体" w:cs="宋体" w:eastAsia="宋体" w:hint="default"/>
                <w:sz w:val="18"/>
                <w:szCs w:val="18"/>
              </w:rPr>
              <w:t>自限制性股票激励计划授予日起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个月后，满 足解锁条件的，激励对象可以申请解锁。首次授 予分三期申请解锁，分别自授予日起</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个月后、</w:t>
            </w:r>
          </w:p>
          <w:p>
            <w:pPr>
              <w:pStyle w:val="TableParagraph"/>
              <w:spacing w:line="300" w:lineRule="auto" w:before="7"/>
              <w:ind w:left="103" w:right="120"/>
              <w:jc w:val="both"/>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个月后分别申请解锁所获授限制 性股票总量的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。预留部分分两 次申请解锁，分别自首次授予日起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个月后及</w:t>
            </w:r>
          </w:p>
          <w:p>
            <w:pPr>
              <w:pStyle w:val="TableParagraph"/>
              <w:spacing w:line="240" w:lineRule="auto" w:before="1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个月后分别申请解锁所获授限制性股票总量</w:t>
            </w:r>
          </w:p>
          <w:p>
            <w:pPr>
              <w:pStyle w:val="TableParagraph"/>
              <w:spacing w:line="307" w:lineRule="auto" w:before="63"/>
              <w:ind w:left="103"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和</w:t>
            </w:r>
            <w:r>
              <w:rPr>
                <w:rFonts w:ascii="宋体" w:hAnsi="宋体" w:cs="宋体" w:eastAsia="宋体" w:hint="default"/>
                <w:spacing w:val="-38"/>
                <w:sz w:val="18"/>
                <w:szCs w:val="18"/>
              </w:rPr>
              <w:t> </w:t>
            </w:r>
            <w:r>
              <w:rPr>
                <w:rFonts w:ascii="Times New Roman" w:hAnsi="Times New Roman" w:cs="Times New Roman" w:eastAsia="Times New Roman" w:hint="default"/>
                <w:spacing w:val="-6"/>
                <w:sz w:val="18"/>
                <w:szCs w:val="18"/>
              </w:rPr>
              <w:t>50%</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）激励对象获授限制性股票的解</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锁条件为：激励对象当年年度考核、关键事件考</w:t>
            </w:r>
            <w:r>
              <w:rPr>
                <w:rFonts w:ascii="宋体" w:hAnsi="宋体" w:cs="宋体" w:eastAsia="宋体" w:hint="default"/>
                <w:sz w:val="18"/>
                <w:szCs w:val="18"/>
              </w:rPr>
              <w:t> 核两项考核内容全部为合格。对于按照股权激励 计划授予的限制性股票，激励对象每一次申请标 的股票解锁的公司业绩条件为：以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年度净 利润为基数，</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年公司 每年净利润增长率不低于基准年净利润的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70%</w:t>
            </w:r>
            <w:r>
              <w:rPr>
                <w:rFonts w:ascii="宋体" w:hAnsi="宋体" w:cs="宋体" w:eastAsia="宋体"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202</w:t>
            </w:r>
          </w:p>
          <w:p>
            <w:pPr>
              <w:pStyle w:val="TableParagraph"/>
              <w:spacing w:line="240" w:lineRule="auto" w:before="104"/>
              <w:ind w:left="103" w:right="0"/>
              <w:jc w:val="left"/>
              <w:rPr>
                <w:rFonts w:ascii="Times New Roman" w:hAnsi="Times New Roman" w:cs="Times New Roman" w:eastAsia="Times New Roman" w:hint="default"/>
                <w:sz w:val="18"/>
                <w:szCs w:val="18"/>
              </w:rPr>
            </w:pPr>
            <w:r>
              <w:rPr>
                <w:rFonts w:ascii="Times New Roman"/>
                <w:sz w:val="18"/>
              </w:rPr>
              <w:t>0-12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-07</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10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650" w:hRule="exact"/>
        </w:trPr>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319" w:lineRule="auto"/>
              <w:ind w:left="103" w:right="119"/>
              <w:jc w:val="both"/>
              <w:rPr>
                <w:rFonts w:ascii="宋体" w:hAnsi="宋体" w:cs="宋体" w:eastAsia="宋体" w:hint="default"/>
                <w:sz w:val="18"/>
                <w:szCs w:val="18"/>
              </w:rPr>
            </w:pPr>
            <w:r>
              <w:rPr>
                <w:rFonts w:ascii="宋体" w:hAnsi="宋体" w:cs="宋体" w:eastAsia="宋体" w:hint="default"/>
                <w:sz w:val="18"/>
                <w:szCs w:val="18"/>
              </w:rPr>
              <w:t>其他对公司 中小股东所 作承诺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李滢雪</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234"/>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李滢雪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日递交了辞职申请，并承</w:t>
            </w:r>
            <w:r>
              <w:rPr>
                <w:rFonts w:ascii="宋体" w:hAnsi="宋体" w:cs="宋体" w:eastAsia="宋体" w:hint="default"/>
                <w:sz w:val="18"/>
                <w:szCs w:val="18"/>
              </w:rPr>
              <w:t> 诺在离职后半年内不转让其所持有的美亚柏科 </w:t>
            </w:r>
            <w:r>
              <w:rPr>
                <w:rFonts w:ascii="宋体" w:hAnsi="宋体" w:cs="宋体" w:eastAsia="宋体" w:hint="default"/>
                <w:spacing w:val="-2"/>
                <w:sz w:val="18"/>
                <w:szCs w:val="18"/>
              </w:rPr>
              <w:t>股份，并在其就任时确定的任期（第三届董事会</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届满）及任期届满后六个月内，每年转让股份不</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超过其所持有本公司股份总数的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104"/>
              <w:ind w:left="103" w:right="0"/>
              <w:jc w:val="left"/>
              <w:rPr>
                <w:rFonts w:ascii="Times New Roman" w:hAnsi="Times New Roman" w:cs="Times New Roman" w:eastAsia="Times New Roman" w:hint="default"/>
                <w:sz w:val="18"/>
                <w:szCs w:val="18"/>
              </w:rPr>
            </w:pPr>
            <w:r>
              <w:rPr>
                <w:rFonts w:ascii="Times New Roman"/>
                <w:sz w:val="18"/>
              </w:rPr>
              <w:t>9-2-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27</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338" w:hRule="exact"/>
        </w:trPr>
        <w:tc>
          <w:tcPr>
            <w:tcW w:w="1134"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滕达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34"/>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滕达先生于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日发布了增持公司股</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pacing w:val="-4"/>
                <w:sz w:val="18"/>
                <w:szCs w:val="18"/>
              </w:rPr>
              <w:t>票的计划，计划在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个月内增持公司股票不低于</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3000 </w:t>
            </w:r>
            <w:r>
              <w:rPr>
                <w:rFonts w:ascii="宋体" w:hAnsi="宋体" w:cs="宋体" w:eastAsia="宋体" w:hint="default"/>
                <w:sz w:val="18"/>
                <w:szCs w:val="18"/>
              </w:rPr>
              <w:t>万元，并承诺在增持期间及增持完成后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个月内不减持公司股票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104"/>
              <w:ind w:left="103" w:right="0"/>
              <w:jc w:val="left"/>
              <w:rPr>
                <w:rFonts w:ascii="Times New Roman" w:hAnsi="Times New Roman" w:cs="Times New Roman" w:eastAsia="Times New Roman" w:hint="default"/>
                <w:sz w:val="18"/>
                <w:szCs w:val="18"/>
              </w:rPr>
            </w:pPr>
            <w:r>
              <w:rPr>
                <w:rFonts w:ascii="Times New Roman"/>
                <w:sz w:val="18"/>
              </w:rPr>
              <w:t>8-5-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9"/>
              <w:jc w:val="left"/>
              <w:rPr>
                <w:rFonts w:ascii="宋体" w:hAnsi="宋体" w:cs="宋体" w:eastAsia="宋体" w:hint="default"/>
                <w:sz w:val="18"/>
                <w:szCs w:val="18"/>
              </w:rPr>
            </w:pPr>
            <w:r>
              <w:rPr>
                <w:rFonts w:ascii="宋体" w:hAnsi="宋体" w:cs="宋体" w:eastAsia="宋体" w:hint="default"/>
                <w:sz w:val="18"/>
                <w:szCs w:val="18"/>
              </w:rPr>
              <w:t>承诺是否按 时履行</w:t>
            </w:r>
          </w:p>
        </w:tc>
        <w:tc>
          <w:tcPr>
            <w:tcW w:w="843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58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9"/>
              <w:jc w:val="both"/>
              <w:rPr>
                <w:rFonts w:ascii="宋体" w:hAnsi="宋体" w:cs="宋体" w:eastAsia="宋体" w:hint="default"/>
                <w:sz w:val="18"/>
                <w:szCs w:val="18"/>
              </w:rPr>
            </w:pPr>
            <w:r>
              <w:rPr>
                <w:rFonts w:ascii="宋体" w:hAnsi="宋体" w:cs="宋体" w:eastAsia="宋体" w:hint="default"/>
                <w:sz w:val="18"/>
                <w:szCs w:val="18"/>
              </w:rPr>
              <w:t>如承诺超期 未履行完毕 的，应当详 细说明未完 成履行的具 体原因及下 一步的工作 计划</w:t>
            </w:r>
          </w:p>
        </w:tc>
        <w:tc>
          <w:tcPr>
            <w:tcW w:w="843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1"/>
        <w:rPr>
          <w:rFonts w:ascii="Times New Roman" w:hAnsi="Times New Roman" w:cs="Times New Roman" w:eastAsia="Times New Roman" w:hint="default"/>
          <w:sz w:val="28"/>
          <w:szCs w:val="28"/>
        </w:rPr>
      </w:pPr>
    </w:p>
    <w:p>
      <w:pPr>
        <w:pStyle w:val="Heading3"/>
        <w:spacing w:line="256" w:lineRule="auto" w:before="35"/>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3"/>
          <w:szCs w:val="23"/>
        </w:rPr>
      </w:pPr>
    </w:p>
    <w:p>
      <w:pPr>
        <w:pStyle w:val="Heading2"/>
        <w:spacing w:line="240" w:lineRule="auto"/>
        <w:ind w:right="0"/>
        <w:jc w:val="both"/>
        <w:rPr>
          <w:b w:val="0"/>
          <w:bCs w:val="0"/>
        </w:rPr>
      </w:pP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49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2"/>
        <w:rPr>
          <w:rFonts w:ascii="宋体" w:hAnsi="宋体" w:cs="宋体" w:eastAsia="宋体" w:hint="default"/>
          <w:b/>
          <w:bCs/>
          <w:sz w:val="25"/>
          <w:szCs w:val="25"/>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r>
        <w:rPr/>
        <w:t>六、董事会关于报告期会计政策、会计估计变更或重大会计差错更正的说明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17"/>
          <w:szCs w:val="17"/>
        </w:rPr>
      </w:pPr>
    </w:p>
    <w:p>
      <w:pPr>
        <w:pStyle w:val="BodyText"/>
        <w:spacing w:line="240" w:lineRule="auto"/>
        <w:ind w:right="0"/>
        <w:jc w:val="both"/>
      </w:pPr>
      <w:r>
        <w:rPr>
          <w:rFonts w:ascii="Times New Roman" w:hAnsi="Times New Roman" w:cs="Times New Roman" w:eastAsia="Times New Roman" w:hint="default"/>
        </w:rPr>
        <w:t>1</w:t>
      </w:r>
      <w:r>
        <w:rPr/>
        <w:t>、设立美亚京安:</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日，本公司独资设立美亚京安，注册资本为</w:t>
      </w:r>
      <w:r>
        <w:rPr>
          <w:rFonts w:ascii="Times New Roman" w:hAnsi="Times New Roman" w:cs="Times New Roman" w:eastAsia="Times New Roman" w:hint="default"/>
        </w:rPr>
        <w:t>1,000.00</w:t>
      </w:r>
      <w:r>
        <w:rPr/>
        <w:t>万元。</w:t>
      </w:r>
    </w:p>
    <w:p>
      <w:pPr>
        <w:spacing w:line="240" w:lineRule="auto" w:before="13"/>
        <w:rPr>
          <w:rFonts w:ascii="宋体" w:hAnsi="宋体" w:cs="宋体" w:eastAsia="宋体" w:hint="default"/>
          <w:sz w:val="29"/>
          <w:szCs w:val="29"/>
        </w:rPr>
      </w:pPr>
    </w:p>
    <w:p>
      <w:pPr>
        <w:pStyle w:val="BodyText"/>
        <w:spacing w:line="240" w:lineRule="auto"/>
        <w:ind w:right="0"/>
        <w:jc w:val="both"/>
      </w:pPr>
      <w:r>
        <w:rPr>
          <w:rFonts w:ascii="Times New Roman" w:hAnsi="Times New Roman" w:cs="Times New Roman" w:eastAsia="Times New Roman" w:hint="default"/>
        </w:rPr>
        <w:t>2</w:t>
      </w:r>
      <w:r>
        <w:rPr/>
        <w:t>、设立美亚榕安:</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5</w:t>
      </w:r>
      <w:r>
        <w:rPr/>
        <w:t>日，本公司独资设立美亚榕安，注册资本为</w:t>
      </w:r>
      <w:r>
        <w:rPr>
          <w:rFonts w:ascii="Times New Roman" w:hAnsi="Times New Roman" w:cs="Times New Roman" w:eastAsia="Times New Roman" w:hint="default"/>
        </w:rPr>
        <w:t>5,000.00</w:t>
      </w:r>
      <w:r>
        <w:rPr/>
        <w:t>万元。</w:t>
      </w:r>
    </w:p>
    <w:p>
      <w:pPr>
        <w:spacing w:line="240" w:lineRule="auto" w:before="1"/>
        <w:rPr>
          <w:rFonts w:ascii="宋体" w:hAnsi="宋体" w:cs="宋体" w:eastAsia="宋体" w:hint="default"/>
          <w:sz w:val="30"/>
          <w:szCs w:val="30"/>
        </w:rPr>
      </w:pPr>
    </w:p>
    <w:p>
      <w:pPr>
        <w:pStyle w:val="BodyText"/>
        <w:spacing w:line="240" w:lineRule="auto"/>
        <w:ind w:right="0"/>
        <w:jc w:val="both"/>
      </w:pPr>
      <w:r>
        <w:rPr>
          <w:rFonts w:ascii="Times New Roman" w:hAnsi="Times New Roman" w:cs="Times New Roman" w:eastAsia="Times New Roman" w:hint="default"/>
        </w:rPr>
        <w:t>3</w:t>
      </w:r>
      <w:r>
        <w:rPr/>
        <w:t>、设立美银智投:</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26</w:t>
      </w:r>
      <w:r>
        <w:rPr/>
        <w:t>日，本公司独资设立美银智投，注册资本为</w:t>
      </w:r>
      <w:r>
        <w:rPr>
          <w:rFonts w:ascii="Times New Roman" w:hAnsi="Times New Roman" w:cs="Times New Roman" w:eastAsia="Times New Roman" w:hint="default"/>
        </w:rPr>
        <w:t>1,000.00</w:t>
      </w:r>
      <w:r>
        <w:rPr/>
        <w:t>万元。</w:t>
      </w:r>
    </w:p>
    <w:p>
      <w:pPr>
        <w:spacing w:line="240" w:lineRule="auto" w:before="1"/>
        <w:rPr>
          <w:rFonts w:ascii="宋体" w:hAnsi="宋体" w:cs="宋体" w:eastAsia="宋体" w:hint="default"/>
          <w:sz w:val="30"/>
          <w:szCs w:val="30"/>
        </w:rPr>
      </w:pPr>
    </w:p>
    <w:p>
      <w:pPr>
        <w:pStyle w:val="BodyText"/>
        <w:spacing w:line="386" w:lineRule="auto"/>
        <w:ind w:right="1632" w:hanging="1"/>
        <w:jc w:val="both"/>
      </w:pPr>
      <w:r>
        <w:rPr>
          <w:rFonts w:ascii="Times New Roman" w:hAnsi="Times New Roman" w:cs="Times New Roman" w:eastAsia="Times New Roman" w:hint="default"/>
        </w:rPr>
        <w:t>4</w:t>
      </w:r>
      <w:r>
        <w:rPr/>
        <w:t>、设立美亚亿安:</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日，本公司与厦门环亚众智科技合伙企业（有限合伙）共同设立美亚 亿安，注册资本为</w:t>
      </w:r>
      <w:r>
        <w:rPr>
          <w:rFonts w:ascii="Times New Roman" w:hAnsi="Times New Roman" w:cs="Times New Roman" w:eastAsia="Times New Roman" w:hint="default"/>
        </w:rPr>
        <w:t>1,000.00</w:t>
      </w:r>
      <w:r>
        <w:rPr/>
        <w:t>万元，其中本公司持股</w:t>
      </w:r>
      <w:r>
        <w:rPr>
          <w:rFonts w:ascii="Times New Roman" w:hAnsi="Times New Roman" w:cs="Times New Roman" w:eastAsia="Times New Roman" w:hint="default"/>
        </w:rPr>
        <w:t>55%</w:t>
      </w:r>
      <w:r>
        <w:rPr/>
        <w:t>，厦门环亚众智科技合伙企业（有限合伙）持</w:t>
      </w:r>
      <w:r>
        <w:rPr>
          <w:spacing w:val="-82"/>
        </w:rPr>
        <w:t> </w:t>
      </w:r>
      <w:r>
        <w:rPr>
          <w:spacing w:val="-82"/>
        </w:rPr>
      </w:r>
      <w:r>
        <w:rPr/>
        <w:t>股</w:t>
      </w:r>
      <w:r>
        <w:rPr>
          <w:rFonts w:ascii="Times New Roman" w:hAnsi="Times New Roman" w:cs="Times New Roman" w:eastAsia="Times New Roman" w:hint="default"/>
        </w:rPr>
        <w:t>45%</w:t>
      </w:r>
      <w:r>
        <w:rPr/>
        <w:t>。</w:t>
      </w:r>
    </w:p>
    <w:p>
      <w:pPr>
        <w:spacing w:line="240" w:lineRule="auto" w:before="11"/>
        <w:rPr>
          <w:rFonts w:ascii="宋体" w:hAnsi="宋体" w:cs="宋体" w:eastAsia="宋体" w:hint="default"/>
          <w:sz w:val="17"/>
          <w:szCs w:val="17"/>
        </w:rPr>
      </w:pPr>
    </w:p>
    <w:p>
      <w:pPr>
        <w:pStyle w:val="Heading2"/>
        <w:spacing w:line="240" w:lineRule="auto"/>
        <w:ind w:right="0"/>
        <w:jc w:val="both"/>
        <w:rPr>
          <w:b w:val="0"/>
          <w:bCs w:val="0"/>
        </w:rPr>
      </w:pPr>
      <w:r>
        <w:rPr/>
        <w:t>八、聘任、解聘会计师事务所情况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1"/>
        <w:gridCol w:w="4777"/>
      </w:tblGrid>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126.5</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91"/>
        <w:gridCol w:w="4777"/>
      </w:tblGrid>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周俊超、余道前</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周俊超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年、余道前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38" w:lineRule="auto" w:before="117"/>
        <w:ind w:left="154" w:right="62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3"/>
          <w:szCs w:val="23"/>
        </w:rPr>
      </w:pPr>
    </w:p>
    <w:p>
      <w:pPr>
        <w:pStyle w:val="Heading2"/>
        <w:spacing w:line="240" w:lineRule="auto"/>
        <w:ind w:right="0"/>
        <w:jc w:val="left"/>
        <w:rPr>
          <w:b w:val="0"/>
          <w:bCs w:val="0"/>
        </w:rPr>
      </w:pP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3"/>
          <w:szCs w:val="23"/>
        </w:rPr>
      </w:pPr>
    </w:p>
    <w:p>
      <w:pPr>
        <w:pStyle w:val="Heading2"/>
        <w:spacing w:line="240" w:lineRule="auto"/>
        <w:ind w:right="0"/>
        <w:jc w:val="left"/>
        <w:rPr>
          <w:b w:val="0"/>
          <w:bCs w:val="0"/>
        </w:rPr>
      </w:pPr>
      <w:r>
        <w:rPr/>
        <w:t>十、破产重整相关事项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6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十一、重大诉讼、仲裁事项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8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本年度公司无重大诉讼、仲裁事项。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十二、处罚及整改情况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54" w:right="78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1"/>
        <w:rPr>
          <w:rFonts w:ascii="宋体" w:hAnsi="宋体" w:cs="宋体" w:eastAsia="宋体" w:hint="default"/>
          <w:sz w:val="19"/>
          <w:szCs w:val="19"/>
        </w:rPr>
      </w:pPr>
    </w:p>
    <w:p>
      <w:pPr>
        <w:pStyle w:val="Heading2"/>
        <w:spacing w:line="240" w:lineRule="auto"/>
        <w:ind w:right="0"/>
        <w:jc w:val="left"/>
        <w:rPr>
          <w:b w:val="0"/>
          <w:bCs w:val="0"/>
        </w:rPr>
      </w:pPr>
      <w:r>
        <w:rPr/>
        <w:t>十三、公司及其控股股东、实际控制人的诚信状况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spacing w:line="328" w:lineRule="auto" w:before="0"/>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报告期内，公司及其控股股东、实际控制人的诚信状况良好，不存在未履行法院生效判决、所负数额较大的债务到期末清偿</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等情况。</w:t>
      </w:r>
    </w:p>
    <w:p>
      <w:pPr>
        <w:spacing w:line="240" w:lineRule="auto" w:before="12"/>
        <w:rPr>
          <w:rFonts w:ascii="宋体" w:hAnsi="宋体" w:cs="宋体" w:eastAsia="宋体" w:hint="default"/>
          <w:sz w:val="19"/>
          <w:szCs w:val="19"/>
        </w:rPr>
      </w:pPr>
    </w:p>
    <w:p>
      <w:pPr>
        <w:pStyle w:val="Heading2"/>
        <w:spacing w:line="240" w:lineRule="auto"/>
        <w:ind w:right="0"/>
        <w:jc w:val="left"/>
        <w:rPr>
          <w:b w:val="0"/>
          <w:bCs w:val="0"/>
        </w:rPr>
      </w:pP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3"/>
        <w:ind w:left="153" w:right="0" w:firstLine="420"/>
        <w:jc w:val="left"/>
      </w:pPr>
      <w:r>
        <w:rPr>
          <w:rFonts w:ascii="Times New Roman" w:hAnsi="Times New Roman" w:cs="Times New Roman" w:eastAsia="Times New Roman" w:hint="default"/>
          <w:spacing w:val="-2"/>
        </w:rPr>
        <w:t>2016</w:t>
      </w:r>
      <w:r>
        <w:rPr>
          <w:spacing w:val="-2"/>
        </w:rPr>
        <w:t>年公司实施了第二期限制性股票激励计划，共向激励对象授予限制性股票</w:t>
      </w:r>
      <w:r>
        <w:rPr>
          <w:rFonts w:ascii="Times New Roman" w:hAnsi="Times New Roman" w:cs="Times New Roman" w:eastAsia="Times New Roman" w:hint="default"/>
          <w:spacing w:val="-2"/>
        </w:rPr>
        <w:t>1,000</w:t>
      </w:r>
      <w:r>
        <w:rPr>
          <w:spacing w:val="-2"/>
        </w:rPr>
        <w:t>万股。本次限制性</w:t>
      </w:r>
      <w:r>
        <w:rPr/>
        <w:t> 股票共分两次完成授予，</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月完成了首次授予，授予的股权激励对象共</w:t>
      </w:r>
      <w:r>
        <w:rPr>
          <w:rFonts w:ascii="Times New Roman" w:hAnsi="Times New Roman" w:cs="Times New Roman" w:eastAsia="Times New Roman" w:hint="default"/>
        </w:rPr>
        <w:t>471</w:t>
      </w:r>
      <w:r>
        <w:rPr/>
        <w:t>名，授予限制性股票 </w:t>
      </w:r>
      <w:r>
        <w:rPr>
          <w:rFonts w:ascii="Times New Roman" w:hAnsi="Times New Roman" w:cs="Times New Roman" w:eastAsia="Times New Roman" w:hint="default"/>
        </w:rPr>
        <w:t>9,086,100</w:t>
      </w:r>
      <w:r>
        <w:rPr/>
        <w:t>股。</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月公司完成了预留部分股份授予，授予的股权激励对象共</w:t>
      </w:r>
      <w:r>
        <w:rPr>
          <w:rFonts w:ascii="Times New Roman" w:hAnsi="Times New Roman" w:cs="Times New Roman" w:eastAsia="Times New Roman" w:hint="default"/>
        </w:rPr>
        <w:t>101</w:t>
      </w:r>
      <w:r>
        <w:rPr/>
        <w:t>名，授予限制性股票</w:t>
      </w:r>
    </w:p>
    <w:p>
      <w:pPr>
        <w:pStyle w:val="BodyText"/>
        <w:spacing w:line="240" w:lineRule="auto" w:before="35"/>
        <w:ind w:left="153" w:right="0"/>
        <w:jc w:val="left"/>
        <w:rPr>
          <w:rFonts w:ascii="Times New Roman" w:hAnsi="Times New Roman" w:cs="Times New Roman" w:eastAsia="Times New Roman" w:hint="default"/>
        </w:rPr>
      </w:pPr>
      <w:r>
        <w:rPr>
          <w:rFonts w:ascii="Times New Roman" w:hAnsi="Times New Roman" w:cs="Times New Roman" w:eastAsia="Times New Roman" w:hint="default"/>
        </w:rPr>
        <w:t>913,900</w:t>
      </w:r>
      <w:r>
        <w:rPr/>
        <w:t>股。截至目前，公司共召开</w:t>
      </w:r>
      <w:r>
        <w:rPr>
          <w:rFonts w:ascii="Times New Roman" w:hAnsi="Times New Roman" w:cs="Times New Roman" w:eastAsia="Times New Roman" w:hint="default"/>
        </w:rPr>
        <w:t>5</w:t>
      </w:r>
      <w:r>
        <w:rPr/>
        <w:t>次董事会审议回购注销事项，共完成两次限制性股票解锁事项。</w:t>
      </w:r>
      <w:r>
        <w:rPr>
          <w:rFonts w:ascii="Times New Roman" w:hAnsi="Times New Roman" w:cs="Times New Roman" w:eastAsia="Times New Roman" w:hint="default"/>
        </w:rPr>
        <w:t>2018</w:t>
      </w:r>
    </w:p>
    <w:p>
      <w:pPr>
        <w:pStyle w:val="BodyText"/>
        <w:spacing w:line="240" w:lineRule="auto" w:before="177"/>
        <w:ind w:left="153" w:right="0"/>
        <w:jc w:val="left"/>
      </w:pP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日，公司实施了</w:t>
      </w:r>
      <w:r>
        <w:rPr>
          <w:rFonts w:ascii="Times New Roman" w:hAnsi="Times New Roman" w:cs="Times New Roman" w:eastAsia="Times New Roman" w:hint="default"/>
        </w:rPr>
        <w:t>2017</w:t>
      </w:r>
      <w:r>
        <w:rPr/>
        <w:t>年年度权益分派，向全体股东每</w:t>
      </w:r>
      <w:r>
        <w:rPr>
          <w:rFonts w:ascii="Times New Roman" w:hAnsi="Times New Roman" w:cs="Times New Roman" w:eastAsia="Times New Roman" w:hint="default"/>
        </w:rPr>
        <w:t>10</w:t>
      </w:r>
      <w:r>
        <w:rPr/>
        <w:t>股派人民币现金</w:t>
      </w:r>
      <w:r>
        <w:rPr>
          <w:rFonts w:ascii="Times New Roman" w:hAnsi="Times New Roman" w:cs="Times New Roman" w:eastAsia="Times New Roman" w:hint="default"/>
        </w:rPr>
        <w:t>2</w:t>
      </w:r>
      <w:r>
        <w:rPr/>
        <w:t>元（含税），同时以资本</w:t>
      </w:r>
    </w:p>
    <w:p>
      <w:pPr>
        <w:spacing w:after="0" w:line="240"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386" w:lineRule="auto" w:before="174"/>
        <w:ind w:right="1196" w:hanging="1"/>
        <w:jc w:val="left"/>
      </w:pPr>
      <w:r>
        <w:rPr/>
        <w:t>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股。目前剩余的已授予尚未解锁的限制性股票数量为</w:t>
      </w:r>
      <w:r>
        <w:rPr>
          <w:rFonts w:ascii="Times New Roman" w:hAnsi="Times New Roman" w:cs="Times New Roman" w:eastAsia="Times New Roman" w:hint="default"/>
        </w:rPr>
        <w:t>4,853,840</w:t>
      </w:r>
      <w:r>
        <w:rPr/>
        <w:t>股，其中首 次授予部分已授予尚未解锁的限制性股票为</w:t>
      </w:r>
      <w:r>
        <w:rPr>
          <w:rFonts w:ascii="Times New Roman" w:hAnsi="Times New Roman" w:cs="Times New Roman" w:eastAsia="Times New Roman" w:hint="default"/>
        </w:rPr>
        <w:t>4,121,760</w:t>
      </w:r>
      <w:r>
        <w:rPr/>
        <w:t>股，预留授予部分已授予尚未解锁的限制性股票为 </w:t>
      </w:r>
      <w:r>
        <w:rPr>
          <w:rFonts w:ascii="Times New Roman" w:hAnsi="Times New Roman" w:cs="Times New Roman" w:eastAsia="Times New Roman" w:hint="default"/>
        </w:rPr>
        <w:t>732,080</w:t>
      </w:r>
      <w:r>
        <w:rPr/>
        <w:t>股。</w:t>
      </w:r>
    </w:p>
    <w:p>
      <w:pPr>
        <w:pStyle w:val="BodyText"/>
        <w:spacing w:line="240" w:lineRule="auto" w:before="35"/>
        <w:ind w:left="574" w:right="0"/>
        <w:jc w:val="left"/>
      </w:pPr>
      <w:r>
        <w:rPr/>
        <w:t>公司第二期限制性股票激励计划的授予已履行的相关审议程序如下：</w:t>
      </w:r>
    </w:p>
    <w:p>
      <w:pPr>
        <w:spacing w:line="240" w:lineRule="auto" w:before="10"/>
        <w:rPr>
          <w:rFonts w:ascii="宋体" w:hAnsi="宋体" w:cs="宋体" w:eastAsia="宋体" w:hint="default"/>
          <w:sz w:val="14"/>
          <w:szCs w:val="14"/>
        </w:rPr>
      </w:pPr>
    </w:p>
    <w:p>
      <w:pPr>
        <w:pStyle w:val="BodyText"/>
        <w:spacing w:line="398" w:lineRule="auto"/>
        <w:ind w:right="1090" w:firstLine="42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日，公司召开第三届董事会第十二次会议和第三届监事会第十二次会议，审议通过 了《第二期限制性股票激励计划（草案）及其摘要》、《第二期限制性股票激励计划实施考核管理办法》 等议案，公司独立董事发表了同意的独立意见。</w:t>
      </w:r>
    </w:p>
    <w:p>
      <w:pPr>
        <w:pStyle w:val="BodyText"/>
        <w:spacing w:line="386" w:lineRule="auto" w:before="54"/>
        <w:ind w:right="1195" w:firstLine="42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25</w:t>
      </w:r>
      <w:r>
        <w:rPr/>
        <w:t>日，公司监事会发表了《关于公司第二期限制性股票激励计划首次授予激励对象名 单的公示情况及审核意见》。</w:t>
      </w:r>
    </w:p>
    <w:p>
      <w:pPr>
        <w:pStyle w:val="BodyText"/>
        <w:spacing w:line="386" w:lineRule="auto" w:before="65"/>
        <w:ind w:right="0" w:firstLine="419"/>
        <w:jc w:val="left"/>
      </w:pPr>
      <w:r>
        <w:rPr>
          <w:rFonts w:ascii="Times New Roman" w:hAnsi="Times New Roman" w:cs="Times New Roman" w:eastAsia="Times New Roman" w:hint="default"/>
          <w:spacing w:val="-5"/>
        </w:rPr>
        <w:t>3</w:t>
      </w:r>
      <w:r>
        <w:rPr>
          <w:spacing w:val="-5"/>
        </w:rPr>
        <w:t>、</w:t>
      </w:r>
      <w:r>
        <w:rPr>
          <w:rFonts w:ascii="Times New Roman" w:hAnsi="Times New Roman" w:cs="Times New Roman" w:eastAsia="Times New Roman" w:hint="default"/>
          <w:spacing w:val="-5"/>
        </w:rPr>
        <w:t>2016</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2</w:t>
      </w:r>
      <w:r>
        <w:rPr>
          <w:spacing w:val="-5"/>
        </w:rPr>
        <w:t>日，公司召开</w:t>
      </w:r>
      <w:r>
        <w:rPr>
          <w:rFonts w:ascii="Times New Roman" w:hAnsi="Times New Roman" w:cs="Times New Roman" w:eastAsia="Times New Roman" w:hint="default"/>
          <w:spacing w:val="-5"/>
        </w:rPr>
        <w:t>2016</w:t>
      </w:r>
      <w:r>
        <w:rPr>
          <w:spacing w:val="-5"/>
        </w:rPr>
        <w:t>年第三次临时股东大会审议通过了《第二期限制性股票激励计划（草</w:t>
      </w:r>
      <w:r>
        <w:rPr/>
        <w:t> 案）及其摘要》、《第二期限制性股票激励计划实施考核管理办法》等议案。</w:t>
      </w:r>
    </w:p>
    <w:p>
      <w:pPr>
        <w:pStyle w:val="BodyText"/>
        <w:spacing w:line="240" w:lineRule="auto" w:before="65"/>
        <w:ind w:left="574" w:right="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7</w:t>
      </w:r>
      <w:r>
        <w:rPr/>
        <w:t>日，公司召开第三届董事会第十三次会议和第三届监事会第十三次会议，审议通过了</w:t>
      </w:r>
    </w:p>
    <w:p>
      <w:pPr>
        <w:pStyle w:val="BodyText"/>
        <w:spacing w:line="398" w:lineRule="auto" w:before="177"/>
        <w:ind w:right="1129"/>
        <w:jc w:val="both"/>
      </w:pPr>
      <w:r>
        <w:rPr>
          <w:spacing w:val="-1"/>
        </w:rPr>
        <w:t>《关于向激励对象授予限制性股票的议案》和《关于调整第二期限制性股票激励计划首次授予激励对象名</w:t>
      </w:r>
      <w:r>
        <w:rPr>
          <w:spacing w:val="-81"/>
        </w:rPr>
        <w:t> </w:t>
      </w:r>
      <w:r>
        <w:rPr>
          <w:spacing w:val="-81"/>
        </w:rPr>
      </w:r>
      <w:r>
        <w:rPr>
          <w:spacing w:val="-1"/>
        </w:rPr>
        <w:t>单的议案》，确定</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7</w:t>
      </w:r>
      <w:r>
        <w:rPr>
          <w:spacing w:val="-1"/>
        </w:rPr>
        <w:t>日为本次股权激励计划的首次授予日，同意公司向首批激励对象</w:t>
      </w:r>
      <w:r>
        <w:rPr>
          <w:rFonts w:ascii="Times New Roman" w:hAnsi="Times New Roman" w:cs="Times New Roman" w:eastAsia="Times New Roman" w:hint="default"/>
          <w:spacing w:val="-1"/>
        </w:rPr>
        <w:t>471</w:t>
      </w:r>
      <w:r>
        <w:rPr>
          <w:spacing w:val="-1"/>
        </w:rPr>
        <w:t>人授予</w:t>
      </w:r>
      <w:r>
        <w:rPr>
          <w:spacing w:val="-85"/>
        </w:rPr>
        <w:t> </w:t>
      </w:r>
      <w:r>
        <w:rPr/>
        <w:t>限制性股票</w:t>
      </w:r>
      <w:r>
        <w:rPr>
          <w:rFonts w:ascii="Times New Roman" w:hAnsi="Times New Roman" w:cs="Times New Roman" w:eastAsia="Times New Roman" w:hint="default"/>
        </w:rPr>
        <w:t>9,086,100</w:t>
      </w:r>
      <w:r>
        <w:rPr/>
        <w:t>股，授予价格为</w:t>
      </w:r>
      <w:r>
        <w:rPr>
          <w:rFonts w:ascii="Times New Roman" w:hAnsi="Times New Roman" w:cs="Times New Roman" w:eastAsia="Times New Roman" w:hint="default"/>
        </w:rPr>
        <w:t>12.19</w:t>
      </w:r>
      <w:r>
        <w:rPr/>
        <w:t>元</w:t>
      </w:r>
      <w:r>
        <w:rPr>
          <w:rFonts w:ascii="Times New Roman" w:hAnsi="Times New Roman" w:cs="Times New Roman" w:eastAsia="Times New Roman" w:hint="default"/>
        </w:rPr>
        <w:t>/</w:t>
      </w:r>
      <w:r>
        <w:rPr/>
        <w:t>股。独立董事发表了同意的独立意见。</w:t>
      </w:r>
    </w:p>
    <w:p>
      <w:pPr>
        <w:pStyle w:val="BodyText"/>
        <w:spacing w:line="386" w:lineRule="auto" w:before="24"/>
        <w:ind w:right="1195" w:firstLine="420"/>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日，公司发布了《第二期限制性股票激励计划首次授予完成的公告》，完成了首次 限制性股票的授予工作。确定股份上市日为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日。公司总股本由</w:t>
      </w:r>
      <w:r>
        <w:rPr>
          <w:rFonts w:ascii="Times New Roman" w:hAnsi="Times New Roman" w:cs="Times New Roman" w:eastAsia="Times New Roman" w:hint="default"/>
        </w:rPr>
        <w:t>487,254,406</w:t>
      </w:r>
      <w:r>
        <w:rPr/>
        <w:t>股增加至 </w:t>
      </w:r>
      <w:r>
        <w:rPr>
          <w:rFonts w:ascii="Times New Roman" w:hAnsi="Times New Roman" w:cs="Times New Roman" w:eastAsia="Times New Roman" w:hint="default"/>
        </w:rPr>
        <w:t>496,340,506</w:t>
      </w:r>
      <w:r>
        <w:rPr/>
        <w:t>股。</w:t>
      </w:r>
    </w:p>
    <w:p>
      <w:pPr>
        <w:pStyle w:val="BodyText"/>
        <w:spacing w:line="240" w:lineRule="auto" w:before="35"/>
        <w:ind w:left="574" w:right="0"/>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日，公司召开第三届董事会第十七次会议和第三届监事会第十七次会议，审议通过了</w:t>
      </w:r>
    </w:p>
    <w:p>
      <w:pPr>
        <w:pStyle w:val="BodyText"/>
        <w:spacing w:line="386" w:lineRule="auto" w:before="177"/>
        <w:ind w:left="153" w:right="1130"/>
        <w:jc w:val="both"/>
      </w:pPr>
      <w:r>
        <w:rPr>
          <w:spacing w:val="-1"/>
        </w:rPr>
        <w:t>《关于回购注销部分离职激励对象已获授尚未解锁的限制性股票的议案》，决定对</w:t>
      </w:r>
      <w:r>
        <w:rPr>
          <w:rFonts w:ascii="Times New Roman" w:hAnsi="Times New Roman" w:cs="Times New Roman" w:eastAsia="Times New Roman" w:hint="default"/>
          <w:spacing w:val="-1"/>
        </w:rPr>
        <w:t>11</w:t>
      </w:r>
      <w:r>
        <w:rPr>
          <w:spacing w:val="-1"/>
        </w:rPr>
        <w:t>名离职激励对象已获</w:t>
      </w:r>
      <w:r>
        <w:rPr>
          <w:spacing w:val="-83"/>
        </w:rPr>
        <w:t> </w:t>
      </w:r>
      <w:r>
        <w:rPr>
          <w:spacing w:val="-83"/>
        </w:rPr>
      </w:r>
      <w:r>
        <w:rPr>
          <w:spacing w:val="-2"/>
        </w:rPr>
        <w:t>授尚未解锁的限制性股票共计</w:t>
      </w:r>
      <w:r>
        <w:rPr>
          <w:rFonts w:ascii="Times New Roman" w:hAnsi="Times New Roman" w:cs="Times New Roman" w:eastAsia="Times New Roman" w:hint="default"/>
          <w:spacing w:val="-2"/>
        </w:rPr>
        <w:t>149,700</w:t>
      </w:r>
      <w:r>
        <w:rPr>
          <w:spacing w:val="-2"/>
        </w:rPr>
        <w:t>股进行回购注销。公司独立董事对此发表了同意的独立意见。本次完</w:t>
      </w:r>
      <w:r>
        <w:rPr>
          <w:spacing w:val="-86"/>
        </w:rPr>
        <w:t> </w:t>
      </w:r>
      <w:r>
        <w:rPr>
          <w:spacing w:val="-86"/>
        </w:rPr>
      </w:r>
      <w:r>
        <w:rPr>
          <w:spacing w:val="-1"/>
        </w:rPr>
        <w:t>成回购注销后，公司第二期限制性股票激励计划的激励对象由</w:t>
      </w:r>
      <w:r>
        <w:rPr>
          <w:rFonts w:ascii="Times New Roman" w:hAnsi="Times New Roman" w:cs="Times New Roman" w:eastAsia="Times New Roman" w:hint="default"/>
          <w:spacing w:val="-1"/>
        </w:rPr>
        <w:t>471</w:t>
      </w:r>
      <w:r>
        <w:rPr>
          <w:spacing w:val="-1"/>
        </w:rPr>
        <w:t>人调整为</w:t>
      </w:r>
      <w:r>
        <w:rPr>
          <w:rFonts w:ascii="Times New Roman" w:hAnsi="Times New Roman" w:cs="Times New Roman" w:eastAsia="Times New Roman" w:hint="default"/>
          <w:spacing w:val="-1"/>
        </w:rPr>
        <w:t>460</w:t>
      </w:r>
      <w:r>
        <w:rPr>
          <w:spacing w:val="-1"/>
        </w:rPr>
        <w:t>名，已授予尚未解锁的限制</w:t>
      </w:r>
      <w:r>
        <w:rPr>
          <w:spacing w:val="-83"/>
        </w:rPr>
        <w:t> </w:t>
      </w:r>
      <w:r>
        <w:rPr>
          <w:spacing w:val="-83"/>
        </w:rPr>
      </w:r>
      <w:r>
        <w:rPr/>
        <w:t>性股票数量由</w:t>
      </w:r>
      <w:r>
        <w:rPr>
          <w:rFonts w:ascii="Times New Roman" w:hAnsi="Times New Roman" w:cs="Times New Roman" w:eastAsia="Times New Roman" w:hint="default"/>
        </w:rPr>
        <w:t>908.61</w:t>
      </w:r>
      <w:r>
        <w:rPr/>
        <w:t>万股调整为</w:t>
      </w:r>
      <w:r>
        <w:rPr>
          <w:rFonts w:ascii="Times New Roman" w:hAnsi="Times New Roman" w:cs="Times New Roman" w:eastAsia="Times New Roman" w:hint="default"/>
        </w:rPr>
        <w:t>893.64</w:t>
      </w:r>
      <w:r>
        <w:rPr/>
        <w:t>万股。</w:t>
      </w:r>
    </w:p>
    <w:p>
      <w:pPr>
        <w:pStyle w:val="BodyText"/>
        <w:spacing w:line="240" w:lineRule="auto" w:before="35"/>
        <w:ind w:left="574" w:right="0"/>
        <w:jc w:val="left"/>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日，公司召开第三届董事会第十八次会议和第三届监事会第十八次会议，审议通过了</w:t>
      </w:r>
    </w:p>
    <w:p>
      <w:pPr>
        <w:pStyle w:val="BodyText"/>
        <w:spacing w:line="386" w:lineRule="auto" w:before="177"/>
        <w:ind w:right="1131"/>
        <w:jc w:val="both"/>
      </w:pPr>
      <w:r>
        <w:rPr/>
        <w:t>《关于回购注销部分离职激励对象已获授尚未解锁的限制性股票的议案》，决定对</w:t>
      </w:r>
      <w:r>
        <w:rPr>
          <w:rFonts w:ascii="Times New Roman" w:hAnsi="Times New Roman" w:cs="Times New Roman" w:eastAsia="Times New Roman" w:hint="default"/>
        </w:rPr>
        <w:t>7</w:t>
      </w:r>
      <w:r>
        <w:rPr/>
        <w:t>名离职激励对象已获 授尚未解锁的限制性股票共计</w:t>
      </w:r>
      <w:r>
        <w:rPr>
          <w:rFonts w:ascii="Times New Roman" w:hAnsi="Times New Roman" w:cs="Times New Roman" w:eastAsia="Times New Roman" w:hint="default"/>
        </w:rPr>
        <w:t>74,000</w:t>
      </w:r>
      <w:r>
        <w:rPr/>
        <w:t>股进行回购注销。公司独立董事对此发表了同意的独立意见。本次回 </w:t>
      </w:r>
      <w:r>
        <w:rPr>
          <w:spacing w:val="-1"/>
        </w:rPr>
        <w:t>购注销完成后，公司第二期限制性股票激励计划的激励对象总人数将由</w:t>
      </w:r>
      <w:r>
        <w:rPr>
          <w:rFonts w:ascii="Times New Roman" w:hAnsi="Times New Roman" w:cs="Times New Roman" w:eastAsia="Times New Roman" w:hint="default"/>
          <w:spacing w:val="-1"/>
        </w:rPr>
        <w:t>460</w:t>
      </w:r>
      <w:r>
        <w:rPr>
          <w:spacing w:val="-1"/>
        </w:rPr>
        <w:t>名调整为</w:t>
      </w:r>
      <w:r>
        <w:rPr>
          <w:rFonts w:ascii="Times New Roman" w:hAnsi="Times New Roman" w:cs="Times New Roman" w:eastAsia="Times New Roman" w:hint="default"/>
          <w:spacing w:val="-1"/>
        </w:rPr>
        <w:t>453</w:t>
      </w:r>
      <w:r>
        <w:rPr>
          <w:spacing w:val="-1"/>
        </w:rPr>
        <w:t>名，已授予尚未解</w:t>
      </w:r>
      <w:r>
        <w:rPr>
          <w:spacing w:val="-84"/>
        </w:rPr>
        <w:t> </w:t>
      </w:r>
      <w:r>
        <w:rPr>
          <w:spacing w:val="-84"/>
        </w:rPr>
      </w:r>
      <w:r>
        <w:rPr/>
        <w:t>锁的限制性股票数量由</w:t>
      </w:r>
      <w:r>
        <w:rPr>
          <w:rFonts w:ascii="Times New Roman" w:hAnsi="Times New Roman" w:cs="Times New Roman" w:eastAsia="Times New Roman" w:hint="default"/>
        </w:rPr>
        <w:t>893.64</w:t>
      </w:r>
      <w:r>
        <w:rPr/>
        <w:t>万股调整为</w:t>
      </w:r>
      <w:r>
        <w:rPr>
          <w:rFonts w:ascii="Times New Roman" w:hAnsi="Times New Roman" w:cs="Times New Roman" w:eastAsia="Times New Roman" w:hint="default"/>
        </w:rPr>
        <w:t>886.24</w:t>
      </w:r>
      <w:r>
        <w:rPr/>
        <w:t>万股。</w:t>
      </w:r>
    </w:p>
    <w:p>
      <w:pPr>
        <w:pStyle w:val="BodyText"/>
        <w:spacing w:line="386" w:lineRule="auto" w:before="35"/>
        <w:ind w:right="1195" w:firstLine="420"/>
        <w:jc w:val="left"/>
      </w:pPr>
      <w:r>
        <w:rPr>
          <w:rFonts w:ascii="Times New Roman" w:hAnsi="Times New Roman" w:cs="Times New Roman" w:eastAsia="Times New Roman" w:hint="default"/>
        </w:rPr>
        <w:t>8</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日，公司召开第三届董事会第二十一次会议和第三届监事会第二十一次会议，审议 通过了《关于回购注销部分离职激励对象已获授尚未解锁的限制性股票的议案》，决定对</w:t>
      </w:r>
      <w:r>
        <w:rPr>
          <w:rFonts w:ascii="Times New Roman" w:hAnsi="Times New Roman" w:cs="Times New Roman" w:eastAsia="Times New Roman" w:hint="default"/>
        </w:rPr>
        <w:t>4</w:t>
      </w:r>
      <w:r>
        <w:rPr/>
        <w:t>名离职激励对</w:t>
      </w:r>
    </w:p>
    <w:p>
      <w:pPr>
        <w:spacing w:after="0" w:line="386"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386" w:lineRule="auto" w:before="174"/>
        <w:ind w:left="153" w:right="1022"/>
        <w:jc w:val="left"/>
      </w:pPr>
      <w:r>
        <w:rPr/>
        <w:t>象已获授尚未解锁的限制性股票共计 </w:t>
      </w:r>
      <w:r>
        <w:rPr>
          <w:rFonts w:ascii="Times New Roman" w:hAnsi="Times New Roman" w:cs="Times New Roman" w:eastAsia="Times New Roman" w:hint="default"/>
        </w:rPr>
        <w:t>73,000</w:t>
      </w:r>
      <w:r>
        <w:rPr>
          <w:rFonts w:ascii="Times New Roman" w:hAnsi="Times New Roman" w:cs="Times New Roman" w:eastAsia="Times New Roman" w:hint="default"/>
          <w:spacing w:val="9"/>
        </w:rPr>
        <w:t> </w:t>
      </w:r>
      <w:r>
        <w:rPr/>
        <w:t>股进行回购注销，本次回购注销完成后，公司第二期限制性 股票激励计划的激励对象总人数将由</w:t>
      </w:r>
      <w:r>
        <w:rPr>
          <w:rFonts w:ascii="Times New Roman" w:hAnsi="Times New Roman" w:cs="Times New Roman" w:eastAsia="Times New Roman" w:hint="default"/>
        </w:rPr>
        <w:t>453</w:t>
      </w:r>
      <w:r>
        <w:rPr/>
        <w:t>名调整为</w:t>
      </w:r>
      <w:r>
        <w:rPr>
          <w:rFonts w:ascii="Times New Roman" w:hAnsi="Times New Roman" w:cs="Times New Roman" w:eastAsia="Times New Roman" w:hint="default"/>
        </w:rPr>
        <w:t>449</w:t>
      </w:r>
      <w:r>
        <w:rPr/>
        <w:t>名，已授予尚未解锁的限制性股票数量由</w:t>
      </w:r>
      <w:r>
        <w:rPr>
          <w:rFonts w:ascii="Times New Roman" w:hAnsi="Times New Roman" w:cs="Times New Roman" w:eastAsia="Times New Roman" w:hint="default"/>
        </w:rPr>
        <w:t>886.24</w:t>
      </w:r>
      <w:r>
        <w:rPr/>
        <w:t>万股 </w:t>
      </w:r>
      <w:r>
        <w:rPr>
          <w:spacing w:val="-2"/>
        </w:rPr>
        <w:t>调整为</w:t>
      </w:r>
      <w:r>
        <w:rPr>
          <w:rFonts w:ascii="Times New Roman" w:hAnsi="Times New Roman" w:cs="Times New Roman" w:eastAsia="Times New Roman" w:hint="default"/>
          <w:spacing w:val="-2"/>
        </w:rPr>
        <w:t>878.94</w:t>
      </w:r>
      <w:r>
        <w:rPr>
          <w:spacing w:val="-2"/>
        </w:rPr>
        <w:t>万股；审议通过了《关于向激励对象授予第二期限制性股票激励计划（预留部分）的议案》，</w:t>
      </w:r>
      <w:r>
        <w:rPr>
          <w:spacing w:val="-83"/>
        </w:rPr>
        <w:t> </w:t>
      </w:r>
      <w:r>
        <w:rPr>
          <w:spacing w:val="-83"/>
        </w:rPr>
      </w:r>
      <w:r>
        <w:rPr/>
        <w:t>公司向 </w:t>
      </w:r>
      <w:r>
        <w:rPr>
          <w:rFonts w:ascii="Times New Roman" w:hAnsi="Times New Roman" w:cs="Times New Roman" w:eastAsia="Times New Roman" w:hint="default"/>
        </w:rPr>
        <w:t>101 </w:t>
      </w:r>
      <w:r>
        <w:rPr/>
        <w:t>名激励对象授予第二期限制性股票激励计划预留部分股份</w:t>
      </w:r>
      <w:r>
        <w:rPr>
          <w:spacing w:val="-75"/>
        </w:rPr>
        <w:t> </w:t>
      </w:r>
      <w:r>
        <w:rPr>
          <w:rFonts w:ascii="Times New Roman" w:hAnsi="Times New Roman" w:cs="Times New Roman" w:eastAsia="Times New Roman" w:hint="default"/>
        </w:rPr>
        <w:t>91.39</w:t>
      </w:r>
      <w:r>
        <w:rPr/>
        <w:t>万股，预留股份授予日为</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日。独立董事对上述事项发表了同意的独立意见。</w:t>
      </w:r>
    </w:p>
    <w:p>
      <w:pPr>
        <w:pStyle w:val="BodyText"/>
        <w:spacing w:line="386" w:lineRule="auto" w:before="35"/>
        <w:ind w:right="1130" w:firstLine="420"/>
        <w:jc w:val="both"/>
      </w:pPr>
      <w:r>
        <w:rPr>
          <w:rFonts w:ascii="Times New Roman" w:hAnsi="Times New Roman" w:cs="Times New Roman" w:eastAsia="Times New Roman" w:hint="default"/>
          <w:spacing w:val="-1"/>
        </w:rPr>
        <w:t>9</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w:t>
      </w:r>
      <w:r>
        <w:rPr>
          <w:spacing w:val="-1"/>
        </w:rPr>
        <w:t>日，公司发布了《关于部分限制性股票回购注销完成的公告》，本次回购的限制性股</w:t>
      </w:r>
      <w:r>
        <w:rPr/>
        <w:t> </w:t>
      </w:r>
      <w:r>
        <w:rPr>
          <w:spacing w:val="-2"/>
        </w:rPr>
        <w:t>票涉及股权激励对象</w:t>
      </w:r>
      <w:r>
        <w:rPr>
          <w:rFonts w:ascii="Times New Roman" w:hAnsi="Times New Roman" w:cs="Times New Roman" w:eastAsia="Times New Roman" w:hint="default"/>
          <w:spacing w:val="-2"/>
        </w:rPr>
        <w:t>18</w:t>
      </w:r>
      <w:r>
        <w:rPr>
          <w:spacing w:val="-2"/>
        </w:rPr>
        <w:t>人，回购注销的股票数量</w:t>
      </w:r>
      <w:r>
        <w:rPr>
          <w:rFonts w:ascii="Times New Roman" w:hAnsi="Times New Roman" w:cs="Times New Roman" w:eastAsia="Times New Roman" w:hint="default"/>
          <w:spacing w:val="-2"/>
        </w:rPr>
        <w:t>223,700</w:t>
      </w:r>
      <w:r>
        <w:rPr>
          <w:spacing w:val="-2"/>
        </w:rPr>
        <w:t>股。该部分限制性股票于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29</w:t>
      </w:r>
      <w:r>
        <w:rPr>
          <w:spacing w:val="-2"/>
        </w:rPr>
        <w:t>日在中国证</w:t>
      </w:r>
      <w:r>
        <w:rPr>
          <w:spacing w:val="-84"/>
        </w:rPr>
        <w:t> </w:t>
      </w:r>
      <w:r>
        <w:rPr>
          <w:spacing w:val="-84"/>
        </w:rPr>
      </w:r>
      <w:r>
        <w:rPr>
          <w:spacing w:val="-1"/>
        </w:rPr>
        <w:t>券登记结算有限责任公司深圳分公司完成回购注销手续。本次回购注销完成后，公司总股本由</w:t>
      </w:r>
      <w:r>
        <w:rPr>
          <w:rFonts w:ascii="Times New Roman" w:hAnsi="Times New Roman" w:cs="Times New Roman" w:eastAsia="Times New Roman" w:hint="default"/>
          <w:spacing w:val="-1"/>
        </w:rPr>
        <w:t>496,340,506</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31"/>
        </w:rPr>
      </w:r>
      <w:r>
        <w:rPr/>
        <w:t>股减至</w:t>
      </w:r>
      <w:r>
        <w:rPr>
          <w:rFonts w:ascii="Times New Roman" w:hAnsi="Times New Roman" w:cs="Times New Roman" w:eastAsia="Times New Roman" w:hint="default"/>
        </w:rPr>
        <w:t>496,116,806</w:t>
      </w:r>
      <w:r>
        <w:rPr/>
        <w:t>股。</w:t>
      </w:r>
    </w:p>
    <w:p>
      <w:pPr>
        <w:pStyle w:val="BodyText"/>
        <w:spacing w:line="386" w:lineRule="auto" w:before="35"/>
        <w:ind w:right="1161" w:firstLine="420"/>
        <w:jc w:val="both"/>
      </w:pPr>
      <w:r>
        <w:rPr>
          <w:rFonts w:ascii="Times New Roman" w:hAnsi="Times New Roman" w:cs="Times New Roman" w:eastAsia="Times New Roman" w:hint="default"/>
        </w:rPr>
        <w:t>10</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日，公司发布了《第二期限制性股票激励计划预留部分授予完成的公告》，公司完 成了向</w:t>
      </w:r>
      <w:r>
        <w:rPr>
          <w:rFonts w:ascii="Times New Roman" w:hAnsi="Times New Roman" w:cs="Times New Roman" w:eastAsia="Times New Roman" w:hint="default"/>
        </w:rPr>
        <w:t>101</w:t>
      </w:r>
      <w:r>
        <w:rPr/>
        <w:t>名激励对象授予第二期限制性股票激励计划预留部分</w:t>
      </w:r>
      <w:r>
        <w:rPr>
          <w:rFonts w:ascii="Times New Roman" w:hAnsi="Times New Roman" w:cs="Times New Roman" w:eastAsia="Times New Roman" w:hint="default"/>
        </w:rPr>
        <w:t>91.39</w:t>
      </w:r>
      <w:r>
        <w:rPr/>
        <w:t>万股股份的授予工作。该部分股份上 市日为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日，公司总股本由</w:t>
      </w:r>
      <w:r>
        <w:rPr>
          <w:rFonts w:ascii="Times New Roman" w:hAnsi="Times New Roman" w:cs="Times New Roman" w:eastAsia="Times New Roman" w:hint="default"/>
        </w:rPr>
        <w:t>496,116,806</w:t>
      </w:r>
      <w:r>
        <w:rPr/>
        <w:t>股增加至</w:t>
      </w:r>
      <w:r>
        <w:rPr>
          <w:rFonts w:ascii="Times New Roman" w:hAnsi="Times New Roman" w:cs="Times New Roman" w:eastAsia="Times New Roman" w:hint="default"/>
        </w:rPr>
        <w:t>497,030,706</w:t>
      </w:r>
      <w:r>
        <w:rPr/>
        <w:t>股。</w:t>
      </w:r>
    </w:p>
    <w:p>
      <w:pPr>
        <w:pStyle w:val="BodyText"/>
        <w:spacing w:line="398" w:lineRule="auto" w:before="35"/>
        <w:ind w:right="1129" w:firstLine="420"/>
        <w:jc w:val="both"/>
      </w:pPr>
      <w:r>
        <w:rPr>
          <w:rFonts w:ascii="Times New Roman" w:hAnsi="Times New Roman" w:cs="Times New Roman" w:eastAsia="Times New Roman" w:hint="default"/>
          <w:spacing w:val="-1"/>
        </w:rPr>
        <w:t>11</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11</w:t>
      </w:r>
      <w:r>
        <w:rPr>
          <w:spacing w:val="-1"/>
        </w:rPr>
        <w:t>日，公司召开第三届董事会第二十二次会议和第三届监事会第二十二次会议，审议</w:t>
      </w:r>
      <w:r>
        <w:rPr/>
        <w:t> </w:t>
      </w:r>
      <w:r>
        <w:rPr>
          <w:spacing w:val="-1"/>
        </w:rPr>
        <w:t>通过了《关于公司第二期限制性股票激励计划首次授予部分第一个解锁期解锁条件成就的议案》，本次解</w:t>
      </w:r>
      <w:r>
        <w:rPr>
          <w:spacing w:val="-83"/>
        </w:rPr>
        <w:t> </w:t>
      </w:r>
      <w:r>
        <w:rPr>
          <w:spacing w:val="-83"/>
        </w:rPr>
      </w:r>
      <w:r>
        <w:rPr/>
        <w:t>锁的激励对象共</w:t>
      </w:r>
      <w:r>
        <w:rPr>
          <w:rFonts w:ascii="Times New Roman" w:hAnsi="Times New Roman" w:cs="Times New Roman" w:eastAsia="Times New Roman" w:hint="default"/>
        </w:rPr>
        <w:t>449</w:t>
      </w:r>
      <w:r>
        <w:rPr/>
        <w:t>名，解锁的限制性股票数量为</w:t>
      </w:r>
      <w:r>
        <w:rPr>
          <w:rFonts w:ascii="Times New Roman" w:hAnsi="Times New Roman" w:cs="Times New Roman" w:eastAsia="Times New Roman" w:hint="default"/>
        </w:rPr>
        <w:t>3,515,760</w:t>
      </w:r>
      <w:r>
        <w:rPr/>
        <w:t>股。</w:t>
      </w:r>
    </w:p>
    <w:p>
      <w:pPr>
        <w:pStyle w:val="BodyText"/>
        <w:spacing w:line="386" w:lineRule="auto" w:before="24"/>
        <w:ind w:right="0" w:firstLine="420"/>
        <w:jc w:val="left"/>
      </w:pPr>
      <w:r>
        <w:rPr>
          <w:rFonts w:ascii="Times New Roman" w:hAnsi="Times New Roman" w:cs="Times New Roman" w:eastAsia="Times New Roman" w:hint="default"/>
          <w:spacing w:val="-1"/>
        </w:rPr>
        <w:t>12</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28</w:t>
      </w:r>
      <w:r>
        <w:rPr>
          <w:spacing w:val="-1"/>
        </w:rPr>
        <w:t>日，公司发布了《关于公司第二期限制性股票计划首次授予部分第一个解锁期解锁</w:t>
      </w:r>
      <w:r>
        <w:rPr/>
        <w:t> 股份上市流通的提示性公告》，第一个解锁期解锁的限制性股票</w:t>
      </w:r>
      <w:r>
        <w:rPr>
          <w:rFonts w:ascii="Times New Roman" w:hAnsi="Times New Roman" w:cs="Times New Roman" w:eastAsia="Times New Roman" w:hint="default"/>
        </w:rPr>
        <w:t>3,515,760</w:t>
      </w:r>
      <w:r>
        <w:rPr/>
        <w:t>股于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w:t>
      </w:r>
      <w:r>
        <w:rPr/>
        <w:t>日上市流通。</w:t>
      </w:r>
    </w:p>
    <w:p>
      <w:pPr>
        <w:pStyle w:val="BodyText"/>
        <w:spacing w:line="386" w:lineRule="auto" w:before="35"/>
        <w:ind w:left="153" w:right="0" w:firstLine="420"/>
        <w:jc w:val="left"/>
      </w:pPr>
      <w:r>
        <w:rPr>
          <w:rFonts w:ascii="Times New Roman" w:hAnsi="Times New Roman" w:cs="Times New Roman" w:eastAsia="Times New Roman" w:hint="default"/>
        </w:rPr>
        <w:t>13</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日，公司召开第三届董事会第二十五次会议和第三届监事会第二十五次会议，审议 </w:t>
      </w:r>
      <w:r>
        <w:rPr>
          <w:spacing w:val="-1"/>
        </w:rPr>
        <w:t>通过了《关于回购注销部分离职激励对象已获授尚未解锁的限制性股票的议案》，董事会决定对</w:t>
      </w:r>
      <w:r>
        <w:rPr>
          <w:rFonts w:ascii="Times New Roman" w:hAnsi="Times New Roman" w:cs="Times New Roman" w:eastAsia="Times New Roman" w:hint="default"/>
          <w:spacing w:val="-1"/>
        </w:rPr>
        <w:t>13</w:t>
      </w:r>
      <w:r>
        <w:rPr>
          <w:spacing w:val="-1"/>
        </w:rPr>
        <w:t>名离职</w:t>
      </w:r>
      <w:r>
        <w:rPr>
          <w:spacing w:val="-84"/>
        </w:rPr>
        <w:t> </w:t>
      </w:r>
      <w:r>
        <w:rPr>
          <w:spacing w:val="-84"/>
        </w:rPr>
      </w:r>
      <w:r>
        <w:rPr>
          <w:spacing w:val="-2"/>
        </w:rPr>
        <w:t>激励对象已获授尚未解锁的限制性股票共计</w:t>
      </w:r>
      <w:r>
        <w:rPr>
          <w:rFonts w:ascii="Times New Roman" w:hAnsi="Times New Roman" w:cs="Times New Roman" w:eastAsia="Times New Roman" w:hint="default"/>
          <w:spacing w:val="-2"/>
        </w:rPr>
        <w:t>153,720</w:t>
      </w:r>
      <w:r>
        <w:rPr>
          <w:spacing w:val="-2"/>
        </w:rPr>
        <w:t>股进行回购注销。其中首次授予部分</w:t>
      </w:r>
      <w:r>
        <w:rPr>
          <w:rFonts w:ascii="Times New Roman" w:hAnsi="Times New Roman" w:cs="Times New Roman" w:eastAsia="Times New Roman" w:hint="default"/>
          <w:spacing w:val="-2"/>
        </w:rPr>
        <w:t>10</w:t>
      </w:r>
      <w:r>
        <w:rPr>
          <w:spacing w:val="-2"/>
        </w:rPr>
        <w:t>名离职激励对象</w:t>
      </w:r>
      <w:r>
        <w:rPr>
          <w:spacing w:val="-85"/>
        </w:rPr>
        <w:t> </w:t>
      </w:r>
      <w:r>
        <w:rPr>
          <w:spacing w:val="-85"/>
        </w:rPr>
      </w:r>
      <w:r>
        <w:rPr>
          <w:spacing w:val="-1"/>
        </w:rPr>
        <w:t>持有的</w:t>
      </w:r>
      <w:r>
        <w:rPr>
          <w:rFonts w:ascii="Times New Roman" w:hAnsi="Times New Roman" w:cs="Times New Roman" w:eastAsia="Times New Roman" w:hint="default"/>
          <w:spacing w:val="-1"/>
        </w:rPr>
        <w:t>135,720</w:t>
      </w:r>
      <w:r>
        <w:rPr>
          <w:spacing w:val="-1"/>
        </w:rPr>
        <w:t>股，预留授予部分</w:t>
      </w:r>
      <w:r>
        <w:rPr>
          <w:rFonts w:ascii="Times New Roman" w:hAnsi="Times New Roman" w:cs="Times New Roman" w:eastAsia="Times New Roman" w:hint="default"/>
          <w:spacing w:val="-1"/>
        </w:rPr>
        <w:t>3</w:t>
      </w:r>
      <w:r>
        <w:rPr>
          <w:spacing w:val="-1"/>
        </w:rPr>
        <w:t>名离职激励对象持有的</w:t>
      </w:r>
      <w:r>
        <w:rPr>
          <w:rFonts w:ascii="Times New Roman" w:hAnsi="Times New Roman" w:cs="Times New Roman" w:eastAsia="Times New Roman" w:hint="default"/>
          <w:spacing w:val="-1"/>
        </w:rPr>
        <w:t>18,000</w:t>
      </w:r>
      <w:r>
        <w:rPr>
          <w:spacing w:val="-1"/>
        </w:rPr>
        <w:t>股。该部分限制性股票已于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15</w:t>
      </w:r>
      <w:r>
        <w:rPr>
          <w:spacing w:val="-1"/>
        </w:rPr>
        <w:t>日</w:t>
      </w:r>
      <w:r>
        <w:rPr>
          <w:spacing w:val="-83"/>
        </w:rPr>
        <w:t> </w:t>
      </w:r>
      <w:r>
        <w:rPr/>
        <w:t>在中国证券登记结算有限责任公司深圳分公司完成回购注销手续。</w:t>
      </w:r>
    </w:p>
    <w:p>
      <w:pPr>
        <w:pStyle w:val="BodyText"/>
        <w:spacing w:line="386" w:lineRule="auto" w:before="65"/>
        <w:ind w:left="153" w:right="0" w:firstLine="420"/>
        <w:jc w:val="left"/>
      </w:pPr>
      <w:r>
        <w:rPr>
          <w:rFonts w:ascii="Times New Roman" w:hAnsi="Times New Roman" w:cs="Times New Roman" w:eastAsia="Times New Roman" w:hint="default"/>
        </w:rPr>
        <w:t>14</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日，公司发布了《关于部分限制性股票回购注销完成的公告》，本次回购的限制性 </w:t>
      </w:r>
      <w:r>
        <w:rPr>
          <w:spacing w:val="-2"/>
        </w:rPr>
        <w:t>股票涉及股权激励对象</w:t>
      </w:r>
      <w:r>
        <w:rPr>
          <w:rFonts w:ascii="Times New Roman" w:hAnsi="Times New Roman" w:cs="Times New Roman" w:eastAsia="Times New Roman" w:hint="default"/>
          <w:spacing w:val="-2"/>
        </w:rPr>
        <w:t>17</w:t>
      </w:r>
      <w:r>
        <w:rPr>
          <w:spacing w:val="-2"/>
        </w:rPr>
        <w:t>人，回购注销的股票数量</w:t>
      </w:r>
      <w:r>
        <w:rPr>
          <w:rFonts w:ascii="Times New Roman" w:hAnsi="Times New Roman" w:cs="Times New Roman" w:eastAsia="Times New Roman" w:hint="default"/>
          <w:spacing w:val="-2"/>
        </w:rPr>
        <w:t>226,720</w:t>
      </w:r>
      <w:r>
        <w:rPr>
          <w:spacing w:val="-2"/>
        </w:rPr>
        <w:t>股。其中首次授予部分</w:t>
      </w:r>
      <w:r>
        <w:rPr>
          <w:rFonts w:ascii="Times New Roman" w:hAnsi="Times New Roman" w:cs="Times New Roman" w:eastAsia="Times New Roman" w:hint="default"/>
          <w:spacing w:val="-2"/>
        </w:rPr>
        <w:t>14</w:t>
      </w:r>
      <w:r>
        <w:rPr>
          <w:spacing w:val="-2"/>
        </w:rPr>
        <w:t>名离职对象持有已授予</w:t>
      </w:r>
      <w:r>
        <w:rPr>
          <w:spacing w:val="-88"/>
        </w:rPr>
        <w:t> </w:t>
      </w:r>
      <w:r>
        <w:rPr>
          <w:spacing w:val="-88"/>
        </w:rPr>
      </w:r>
      <w:r>
        <w:rPr/>
        <w:t>尚未解锁的限制性股票</w:t>
      </w:r>
      <w:r>
        <w:rPr>
          <w:rFonts w:ascii="Times New Roman" w:hAnsi="Times New Roman" w:cs="Times New Roman" w:eastAsia="Times New Roman" w:hint="default"/>
        </w:rPr>
        <w:t>208,720</w:t>
      </w:r>
      <w:r>
        <w:rPr/>
        <w:t>股，预留授予部分</w:t>
      </w:r>
      <w:r>
        <w:rPr>
          <w:rFonts w:ascii="Times New Roman" w:hAnsi="Times New Roman" w:cs="Times New Roman" w:eastAsia="Times New Roman" w:hint="default"/>
        </w:rPr>
        <w:t>3</w:t>
      </w:r>
      <w:r>
        <w:rPr/>
        <w:t>名离职激励对象持有已授予尚未解锁的限制性股票 </w:t>
      </w:r>
      <w:r>
        <w:rPr>
          <w:rFonts w:ascii="Times New Roman" w:hAnsi="Times New Roman" w:cs="Times New Roman" w:eastAsia="Times New Roman" w:hint="default"/>
          <w:spacing w:val="-2"/>
        </w:rPr>
        <w:t>18,000</w:t>
      </w:r>
      <w:r>
        <w:rPr>
          <w:spacing w:val="-2"/>
        </w:rPr>
        <w:t>股，该部分限制性股票于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15</w:t>
      </w:r>
      <w:r>
        <w:rPr>
          <w:spacing w:val="-2"/>
        </w:rPr>
        <w:t>日在中国证券登记结算有限责任公司深圳分公司完成回购注销</w:t>
      </w:r>
      <w:r>
        <w:rPr>
          <w:spacing w:val="-83"/>
        </w:rPr>
        <w:t> </w:t>
      </w:r>
      <w:r>
        <w:rPr>
          <w:spacing w:val="-83"/>
        </w:rPr>
      </w:r>
      <w:r>
        <w:rPr/>
        <w:t>手续。本次回购注销完成后，公司总股本由</w:t>
      </w:r>
      <w:r>
        <w:rPr>
          <w:rFonts w:ascii="Times New Roman" w:hAnsi="Times New Roman" w:cs="Times New Roman" w:eastAsia="Times New Roman" w:hint="default"/>
        </w:rPr>
        <w:t>497,030,706</w:t>
      </w:r>
      <w:r>
        <w:rPr/>
        <w:t>股减至</w:t>
      </w:r>
      <w:r>
        <w:rPr>
          <w:rFonts w:ascii="Times New Roman" w:hAnsi="Times New Roman" w:cs="Times New Roman" w:eastAsia="Times New Roman" w:hint="default"/>
        </w:rPr>
        <w:t>496,803,986</w:t>
      </w:r>
      <w:r>
        <w:rPr/>
        <w:t>股。</w:t>
      </w:r>
    </w:p>
    <w:p>
      <w:pPr>
        <w:pStyle w:val="BodyText"/>
        <w:spacing w:line="386" w:lineRule="auto" w:before="35"/>
        <w:ind w:left="153" w:right="0" w:firstLine="419"/>
        <w:jc w:val="left"/>
      </w:pP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日实施</w:t>
      </w:r>
      <w:r>
        <w:rPr>
          <w:rFonts w:ascii="Times New Roman" w:hAnsi="Times New Roman" w:cs="Times New Roman" w:eastAsia="Times New Roman" w:hint="default"/>
        </w:rPr>
        <w:t>2017</w:t>
      </w:r>
      <w:r>
        <w:rPr/>
        <w:t>年年度权益分派，以公司总股本</w:t>
      </w:r>
      <w:r>
        <w:rPr>
          <w:rFonts w:ascii="Times New Roman" w:hAnsi="Times New Roman" w:cs="Times New Roman" w:eastAsia="Times New Roman" w:hint="default"/>
        </w:rPr>
        <w:t>496,803,986</w:t>
      </w:r>
      <w:r>
        <w:rPr/>
        <w:t>股为基数，向全体股东每 </w:t>
      </w:r>
      <w:r>
        <w:rPr>
          <w:rFonts w:ascii="Times New Roman" w:hAnsi="Times New Roman" w:cs="Times New Roman" w:eastAsia="Times New Roman" w:hint="default"/>
          <w:spacing w:val="-1"/>
        </w:rPr>
        <w:t>10</w:t>
      </w:r>
      <w:r>
        <w:rPr>
          <w:spacing w:val="-1"/>
        </w:rPr>
        <w:t>股派人民币现金</w:t>
      </w:r>
      <w:r>
        <w:rPr>
          <w:rFonts w:ascii="Times New Roman" w:hAnsi="Times New Roman" w:cs="Times New Roman" w:eastAsia="Times New Roman" w:hint="default"/>
          <w:spacing w:val="-1"/>
        </w:rPr>
        <w:t>2</w:t>
      </w:r>
      <w:r>
        <w:rPr>
          <w:spacing w:val="-1"/>
        </w:rPr>
        <w:t>元（含税），同时以资本公积金向全体股东每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6</w:t>
      </w:r>
      <w:r>
        <w:rPr>
          <w:spacing w:val="-1"/>
        </w:rPr>
        <w:t>股，权益分派实施后，公司总</w:t>
      </w:r>
      <w:r>
        <w:rPr>
          <w:spacing w:val="-84"/>
        </w:rPr>
        <w:t> </w:t>
      </w:r>
      <w:r>
        <w:rPr>
          <w:spacing w:val="-84"/>
        </w:rPr>
      </w:r>
      <w:r>
        <w:rPr/>
        <w:t>股本由</w:t>
      </w:r>
      <w:r>
        <w:rPr>
          <w:rFonts w:ascii="Times New Roman" w:hAnsi="Times New Roman" w:cs="Times New Roman" w:eastAsia="Times New Roman" w:hint="default"/>
        </w:rPr>
        <w:t>496,803,986</w:t>
      </w:r>
      <w:r>
        <w:rPr/>
        <w:t>股增加至</w:t>
      </w:r>
      <w:r>
        <w:rPr>
          <w:rFonts w:ascii="Times New Roman" w:hAnsi="Times New Roman" w:cs="Times New Roman" w:eastAsia="Times New Roman" w:hint="default"/>
        </w:rPr>
        <w:t>794,886,377</w:t>
      </w:r>
      <w:r>
        <w:rPr/>
        <w:t>股。</w:t>
      </w:r>
    </w:p>
    <w:p>
      <w:pPr>
        <w:spacing w:after="0" w:line="386"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386" w:lineRule="auto" w:before="174"/>
        <w:ind w:left="153" w:right="0" w:firstLine="420"/>
        <w:jc w:val="left"/>
      </w:pPr>
      <w:r>
        <w:rPr>
          <w:rFonts w:ascii="Times New Roman" w:hAnsi="Times New Roman" w:cs="Times New Roman" w:eastAsia="Times New Roman" w:hint="default"/>
          <w:spacing w:val="-5"/>
        </w:rPr>
        <w:t>15</w:t>
      </w:r>
      <w:r>
        <w:rPr>
          <w:spacing w:val="-5"/>
        </w:rPr>
        <w:t>、</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10</w:t>
      </w:r>
      <w:r>
        <w:rPr>
          <w:spacing w:val="-5"/>
        </w:rPr>
        <w:t>月</w:t>
      </w:r>
      <w:r>
        <w:rPr>
          <w:rFonts w:ascii="Times New Roman" w:hAnsi="Times New Roman" w:cs="Times New Roman" w:eastAsia="Times New Roman" w:hint="default"/>
          <w:spacing w:val="-5"/>
        </w:rPr>
        <w:t>24</w:t>
      </w:r>
      <w:r>
        <w:rPr>
          <w:spacing w:val="-5"/>
        </w:rPr>
        <w:t>日，公司召开第四届董事会第二次会议和第四届监事会第二次会议，审议通过了《关</w:t>
      </w:r>
      <w:r>
        <w:rPr/>
        <w:t> 于回购注销部分离职激励对象已获授尚未解锁的限制性股票的议案》。决定对李</w:t>
      </w:r>
      <w:r>
        <w:rPr>
          <w:rFonts w:ascii="Times New Roman" w:hAnsi="Times New Roman" w:cs="Times New Roman" w:eastAsia="Times New Roman" w:hint="default"/>
        </w:rPr>
        <w:t>7</w:t>
      </w:r>
      <w:r>
        <w:rPr/>
        <w:t>名已离职原激励对象获 授的限制性股票共计 </w:t>
      </w:r>
      <w:r>
        <w:rPr>
          <w:rFonts w:ascii="Times New Roman" w:hAnsi="Times New Roman" w:cs="Times New Roman" w:eastAsia="Times New Roman" w:hint="default"/>
        </w:rPr>
        <w:t>53,568</w:t>
      </w:r>
      <w:r>
        <w:rPr>
          <w:rFonts w:ascii="Times New Roman" w:hAnsi="Times New Roman" w:cs="Times New Roman" w:eastAsia="Times New Roman" w:hint="default"/>
          <w:spacing w:val="4"/>
        </w:rPr>
        <w:t> </w:t>
      </w:r>
      <w:r>
        <w:rPr/>
        <w:t>股进行回购注销。</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13</w:t>
      </w:r>
      <w:r>
        <w:rPr/>
        <w:t>日，公司召开</w:t>
      </w:r>
      <w:r>
        <w:rPr>
          <w:rFonts w:ascii="Times New Roman" w:hAnsi="Times New Roman" w:cs="Times New Roman" w:eastAsia="Times New Roman" w:hint="default"/>
        </w:rPr>
        <w:t>2018</w:t>
      </w:r>
      <w:r>
        <w:rPr/>
        <w:t>年第二次临时股东大会， </w:t>
      </w:r>
      <w:r>
        <w:rPr>
          <w:spacing w:val="-1"/>
        </w:rPr>
        <w:t>审议通过了上述股份回购注销事项。该部分限制性股票已于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w:t>
      </w:r>
      <w:r>
        <w:rPr>
          <w:spacing w:val="-1"/>
        </w:rPr>
        <w:t>日在中国证券登记结算有限责任公</w:t>
      </w:r>
      <w:r>
        <w:rPr>
          <w:spacing w:val="-85"/>
        </w:rPr>
        <w:t> </w:t>
      </w:r>
      <w:r>
        <w:rPr>
          <w:spacing w:val="-85"/>
        </w:rPr>
      </w:r>
      <w:r>
        <w:rPr/>
        <w:t>司深圳分公司完成回购注销手续。</w:t>
      </w:r>
    </w:p>
    <w:p>
      <w:pPr>
        <w:pStyle w:val="BodyText"/>
        <w:spacing w:line="391" w:lineRule="auto" w:before="65"/>
        <w:ind w:left="153" w:right="0" w:firstLine="420"/>
        <w:jc w:val="left"/>
      </w:pPr>
      <w:r>
        <w:rPr>
          <w:rFonts w:ascii="Times New Roman" w:hAnsi="Times New Roman" w:cs="Times New Roman" w:eastAsia="Times New Roman" w:hint="default"/>
          <w:spacing w:val="-5"/>
        </w:rPr>
        <w:t>16</w:t>
      </w:r>
      <w:r>
        <w:rPr>
          <w:spacing w:val="-5"/>
        </w:rPr>
        <w:t>、</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13</w:t>
      </w:r>
      <w:r>
        <w:rPr>
          <w:spacing w:val="-5"/>
        </w:rPr>
        <w:t>日，公司召开第四届董事会第四次会议和第四届监事会第四次会议，审议通过了《关</w:t>
      </w:r>
      <w:r>
        <w:rPr/>
        <w:t> 于公司第二期限制性股票激励计划首次授予部分第二个解锁期及预留授予部分第一个解锁期解锁条件成 就的议案》，本次解锁的激励对象共</w:t>
      </w:r>
      <w:r>
        <w:rPr>
          <w:rFonts w:ascii="Times New Roman" w:hAnsi="Times New Roman" w:cs="Times New Roman" w:eastAsia="Times New Roman" w:hint="default"/>
        </w:rPr>
        <w:t>530</w:t>
      </w:r>
      <w:r>
        <w:rPr/>
        <w:t>名，解锁的限制性股票数量为</w:t>
      </w:r>
      <w:r>
        <w:rPr>
          <w:rFonts w:ascii="Times New Roman" w:hAnsi="Times New Roman" w:cs="Times New Roman" w:eastAsia="Times New Roman" w:hint="default"/>
        </w:rPr>
        <w:t>4,800,272</w:t>
      </w:r>
      <w:r>
        <w:rPr/>
        <w:t>股，其中首次授予部分第 二个解除限售期期解锁条件的激励对象共计有</w:t>
      </w:r>
      <w:r>
        <w:rPr>
          <w:rFonts w:ascii="Times New Roman" w:hAnsi="Times New Roman" w:cs="Times New Roman" w:eastAsia="Times New Roman" w:hint="default"/>
        </w:rPr>
        <w:t>436</w:t>
      </w:r>
      <w:r>
        <w:rPr/>
        <w:t>人，解锁的限制性股票数量为</w:t>
      </w:r>
      <w:r>
        <w:rPr>
          <w:rFonts w:ascii="Times New Roman" w:hAnsi="Times New Roman" w:cs="Times New Roman" w:eastAsia="Times New Roman" w:hint="default"/>
        </w:rPr>
        <w:t>4,098,912</w:t>
      </w:r>
      <w:r>
        <w:rPr/>
        <w:t>股；预留授予部 分第一个解除限售期期解锁条件的激励对象共计有</w:t>
      </w:r>
      <w:r>
        <w:rPr>
          <w:rFonts w:ascii="Times New Roman" w:hAnsi="Times New Roman" w:cs="Times New Roman" w:eastAsia="Times New Roman" w:hint="default"/>
        </w:rPr>
        <w:t>94</w:t>
      </w:r>
      <w:r>
        <w:rPr/>
        <w:t>名，解锁的限制性股票数量为</w:t>
      </w:r>
      <w:r>
        <w:rPr>
          <w:rFonts w:ascii="Times New Roman" w:hAnsi="Times New Roman" w:cs="Times New Roman" w:eastAsia="Times New Roman" w:hint="default"/>
        </w:rPr>
        <w:t>701,360</w:t>
      </w:r>
      <w:r>
        <w:rPr/>
        <w:t>股。</w:t>
      </w:r>
    </w:p>
    <w:p>
      <w:pPr>
        <w:pStyle w:val="BodyText"/>
        <w:spacing w:line="391" w:lineRule="auto" w:before="30"/>
        <w:ind w:left="153" w:right="1131" w:firstLine="420"/>
        <w:jc w:val="both"/>
      </w:pPr>
      <w:r>
        <w:rPr>
          <w:rFonts w:ascii="Times New Roman" w:hAnsi="Times New Roman" w:cs="Times New Roman" w:eastAsia="Times New Roman" w:hint="default"/>
          <w:spacing w:val="-1"/>
        </w:rPr>
        <w:t>17</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28</w:t>
      </w:r>
      <w:r>
        <w:rPr>
          <w:spacing w:val="-1"/>
        </w:rPr>
        <w:t>日，公司发布了《关于公司第二期限制性股票激励计划首次授予部分第二个解锁期</w:t>
      </w:r>
      <w:r>
        <w:rPr/>
        <w:t> </w:t>
      </w:r>
      <w:r>
        <w:rPr>
          <w:spacing w:val="-1"/>
        </w:rPr>
        <w:t>解锁股份上市流通的提示性公告》和《关于公司第二期限制性股票激励计划预留授予部分第一个解锁期解</w:t>
      </w:r>
      <w:r>
        <w:rPr>
          <w:spacing w:val="-81"/>
        </w:rPr>
        <w:t> </w:t>
      </w:r>
      <w:r>
        <w:rPr>
          <w:spacing w:val="-81"/>
        </w:rPr>
      </w:r>
      <w:r>
        <w:rPr>
          <w:spacing w:val="-1"/>
        </w:rPr>
        <w:t>锁股份上市流通的提示性公告》，解锁的限制性股票于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3</w:t>
      </w:r>
      <w:r>
        <w:rPr>
          <w:spacing w:val="-1"/>
        </w:rPr>
        <w:t>日上市流通。解锁的限制性股票上市流</w:t>
      </w:r>
      <w:r>
        <w:rPr>
          <w:spacing w:val="-86"/>
        </w:rPr>
        <w:t> </w:t>
      </w:r>
      <w:r>
        <w:rPr>
          <w:spacing w:val="-86"/>
        </w:rPr>
      </w:r>
      <w:r>
        <w:rPr>
          <w:spacing w:val="-1"/>
        </w:rPr>
        <w:t>通后，已授予尚未解锁的限制性股票数量调整为</w:t>
      </w:r>
      <w:r>
        <w:rPr>
          <w:rFonts w:ascii="Times New Roman" w:hAnsi="Times New Roman" w:cs="Times New Roman" w:eastAsia="Times New Roman" w:hint="default"/>
          <w:spacing w:val="-1"/>
        </w:rPr>
        <w:t>4,853,840</w:t>
      </w:r>
      <w:r>
        <w:rPr>
          <w:spacing w:val="-1"/>
        </w:rPr>
        <w:t>股，其中首次授予部分已授予尚未解锁的限制性</w:t>
      </w:r>
      <w:r>
        <w:rPr>
          <w:spacing w:val="-81"/>
        </w:rPr>
        <w:t> </w:t>
      </w:r>
      <w:r>
        <w:rPr>
          <w:spacing w:val="-81"/>
        </w:rPr>
      </w:r>
      <w:r>
        <w:rPr/>
        <w:t>股票调整为</w:t>
      </w:r>
      <w:r>
        <w:rPr>
          <w:rFonts w:ascii="Times New Roman" w:hAnsi="Times New Roman" w:cs="Times New Roman" w:eastAsia="Times New Roman" w:hint="default"/>
        </w:rPr>
        <w:t>4,121,760</w:t>
      </w:r>
      <w:r>
        <w:rPr/>
        <w:t>股，预留授予部分已授予尚未解锁的限制性股票调整为</w:t>
      </w:r>
      <w:r>
        <w:rPr>
          <w:rFonts w:ascii="Times New Roman" w:hAnsi="Times New Roman" w:cs="Times New Roman" w:eastAsia="Times New Roman" w:hint="default"/>
        </w:rPr>
        <w:t>732,080</w:t>
      </w:r>
      <w:r>
        <w:rPr/>
        <w:t>股。</w:t>
      </w:r>
    </w:p>
    <w:p>
      <w:pPr>
        <w:pStyle w:val="BodyText"/>
        <w:spacing w:line="386" w:lineRule="auto" w:before="30"/>
        <w:ind w:left="153" w:right="1117" w:firstLine="420"/>
        <w:jc w:val="left"/>
      </w:pPr>
      <w:r>
        <w:rPr>
          <w:rFonts w:ascii="Times New Roman" w:hAnsi="Times New Roman" w:cs="Times New Roman" w:eastAsia="Times New Roman" w:hint="default"/>
          <w:spacing w:val="-1"/>
        </w:rPr>
        <w:t>18</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w:t>
      </w:r>
      <w:r>
        <w:rPr>
          <w:spacing w:val="-1"/>
        </w:rPr>
        <w:t>日，公司发布了《关于部分限制性股票回购注销完成的公告》，本次回购注销的限制</w:t>
      </w:r>
      <w:r>
        <w:rPr/>
        <w:t> </w:t>
      </w:r>
      <w:r>
        <w:rPr>
          <w:spacing w:val="-1"/>
        </w:rPr>
        <w:t>性股票涉及股权激励对象</w:t>
      </w:r>
      <w:r>
        <w:rPr>
          <w:rFonts w:ascii="Times New Roman" w:hAnsi="Times New Roman" w:cs="Times New Roman" w:eastAsia="Times New Roman" w:hint="default"/>
          <w:spacing w:val="-1"/>
        </w:rPr>
        <w:t>7</w:t>
      </w:r>
      <w:r>
        <w:rPr>
          <w:spacing w:val="-1"/>
        </w:rPr>
        <w:t>人，回购注销的股票数量</w:t>
      </w:r>
      <w:r>
        <w:rPr>
          <w:rFonts w:ascii="Times New Roman" w:hAnsi="Times New Roman" w:cs="Times New Roman" w:eastAsia="Times New Roman" w:hint="default"/>
          <w:spacing w:val="-1"/>
        </w:rPr>
        <w:t>53,568</w:t>
      </w:r>
      <w:r>
        <w:rPr>
          <w:spacing w:val="-1"/>
        </w:rPr>
        <w:t>股。其中首次授予的限制性股票</w:t>
      </w:r>
      <w:r>
        <w:rPr>
          <w:rFonts w:ascii="Times New Roman" w:hAnsi="Times New Roman" w:cs="Times New Roman" w:eastAsia="Times New Roman" w:hint="default"/>
          <w:spacing w:val="-1"/>
        </w:rPr>
        <w:t>22,848</w:t>
      </w:r>
      <w:r>
        <w:rPr>
          <w:spacing w:val="-1"/>
        </w:rPr>
        <w:t>股，预留</w:t>
      </w:r>
      <w:r>
        <w:rPr>
          <w:spacing w:val="-85"/>
        </w:rPr>
        <w:t> </w:t>
      </w:r>
      <w:r>
        <w:rPr>
          <w:spacing w:val="-85"/>
        </w:rPr>
      </w:r>
      <w:r>
        <w:rPr/>
        <w:t>部分授予的限制性股票</w:t>
      </w:r>
      <w:r>
        <w:rPr>
          <w:rFonts w:ascii="Times New Roman" w:hAnsi="Times New Roman" w:cs="Times New Roman" w:eastAsia="Times New Roman" w:hint="default"/>
        </w:rPr>
        <w:t>30,720</w:t>
      </w:r>
      <w:r>
        <w:rPr/>
        <w:t>股。公司于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w:t>
      </w:r>
      <w:r>
        <w:rPr/>
        <w:t>日在中国证券登记结算有限责任公司深圳分公司完成 回购注销手续。本次回购注销完成后，公司总股本由</w:t>
      </w:r>
      <w:r>
        <w:rPr>
          <w:rFonts w:ascii="Times New Roman" w:hAnsi="Times New Roman" w:cs="Times New Roman" w:eastAsia="Times New Roman" w:hint="default"/>
        </w:rPr>
        <w:t>794,886,377</w:t>
      </w:r>
      <w:r>
        <w:rPr/>
        <w:t>股减至</w:t>
      </w:r>
      <w:r>
        <w:rPr>
          <w:rFonts w:ascii="Times New Roman" w:hAnsi="Times New Roman" w:cs="Times New Roman" w:eastAsia="Times New Roman" w:hint="default"/>
        </w:rPr>
        <w:t>794,832,809</w:t>
      </w:r>
      <w:r>
        <w:rPr/>
        <w:t>股。</w:t>
      </w:r>
      <w:r>
        <w:rPr>
          <w:spacing w:val="-2"/>
        </w:rPr>
        <w:t> </w:t>
      </w:r>
      <w:r>
        <w:rPr/>
        <w:t>公司需遵守《深圳证券交易所行业信息披露指引第</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 披露要求</w:t>
      </w:r>
    </w:p>
    <w:p>
      <w:pPr>
        <w:pStyle w:val="BodyText"/>
        <w:spacing w:line="408" w:lineRule="auto" w:before="65"/>
        <w:ind w:right="0" w:firstLine="525"/>
        <w:jc w:val="left"/>
      </w:pPr>
      <w:r>
        <w:rPr>
          <w:spacing w:val="-1"/>
        </w:rPr>
        <w:t>报告期公司实施股权激励计提的费用为1,184.46万元，影响公司利润总额1,184.46万元，其中研发 </w:t>
      </w:r>
      <w:r>
        <w:rPr/>
        <w:t>费用里面的股权激励费用是386.41万，占当期计提股权激励费用的32.62&amp;。</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9"/>
        <w:gridCol w:w="476"/>
        <w:gridCol w:w="992"/>
        <w:gridCol w:w="851"/>
        <w:gridCol w:w="568"/>
        <w:gridCol w:w="523"/>
        <w:gridCol w:w="674"/>
        <w:gridCol w:w="674"/>
        <w:gridCol w:w="673"/>
        <w:gridCol w:w="432"/>
        <w:gridCol w:w="566"/>
        <w:gridCol w:w="568"/>
        <w:gridCol w:w="708"/>
        <w:gridCol w:w="1063"/>
      </w:tblGrid>
      <w:tr>
        <w:trPr>
          <w:trHeight w:val="1298" w:hRule="exact"/>
        </w:trPr>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6"/>
                <w:szCs w:val="26"/>
              </w:rPr>
            </w:pPr>
          </w:p>
          <w:p>
            <w:pPr>
              <w:pStyle w:val="TableParagraph"/>
              <w:spacing w:line="316" w:lineRule="auto"/>
              <w:ind w:left="303" w:right="35"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6"/>
                <w:szCs w:val="26"/>
              </w:rPr>
            </w:pPr>
          </w:p>
          <w:p>
            <w:pPr>
              <w:pStyle w:val="TableParagraph"/>
              <w:spacing w:line="316" w:lineRule="auto"/>
              <w:ind w:left="52" w:right="53"/>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6"/>
                <w:szCs w:val="26"/>
              </w:rPr>
            </w:pPr>
          </w:p>
          <w:p>
            <w:pPr>
              <w:pStyle w:val="TableParagraph"/>
              <w:spacing w:line="316" w:lineRule="auto"/>
              <w:ind w:left="401" w:right="38" w:hanging="360"/>
              <w:jc w:val="left"/>
              <w:rPr>
                <w:rFonts w:ascii="宋体" w:hAnsi="宋体" w:cs="宋体" w:eastAsia="宋体" w:hint="default"/>
                <w:sz w:val="18"/>
                <w:szCs w:val="18"/>
              </w:rPr>
            </w:pPr>
            <w:r>
              <w:rPr>
                <w:rFonts w:ascii="宋体" w:hAnsi="宋体" w:cs="宋体" w:eastAsia="宋体" w:hint="default"/>
                <w:sz w:val="18"/>
                <w:szCs w:val="18"/>
              </w:rPr>
              <w:t>关联交易类 型</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6"/>
                <w:szCs w:val="26"/>
              </w:rPr>
            </w:pPr>
          </w:p>
          <w:p>
            <w:pPr>
              <w:pStyle w:val="TableParagraph"/>
              <w:spacing w:line="316" w:lineRule="auto"/>
              <w:ind w:left="239" w:right="59"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8" w:right="97"/>
              <w:jc w:val="both"/>
              <w:rPr>
                <w:rFonts w:ascii="宋体" w:hAnsi="宋体" w:cs="宋体" w:eastAsia="宋体" w:hint="default"/>
                <w:sz w:val="18"/>
                <w:szCs w:val="18"/>
              </w:rPr>
            </w:pPr>
            <w:r>
              <w:rPr>
                <w:rFonts w:ascii="宋体" w:hAnsi="宋体" w:cs="宋体" w:eastAsia="宋体" w:hint="default"/>
                <w:sz w:val="18"/>
                <w:szCs w:val="18"/>
              </w:rPr>
              <w:t>关联 交易 定价</w:t>
            </w:r>
          </w:p>
        </w:tc>
        <w:tc>
          <w:tcPr>
            <w:tcW w:w="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关联 交易 价格</w:t>
            </w: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2" w:right="60"/>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240" w:lineRule="auto" w:before="19"/>
              <w:ind w:left="152" w:right="0"/>
              <w:jc w:val="left"/>
              <w:rPr>
                <w:rFonts w:ascii="宋体" w:hAnsi="宋体" w:cs="宋体" w:eastAsia="宋体" w:hint="default"/>
                <w:sz w:val="18"/>
                <w:szCs w:val="18"/>
              </w:rPr>
            </w:pPr>
            <w:r>
              <w:rPr>
                <w:rFonts w:ascii="宋体" w:hAnsi="宋体" w:cs="宋体" w:eastAsia="宋体" w:hint="default"/>
                <w:sz w:val="18"/>
                <w:szCs w:val="18"/>
              </w:rPr>
              <w:t>（万</w:t>
            </w: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1" w:right="61"/>
              <w:jc w:val="both"/>
              <w:rPr>
                <w:rFonts w:ascii="宋体" w:hAnsi="宋体" w:cs="宋体" w:eastAsia="宋体" w:hint="default"/>
                <w:sz w:val="18"/>
                <w:szCs w:val="18"/>
              </w:rPr>
            </w:pPr>
            <w:r>
              <w:rPr>
                <w:rFonts w:ascii="宋体" w:hAnsi="宋体" w:cs="宋体" w:eastAsia="宋体" w:hint="default"/>
                <w:sz w:val="18"/>
                <w:szCs w:val="18"/>
              </w:rPr>
              <w:t>占同类 交易金 额的比</w:t>
            </w:r>
          </w:p>
        </w:tc>
        <w:tc>
          <w:tcPr>
            <w:tcW w:w="6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1" w:right="60"/>
              <w:jc w:val="both"/>
              <w:rPr>
                <w:rFonts w:ascii="宋体" w:hAnsi="宋体" w:cs="宋体" w:eastAsia="宋体" w:hint="default"/>
                <w:sz w:val="18"/>
                <w:szCs w:val="18"/>
              </w:rPr>
            </w:pPr>
            <w:r>
              <w:rPr>
                <w:rFonts w:ascii="宋体" w:hAnsi="宋体" w:cs="宋体" w:eastAsia="宋体" w:hint="default"/>
                <w:sz w:val="18"/>
                <w:szCs w:val="18"/>
              </w:rPr>
              <w:t>获批的 交易额 度（万</w:t>
            </w:r>
          </w:p>
        </w:tc>
        <w:tc>
          <w:tcPr>
            <w:tcW w:w="4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1" w:right="29"/>
              <w:jc w:val="both"/>
              <w:rPr>
                <w:rFonts w:ascii="宋体" w:hAnsi="宋体" w:cs="宋体" w:eastAsia="宋体" w:hint="default"/>
                <w:sz w:val="18"/>
                <w:szCs w:val="18"/>
              </w:rPr>
            </w:pPr>
            <w:r>
              <w:rPr>
                <w:rFonts w:ascii="宋体" w:hAnsi="宋体" w:cs="宋体" w:eastAsia="宋体" w:hint="default"/>
                <w:sz w:val="18"/>
                <w:szCs w:val="18"/>
              </w:rPr>
              <w:t>是否 超过 获批</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8" w:right="96"/>
              <w:jc w:val="both"/>
              <w:rPr>
                <w:rFonts w:ascii="宋体" w:hAnsi="宋体" w:cs="宋体" w:eastAsia="宋体" w:hint="default"/>
                <w:sz w:val="18"/>
                <w:szCs w:val="18"/>
              </w:rPr>
            </w:pPr>
            <w:r>
              <w:rPr>
                <w:rFonts w:ascii="宋体" w:hAnsi="宋体" w:cs="宋体" w:eastAsia="宋体" w:hint="default"/>
                <w:sz w:val="18"/>
                <w:szCs w:val="18"/>
              </w:rPr>
              <w:t>关联 交易 结算</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8" w:right="97"/>
              <w:jc w:val="both"/>
              <w:rPr>
                <w:rFonts w:ascii="宋体" w:hAnsi="宋体" w:cs="宋体" w:eastAsia="宋体" w:hint="default"/>
                <w:sz w:val="18"/>
                <w:szCs w:val="18"/>
              </w:rPr>
            </w:pPr>
            <w:r>
              <w:rPr>
                <w:rFonts w:ascii="宋体" w:hAnsi="宋体" w:cs="宋体" w:eastAsia="宋体" w:hint="default"/>
                <w:sz w:val="18"/>
                <w:szCs w:val="18"/>
              </w:rPr>
              <w:t>可获 得的 同类 交易</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6"/>
                <w:szCs w:val="26"/>
              </w:rPr>
            </w:pPr>
          </w:p>
          <w:p>
            <w:pPr>
              <w:pStyle w:val="TableParagraph"/>
              <w:spacing w:line="316" w:lineRule="auto"/>
              <w:ind w:left="257" w:right="78"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9"/>
        <w:gridCol w:w="476"/>
        <w:gridCol w:w="992"/>
        <w:gridCol w:w="851"/>
        <w:gridCol w:w="568"/>
        <w:gridCol w:w="523"/>
        <w:gridCol w:w="674"/>
        <w:gridCol w:w="674"/>
        <w:gridCol w:w="673"/>
        <w:gridCol w:w="432"/>
        <w:gridCol w:w="566"/>
        <w:gridCol w:w="568"/>
        <w:gridCol w:w="708"/>
        <w:gridCol w:w="1063"/>
      </w:tblGrid>
      <w:tr>
        <w:trPr>
          <w:trHeight w:val="362" w:hRule="exact"/>
        </w:trPr>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7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原则</w:t>
            </w:r>
          </w:p>
        </w:tc>
        <w:tc>
          <w:tcPr>
            <w:tcW w:w="52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6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50"/>
              <w:jc w:val="right"/>
              <w:rPr>
                <w:rFonts w:ascii="宋体" w:hAnsi="宋体" w:cs="宋体" w:eastAsia="宋体" w:hint="default"/>
                <w:sz w:val="18"/>
                <w:szCs w:val="18"/>
              </w:rPr>
            </w:pPr>
            <w:r>
              <w:rPr>
                <w:rFonts w:ascii="宋体" w:hAnsi="宋体" w:cs="宋体" w:eastAsia="宋体" w:hint="default"/>
                <w:sz w:val="18"/>
                <w:szCs w:val="18"/>
              </w:rPr>
              <w:t>元）</w:t>
            </w:r>
          </w:p>
        </w:tc>
        <w:tc>
          <w:tcPr>
            <w:tcW w:w="4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额度</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方式</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市价</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57" w:hRule="exact"/>
        </w:trPr>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杭州攀克</w:t>
            </w:r>
          </w:p>
        </w:tc>
        <w:tc>
          <w:tcPr>
            <w:tcW w:w="476"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523"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3" w:type="dxa"/>
            <w:tcBorders>
              <w:top w:val="single" w:sz="4" w:space="0" w:color="000000"/>
              <w:left w:val="single" w:sz="4" w:space="0" w:color="000000"/>
              <w:bottom w:val="nil" w:sz="6" w:space="0" w:color="auto"/>
              <w:right w:val="single" w:sz="4" w:space="0" w:color="000000"/>
            </w:tcBorders>
          </w:tcPr>
          <w:p>
            <w:pPr/>
          </w:p>
        </w:tc>
        <w:tc>
          <w:tcPr>
            <w:tcW w:w="432"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r>
      <w:tr>
        <w:trPr>
          <w:trHeight w:val="936"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33" w:right="35"/>
              <w:jc w:val="both"/>
              <w:rPr>
                <w:rFonts w:ascii="宋体" w:hAnsi="宋体" w:cs="宋体" w:eastAsia="宋体" w:hint="default"/>
                <w:sz w:val="18"/>
                <w:szCs w:val="18"/>
              </w:rPr>
            </w:pPr>
            <w:r>
              <w:rPr>
                <w:rFonts w:ascii="宋体" w:hAnsi="宋体" w:cs="宋体" w:eastAsia="宋体" w:hint="default"/>
                <w:sz w:val="18"/>
                <w:szCs w:val="18"/>
              </w:rPr>
              <w:t>网络技术 有限公司 及其子公</w:t>
            </w:r>
          </w:p>
        </w:tc>
        <w:tc>
          <w:tcPr>
            <w:tcW w:w="47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52" w:right="53"/>
              <w:jc w:val="left"/>
              <w:rPr>
                <w:rFonts w:ascii="宋体" w:hAnsi="宋体" w:cs="宋体" w:eastAsia="宋体" w:hint="default"/>
                <w:sz w:val="18"/>
                <w:szCs w:val="18"/>
              </w:rPr>
            </w:pPr>
            <w:r>
              <w:rPr>
                <w:rFonts w:ascii="宋体" w:hAnsi="宋体" w:cs="宋体" w:eastAsia="宋体" w:hint="default"/>
                <w:sz w:val="18"/>
                <w:szCs w:val="18"/>
              </w:rPr>
              <w:t>关联 法人</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00" w:lineRule="auto"/>
              <w:ind w:left="131" w:right="105" w:hanging="26"/>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 </w:t>
            </w:r>
            <w:r>
              <w:rPr>
                <w:rFonts w:ascii="宋体" w:hAnsi="宋体" w:cs="宋体" w:eastAsia="宋体" w:hint="default"/>
                <w:sz w:val="18"/>
                <w:szCs w:val="18"/>
              </w:rPr>
              <w:t>接受劳务</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00" w:lineRule="auto"/>
              <w:ind w:left="59" w:right="34" w:hanging="26"/>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 </w:t>
            </w:r>
            <w:r>
              <w:rPr>
                <w:rFonts w:ascii="宋体" w:hAnsi="宋体" w:cs="宋体" w:eastAsia="宋体" w:hint="default"/>
                <w:sz w:val="18"/>
                <w:szCs w:val="18"/>
              </w:rPr>
              <w:t>接受劳务</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98" w:right="97"/>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52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66" w:right="74" w:hanging="90"/>
              <w:jc w:val="left"/>
              <w:rPr>
                <w:rFonts w:ascii="宋体" w:hAnsi="宋体" w:cs="宋体" w:eastAsia="宋体" w:hint="default"/>
                <w:sz w:val="18"/>
                <w:szCs w:val="18"/>
              </w:rPr>
            </w:pPr>
            <w:r>
              <w:rPr>
                <w:rFonts w:ascii="宋体" w:hAnsi="宋体" w:cs="宋体" w:eastAsia="宋体" w:hint="default"/>
                <w:sz w:val="18"/>
                <w:szCs w:val="18"/>
              </w:rPr>
              <w:t>市场 价</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 w:right="0"/>
              <w:jc w:val="center"/>
              <w:rPr>
                <w:rFonts w:ascii="Times New Roman" w:hAnsi="Times New Roman" w:cs="Times New Roman" w:eastAsia="Times New Roman" w:hint="default"/>
                <w:sz w:val="18"/>
                <w:szCs w:val="18"/>
              </w:rPr>
            </w:pPr>
            <w:r>
              <w:rPr>
                <w:rFonts w:ascii="Times New Roman"/>
                <w:sz w:val="18"/>
              </w:rPr>
              <w:t>15.67</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Times New Roman" w:hAnsi="Times New Roman" w:cs="Times New Roman" w:eastAsia="Times New Roman" w:hint="default"/>
                <w:sz w:val="18"/>
                <w:szCs w:val="18"/>
              </w:rPr>
            </w:pPr>
            <w:r>
              <w:rPr>
                <w:rFonts w:ascii="Times New Roman"/>
                <w:sz w:val="18"/>
              </w:rPr>
              <w:t>0.02%</w:t>
            </w:r>
          </w:p>
        </w:tc>
        <w:tc>
          <w:tcPr>
            <w:tcW w:w="67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26"/>
              <w:jc w:val="right"/>
              <w:rPr>
                <w:rFonts w:ascii="Times New Roman" w:hAnsi="Times New Roman" w:cs="Times New Roman" w:eastAsia="Times New Roman" w:hint="default"/>
                <w:sz w:val="18"/>
                <w:szCs w:val="18"/>
              </w:rPr>
            </w:pPr>
            <w:r>
              <w:rPr>
                <w:rFonts w:ascii="Times New Roman"/>
                <w:sz w:val="18"/>
              </w:rPr>
              <w:t>15.67</w:t>
            </w:r>
          </w:p>
        </w:tc>
        <w:tc>
          <w:tcPr>
            <w:tcW w:w="43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定期 结算</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Times New Roman" w:hAnsi="Times New Roman" w:cs="Times New Roman" w:eastAsia="Times New Roman" w:hint="default"/>
                <w:sz w:val="18"/>
                <w:szCs w:val="18"/>
              </w:rPr>
            </w:pPr>
            <w:r>
              <w:rPr>
                <w:rFonts w:ascii="Times New Roman"/>
                <w:sz w:val="18"/>
              </w:rPr>
              <w:t>_</w:t>
            </w:r>
          </w:p>
        </w:tc>
        <w:tc>
          <w:tcPr>
            <w:tcW w:w="70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57" w:hRule="exact"/>
        </w:trPr>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司</w:t>
            </w:r>
          </w:p>
        </w:tc>
        <w:tc>
          <w:tcPr>
            <w:tcW w:w="476"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523"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tcPr>
          <w:p>
            <w:pPr/>
          </w:p>
        </w:tc>
        <w:tc>
          <w:tcPr>
            <w:tcW w:w="432"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1338"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33" w:right="35"/>
              <w:jc w:val="both"/>
              <w:rPr>
                <w:rFonts w:ascii="宋体" w:hAnsi="宋体" w:cs="宋体" w:eastAsia="宋体" w:hint="default"/>
                <w:sz w:val="18"/>
                <w:szCs w:val="18"/>
              </w:rPr>
            </w:pPr>
            <w:r>
              <w:rPr>
                <w:rFonts w:ascii="宋体" w:hAnsi="宋体" w:cs="宋体" w:eastAsia="宋体" w:hint="default"/>
                <w:sz w:val="18"/>
                <w:szCs w:val="18"/>
              </w:rPr>
              <w:t>厦门服云 信息科技 有限公司</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52" w:right="53"/>
              <w:jc w:val="left"/>
              <w:rPr>
                <w:rFonts w:ascii="宋体" w:hAnsi="宋体" w:cs="宋体" w:eastAsia="宋体" w:hint="default"/>
                <w:sz w:val="18"/>
                <w:szCs w:val="18"/>
              </w:rPr>
            </w:pPr>
            <w:r>
              <w:rPr>
                <w:rFonts w:ascii="宋体" w:hAnsi="宋体" w:cs="宋体" w:eastAsia="宋体" w:hint="default"/>
                <w:sz w:val="18"/>
                <w:szCs w:val="18"/>
              </w:rPr>
              <w:t>关联 法人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131" w:right="105" w:hanging="26"/>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 </w:t>
            </w:r>
            <w:r>
              <w:rPr>
                <w:rFonts w:ascii="宋体" w:hAnsi="宋体" w:cs="宋体" w:eastAsia="宋体" w:hint="default"/>
                <w:sz w:val="18"/>
                <w:szCs w:val="18"/>
              </w:rPr>
              <w:t>接受劳务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59" w:right="34" w:hanging="26"/>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 </w:t>
            </w:r>
            <w:r>
              <w:rPr>
                <w:rFonts w:ascii="宋体" w:hAnsi="宋体" w:cs="宋体" w:eastAsia="宋体" w:hint="default"/>
                <w:sz w:val="18"/>
                <w:szCs w:val="18"/>
              </w:rPr>
              <w:t>接受劳务</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98" w:right="97"/>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66" w:right="74" w:hanging="90"/>
              <w:jc w:val="left"/>
              <w:rPr>
                <w:rFonts w:ascii="宋体" w:hAnsi="宋体" w:cs="宋体" w:eastAsia="宋体" w:hint="default"/>
                <w:sz w:val="18"/>
                <w:szCs w:val="18"/>
              </w:rPr>
            </w:pPr>
            <w:r>
              <w:rPr>
                <w:rFonts w:ascii="宋体" w:hAnsi="宋体" w:cs="宋体" w:eastAsia="宋体" w:hint="default"/>
                <w:sz w:val="18"/>
                <w:szCs w:val="18"/>
              </w:rPr>
              <w:t>市场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 w:right="0"/>
              <w:jc w:val="center"/>
              <w:rPr>
                <w:rFonts w:ascii="Times New Roman" w:hAnsi="Times New Roman" w:cs="Times New Roman" w:eastAsia="Times New Roman" w:hint="default"/>
                <w:sz w:val="18"/>
                <w:szCs w:val="18"/>
              </w:rPr>
            </w:pPr>
            <w:r>
              <w:rPr>
                <w:rFonts w:ascii="Times New Roman"/>
                <w:sz w:val="18"/>
              </w:rPr>
              <w:t>509.07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0"/>
              <w:jc w:val="center"/>
              <w:rPr>
                <w:rFonts w:ascii="Times New Roman" w:hAnsi="Times New Roman" w:cs="Times New Roman" w:eastAsia="Times New Roman" w:hint="default"/>
                <w:sz w:val="18"/>
                <w:szCs w:val="18"/>
              </w:rPr>
            </w:pPr>
            <w:r>
              <w:rPr>
                <w:rFonts w:ascii="Times New Roman"/>
                <w:sz w:val="18"/>
              </w:rPr>
              <w:t>0.75%</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4"/>
              <w:jc w:val="right"/>
              <w:rPr>
                <w:rFonts w:ascii="Times New Roman" w:hAnsi="Times New Roman" w:cs="Times New Roman" w:eastAsia="Times New Roman" w:hint="default"/>
                <w:sz w:val="18"/>
                <w:szCs w:val="18"/>
              </w:rPr>
            </w:pPr>
            <w:r>
              <w:rPr>
                <w:rFonts w:ascii="Times New Roman"/>
                <w:sz w:val="18"/>
              </w:rPr>
              <w:t>580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98" w:right="96"/>
              <w:jc w:val="left"/>
              <w:rPr>
                <w:rFonts w:ascii="宋体" w:hAnsi="宋体" w:cs="宋体" w:eastAsia="宋体" w:hint="default"/>
                <w:sz w:val="18"/>
                <w:szCs w:val="18"/>
              </w:rPr>
            </w:pPr>
            <w:r>
              <w:rPr>
                <w:rFonts w:ascii="宋体" w:hAnsi="宋体" w:cs="宋体" w:eastAsia="宋体" w:hint="default"/>
                <w:sz w:val="18"/>
                <w:szCs w:val="18"/>
              </w:rPr>
              <w:t>定期 结算</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0"/>
              <w:jc w:val="center"/>
              <w:rPr>
                <w:rFonts w:ascii="Times New Roman" w:hAnsi="Times New Roman" w:cs="Times New Roman" w:eastAsia="Times New Roman" w:hint="default"/>
                <w:sz w:val="18"/>
                <w:szCs w:val="18"/>
              </w:rPr>
            </w:pPr>
            <w:r>
              <w:rPr>
                <w:rFonts w:ascii="Times New Roman"/>
                <w:sz w:val="18"/>
              </w:rPr>
              <w:t>_</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91"/>
              <w:ind w:left="22" w:right="19" w:hanging="3"/>
              <w:jc w:val="center"/>
              <w:rPr>
                <w:rFonts w:ascii="宋体" w:hAnsi="宋体" w:cs="宋体" w:eastAsia="宋体" w:hint="default"/>
                <w:sz w:val="18"/>
                <w:szCs w:val="18"/>
              </w:rPr>
            </w:pPr>
            <w:r>
              <w:rPr>
                <w:rFonts w:ascii="Times New Roman" w:hAnsi="Times New Roman" w:cs="Times New Roman" w:eastAsia="Times New Roman" w:hint="default"/>
                <w:sz w:val="18"/>
                <w:szCs w:val="18"/>
              </w:rPr>
              <w:t>www.cninfo. </w:t>
            </w:r>
            <w:r>
              <w:rPr>
                <w:rFonts w:ascii="Times New Roman" w:hAnsi="Times New Roman" w:cs="Times New Roman" w:eastAsia="Times New Roman" w:hint="default"/>
                <w:spacing w:val="-7"/>
                <w:sz w:val="18"/>
                <w:szCs w:val="18"/>
              </w:rPr>
              <w:t>com.cn</w:t>
            </w:r>
            <w:r>
              <w:rPr>
                <w:rFonts w:ascii="宋体" w:hAnsi="宋体" w:cs="宋体" w:eastAsia="宋体" w:hint="default"/>
                <w:spacing w:val="-7"/>
                <w:sz w:val="18"/>
                <w:szCs w:val="18"/>
              </w:rPr>
              <w:t>，公告</w:t>
            </w:r>
            <w:r>
              <w:rPr>
                <w:rFonts w:ascii="宋体" w:hAnsi="宋体" w:cs="宋体" w:eastAsia="宋体" w:hint="default"/>
                <w:sz w:val="18"/>
                <w:szCs w:val="18"/>
              </w:rPr>
              <w:t> 编号：</w:t>
            </w:r>
          </w:p>
          <w:p>
            <w:pPr>
              <w:pStyle w:val="TableParagraph"/>
              <w:spacing w:line="240" w:lineRule="auto" w:before="67"/>
              <w:ind w:right="0"/>
              <w:jc w:val="center"/>
              <w:rPr>
                <w:rFonts w:ascii="Times New Roman" w:hAnsi="Times New Roman" w:cs="Times New Roman" w:eastAsia="Times New Roman" w:hint="default"/>
                <w:sz w:val="18"/>
                <w:szCs w:val="18"/>
              </w:rPr>
            </w:pPr>
            <w:r>
              <w:rPr>
                <w:rFonts w:ascii="Times New Roman"/>
                <w:sz w:val="18"/>
              </w:rPr>
              <w:t>2018-21</w:t>
            </w:r>
          </w:p>
        </w:tc>
      </w:tr>
      <w:tr>
        <w:trPr>
          <w:trHeight w:val="1338"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3" w:right="35"/>
              <w:jc w:val="center"/>
              <w:rPr>
                <w:rFonts w:ascii="宋体" w:hAnsi="宋体" w:cs="宋体" w:eastAsia="宋体" w:hint="default"/>
                <w:sz w:val="18"/>
                <w:szCs w:val="18"/>
              </w:rPr>
            </w:pPr>
            <w:r>
              <w:rPr>
                <w:rFonts w:ascii="宋体" w:hAnsi="宋体" w:cs="宋体" w:eastAsia="宋体" w:hint="default"/>
                <w:sz w:val="18"/>
                <w:szCs w:val="18"/>
              </w:rPr>
              <w:t>厦门市巨 龙信息科 技有限公 司</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52" w:right="53"/>
              <w:jc w:val="left"/>
              <w:rPr>
                <w:rFonts w:ascii="宋体" w:hAnsi="宋体" w:cs="宋体" w:eastAsia="宋体" w:hint="default"/>
                <w:sz w:val="18"/>
                <w:szCs w:val="18"/>
              </w:rPr>
            </w:pPr>
            <w:r>
              <w:rPr>
                <w:rFonts w:ascii="宋体" w:hAnsi="宋体" w:cs="宋体" w:eastAsia="宋体" w:hint="default"/>
                <w:sz w:val="18"/>
                <w:szCs w:val="18"/>
              </w:rPr>
              <w:t>关联 法人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131" w:right="105" w:hanging="26"/>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 </w:t>
            </w:r>
            <w:r>
              <w:rPr>
                <w:rFonts w:ascii="宋体" w:hAnsi="宋体" w:cs="宋体" w:eastAsia="宋体" w:hint="default"/>
                <w:sz w:val="18"/>
                <w:szCs w:val="18"/>
              </w:rPr>
              <w:t>接受劳务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59" w:right="34" w:hanging="26"/>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 </w:t>
            </w:r>
            <w:r>
              <w:rPr>
                <w:rFonts w:ascii="宋体" w:hAnsi="宋体" w:cs="宋体" w:eastAsia="宋体" w:hint="default"/>
                <w:sz w:val="18"/>
                <w:szCs w:val="18"/>
              </w:rPr>
              <w:t>接受劳务</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98" w:right="97"/>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66" w:right="74" w:hanging="90"/>
              <w:jc w:val="left"/>
              <w:rPr>
                <w:rFonts w:ascii="宋体" w:hAnsi="宋体" w:cs="宋体" w:eastAsia="宋体" w:hint="default"/>
                <w:sz w:val="18"/>
                <w:szCs w:val="18"/>
              </w:rPr>
            </w:pPr>
            <w:r>
              <w:rPr>
                <w:rFonts w:ascii="宋体" w:hAnsi="宋体" w:cs="宋体" w:eastAsia="宋体" w:hint="default"/>
                <w:sz w:val="18"/>
                <w:szCs w:val="18"/>
              </w:rPr>
              <w:t>市场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 w:right="0"/>
              <w:jc w:val="center"/>
              <w:rPr>
                <w:rFonts w:ascii="Times New Roman" w:hAnsi="Times New Roman" w:cs="Times New Roman" w:eastAsia="Times New Roman" w:hint="default"/>
                <w:sz w:val="18"/>
                <w:szCs w:val="18"/>
              </w:rPr>
            </w:pPr>
            <w:r>
              <w:rPr>
                <w:rFonts w:ascii="Times New Roman"/>
                <w:sz w:val="18"/>
              </w:rPr>
              <w:t>221.73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0"/>
              <w:jc w:val="center"/>
              <w:rPr>
                <w:rFonts w:ascii="Times New Roman" w:hAnsi="Times New Roman" w:cs="Times New Roman" w:eastAsia="Times New Roman" w:hint="default"/>
                <w:sz w:val="18"/>
                <w:szCs w:val="18"/>
              </w:rPr>
            </w:pPr>
            <w:r>
              <w:rPr>
                <w:rFonts w:ascii="Times New Roman"/>
                <w:sz w:val="18"/>
              </w:rPr>
              <w:t>0.33%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26"/>
              <w:jc w:val="right"/>
              <w:rPr>
                <w:rFonts w:ascii="Times New Roman" w:hAnsi="Times New Roman" w:cs="Times New Roman" w:eastAsia="Times New Roman" w:hint="default"/>
                <w:sz w:val="18"/>
                <w:szCs w:val="18"/>
              </w:rPr>
            </w:pPr>
            <w:r>
              <w:rPr>
                <w:rFonts w:ascii="Times New Roman"/>
                <w:sz w:val="18"/>
              </w:rPr>
              <w:t>1,850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98" w:right="96"/>
              <w:jc w:val="left"/>
              <w:rPr>
                <w:rFonts w:ascii="宋体" w:hAnsi="宋体" w:cs="宋体" w:eastAsia="宋体" w:hint="default"/>
                <w:sz w:val="18"/>
                <w:szCs w:val="18"/>
              </w:rPr>
            </w:pPr>
            <w:r>
              <w:rPr>
                <w:rFonts w:ascii="宋体" w:hAnsi="宋体" w:cs="宋体" w:eastAsia="宋体" w:hint="default"/>
                <w:sz w:val="18"/>
                <w:szCs w:val="18"/>
              </w:rPr>
              <w:t>定期 结算</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0"/>
              <w:jc w:val="center"/>
              <w:rPr>
                <w:rFonts w:ascii="Times New Roman" w:hAnsi="Times New Roman" w:cs="Times New Roman" w:eastAsia="Times New Roman" w:hint="default"/>
                <w:sz w:val="18"/>
                <w:szCs w:val="18"/>
              </w:rPr>
            </w:pPr>
            <w:r>
              <w:rPr>
                <w:rFonts w:ascii="Times New Roman"/>
                <w:sz w:val="18"/>
              </w:rPr>
              <w:t>_</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91"/>
              <w:ind w:left="22" w:right="19" w:hanging="3"/>
              <w:jc w:val="center"/>
              <w:rPr>
                <w:rFonts w:ascii="宋体" w:hAnsi="宋体" w:cs="宋体" w:eastAsia="宋体" w:hint="default"/>
                <w:sz w:val="18"/>
                <w:szCs w:val="18"/>
              </w:rPr>
            </w:pPr>
            <w:r>
              <w:rPr>
                <w:rFonts w:ascii="Times New Roman" w:hAnsi="Times New Roman" w:cs="Times New Roman" w:eastAsia="Times New Roman" w:hint="default"/>
                <w:sz w:val="18"/>
                <w:szCs w:val="18"/>
              </w:rPr>
              <w:t>www.cninfo. </w:t>
            </w:r>
            <w:r>
              <w:rPr>
                <w:rFonts w:ascii="Times New Roman" w:hAnsi="Times New Roman" w:cs="Times New Roman" w:eastAsia="Times New Roman" w:hint="default"/>
                <w:spacing w:val="-7"/>
                <w:sz w:val="18"/>
                <w:szCs w:val="18"/>
              </w:rPr>
              <w:t>com.cn</w:t>
            </w:r>
            <w:r>
              <w:rPr>
                <w:rFonts w:ascii="宋体" w:hAnsi="宋体" w:cs="宋体" w:eastAsia="宋体" w:hint="default"/>
                <w:spacing w:val="-7"/>
                <w:sz w:val="18"/>
                <w:szCs w:val="18"/>
              </w:rPr>
              <w:t>，公告</w:t>
            </w:r>
            <w:r>
              <w:rPr>
                <w:rFonts w:ascii="宋体" w:hAnsi="宋体" w:cs="宋体" w:eastAsia="宋体" w:hint="default"/>
                <w:sz w:val="18"/>
                <w:szCs w:val="18"/>
              </w:rPr>
              <w:t> 编号：</w:t>
            </w:r>
          </w:p>
          <w:p>
            <w:pPr>
              <w:pStyle w:val="TableParagraph"/>
              <w:spacing w:line="240" w:lineRule="auto" w:before="67"/>
              <w:ind w:right="0"/>
              <w:jc w:val="center"/>
              <w:rPr>
                <w:rFonts w:ascii="Times New Roman" w:hAnsi="Times New Roman" w:cs="Times New Roman" w:eastAsia="Times New Roman" w:hint="default"/>
                <w:sz w:val="18"/>
                <w:szCs w:val="18"/>
              </w:rPr>
            </w:pPr>
            <w:r>
              <w:rPr>
                <w:rFonts w:ascii="Times New Roman"/>
                <w:sz w:val="18"/>
              </w:rPr>
              <w:t>2018-21</w:t>
            </w:r>
          </w:p>
        </w:tc>
      </w:tr>
      <w:tr>
        <w:trPr>
          <w:trHeight w:val="1338"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33" w:right="35"/>
              <w:jc w:val="both"/>
              <w:rPr>
                <w:rFonts w:ascii="宋体" w:hAnsi="宋体" w:cs="宋体" w:eastAsia="宋体" w:hint="default"/>
                <w:sz w:val="18"/>
                <w:szCs w:val="18"/>
              </w:rPr>
            </w:pPr>
            <w:r>
              <w:rPr>
                <w:rFonts w:ascii="宋体" w:hAnsi="宋体" w:cs="宋体" w:eastAsia="宋体" w:hint="default"/>
                <w:sz w:val="18"/>
                <w:szCs w:val="18"/>
              </w:rPr>
              <w:t>柏科（常 熟）电机 有限公司</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52" w:right="53"/>
              <w:jc w:val="left"/>
              <w:rPr>
                <w:rFonts w:ascii="宋体" w:hAnsi="宋体" w:cs="宋体" w:eastAsia="宋体" w:hint="default"/>
                <w:sz w:val="18"/>
                <w:szCs w:val="18"/>
              </w:rPr>
            </w:pPr>
            <w:r>
              <w:rPr>
                <w:rFonts w:ascii="宋体" w:hAnsi="宋体" w:cs="宋体" w:eastAsia="宋体" w:hint="default"/>
                <w:sz w:val="18"/>
                <w:szCs w:val="18"/>
              </w:rPr>
              <w:t>关联 法人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131" w:right="105" w:hanging="26"/>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 </w:t>
            </w:r>
            <w:r>
              <w:rPr>
                <w:rFonts w:ascii="宋体" w:hAnsi="宋体" w:cs="宋体" w:eastAsia="宋体" w:hint="default"/>
                <w:sz w:val="18"/>
                <w:szCs w:val="18"/>
              </w:rPr>
              <w:t>接受劳务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59" w:right="34" w:hanging="26"/>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 </w:t>
            </w:r>
            <w:r>
              <w:rPr>
                <w:rFonts w:ascii="宋体" w:hAnsi="宋体" w:cs="宋体" w:eastAsia="宋体" w:hint="default"/>
                <w:sz w:val="18"/>
                <w:szCs w:val="18"/>
              </w:rPr>
              <w:t>接受劳务</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98" w:right="97"/>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66" w:right="74" w:hanging="90"/>
              <w:jc w:val="left"/>
              <w:rPr>
                <w:rFonts w:ascii="宋体" w:hAnsi="宋体" w:cs="宋体" w:eastAsia="宋体" w:hint="default"/>
                <w:sz w:val="18"/>
                <w:szCs w:val="18"/>
              </w:rPr>
            </w:pPr>
            <w:r>
              <w:rPr>
                <w:rFonts w:ascii="宋体" w:hAnsi="宋体" w:cs="宋体" w:eastAsia="宋体" w:hint="default"/>
                <w:sz w:val="18"/>
                <w:szCs w:val="18"/>
              </w:rPr>
              <w:t>市场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 w:right="0"/>
              <w:jc w:val="center"/>
              <w:rPr>
                <w:rFonts w:ascii="Times New Roman" w:hAnsi="Times New Roman" w:cs="Times New Roman" w:eastAsia="Times New Roman" w:hint="default"/>
                <w:sz w:val="18"/>
                <w:szCs w:val="18"/>
              </w:rPr>
            </w:pPr>
            <w:r>
              <w:rPr>
                <w:rFonts w:ascii="Times New Roman"/>
                <w:sz w:val="18"/>
              </w:rPr>
              <w:t>332.26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0"/>
              <w:jc w:val="center"/>
              <w:rPr>
                <w:rFonts w:ascii="Times New Roman" w:hAnsi="Times New Roman" w:cs="Times New Roman" w:eastAsia="Times New Roman" w:hint="default"/>
                <w:sz w:val="18"/>
                <w:szCs w:val="18"/>
              </w:rPr>
            </w:pPr>
            <w:r>
              <w:rPr>
                <w:rFonts w:ascii="Times New Roman"/>
                <w:sz w:val="18"/>
              </w:rPr>
              <w:t>0.49%</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4"/>
              <w:jc w:val="right"/>
              <w:rPr>
                <w:rFonts w:ascii="Times New Roman" w:hAnsi="Times New Roman" w:cs="Times New Roman" w:eastAsia="Times New Roman" w:hint="default"/>
                <w:sz w:val="18"/>
                <w:szCs w:val="18"/>
              </w:rPr>
            </w:pPr>
            <w:r>
              <w:rPr>
                <w:rFonts w:ascii="Times New Roman"/>
                <w:sz w:val="18"/>
              </w:rPr>
              <w:t>210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98" w:right="96"/>
              <w:jc w:val="left"/>
              <w:rPr>
                <w:rFonts w:ascii="宋体" w:hAnsi="宋体" w:cs="宋体" w:eastAsia="宋体" w:hint="default"/>
                <w:sz w:val="18"/>
                <w:szCs w:val="18"/>
              </w:rPr>
            </w:pPr>
            <w:r>
              <w:rPr>
                <w:rFonts w:ascii="宋体" w:hAnsi="宋体" w:cs="宋体" w:eastAsia="宋体" w:hint="default"/>
                <w:sz w:val="18"/>
                <w:szCs w:val="18"/>
              </w:rPr>
              <w:t>定期 结算</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0"/>
              <w:jc w:val="center"/>
              <w:rPr>
                <w:rFonts w:ascii="Times New Roman" w:hAnsi="Times New Roman" w:cs="Times New Roman" w:eastAsia="Times New Roman" w:hint="default"/>
                <w:sz w:val="18"/>
                <w:szCs w:val="18"/>
              </w:rPr>
            </w:pPr>
            <w:r>
              <w:rPr>
                <w:rFonts w:ascii="Times New Roman"/>
                <w:sz w:val="18"/>
              </w:rPr>
              <w:t>_</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91"/>
              <w:ind w:left="22" w:right="19" w:hanging="3"/>
              <w:jc w:val="center"/>
              <w:rPr>
                <w:rFonts w:ascii="宋体" w:hAnsi="宋体" w:cs="宋体" w:eastAsia="宋体" w:hint="default"/>
                <w:sz w:val="18"/>
                <w:szCs w:val="18"/>
              </w:rPr>
            </w:pPr>
            <w:r>
              <w:rPr>
                <w:rFonts w:ascii="Times New Roman" w:hAnsi="Times New Roman" w:cs="Times New Roman" w:eastAsia="Times New Roman" w:hint="default"/>
                <w:sz w:val="18"/>
                <w:szCs w:val="18"/>
              </w:rPr>
              <w:t>www.cninfo. </w:t>
            </w:r>
            <w:r>
              <w:rPr>
                <w:rFonts w:ascii="Times New Roman" w:hAnsi="Times New Roman" w:cs="Times New Roman" w:eastAsia="Times New Roman" w:hint="default"/>
                <w:spacing w:val="-7"/>
                <w:sz w:val="18"/>
                <w:szCs w:val="18"/>
              </w:rPr>
              <w:t>com.cn</w:t>
            </w:r>
            <w:r>
              <w:rPr>
                <w:rFonts w:ascii="宋体" w:hAnsi="宋体" w:cs="宋体" w:eastAsia="宋体" w:hint="default"/>
                <w:spacing w:val="-7"/>
                <w:sz w:val="18"/>
                <w:szCs w:val="18"/>
              </w:rPr>
              <w:t>，公告</w:t>
            </w:r>
            <w:r>
              <w:rPr>
                <w:rFonts w:ascii="宋体" w:hAnsi="宋体" w:cs="宋体" w:eastAsia="宋体" w:hint="default"/>
                <w:sz w:val="18"/>
                <w:szCs w:val="18"/>
              </w:rPr>
              <w:t> 编号：</w:t>
            </w:r>
          </w:p>
          <w:p>
            <w:pPr>
              <w:pStyle w:val="TableParagraph"/>
              <w:spacing w:line="240" w:lineRule="auto" w:before="67"/>
              <w:ind w:right="0"/>
              <w:jc w:val="center"/>
              <w:rPr>
                <w:rFonts w:ascii="Times New Roman" w:hAnsi="Times New Roman" w:cs="Times New Roman" w:eastAsia="Times New Roman" w:hint="default"/>
                <w:sz w:val="18"/>
                <w:szCs w:val="18"/>
              </w:rPr>
            </w:pPr>
            <w:r>
              <w:rPr>
                <w:rFonts w:ascii="Times New Roman"/>
                <w:sz w:val="18"/>
              </w:rPr>
              <w:t>2018-21</w:t>
            </w:r>
          </w:p>
        </w:tc>
      </w:tr>
      <w:tr>
        <w:trPr>
          <w:trHeight w:val="1338"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33" w:right="35"/>
              <w:jc w:val="both"/>
              <w:rPr>
                <w:rFonts w:ascii="宋体" w:hAnsi="宋体" w:cs="宋体" w:eastAsia="宋体" w:hint="default"/>
                <w:sz w:val="18"/>
                <w:szCs w:val="18"/>
              </w:rPr>
            </w:pPr>
            <w:r>
              <w:rPr>
                <w:rFonts w:ascii="宋体" w:hAnsi="宋体" w:cs="宋体" w:eastAsia="宋体" w:hint="default"/>
                <w:sz w:val="18"/>
                <w:szCs w:val="18"/>
              </w:rPr>
              <w:t>常熟柏科 特种车辆 有限公司</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52" w:right="53"/>
              <w:jc w:val="left"/>
              <w:rPr>
                <w:rFonts w:ascii="宋体" w:hAnsi="宋体" w:cs="宋体" w:eastAsia="宋体" w:hint="default"/>
                <w:sz w:val="18"/>
                <w:szCs w:val="18"/>
              </w:rPr>
            </w:pPr>
            <w:r>
              <w:rPr>
                <w:rFonts w:ascii="宋体" w:hAnsi="宋体" w:cs="宋体" w:eastAsia="宋体" w:hint="default"/>
                <w:sz w:val="18"/>
                <w:szCs w:val="18"/>
              </w:rPr>
              <w:t>关联 法人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131" w:right="105" w:hanging="26"/>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 </w:t>
            </w:r>
            <w:r>
              <w:rPr>
                <w:rFonts w:ascii="宋体" w:hAnsi="宋体" w:cs="宋体" w:eastAsia="宋体" w:hint="default"/>
                <w:sz w:val="18"/>
                <w:szCs w:val="18"/>
              </w:rPr>
              <w:t>接受劳务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59" w:right="34" w:hanging="26"/>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 </w:t>
            </w:r>
            <w:r>
              <w:rPr>
                <w:rFonts w:ascii="宋体" w:hAnsi="宋体" w:cs="宋体" w:eastAsia="宋体" w:hint="default"/>
                <w:sz w:val="18"/>
                <w:szCs w:val="18"/>
              </w:rPr>
              <w:t>接受劳务</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98" w:right="97"/>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66" w:right="74" w:hanging="90"/>
              <w:jc w:val="left"/>
              <w:rPr>
                <w:rFonts w:ascii="宋体" w:hAnsi="宋体" w:cs="宋体" w:eastAsia="宋体" w:hint="default"/>
                <w:sz w:val="18"/>
                <w:szCs w:val="18"/>
              </w:rPr>
            </w:pPr>
            <w:r>
              <w:rPr>
                <w:rFonts w:ascii="宋体" w:hAnsi="宋体" w:cs="宋体" w:eastAsia="宋体" w:hint="default"/>
                <w:sz w:val="18"/>
                <w:szCs w:val="18"/>
              </w:rPr>
              <w:t>市场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 w:right="0"/>
              <w:jc w:val="center"/>
              <w:rPr>
                <w:rFonts w:ascii="Times New Roman" w:hAnsi="Times New Roman" w:cs="Times New Roman" w:eastAsia="Times New Roman" w:hint="default"/>
                <w:sz w:val="18"/>
                <w:szCs w:val="18"/>
              </w:rPr>
            </w:pPr>
            <w:r>
              <w:rPr>
                <w:rFonts w:ascii="Times New Roman"/>
                <w:sz w:val="18"/>
              </w:rPr>
              <w:t>321.98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0"/>
              <w:jc w:val="center"/>
              <w:rPr>
                <w:rFonts w:ascii="Times New Roman" w:hAnsi="Times New Roman" w:cs="Times New Roman" w:eastAsia="Times New Roman" w:hint="default"/>
                <w:sz w:val="18"/>
                <w:szCs w:val="18"/>
              </w:rPr>
            </w:pPr>
            <w:r>
              <w:rPr>
                <w:rFonts w:ascii="Times New Roman"/>
                <w:sz w:val="18"/>
              </w:rPr>
              <w:t>0.47%</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4"/>
              <w:jc w:val="right"/>
              <w:rPr>
                <w:rFonts w:ascii="Times New Roman" w:hAnsi="Times New Roman" w:cs="Times New Roman" w:eastAsia="Times New Roman" w:hint="default"/>
                <w:sz w:val="18"/>
                <w:szCs w:val="18"/>
              </w:rPr>
            </w:pPr>
            <w:r>
              <w:rPr>
                <w:rFonts w:ascii="Times New Roman"/>
                <w:sz w:val="18"/>
              </w:rPr>
              <w:t>500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98" w:right="96"/>
              <w:jc w:val="left"/>
              <w:rPr>
                <w:rFonts w:ascii="宋体" w:hAnsi="宋体" w:cs="宋体" w:eastAsia="宋体" w:hint="default"/>
                <w:sz w:val="18"/>
                <w:szCs w:val="18"/>
              </w:rPr>
            </w:pPr>
            <w:r>
              <w:rPr>
                <w:rFonts w:ascii="宋体" w:hAnsi="宋体" w:cs="宋体" w:eastAsia="宋体" w:hint="default"/>
                <w:sz w:val="18"/>
                <w:szCs w:val="18"/>
              </w:rPr>
              <w:t>定期 结算</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0"/>
              <w:jc w:val="center"/>
              <w:rPr>
                <w:rFonts w:ascii="Times New Roman" w:hAnsi="Times New Roman" w:cs="Times New Roman" w:eastAsia="Times New Roman" w:hint="default"/>
                <w:sz w:val="18"/>
                <w:szCs w:val="18"/>
              </w:rPr>
            </w:pPr>
            <w:r>
              <w:rPr>
                <w:rFonts w:ascii="Times New Roman"/>
                <w:sz w:val="18"/>
              </w:rPr>
              <w:t>_</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91"/>
              <w:ind w:left="22" w:right="19" w:hanging="3"/>
              <w:jc w:val="center"/>
              <w:rPr>
                <w:rFonts w:ascii="宋体" w:hAnsi="宋体" w:cs="宋体" w:eastAsia="宋体" w:hint="default"/>
                <w:sz w:val="18"/>
                <w:szCs w:val="18"/>
              </w:rPr>
            </w:pPr>
            <w:r>
              <w:rPr>
                <w:rFonts w:ascii="Times New Roman" w:hAnsi="Times New Roman" w:cs="Times New Roman" w:eastAsia="Times New Roman" w:hint="default"/>
                <w:sz w:val="18"/>
                <w:szCs w:val="18"/>
              </w:rPr>
              <w:t>www.cninfo. </w:t>
            </w:r>
            <w:r>
              <w:rPr>
                <w:rFonts w:ascii="Times New Roman" w:hAnsi="Times New Roman" w:cs="Times New Roman" w:eastAsia="Times New Roman" w:hint="default"/>
                <w:spacing w:val="-7"/>
                <w:sz w:val="18"/>
                <w:szCs w:val="18"/>
              </w:rPr>
              <w:t>com.cn</w:t>
            </w:r>
            <w:r>
              <w:rPr>
                <w:rFonts w:ascii="宋体" w:hAnsi="宋体" w:cs="宋体" w:eastAsia="宋体" w:hint="default"/>
                <w:spacing w:val="-7"/>
                <w:sz w:val="18"/>
                <w:szCs w:val="18"/>
              </w:rPr>
              <w:t>，公告</w:t>
            </w:r>
            <w:r>
              <w:rPr>
                <w:rFonts w:ascii="宋体" w:hAnsi="宋体" w:cs="宋体" w:eastAsia="宋体" w:hint="default"/>
                <w:sz w:val="18"/>
                <w:szCs w:val="18"/>
              </w:rPr>
              <w:t> 编号：</w:t>
            </w:r>
          </w:p>
          <w:p>
            <w:pPr>
              <w:pStyle w:val="TableParagraph"/>
              <w:spacing w:line="240" w:lineRule="auto" w:before="67"/>
              <w:ind w:right="0"/>
              <w:jc w:val="center"/>
              <w:rPr>
                <w:rFonts w:ascii="Times New Roman" w:hAnsi="Times New Roman" w:cs="Times New Roman" w:eastAsia="Times New Roman" w:hint="default"/>
                <w:sz w:val="18"/>
                <w:szCs w:val="18"/>
              </w:rPr>
            </w:pPr>
            <w:r>
              <w:rPr>
                <w:rFonts w:ascii="Times New Roman"/>
                <w:sz w:val="18"/>
              </w:rPr>
              <w:t>2018-21</w:t>
            </w:r>
          </w:p>
        </w:tc>
      </w:tr>
      <w:tr>
        <w:trPr>
          <w:trHeight w:val="1026"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3" w:right="35"/>
              <w:jc w:val="both"/>
              <w:rPr>
                <w:rFonts w:ascii="宋体" w:hAnsi="宋体" w:cs="宋体" w:eastAsia="宋体" w:hint="default"/>
                <w:sz w:val="18"/>
                <w:szCs w:val="18"/>
              </w:rPr>
            </w:pPr>
            <w:r>
              <w:rPr>
                <w:rFonts w:ascii="宋体" w:hAnsi="宋体" w:cs="宋体" w:eastAsia="宋体" w:hint="default"/>
                <w:sz w:val="18"/>
                <w:szCs w:val="18"/>
              </w:rPr>
              <w:t>福建宏创 科技信息 有限公司</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52" w:right="53"/>
              <w:jc w:val="left"/>
              <w:rPr>
                <w:rFonts w:ascii="宋体" w:hAnsi="宋体" w:cs="宋体" w:eastAsia="宋体" w:hint="default"/>
                <w:sz w:val="18"/>
                <w:szCs w:val="18"/>
              </w:rPr>
            </w:pPr>
            <w:r>
              <w:rPr>
                <w:rFonts w:ascii="宋体" w:hAnsi="宋体" w:cs="宋体" w:eastAsia="宋体" w:hint="default"/>
                <w:sz w:val="18"/>
                <w:szCs w:val="18"/>
              </w:rPr>
              <w:t>关联 法人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31" w:right="105" w:hanging="26"/>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 </w:t>
            </w:r>
            <w:r>
              <w:rPr>
                <w:rFonts w:ascii="宋体" w:hAnsi="宋体" w:cs="宋体" w:eastAsia="宋体" w:hint="default"/>
                <w:sz w:val="18"/>
                <w:szCs w:val="18"/>
              </w:rPr>
              <w:t>接受劳务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59" w:right="34" w:hanging="26"/>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 </w:t>
            </w:r>
            <w:r>
              <w:rPr>
                <w:rFonts w:ascii="宋体" w:hAnsi="宋体" w:cs="宋体" w:eastAsia="宋体" w:hint="default"/>
                <w:sz w:val="18"/>
                <w:szCs w:val="18"/>
              </w:rPr>
              <w:t>接受劳务</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98" w:right="97"/>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66" w:right="74" w:hanging="90"/>
              <w:jc w:val="left"/>
              <w:rPr>
                <w:rFonts w:ascii="宋体" w:hAnsi="宋体" w:cs="宋体" w:eastAsia="宋体" w:hint="default"/>
                <w:sz w:val="18"/>
                <w:szCs w:val="18"/>
              </w:rPr>
            </w:pPr>
            <w:r>
              <w:rPr>
                <w:rFonts w:ascii="宋体" w:hAnsi="宋体" w:cs="宋体" w:eastAsia="宋体" w:hint="default"/>
                <w:sz w:val="18"/>
                <w:szCs w:val="18"/>
              </w:rPr>
              <w:t>市场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66.37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0.10%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26"/>
              <w:jc w:val="right"/>
              <w:rPr>
                <w:rFonts w:ascii="Times New Roman" w:hAnsi="Times New Roman" w:cs="Times New Roman" w:eastAsia="Times New Roman" w:hint="default"/>
                <w:sz w:val="18"/>
                <w:szCs w:val="18"/>
              </w:rPr>
            </w:pPr>
            <w:r>
              <w:rPr>
                <w:rFonts w:ascii="Times New Roman"/>
                <w:sz w:val="18"/>
              </w:rPr>
              <w:t>66.37</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定期 结算</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_</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柏科智能</w:t>
            </w:r>
          </w:p>
        </w:tc>
        <w:tc>
          <w:tcPr>
            <w:tcW w:w="476"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523"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3" w:type="dxa"/>
            <w:tcBorders>
              <w:top w:val="single" w:sz="4" w:space="0" w:color="000000"/>
              <w:left w:val="single" w:sz="4" w:space="0" w:color="000000"/>
              <w:bottom w:val="nil" w:sz="6" w:space="0" w:color="auto"/>
              <w:right w:val="single" w:sz="4" w:space="0" w:color="000000"/>
            </w:tcBorders>
          </w:tcPr>
          <w:p>
            <w:pPr/>
          </w:p>
        </w:tc>
        <w:tc>
          <w:tcPr>
            <w:tcW w:w="432"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r>
      <w:tr>
        <w:trPr>
          <w:trHeight w:val="625"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33" w:right="35"/>
              <w:jc w:val="left"/>
              <w:rPr>
                <w:rFonts w:ascii="宋体" w:hAnsi="宋体" w:cs="宋体" w:eastAsia="宋体" w:hint="default"/>
                <w:sz w:val="18"/>
                <w:szCs w:val="18"/>
              </w:rPr>
            </w:pPr>
            <w:r>
              <w:rPr>
                <w:rFonts w:ascii="宋体" w:hAnsi="宋体" w:cs="宋体" w:eastAsia="宋体" w:hint="default"/>
                <w:sz w:val="18"/>
                <w:szCs w:val="18"/>
              </w:rPr>
              <w:t>（厦门） 科技有限</w:t>
            </w:r>
          </w:p>
        </w:tc>
        <w:tc>
          <w:tcPr>
            <w:tcW w:w="47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52" w:right="53"/>
              <w:jc w:val="left"/>
              <w:rPr>
                <w:rFonts w:ascii="宋体" w:hAnsi="宋体" w:cs="宋体" w:eastAsia="宋体" w:hint="default"/>
                <w:sz w:val="18"/>
                <w:szCs w:val="18"/>
              </w:rPr>
            </w:pPr>
            <w:r>
              <w:rPr>
                <w:rFonts w:ascii="宋体" w:hAnsi="宋体" w:cs="宋体" w:eastAsia="宋体" w:hint="default"/>
                <w:sz w:val="18"/>
                <w:szCs w:val="18"/>
              </w:rPr>
              <w:t>关联 法人</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300" w:lineRule="auto" w:before="11"/>
              <w:ind w:left="131" w:right="105" w:hanging="26"/>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 </w:t>
            </w:r>
            <w:r>
              <w:rPr>
                <w:rFonts w:ascii="宋体" w:hAnsi="宋体" w:cs="宋体" w:eastAsia="宋体" w:hint="default"/>
                <w:sz w:val="18"/>
                <w:szCs w:val="18"/>
              </w:rPr>
              <w:t>接受劳务</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300" w:lineRule="auto" w:before="11"/>
              <w:ind w:left="59" w:right="34" w:hanging="26"/>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 </w:t>
            </w:r>
            <w:r>
              <w:rPr>
                <w:rFonts w:ascii="宋体" w:hAnsi="宋体" w:cs="宋体" w:eastAsia="宋体" w:hint="default"/>
                <w:sz w:val="18"/>
                <w:szCs w:val="18"/>
              </w:rPr>
              <w:t>接受劳务</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98" w:right="97"/>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52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166" w:right="74" w:hanging="90"/>
              <w:jc w:val="left"/>
              <w:rPr>
                <w:rFonts w:ascii="宋体" w:hAnsi="宋体" w:cs="宋体" w:eastAsia="宋体" w:hint="default"/>
                <w:sz w:val="18"/>
                <w:szCs w:val="18"/>
              </w:rPr>
            </w:pPr>
            <w:r>
              <w:rPr>
                <w:rFonts w:ascii="宋体" w:hAnsi="宋体" w:cs="宋体" w:eastAsia="宋体" w:hint="default"/>
                <w:sz w:val="18"/>
                <w:szCs w:val="18"/>
              </w:rPr>
              <w:t>市场 价</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92.49</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0.14%</w:t>
            </w:r>
          </w:p>
        </w:tc>
        <w:tc>
          <w:tcPr>
            <w:tcW w:w="67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26"/>
              <w:jc w:val="right"/>
              <w:rPr>
                <w:rFonts w:ascii="Times New Roman" w:hAnsi="Times New Roman" w:cs="Times New Roman" w:eastAsia="Times New Roman" w:hint="default"/>
                <w:sz w:val="18"/>
                <w:szCs w:val="18"/>
              </w:rPr>
            </w:pPr>
            <w:r>
              <w:rPr>
                <w:rFonts w:ascii="Times New Roman"/>
                <w:sz w:val="18"/>
              </w:rPr>
              <w:t>92.49</w:t>
            </w:r>
          </w:p>
        </w:tc>
        <w:tc>
          <w:tcPr>
            <w:tcW w:w="4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98" w:right="96"/>
              <w:jc w:val="left"/>
              <w:rPr>
                <w:rFonts w:ascii="宋体" w:hAnsi="宋体" w:cs="宋体" w:eastAsia="宋体" w:hint="default"/>
                <w:sz w:val="18"/>
                <w:szCs w:val="18"/>
              </w:rPr>
            </w:pPr>
            <w:r>
              <w:rPr>
                <w:rFonts w:ascii="宋体" w:hAnsi="宋体" w:cs="宋体" w:eastAsia="宋体" w:hint="default"/>
                <w:sz w:val="18"/>
                <w:szCs w:val="18"/>
              </w:rPr>
              <w:t>定期 结算</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_</w:t>
            </w:r>
          </w:p>
        </w:tc>
        <w:tc>
          <w:tcPr>
            <w:tcW w:w="70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56" w:hRule="exact"/>
        </w:trPr>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476"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523"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tcPr>
          <w:p>
            <w:pPr/>
          </w:p>
        </w:tc>
        <w:tc>
          <w:tcPr>
            <w:tcW w:w="432"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1026"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3" w:right="35"/>
              <w:jc w:val="both"/>
              <w:rPr>
                <w:rFonts w:ascii="宋体" w:hAnsi="宋体" w:cs="宋体" w:eastAsia="宋体" w:hint="default"/>
                <w:sz w:val="18"/>
                <w:szCs w:val="18"/>
              </w:rPr>
            </w:pPr>
            <w:r>
              <w:rPr>
                <w:rFonts w:ascii="宋体" w:hAnsi="宋体" w:cs="宋体" w:eastAsia="宋体" w:hint="default"/>
                <w:sz w:val="18"/>
                <w:szCs w:val="18"/>
              </w:rPr>
              <w:t>厦门服云 信息科技 有限公司</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52" w:right="53"/>
              <w:jc w:val="left"/>
              <w:rPr>
                <w:rFonts w:ascii="宋体" w:hAnsi="宋体" w:cs="宋体" w:eastAsia="宋体" w:hint="default"/>
                <w:sz w:val="18"/>
                <w:szCs w:val="18"/>
              </w:rPr>
            </w:pPr>
            <w:r>
              <w:rPr>
                <w:rFonts w:ascii="宋体" w:hAnsi="宋体" w:cs="宋体" w:eastAsia="宋体" w:hint="default"/>
                <w:sz w:val="18"/>
                <w:szCs w:val="18"/>
              </w:rPr>
              <w:t>关联 法人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31" w:right="105" w:hanging="26"/>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 </w:t>
            </w:r>
            <w:r>
              <w:rPr>
                <w:rFonts w:ascii="宋体" w:hAnsi="宋体" w:cs="宋体" w:eastAsia="宋体" w:hint="default"/>
                <w:sz w:val="18"/>
                <w:szCs w:val="18"/>
              </w:rPr>
              <w:t>提供劳务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59" w:right="34" w:hanging="26"/>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 </w:t>
            </w:r>
            <w:r>
              <w:rPr>
                <w:rFonts w:ascii="宋体" w:hAnsi="宋体" w:cs="宋体" w:eastAsia="宋体" w:hint="default"/>
                <w:sz w:val="18"/>
                <w:szCs w:val="18"/>
              </w:rPr>
              <w:t>提供劳务</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98" w:right="97"/>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66" w:right="74" w:hanging="90"/>
              <w:jc w:val="left"/>
              <w:rPr>
                <w:rFonts w:ascii="宋体" w:hAnsi="宋体" w:cs="宋体" w:eastAsia="宋体" w:hint="default"/>
                <w:sz w:val="18"/>
                <w:szCs w:val="18"/>
              </w:rPr>
            </w:pPr>
            <w:r>
              <w:rPr>
                <w:rFonts w:ascii="宋体" w:hAnsi="宋体" w:cs="宋体" w:eastAsia="宋体" w:hint="default"/>
                <w:sz w:val="18"/>
                <w:szCs w:val="18"/>
              </w:rPr>
              <w:t>市场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23.53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0.01%</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26"/>
              <w:jc w:val="right"/>
              <w:rPr>
                <w:rFonts w:ascii="Times New Roman" w:hAnsi="Times New Roman" w:cs="Times New Roman" w:eastAsia="Times New Roman" w:hint="default"/>
                <w:sz w:val="18"/>
                <w:szCs w:val="18"/>
              </w:rPr>
            </w:pPr>
            <w:r>
              <w:rPr>
                <w:rFonts w:ascii="Times New Roman"/>
                <w:sz w:val="18"/>
              </w:rPr>
              <w:t>23.53</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定期 结算</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_</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33" w:right="35"/>
              <w:jc w:val="both"/>
              <w:rPr>
                <w:rFonts w:ascii="宋体" w:hAnsi="宋体" w:cs="宋体" w:eastAsia="宋体" w:hint="default"/>
                <w:sz w:val="18"/>
                <w:szCs w:val="18"/>
              </w:rPr>
            </w:pPr>
            <w:r>
              <w:rPr>
                <w:rFonts w:ascii="宋体" w:hAnsi="宋体" w:cs="宋体" w:eastAsia="宋体" w:hint="default"/>
                <w:sz w:val="18"/>
                <w:szCs w:val="18"/>
              </w:rPr>
              <w:t>福建宏创 科技信息 有限公司</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52" w:right="53"/>
              <w:jc w:val="left"/>
              <w:rPr>
                <w:rFonts w:ascii="宋体" w:hAnsi="宋体" w:cs="宋体" w:eastAsia="宋体" w:hint="default"/>
                <w:sz w:val="18"/>
                <w:szCs w:val="18"/>
              </w:rPr>
            </w:pPr>
            <w:r>
              <w:rPr>
                <w:rFonts w:ascii="宋体" w:hAnsi="宋体" w:cs="宋体" w:eastAsia="宋体" w:hint="default"/>
                <w:sz w:val="18"/>
                <w:szCs w:val="18"/>
              </w:rPr>
              <w:t>关联 法人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131" w:right="105" w:hanging="26"/>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 </w:t>
            </w:r>
            <w:r>
              <w:rPr>
                <w:rFonts w:ascii="宋体" w:hAnsi="宋体" w:cs="宋体" w:eastAsia="宋体" w:hint="default"/>
                <w:sz w:val="18"/>
                <w:szCs w:val="18"/>
              </w:rPr>
              <w:t>提供劳务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59" w:right="34" w:hanging="26"/>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 </w:t>
            </w:r>
            <w:r>
              <w:rPr>
                <w:rFonts w:ascii="宋体" w:hAnsi="宋体" w:cs="宋体" w:eastAsia="宋体" w:hint="default"/>
                <w:sz w:val="18"/>
                <w:szCs w:val="18"/>
              </w:rPr>
              <w:t>提供劳务</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98" w:right="97"/>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66" w:right="74" w:hanging="90"/>
              <w:jc w:val="left"/>
              <w:rPr>
                <w:rFonts w:ascii="宋体" w:hAnsi="宋体" w:cs="宋体" w:eastAsia="宋体" w:hint="default"/>
                <w:sz w:val="18"/>
                <w:szCs w:val="18"/>
              </w:rPr>
            </w:pPr>
            <w:r>
              <w:rPr>
                <w:rFonts w:ascii="宋体" w:hAnsi="宋体" w:cs="宋体" w:eastAsia="宋体" w:hint="default"/>
                <w:sz w:val="18"/>
                <w:szCs w:val="18"/>
              </w:rPr>
              <w:t>市场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 w:right="0"/>
              <w:jc w:val="center"/>
              <w:rPr>
                <w:rFonts w:ascii="Times New Roman" w:hAnsi="Times New Roman" w:cs="Times New Roman" w:eastAsia="Times New Roman" w:hint="default"/>
                <w:sz w:val="18"/>
                <w:szCs w:val="18"/>
              </w:rPr>
            </w:pPr>
            <w:r>
              <w:rPr>
                <w:rFonts w:ascii="Times New Roman"/>
                <w:sz w:val="18"/>
              </w:rPr>
              <w:t>406.07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0"/>
              <w:jc w:val="center"/>
              <w:rPr>
                <w:rFonts w:ascii="Times New Roman" w:hAnsi="Times New Roman" w:cs="Times New Roman" w:eastAsia="Times New Roman" w:hint="default"/>
                <w:sz w:val="18"/>
                <w:szCs w:val="18"/>
              </w:rPr>
            </w:pPr>
            <w:r>
              <w:rPr>
                <w:rFonts w:ascii="Times New Roman"/>
                <w:sz w:val="18"/>
              </w:rPr>
              <w:t>0.25%</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4"/>
              <w:jc w:val="right"/>
              <w:rPr>
                <w:rFonts w:ascii="Times New Roman" w:hAnsi="Times New Roman" w:cs="Times New Roman" w:eastAsia="Times New Roman" w:hint="default"/>
                <w:sz w:val="18"/>
                <w:szCs w:val="18"/>
              </w:rPr>
            </w:pPr>
            <w:r>
              <w:rPr>
                <w:rFonts w:ascii="Times New Roman"/>
                <w:sz w:val="18"/>
              </w:rPr>
              <w:t>900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98" w:right="96"/>
              <w:jc w:val="left"/>
              <w:rPr>
                <w:rFonts w:ascii="宋体" w:hAnsi="宋体" w:cs="宋体" w:eastAsia="宋体" w:hint="default"/>
                <w:sz w:val="18"/>
                <w:szCs w:val="18"/>
              </w:rPr>
            </w:pPr>
            <w:r>
              <w:rPr>
                <w:rFonts w:ascii="宋体" w:hAnsi="宋体" w:cs="宋体" w:eastAsia="宋体" w:hint="default"/>
                <w:sz w:val="18"/>
                <w:szCs w:val="18"/>
              </w:rPr>
              <w:t>定期 结算</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0"/>
              <w:jc w:val="center"/>
              <w:rPr>
                <w:rFonts w:ascii="Times New Roman" w:hAnsi="Times New Roman" w:cs="Times New Roman" w:eastAsia="Times New Roman" w:hint="default"/>
                <w:sz w:val="18"/>
                <w:szCs w:val="18"/>
              </w:rPr>
            </w:pPr>
            <w:r>
              <w:rPr>
                <w:rFonts w:ascii="Times New Roman"/>
                <w:sz w:val="18"/>
              </w:rPr>
              <w:t>_</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91"/>
              <w:ind w:left="22" w:right="19" w:hanging="3"/>
              <w:jc w:val="center"/>
              <w:rPr>
                <w:rFonts w:ascii="宋体" w:hAnsi="宋体" w:cs="宋体" w:eastAsia="宋体" w:hint="default"/>
                <w:sz w:val="18"/>
                <w:szCs w:val="18"/>
              </w:rPr>
            </w:pPr>
            <w:r>
              <w:rPr>
                <w:rFonts w:ascii="Times New Roman" w:hAnsi="Times New Roman" w:cs="Times New Roman" w:eastAsia="Times New Roman" w:hint="default"/>
                <w:sz w:val="18"/>
                <w:szCs w:val="18"/>
              </w:rPr>
              <w:t>www.cninfo. </w:t>
            </w:r>
            <w:r>
              <w:rPr>
                <w:rFonts w:ascii="Times New Roman" w:hAnsi="Times New Roman" w:cs="Times New Roman" w:eastAsia="Times New Roman" w:hint="default"/>
                <w:spacing w:val="-7"/>
                <w:sz w:val="18"/>
                <w:szCs w:val="18"/>
              </w:rPr>
              <w:t>com.cn</w:t>
            </w:r>
            <w:r>
              <w:rPr>
                <w:rFonts w:ascii="宋体" w:hAnsi="宋体" w:cs="宋体" w:eastAsia="宋体" w:hint="default"/>
                <w:spacing w:val="-7"/>
                <w:sz w:val="18"/>
                <w:szCs w:val="18"/>
              </w:rPr>
              <w:t>，公告</w:t>
            </w:r>
            <w:r>
              <w:rPr>
                <w:rFonts w:ascii="宋体" w:hAnsi="宋体" w:cs="宋体" w:eastAsia="宋体" w:hint="default"/>
                <w:sz w:val="18"/>
                <w:szCs w:val="18"/>
              </w:rPr>
              <w:t> 编号：</w:t>
            </w:r>
          </w:p>
          <w:p>
            <w:pPr>
              <w:pStyle w:val="TableParagraph"/>
              <w:spacing w:line="240" w:lineRule="auto" w:before="67"/>
              <w:ind w:right="0"/>
              <w:jc w:val="center"/>
              <w:rPr>
                <w:rFonts w:ascii="Times New Roman" w:hAnsi="Times New Roman" w:cs="Times New Roman" w:eastAsia="Times New Roman" w:hint="default"/>
                <w:sz w:val="18"/>
                <w:szCs w:val="18"/>
              </w:rPr>
            </w:pPr>
            <w:r>
              <w:rPr>
                <w:rFonts w:ascii="Times New Roman"/>
                <w:sz w:val="18"/>
              </w:rPr>
              <w:t>2018-21</w:t>
            </w:r>
          </w:p>
        </w:tc>
      </w:tr>
      <w:tr>
        <w:trPr>
          <w:trHeight w:val="1338"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3" w:right="35"/>
              <w:jc w:val="center"/>
              <w:rPr>
                <w:rFonts w:ascii="宋体" w:hAnsi="宋体" w:cs="宋体" w:eastAsia="宋体" w:hint="default"/>
                <w:sz w:val="18"/>
                <w:szCs w:val="18"/>
              </w:rPr>
            </w:pPr>
            <w:r>
              <w:rPr>
                <w:rFonts w:ascii="宋体" w:hAnsi="宋体" w:cs="宋体" w:eastAsia="宋体" w:hint="default"/>
                <w:sz w:val="18"/>
                <w:szCs w:val="18"/>
              </w:rPr>
              <w:t>北京万方 智讯信息 技术有限 公司</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52" w:right="53"/>
              <w:jc w:val="left"/>
              <w:rPr>
                <w:rFonts w:ascii="宋体" w:hAnsi="宋体" w:cs="宋体" w:eastAsia="宋体" w:hint="default"/>
                <w:sz w:val="18"/>
                <w:szCs w:val="18"/>
              </w:rPr>
            </w:pPr>
            <w:r>
              <w:rPr>
                <w:rFonts w:ascii="宋体" w:hAnsi="宋体" w:cs="宋体" w:eastAsia="宋体" w:hint="default"/>
                <w:sz w:val="18"/>
                <w:szCs w:val="18"/>
              </w:rPr>
              <w:t>关联 法人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131" w:right="105" w:hanging="26"/>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 </w:t>
            </w:r>
            <w:r>
              <w:rPr>
                <w:rFonts w:ascii="宋体" w:hAnsi="宋体" w:cs="宋体" w:eastAsia="宋体" w:hint="default"/>
                <w:sz w:val="18"/>
                <w:szCs w:val="18"/>
              </w:rPr>
              <w:t>提供劳务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59" w:right="34" w:hanging="26"/>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 </w:t>
            </w:r>
            <w:r>
              <w:rPr>
                <w:rFonts w:ascii="宋体" w:hAnsi="宋体" w:cs="宋体" w:eastAsia="宋体" w:hint="default"/>
                <w:sz w:val="18"/>
                <w:szCs w:val="18"/>
              </w:rPr>
              <w:t>提供劳务</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98" w:right="97"/>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66" w:right="74" w:hanging="90"/>
              <w:jc w:val="left"/>
              <w:rPr>
                <w:rFonts w:ascii="宋体" w:hAnsi="宋体" w:cs="宋体" w:eastAsia="宋体" w:hint="default"/>
                <w:sz w:val="18"/>
                <w:szCs w:val="18"/>
              </w:rPr>
            </w:pPr>
            <w:r>
              <w:rPr>
                <w:rFonts w:ascii="宋体" w:hAnsi="宋体" w:cs="宋体" w:eastAsia="宋体" w:hint="default"/>
                <w:sz w:val="18"/>
                <w:szCs w:val="18"/>
              </w:rPr>
              <w:t>市场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 w:right="0"/>
              <w:jc w:val="center"/>
              <w:rPr>
                <w:rFonts w:ascii="Times New Roman" w:hAnsi="Times New Roman" w:cs="Times New Roman" w:eastAsia="Times New Roman" w:hint="default"/>
                <w:sz w:val="18"/>
                <w:szCs w:val="18"/>
              </w:rPr>
            </w:pPr>
            <w:r>
              <w:rPr>
                <w:rFonts w:ascii="Times New Roman"/>
                <w:sz w:val="18"/>
              </w:rPr>
              <w:t>0.91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0"/>
              <w:jc w:val="center"/>
              <w:rPr>
                <w:rFonts w:ascii="Times New Roman" w:hAnsi="Times New Roman" w:cs="Times New Roman" w:eastAsia="Times New Roman" w:hint="default"/>
                <w:sz w:val="18"/>
                <w:szCs w:val="18"/>
              </w:rPr>
            </w:pPr>
            <w:r>
              <w:rPr>
                <w:rFonts w:ascii="Times New Roman"/>
                <w:sz w:val="18"/>
              </w:rPr>
              <w:t>0.00%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26"/>
              <w:jc w:val="right"/>
              <w:rPr>
                <w:rFonts w:ascii="Times New Roman" w:hAnsi="Times New Roman" w:cs="Times New Roman" w:eastAsia="Times New Roman" w:hint="default"/>
                <w:sz w:val="18"/>
                <w:szCs w:val="18"/>
              </w:rPr>
            </w:pPr>
            <w:r>
              <w:rPr>
                <w:rFonts w:ascii="Times New Roman"/>
                <w:sz w:val="18"/>
              </w:rPr>
              <w:t>5,000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98" w:right="96"/>
              <w:jc w:val="left"/>
              <w:rPr>
                <w:rFonts w:ascii="宋体" w:hAnsi="宋体" w:cs="宋体" w:eastAsia="宋体" w:hint="default"/>
                <w:sz w:val="18"/>
                <w:szCs w:val="18"/>
              </w:rPr>
            </w:pPr>
            <w:r>
              <w:rPr>
                <w:rFonts w:ascii="宋体" w:hAnsi="宋体" w:cs="宋体" w:eastAsia="宋体" w:hint="default"/>
                <w:sz w:val="18"/>
                <w:szCs w:val="18"/>
              </w:rPr>
              <w:t>定期 结算</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0"/>
              <w:jc w:val="center"/>
              <w:rPr>
                <w:rFonts w:ascii="Times New Roman" w:hAnsi="Times New Roman" w:cs="Times New Roman" w:eastAsia="Times New Roman" w:hint="default"/>
                <w:sz w:val="18"/>
                <w:szCs w:val="18"/>
              </w:rPr>
            </w:pPr>
            <w:r>
              <w:rPr>
                <w:rFonts w:ascii="Times New Roman"/>
                <w:sz w:val="18"/>
              </w:rPr>
              <w:t>_</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91"/>
              <w:ind w:left="22" w:right="19" w:hanging="3"/>
              <w:jc w:val="center"/>
              <w:rPr>
                <w:rFonts w:ascii="宋体" w:hAnsi="宋体" w:cs="宋体" w:eastAsia="宋体" w:hint="default"/>
                <w:sz w:val="18"/>
                <w:szCs w:val="18"/>
              </w:rPr>
            </w:pPr>
            <w:r>
              <w:rPr>
                <w:rFonts w:ascii="Times New Roman" w:hAnsi="Times New Roman" w:cs="Times New Roman" w:eastAsia="Times New Roman" w:hint="default"/>
                <w:sz w:val="18"/>
                <w:szCs w:val="18"/>
              </w:rPr>
              <w:t>www.cninfo. </w:t>
            </w:r>
            <w:r>
              <w:rPr>
                <w:rFonts w:ascii="Times New Roman" w:hAnsi="Times New Roman" w:cs="Times New Roman" w:eastAsia="Times New Roman" w:hint="default"/>
                <w:spacing w:val="-7"/>
                <w:sz w:val="18"/>
                <w:szCs w:val="18"/>
              </w:rPr>
              <w:t>com.cn</w:t>
            </w:r>
            <w:r>
              <w:rPr>
                <w:rFonts w:ascii="宋体" w:hAnsi="宋体" w:cs="宋体" w:eastAsia="宋体" w:hint="default"/>
                <w:spacing w:val="-7"/>
                <w:sz w:val="18"/>
                <w:szCs w:val="18"/>
              </w:rPr>
              <w:t>，公告</w:t>
            </w:r>
            <w:r>
              <w:rPr>
                <w:rFonts w:ascii="宋体" w:hAnsi="宋体" w:cs="宋体" w:eastAsia="宋体" w:hint="default"/>
                <w:sz w:val="18"/>
                <w:szCs w:val="18"/>
              </w:rPr>
              <w:t> 编号：</w:t>
            </w:r>
          </w:p>
          <w:p>
            <w:pPr>
              <w:pStyle w:val="TableParagraph"/>
              <w:spacing w:line="240" w:lineRule="auto" w:before="67"/>
              <w:ind w:right="0"/>
              <w:jc w:val="center"/>
              <w:rPr>
                <w:rFonts w:ascii="Times New Roman" w:hAnsi="Times New Roman" w:cs="Times New Roman" w:eastAsia="Times New Roman" w:hint="default"/>
                <w:sz w:val="18"/>
                <w:szCs w:val="18"/>
              </w:rPr>
            </w:pPr>
            <w:r>
              <w:rPr>
                <w:rFonts w:ascii="Times New Roman"/>
                <w:sz w:val="18"/>
              </w:rPr>
              <w:t>2018-21</w:t>
            </w:r>
          </w:p>
        </w:tc>
      </w:tr>
      <w:tr>
        <w:trPr>
          <w:trHeight w:val="402"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厦门市巨</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52" w:right="0"/>
              <w:jc w:val="left"/>
              <w:rPr>
                <w:rFonts w:ascii="宋体" w:hAnsi="宋体" w:cs="宋体" w:eastAsia="宋体" w:hint="default"/>
                <w:sz w:val="18"/>
                <w:szCs w:val="18"/>
              </w:rPr>
            </w:pPr>
            <w:r>
              <w:rPr>
                <w:rFonts w:ascii="宋体" w:hAnsi="宋体" w:cs="宋体" w:eastAsia="宋体" w:hint="default"/>
                <w:sz w:val="18"/>
                <w:szCs w:val="18"/>
              </w:rPr>
              <w:t>关联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市场</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76" w:right="0"/>
              <w:jc w:val="left"/>
              <w:rPr>
                <w:rFonts w:ascii="宋体" w:hAnsi="宋体" w:cs="宋体" w:eastAsia="宋体" w:hint="default"/>
                <w:sz w:val="18"/>
                <w:szCs w:val="18"/>
              </w:rPr>
            </w:pPr>
            <w:r>
              <w:rPr>
                <w:rFonts w:ascii="宋体" w:hAnsi="宋体" w:cs="宋体" w:eastAsia="宋体" w:hint="default"/>
                <w:sz w:val="18"/>
                <w:szCs w:val="18"/>
              </w:rPr>
              <w:t>市场</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660.33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0.41%</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4"/>
              <w:jc w:val="right"/>
              <w:rPr>
                <w:rFonts w:ascii="Times New Roman" w:hAnsi="Times New Roman" w:cs="Times New Roman" w:eastAsia="Times New Roman" w:hint="default"/>
                <w:sz w:val="18"/>
                <w:szCs w:val="18"/>
              </w:rPr>
            </w:pPr>
            <w:r>
              <w:rPr>
                <w:rFonts w:ascii="Times New Roman"/>
                <w:sz w:val="18"/>
              </w:rPr>
              <w:t>500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定期</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_</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2" w:right="0"/>
              <w:jc w:val="left"/>
              <w:rPr>
                <w:rFonts w:ascii="Times New Roman" w:hAnsi="Times New Roman" w:cs="Times New Roman" w:eastAsia="Times New Roman" w:hint="default"/>
                <w:sz w:val="18"/>
                <w:szCs w:val="18"/>
              </w:rPr>
            </w:pPr>
            <w:r>
              <w:rPr>
                <w:rFonts w:ascii="Times New Roman"/>
                <w:sz w:val="18"/>
              </w:rPr>
              <w:t>www.cninfo.</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999962pt;width:479.2pt;height:690.9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99"/>
                    <w:gridCol w:w="476"/>
                    <w:gridCol w:w="992"/>
                    <w:gridCol w:w="851"/>
                    <w:gridCol w:w="568"/>
                    <w:gridCol w:w="523"/>
                    <w:gridCol w:w="674"/>
                    <w:gridCol w:w="674"/>
                    <w:gridCol w:w="673"/>
                    <w:gridCol w:w="432"/>
                    <w:gridCol w:w="566"/>
                    <w:gridCol w:w="568"/>
                    <w:gridCol w:w="708"/>
                    <w:gridCol w:w="1063"/>
                  </w:tblGrid>
                  <w:tr>
                    <w:trPr>
                      <w:trHeight w:val="986"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33" w:right="35"/>
                          <w:jc w:val="center"/>
                          <w:rPr>
                            <w:rFonts w:ascii="宋体" w:hAnsi="宋体" w:cs="宋体" w:eastAsia="宋体" w:hint="default"/>
                            <w:sz w:val="18"/>
                            <w:szCs w:val="18"/>
                          </w:rPr>
                        </w:pPr>
                        <w:r>
                          <w:rPr>
                            <w:rFonts w:ascii="宋体" w:hAnsi="宋体" w:cs="宋体" w:eastAsia="宋体" w:hint="default"/>
                            <w:sz w:val="18"/>
                            <w:szCs w:val="18"/>
                          </w:rPr>
                          <w:t>龙信息科 技有限公 司</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2" w:right="0"/>
                          <w:jc w:val="left"/>
                          <w:rPr>
                            <w:rFonts w:ascii="宋体" w:hAnsi="宋体" w:cs="宋体" w:eastAsia="宋体" w:hint="default"/>
                            <w:sz w:val="18"/>
                            <w:szCs w:val="18"/>
                          </w:rPr>
                        </w:pPr>
                        <w:r>
                          <w:rPr>
                            <w:rFonts w:ascii="宋体" w:hAnsi="宋体" w:cs="宋体" w:eastAsia="宋体" w:hint="default"/>
                            <w:sz w:val="18"/>
                            <w:szCs w:val="18"/>
                          </w:rPr>
                          <w:t>法人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31"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9"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价格</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66" w:right="0"/>
                          <w:jc w:val="left"/>
                          <w:rPr>
                            <w:rFonts w:ascii="宋体" w:hAnsi="宋体" w:cs="宋体" w:eastAsia="宋体" w:hint="default"/>
                            <w:sz w:val="18"/>
                            <w:szCs w:val="18"/>
                          </w:rPr>
                        </w:pPr>
                        <w:r>
                          <w:rPr>
                            <w:rFonts w:ascii="宋体" w:hAnsi="宋体" w:cs="宋体" w:eastAsia="宋体" w:hint="default"/>
                            <w:sz w:val="18"/>
                            <w:szCs w:val="18"/>
                          </w:rPr>
                          <w:t>价</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结算</w:t>
                        </w: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6" w:right="19" w:hanging="204"/>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com.cn</w:t>
                        </w:r>
                        <w:r>
                          <w:rPr>
                            <w:rFonts w:ascii="宋体" w:hAnsi="宋体" w:cs="宋体" w:eastAsia="宋体" w:hint="default"/>
                            <w:spacing w:val="-7"/>
                            <w:sz w:val="18"/>
                            <w:szCs w:val="18"/>
                          </w:rPr>
                          <w:t>，公告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编号：</w:t>
                        </w:r>
                      </w:p>
                      <w:p>
                        <w:pPr>
                          <w:pStyle w:val="TableParagraph"/>
                          <w:spacing w:line="240" w:lineRule="auto" w:before="72"/>
                          <w:ind w:left="226" w:right="0"/>
                          <w:jc w:val="left"/>
                          <w:rPr>
                            <w:rFonts w:ascii="Times New Roman" w:hAnsi="Times New Roman" w:cs="Times New Roman" w:eastAsia="Times New Roman" w:hint="default"/>
                            <w:sz w:val="18"/>
                            <w:szCs w:val="18"/>
                          </w:rPr>
                        </w:pPr>
                        <w:r>
                          <w:rPr>
                            <w:rFonts w:ascii="Times New Roman"/>
                            <w:sz w:val="18"/>
                          </w:rPr>
                          <w:t>2018-21</w:t>
                        </w:r>
                      </w:p>
                    </w:tc>
                  </w:tr>
                  <w:tr>
                    <w:trPr>
                      <w:trHeight w:val="1338"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3" w:right="35"/>
                          <w:jc w:val="both"/>
                          <w:rPr>
                            <w:rFonts w:ascii="宋体" w:hAnsi="宋体" w:cs="宋体" w:eastAsia="宋体" w:hint="default"/>
                            <w:sz w:val="18"/>
                            <w:szCs w:val="18"/>
                          </w:rPr>
                        </w:pPr>
                        <w:r>
                          <w:rPr>
                            <w:rFonts w:ascii="宋体" w:hAnsi="宋体" w:cs="宋体" w:eastAsia="宋体" w:hint="default"/>
                            <w:sz w:val="18"/>
                            <w:szCs w:val="18"/>
                          </w:rPr>
                          <w:t>厦门市美 亚梧桐投 资管理有 限公司</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 w:right="53"/>
                          <w:jc w:val="left"/>
                          <w:rPr>
                            <w:rFonts w:ascii="宋体" w:hAnsi="宋体" w:cs="宋体" w:eastAsia="宋体" w:hint="default"/>
                            <w:sz w:val="18"/>
                            <w:szCs w:val="18"/>
                          </w:rPr>
                        </w:pPr>
                        <w:r>
                          <w:rPr>
                            <w:rFonts w:ascii="宋体" w:hAnsi="宋体" w:cs="宋体" w:eastAsia="宋体" w:hint="default"/>
                            <w:sz w:val="18"/>
                            <w:szCs w:val="18"/>
                          </w:rPr>
                          <w:t>关联 法人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131" w:right="105" w:hanging="26"/>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 </w:t>
                        </w:r>
                        <w:r>
                          <w:rPr>
                            <w:rFonts w:ascii="宋体" w:hAnsi="宋体" w:cs="宋体" w:eastAsia="宋体" w:hint="default"/>
                            <w:sz w:val="18"/>
                            <w:szCs w:val="18"/>
                          </w:rPr>
                          <w:t>提供劳务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34" w:right="35"/>
                          <w:jc w:val="center"/>
                          <w:rPr>
                            <w:rFonts w:ascii="宋体" w:hAnsi="宋体" w:cs="宋体" w:eastAsia="宋体" w:hint="default"/>
                            <w:sz w:val="18"/>
                            <w:szCs w:val="18"/>
                          </w:rPr>
                        </w:pPr>
                        <w:r>
                          <w:rPr>
                            <w:rFonts w:ascii="宋体" w:hAnsi="宋体" w:cs="宋体" w:eastAsia="宋体" w:hint="default"/>
                            <w:sz w:val="18"/>
                            <w:szCs w:val="18"/>
                          </w:rPr>
                          <w:t>出出售商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 务</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8" w:right="97"/>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66" w:right="74" w:hanging="90"/>
                          <w:jc w:val="left"/>
                          <w:rPr>
                            <w:rFonts w:ascii="宋体" w:hAnsi="宋体" w:cs="宋体" w:eastAsia="宋体" w:hint="default"/>
                            <w:sz w:val="18"/>
                            <w:szCs w:val="18"/>
                          </w:rPr>
                        </w:pPr>
                        <w:r>
                          <w:rPr>
                            <w:rFonts w:ascii="宋体" w:hAnsi="宋体" w:cs="宋体" w:eastAsia="宋体" w:hint="default"/>
                            <w:sz w:val="18"/>
                            <w:szCs w:val="18"/>
                          </w:rPr>
                          <w:t>市场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1.9</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8" w:right="96"/>
                          <w:jc w:val="left"/>
                          <w:rPr>
                            <w:rFonts w:ascii="宋体" w:hAnsi="宋体" w:cs="宋体" w:eastAsia="宋体" w:hint="default"/>
                            <w:sz w:val="18"/>
                            <w:szCs w:val="18"/>
                          </w:rPr>
                        </w:pPr>
                        <w:r>
                          <w:rPr>
                            <w:rFonts w:ascii="宋体" w:hAnsi="宋体" w:cs="宋体" w:eastAsia="宋体" w:hint="default"/>
                            <w:sz w:val="18"/>
                            <w:szCs w:val="18"/>
                          </w:rPr>
                          <w:t>定期 结算</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_</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5"/>
                          <w:jc w:val="both"/>
                          <w:rPr>
                            <w:rFonts w:ascii="宋体" w:hAnsi="宋体" w:cs="宋体" w:eastAsia="宋体" w:hint="default"/>
                            <w:sz w:val="18"/>
                            <w:szCs w:val="18"/>
                          </w:rPr>
                        </w:pPr>
                        <w:r>
                          <w:rPr>
                            <w:rFonts w:ascii="宋体" w:hAnsi="宋体" w:cs="宋体" w:eastAsia="宋体" w:hint="default"/>
                            <w:sz w:val="18"/>
                            <w:szCs w:val="18"/>
                          </w:rPr>
                          <w:t>北京万诚 信用评价 有限公司</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 w:right="53"/>
                          <w:jc w:val="left"/>
                          <w:rPr>
                            <w:rFonts w:ascii="宋体" w:hAnsi="宋体" w:cs="宋体" w:eastAsia="宋体" w:hint="default"/>
                            <w:sz w:val="18"/>
                            <w:szCs w:val="18"/>
                          </w:rPr>
                        </w:pPr>
                        <w:r>
                          <w:rPr>
                            <w:rFonts w:ascii="宋体" w:hAnsi="宋体" w:cs="宋体" w:eastAsia="宋体" w:hint="default"/>
                            <w:sz w:val="18"/>
                            <w:szCs w:val="18"/>
                          </w:rPr>
                          <w:t>关联 法人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131" w:right="105" w:hanging="26"/>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 </w:t>
                        </w:r>
                        <w:r>
                          <w:rPr>
                            <w:rFonts w:ascii="宋体" w:hAnsi="宋体" w:cs="宋体" w:eastAsia="宋体" w:hint="default"/>
                            <w:sz w:val="18"/>
                            <w:szCs w:val="18"/>
                          </w:rPr>
                          <w:t>提供劳务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59" w:right="34" w:hanging="26"/>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 </w:t>
                        </w:r>
                        <w:r>
                          <w:rPr>
                            <w:rFonts w:ascii="宋体" w:hAnsi="宋体" w:cs="宋体" w:eastAsia="宋体" w:hint="default"/>
                            <w:sz w:val="18"/>
                            <w:szCs w:val="18"/>
                          </w:rPr>
                          <w:t>提供劳务</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8" w:right="97"/>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66" w:right="74" w:hanging="90"/>
                          <w:jc w:val="left"/>
                          <w:rPr>
                            <w:rFonts w:ascii="宋体" w:hAnsi="宋体" w:cs="宋体" w:eastAsia="宋体" w:hint="default"/>
                            <w:sz w:val="18"/>
                            <w:szCs w:val="18"/>
                          </w:rPr>
                        </w:pPr>
                        <w:r>
                          <w:rPr>
                            <w:rFonts w:ascii="宋体" w:hAnsi="宋体" w:cs="宋体" w:eastAsia="宋体" w:hint="default"/>
                            <w:sz w:val="18"/>
                            <w:szCs w:val="18"/>
                          </w:rPr>
                          <w:t>市场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28.3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0.02%</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4"/>
                          <w:jc w:val="right"/>
                          <w:rPr>
                            <w:rFonts w:ascii="Times New Roman" w:hAnsi="Times New Roman" w:cs="Times New Roman" w:eastAsia="Times New Roman" w:hint="default"/>
                            <w:sz w:val="18"/>
                            <w:szCs w:val="18"/>
                          </w:rPr>
                        </w:pPr>
                        <w:r>
                          <w:rPr>
                            <w:rFonts w:ascii="Times New Roman"/>
                            <w:sz w:val="18"/>
                          </w:rPr>
                          <w:t>170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8" w:right="96"/>
                          <w:jc w:val="left"/>
                          <w:rPr>
                            <w:rFonts w:ascii="宋体" w:hAnsi="宋体" w:cs="宋体" w:eastAsia="宋体" w:hint="default"/>
                            <w:sz w:val="18"/>
                            <w:szCs w:val="18"/>
                          </w:rPr>
                        </w:pPr>
                        <w:r>
                          <w:rPr>
                            <w:rFonts w:ascii="宋体" w:hAnsi="宋体" w:cs="宋体" w:eastAsia="宋体" w:hint="default"/>
                            <w:sz w:val="18"/>
                            <w:szCs w:val="18"/>
                          </w:rPr>
                          <w:t>定期 结算</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_</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91"/>
                          <w:ind w:left="22" w:right="19" w:hanging="3"/>
                          <w:jc w:val="center"/>
                          <w:rPr>
                            <w:rFonts w:ascii="宋体" w:hAnsi="宋体" w:cs="宋体" w:eastAsia="宋体" w:hint="default"/>
                            <w:sz w:val="18"/>
                            <w:szCs w:val="18"/>
                          </w:rPr>
                        </w:pPr>
                        <w:r>
                          <w:rPr>
                            <w:rFonts w:ascii="Times New Roman" w:hAnsi="Times New Roman" w:cs="Times New Roman" w:eastAsia="Times New Roman" w:hint="default"/>
                            <w:sz w:val="18"/>
                            <w:szCs w:val="18"/>
                          </w:rPr>
                          <w:t>www.cninfo. </w:t>
                        </w:r>
                        <w:r>
                          <w:rPr>
                            <w:rFonts w:ascii="Times New Roman" w:hAnsi="Times New Roman" w:cs="Times New Roman" w:eastAsia="Times New Roman" w:hint="default"/>
                            <w:spacing w:val="-7"/>
                            <w:sz w:val="18"/>
                            <w:szCs w:val="18"/>
                          </w:rPr>
                          <w:t>com.cn</w:t>
                        </w:r>
                        <w:r>
                          <w:rPr>
                            <w:rFonts w:ascii="宋体" w:hAnsi="宋体" w:cs="宋体" w:eastAsia="宋体" w:hint="default"/>
                            <w:spacing w:val="-7"/>
                            <w:sz w:val="18"/>
                            <w:szCs w:val="18"/>
                          </w:rPr>
                          <w:t>，公告</w:t>
                        </w:r>
                        <w:r>
                          <w:rPr>
                            <w:rFonts w:ascii="宋体" w:hAnsi="宋体" w:cs="宋体" w:eastAsia="宋体" w:hint="default"/>
                            <w:sz w:val="18"/>
                            <w:szCs w:val="18"/>
                          </w:rPr>
                          <w:t> 编号：</w:t>
                        </w:r>
                      </w:p>
                      <w:p>
                        <w:pPr>
                          <w:pStyle w:val="TableParagraph"/>
                          <w:spacing w:line="240" w:lineRule="auto" w:before="67"/>
                          <w:ind w:right="0"/>
                          <w:jc w:val="center"/>
                          <w:rPr>
                            <w:rFonts w:ascii="Times New Roman" w:hAnsi="Times New Roman" w:cs="Times New Roman" w:eastAsia="Times New Roman" w:hint="default"/>
                            <w:sz w:val="18"/>
                            <w:szCs w:val="18"/>
                          </w:rPr>
                        </w:pPr>
                        <w:r>
                          <w:rPr>
                            <w:rFonts w:ascii="Times New Roman"/>
                            <w:sz w:val="18"/>
                          </w:rPr>
                          <w:t>2018-21</w:t>
                        </w:r>
                      </w:p>
                    </w:tc>
                  </w:tr>
                  <w:tr>
                    <w:trPr>
                      <w:trHeight w:val="1338"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5"/>
                          <w:jc w:val="both"/>
                          <w:rPr>
                            <w:rFonts w:ascii="宋体" w:hAnsi="宋体" w:cs="宋体" w:eastAsia="宋体" w:hint="default"/>
                            <w:sz w:val="18"/>
                            <w:szCs w:val="18"/>
                          </w:rPr>
                        </w:pPr>
                        <w:r>
                          <w:rPr>
                            <w:rFonts w:ascii="宋体" w:hAnsi="宋体" w:cs="宋体" w:eastAsia="宋体" w:hint="default"/>
                            <w:sz w:val="18"/>
                            <w:szCs w:val="18"/>
                          </w:rPr>
                          <w:t>柏科（常 熟）电机 有限公司</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 w:right="53"/>
                          <w:jc w:val="left"/>
                          <w:rPr>
                            <w:rFonts w:ascii="宋体" w:hAnsi="宋体" w:cs="宋体" w:eastAsia="宋体" w:hint="default"/>
                            <w:sz w:val="18"/>
                            <w:szCs w:val="18"/>
                          </w:rPr>
                        </w:pPr>
                        <w:r>
                          <w:rPr>
                            <w:rFonts w:ascii="宋体" w:hAnsi="宋体" w:cs="宋体" w:eastAsia="宋体" w:hint="default"/>
                            <w:sz w:val="18"/>
                            <w:szCs w:val="18"/>
                          </w:rPr>
                          <w:t>关联 法人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131" w:right="105" w:hanging="26"/>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 </w:t>
                        </w:r>
                        <w:r>
                          <w:rPr>
                            <w:rFonts w:ascii="宋体" w:hAnsi="宋体" w:cs="宋体" w:eastAsia="宋体" w:hint="default"/>
                            <w:sz w:val="18"/>
                            <w:szCs w:val="18"/>
                          </w:rPr>
                          <w:t>提供劳务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59" w:right="34" w:hanging="26"/>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 </w:t>
                        </w:r>
                        <w:r>
                          <w:rPr>
                            <w:rFonts w:ascii="宋体" w:hAnsi="宋体" w:cs="宋体" w:eastAsia="宋体" w:hint="default"/>
                            <w:sz w:val="18"/>
                            <w:szCs w:val="18"/>
                          </w:rPr>
                          <w:t>提供劳务</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8" w:right="97"/>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66" w:right="74" w:hanging="90"/>
                          <w:jc w:val="left"/>
                          <w:rPr>
                            <w:rFonts w:ascii="宋体" w:hAnsi="宋体" w:cs="宋体" w:eastAsia="宋体" w:hint="default"/>
                            <w:sz w:val="18"/>
                            <w:szCs w:val="18"/>
                          </w:rPr>
                        </w:pPr>
                        <w:r>
                          <w:rPr>
                            <w:rFonts w:ascii="宋体" w:hAnsi="宋体" w:cs="宋体" w:eastAsia="宋体" w:hint="default"/>
                            <w:sz w:val="18"/>
                            <w:szCs w:val="18"/>
                          </w:rPr>
                          <w:t>市场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3.23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4"/>
                          <w:jc w:val="right"/>
                          <w:rPr>
                            <w:rFonts w:ascii="Times New Roman" w:hAnsi="Times New Roman" w:cs="Times New Roman" w:eastAsia="Times New Roman" w:hint="default"/>
                            <w:sz w:val="18"/>
                            <w:szCs w:val="18"/>
                          </w:rPr>
                        </w:pPr>
                        <w:r>
                          <w:rPr>
                            <w:rFonts w:ascii="Times New Roman"/>
                            <w:sz w:val="18"/>
                          </w:rPr>
                          <w:t>100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8" w:right="96"/>
                          <w:jc w:val="left"/>
                          <w:rPr>
                            <w:rFonts w:ascii="宋体" w:hAnsi="宋体" w:cs="宋体" w:eastAsia="宋体" w:hint="default"/>
                            <w:sz w:val="18"/>
                            <w:szCs w:val="18"/>
                          </w:rPr>
                        </w:pPr>
                        <w:r>
                          <w:rPr>
                            <w:rFonts w:ascii="宋体" w:hAnsi="宋体" w:cs="宋体" w:eastAsia="宋体" w:hint="default"/>
                            <w:sz w:val="18"/>
                            <w:szCs w:val="18"/>
                          </w:rPr>
                          <w:t>定期 结算</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_</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91"/>
                          <w:ind w:left="22" w:right="19" w:hanging="3"/>
                          <w:jc w:val="center"/>
                          <w:rPr>
                            <w:rFonts w:ascii="宋体" w:hAnsi="宋体" w:cs="宋体" w:eastAsia="宋体" w:hint="default"/>
                            <w:sz w:val="18"/>
                            <w:szCs w:val="18"/>
                          </w:rPr>
                        </w:pPr>
                        <w:r>
                          <w:rPr>
                            <w:rFonts w:ascii="Times New Roman" w:hAnsi="Times New Roman" w:cs="Times New Roman" w:eastAsia="Times New Roman" w:hint="default"/>
                            <w:sz w:val="18"/>
                            <w:szCs w:val="18"/>
                          </w:rPr>
                          <w:t>www.cninfo. </w:t>
                        </w:r>
                        <w:r>
                          <w:rPr>
                            <w:rFonts w:ascii="Times New Roman" w:hAnsi="Times New Roman" w:cs="Times New Roman" w:eastAsia="Times New Roman" w:hint="default"/>
                            <w:spacing w:val="-7"/>
                            <w:sz w:val="18"/>
                            <w:szCs w:val="18"/>
                          </w:rPr>
                          <w:t>com.cn</w:t>
                        </w:r>
                        <w:r>
                          <w:rPr>
                            <w:rFonts w:ascii="宋体" w:hAnsi="宋体" w:cs="宋体" w:eastAsia="宋体" w:hint="default"/>
                            <w:spacing w:val="-7"/>
                            <w:sz w:val="18"/>
                            <w:szCs w:val="18"/>
                          </w:rPr>
                          <w:t>，公告</w:t>
                        </w:r>
                        <w:r>
                          <w:rPr>
                            <w:rFonts w:ascii="宋体" w:hAnsi="宋体" w:cs="宋体" w:eastAsia="宋体" w:hint="default"/>
                            <w:sz w:val="18"/>
                            <w:szCs w:val="18"/>
                          </w:rPr>
                          <w:t> 编号：</w:t>
                        </w:r>
                      </w:p>
                      <w:p>
                        <w:pPr>
                          <w:pStyle w:val="TableParagraph"/>
                          <w:spacing w:line="240" w:lineRule="auto" w:before="67"/>
                          <w:ind w:right="0"/>
                          <w:jc w:val="center"/>
                          <w:rPr>
                            <w:rFonts w:ascii="Times New Roman" w:hAnsi="Times New Roman" w:cs="Times New Roman" w:eastAsia="Times New Roman" w:hint="default"/>
                            <w:sz w:val="18"/>
                            <w:szCs w:val="18"/>
                          </w:rPr>
                        </w:pPr>
                        <w:r>
                          <w:rPr>
                            <w:rFonts w:ascii="Times New Roman"/>
                            <w:sz w:val="18"/>
                          </w:rPr>
                          <w:t>2018-21</w:t>
                        </w:r>
                      </w:p>
                    </w:tc>
                  </w:tr>
                  <w:tr>
                    <w:trPr>
                      <w:trHeight w:val="1338"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3" w:right="35"/>
                          <w:jc w:val="center"/>
                          <w:rPr>
                            <w:rFonts w:ascii="宋体" w:hAnsi="宋体" w:cs="宋体" w:eastAsia="宋体" w:hint="default"/>
                            <w:sz w:val="18"/>
                            <w:szCs w:val="18"/>
                          </w:rPr>
                        </w:pPr>
                        <w:r>
                          <w:rPr>
                            <w:rFonts w:ascii="宋体" w:hAnsi="宋体" w:cs="宋体" w:eastAsia="宋体" w:hint="default"/>
                            <w:sz w:val="18"/>
                            <w:szCs w:val="18"/>
                          </w:rPr>
                          <w:t>沈阳城市 公共安全 科技有限 公司</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 w:right="53"/>
                          <w:jc w:val="left"/>
                          <w:rPr>
                            <w:rFonts w:ascii="宋体" w:hAnsi="宋体" w:cs="宋体" w:eastAsia="宋体" w:hint="default"/>
                            <w:sz w:val="18"/>
                            <w:szCs w:val="18"/>
                          </w:rPr>
                        </w:pPr>
                        <w:r>
                          <w:rPr>
                            <w:rFonts w:ascii="宋体" w:hAnsi="宋体" w:cs="宋体" w:eastAsia="宋体" w:hint="default"/>
                            <w:sz w:val="18"/>
                            <w:szCs w:val="18"/>
                          </w:rPr>
                          <w:t>关联 法人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131" w:right="105" w:hanging="26"/>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 </w:t>
                        </w:r>
                        <w:r>
                          <w:rPr>
                            <w:rFonts w:ascii="宋体" w:hAnsi="宋体" w:cs="宋体" w:eastAsia="宋体" w:hint="default"/>
                            <w:sz w:val="18"/>
                            <w:szCs w:val="18"/>
                          </w:rPr>
                          <w:t>提供劳务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59" w:right="34" w:hanging="26"/>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 </w:t>
                        </w:r>
                        <w:r>
                          <w:rPr>
                            <w:rFonts w:ascii="宋体" w:hAnsi="宋体" w:cs="宋体" w:eastAsia="宋体" w:hint="default"/>
                            <w:sz w:val="18"/>
                            <w:szCs w:val="18"/>
                          </w:rPr>
                          <w:t>提供劳务</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8" w:right="97"/>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66" w:right="74" w:hanging="90"/>
                          <w:jc w:val="left"/>
                          <w:rPr>
                            <w:rFonts w:ascii="宋体" w:hAnsi="宋体" w:cs="宋体" w:eastAsia="宋体" w:hint="default"/>
                            <w:sz w:val="18"/>
                            <w:szCs w:val="18"/>
                          </w:rPr>
                        </w:pPr>
                        <w:r>
                          <w:rPr>
                            <w:rFonts w:ascii="宋体" w:hAnsi="宋体" w:cs="宋体" w:eastAsia="宋体" w:hint="default"/>
                            <w:sz w:val="18"/>
                            <w:szCs w:val="18"/>
                          </w:rPr>
                          <w:t>市场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690.59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0.43%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2,058.6</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5</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8" w:right="96"/>
                          <w:jc w:val="left"/>
                          <w:rPr>
                            <w:rFonts w:ascii="宋体" w:hAnsi="宋体" w:cs="宋体" w:eastAsia="宋体" w:hint="default"/>
                            <w:sz w:val="18"/>
                            <w:szCs w:val="18"/>
                          </w:rPr>
                        </w:pPr>
                        <w:r>
                          <w:rPr>
                            <w:rFonts w:ascii="宋体" w:hAnsi="宋体" w:cs="宋体" w:eastAsia="宋体" w:hint="default"/>
                            <w:sz w:val="18"/>
                            <w:szCs w:val="18"/>
                          </w:rPr>
                          <w:t>定期 结算</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_</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91"/>
                          <w:ind w:left="22" w:right="19" w:hanging="3"/>
                          <w:jc w:val="center"/>
                          <w:rPr>
                            <w:rFonts w:ascii="宋体" w:hAnsi="宋体" w:cs="宋体" w:eastAsia="宋体" w:hint="default"/>
                            <w:sz w:val="18"/>
                            <w:szCs w:val="18"/>
                          </w:rPr>
                        </w:pPr>
                        <w:r>
                          <w:rPr>
                            <w:rFonts w:ascii="Times New Roman" w:hAnsi="Times New Roman" w:cs="Times New Roman" w:eastAsia="Times New Roman" w:hint="default"/>
                            <w:sz w:val="18"/>
                            <w:szCs w:val="18"/>
                          </w:rPr>
                          <w:t>www.cninfo. </w:t>
                        </w:r>
                        <w:r>
                          <w:rPr>
                            <w:rFonts w:ascii="Times New Roman" w:hAnsi="Times New Roman" w:cs="Times New Roman" w:eastAsia="Times New Roman" w:hint="default"/>
                            <w:spacing w:val="-7"/>
                            <w:sz w:val="18"/>
                            <w:szCs w:val="18"/>
                          </w:rPr>
                          <w:t>com.cn</w:t>
                        </w:r>
                        <w:r>
                          <w:rPr>
                            <w:rFonts w:ascii="宋体" w:hAnsi="宋体" w:cs="宋体" w:eastAsia="宋体" w:hint="default"/>
                            <w:spacing w:val="-7"/>
                            <w:sz w:val="18"/>
                            <w:szCs w:val="18"/>
                          </w:rPr>
                          <w:t>，公告</w:t>
                        </w:r>
                        <w:r>
                          <w:rPr>
                            <w:rFonts w:ascii="宋体" w:hAnsi="宋体" w:cs="宋体" w:eastAsia="宋体" w:hint="default"/>
                            <w:sz w:val="18"/>
                            <w:szCs w:val="18"/>
                          </w:rPr>
                          <w:t> 编号：</w:t>
                        </w:r>
                      </w:p>
                      <w:p>
                        <w:pPr>
                          <w:pStyle w:val="TableParagraph"/>
                          <w:spacing w:line="240" w:lineRule="auto" w:before="67"/>
                          <w:ind w:right="0"/>
                          <w:jc w:val="center"/>
                          <w:rPr>
                            <w:rFonts w:ascii="Times New Roman" w:hAnsi="Times New Roman" w:cs="Times New Roman" w:eastAsia="Times New Roman" w:hint="default"/>
                            <w:sz w:val="18"/>
                            <w:szCs w:val="18"/>
                          </w:rPr>
                        </w:pPr>
                        <w:r>
                          <w:rPr>
                            <w:rFonts w:ascii="Times New Roman"/>
                            <w:sz w:val="18"/>
                          </w:rPr>
                          <w:t>2017-84</w:t>
                        </w:r>
                      </w:p>
                    </w:tc>
                  </w:tr>
                  <w:tr>
                    <w:trPr>
                      <w:trHeight w:val="357" w:hRule="exact"/>
                    </w:trPr>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厦门吉比</w:t>
                        </w:r>
                      </w:p>
                    </w:tc>
                    <w:tc>
                      <w:tcPr>
                        <w:tcW w:w="476"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523"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3" w:type="dxa"/>
                        <w:tcBorders>
                          <w:top w:val="single" w:sz="4" w:space="0" w:color="000000"/>
                          <w:left w:val="single" w:sz="4" w:space="0" w:color="000000"/>
                          <w:bottom w:val="nil" w:sz="6" w:space="0" w:color="auto"/>
                          <w:right w:val="single" w:sz="4" w:space="0" w:color="000000"/>
                        </w:tcBorders>
                      </w:tcPr>
                      <w:p>
                        <w:pPr/>
                      </w:p>
                    </w:tc>
                    <w:tc>
                      <w:tcPr>
                        <w:tcW w:w="432"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r>
                  <w:tr>
                    <w:trPr>
                      <w:trHeight w:val="625"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33" w:right="35"/>
                          <w:jc w:val="left"/>
                          <w:rPr>
                            <w:rFonts w:ascii="宋体" w:hAnsi="宋体" w:cs="宋体" w:eastAsia="宋体" w:hint="default"/>
                            <w:sz w:val="18"/>
                            <w:szCs w:val="18"/>
                          </w:rPr>
                        </w:pPr>
                        <w:r>
                          <w:rPr>
                            <w:rFonts w:ascii="宋体" w:hAnsi="宋体" w:cs="宋体" w:eastAsia="宋体" w:hint="default"/>
                            <w:sz w:val="18"/>
                            <w:szCs w:val="18"/>
                          </w:rPr>
                          <w:t>特网络技 术股份有</w:t>
                        </w:r>
                      </w:p>
                    </w:tc>
                    <w:tc>
                      <w:tcPr>
                        <w:tcW w:w="47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52" w:right="53"/>
                          <w:jc w:val="left"/>
                          <w:rPr>
                            <w:rFonts w:ascii="宋体" w:hAnsi="宋体" w:cs="宋体" w:eastAsia="宋体" w:hint="default"/>
                            <w:sz w:val="18"/>
                            <w:szCs w:val="18"/>
                          </w:rPr>
                        </w:pPr>
                        <w:r>
                          <w:rPr>
                            <w:rFonts w:ascii="宋体" w:hAnsi="宋体" w:cs="宋体" w:eastAsia="宋体" w:hint="default"/>
                            <w:sz w:val="18"/>
                            <w:szCs w:val="18"/>
                          </w:rPr>
                          <w:t>关联 法人</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300" w:lineRule="auto" w:before="11"/>
                          <w:ind w:left="131" w:right="105" w:hanging="26"/>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 </w:t>
                        </w:r>
                        <w:r>
                          <w:rPr>
                            <w:rFonts w:ascii="宋体" w:hAnsi="宋体" w:cs="宋体" w:eastAsia="宋体" w:hint="default"/>
                            <w:sz w:val="18"/>
                            <w:szCs w:val="18"/>
                          </w:rPr>
                          <w:t>提供劳务</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300" w:lineRule="auto" w:before="11"/>
                          <w:ind w:left="59" w:right="34" w:hanging="26"/>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 </w:t>
                        </w:r>
                        <w:r>
                          <w:rPr>
                            <w:rFonts w:ascii="宋体" w:hAnsi="宋体" w:cs="宋体" w:eastAsia="宋体" w:hint="default"/>
                            <w:sz w:val="18"/>
                            <w:szCs w:val="18"/>
                          </w:rPr>
                          <w:t>提供劳务</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98" w:right="97"/>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52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166" w:right="74" w:hanging="90"/>
                          <w:jc w:val="left"/>
                          <w:rPr>
                            <w:rFonts w:ascii="宋体" w:hAnsi="宋体" w:cs="宋体" w:eastAsia="宋体" w:hint="default"/>
                            <w:sz w:val="18"/>
                            <w:szCs w:val="18"/>
                          </w:rPr>
                        </w:pPr>
                        <w:r>
                          <w:rPr>
                            <w:rFonts w:ascii="宋体" w:hAnsi="宋体" w:cs="宋体" w:eastAsia="宋体" w:hint="default"/>
                            <w:sz w:val="18"/>
                            <w:szCs w:val="18"/>
                          </w:rPr>
                          <w:t>市场 价</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1.51</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0.00%</w:t>
                        </w:r>
                      </w:p>
                    </w:tc>
                    <w:tc>
                      <w:tcPr>
                        <w:tcW w:w="67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2"/>
                          <w:jc w:val="right"/>
                          <w:rPr>
                            <w:rFonts w:ascii="Times New Roman" w:hAnsi="Times New Roman" w:cs="Times New Roman" w:eastAsia="Times New Roman" w:hint="default"/>
                            <w:sz w:val="18"/>
                            <w:szCs w:val="18"/>
                          </w:rPr>
                        </w:pPr>
                        <w:r>
                          <w:rPr>
                            <w:rFonts w:ascii="Times New Roman"/>
                            <w:sz w:val="18"/>
                          </w:rPr>
                          <w:t>1.51</w:t>
                        </w:r>
                      </w:p>
                    </w:tc>
                    <w:tc>
                      <w:tcPr>
                        <w:tcW w:w="4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98" w:right="96"/>
                          <w:jc w:val="left"/>
                          <w:rPr>
                            <w:rFonts w:ascii="宋体" w:hAnsi="宋体" w:cs="宋体" w:eastAsia="宋体" w:hint="default"/>
                            <w:sz w:val="18"/>
                            <w:szCs w:val="18"/>
                          </w:rPr>
                        </w:pPr>
                        <w:r>
                          <w:rPr>
                            <w:rFonts w:ascii="宋体" w:hAnsi="宋体" w:cs="宋体" w:eastAsia="宋体" w:hint="default"/>
                            <w:sz w:val="18"/>
                            <w:szCs w:val="18"/>
                          </w:rPr>
                          <w:t>定期 结算</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_</w:t>
                        </w:r>
                      </w:p>
                    </w:tc>
                    <w:tc>
                      <w:tcPr>
                        <w:tcW w:w="70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56" w:hRule="exact"/>
                    </w:trPr>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限公司</w:t>
                        </w:r>
                      </w:p>
                    </w:tc>
                    <w:tc>
                      <w:tcPr>
                        <w:tcW w:w="476"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523"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tcPr>
                      <w:p>
                        <w:pPr/>
                      </w:p>
                    </w:tc>
                    <w:tc>
                      <w:tcPr>
                        <w:tcW w:w="432"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357" w:hRule="exact"/>
                    </w:trPr>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柏科智能</w:t>
                        </w:r>
                      </w:p>
                    </w:tc>
                    <w:tc>
                      <w:tcPr>
                        <w:tcW w:w="476"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523"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3" w:type="dxa"/>
                        <w:tcBorders>
                          <w:top w:val="single" w:sz="4" w:space="0" w:color="000000"/>
                          <w:left w:val="single" w:sz="4" w:space="0" w:color="000000"/>
                          <w:bottom w:val="nil" w:sz="6" w:space="0" w:color="auto"/>
                          <w:right w:val="single" w:sz="4" w:space="0" w:color="000000"/>
                        </w:tcBorders>
                      </w:tcPr>
                      <w:p>
                        <w:pPr/>
                      </w:p>
                    </w:tc>
                    <w:tc>
                      <w:tcPr>
                        <w:tcW w:w="432"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r>
                  <w:tr>
                    <w:trPr>
                      <w:trHeight w:val="625"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33" w:right="35"/>
                          <w:jc w:val="left"/>
                          <w:rPr>
                            <w:rFonts w:ascii="宋体" w:hAnsi="宋体" w:cs="宋体" w:eastAsia="宋体" w:hint="default"/>
                            <w:sz w:val="18"/>
                            <w:szCs w:val="18"/>
                          </w:rPr>
                        </w:pPr>
                        <w:r>
                          <w:rPr>
                            <w:rFonts w:ascii="宋体" w:hAnsi="宋体" w:cs="宋体" w:eastAsia="宋体" w:hint="default"/>
                            <w:sz w:val="18"/>
                            <w:szCs w:val="18"/>
                          </w:rPr>
                          <w:t>（厦门） 科技有限</w:t>
                        </w:r>
                      </w:p>
                    </w:tc>
                    <w:tc>
                      <w:tcPr>
                        <w:tcW w:w="47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52" w:right="53"/>
                          <w:jc w:val="left"/>
                          <w:rPr>
                            <w:rFonts w:ascii="宋体" w:hAnsi="宋体" w:cs="宋体" w:eastAsia="宋体" w:hint="default"/>
                            <w:sz w:val="18"/>
                            <w:szCs w:val="18"/>
                          </w:rPr>
                        </w:pPr>
                        <w:r>
                          <w:rPr>
                            <w:rFonts w:ascii="宋体" w:hAnsi="宋体" w:cs="宋体" w:eastAsia="宋体" w:hint="default"/>
                            <w:sz w:val="18"/>
                            <w:szCs w:val="18"/>
                          </w:rPr>
                          <w:t>关联 法人</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300" w:lineRule="auto" w:before="11"/>
                          <w:ind w:left="131" w:right="105" w:hanging="26"/>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 </w:t>
                        </w:r>
                        <w:r>
                          <w:rPr>
                            <w:rFonts w:ascii="宋体" w:hAnsi="宋体" w:cs="宋体" w:eastAsia="宋体" w:hint="default"/>
                            <w:sz w:val="18"/>
                            <w:szCs w:val="18"/>
                          </w:rPr>
                          <w:t>提供劳务</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300" w:lineRule="auto" w:before="11"/>
                          <w:ind w:left="59" w:right="34" w:hanging="26"/>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 </w:t>
                        </w:r>
                        <w:r>
                          <w:rPr>
                            <w:rFonts w:ascii="宋体" w:hAnsi="宋体" w:cs="宋体" w:eastAsia="宋体" w:hint="default"/>
                            <w:sz w:val="18"/>
                            <w:szCs w:val="18"/>
                          </w:rPr>
                          <w:t>提供劳务</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98" w:right="97"/>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52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166" w:right="74" w:hanging="90"/>
                          <w:jc w:val="left"/>
                          <w:rPr>
                            <w:rFonts w:ascii="宋体" w:hAnsi="宋体" w:cs="宋体" w:eastAsia="宋体" w:hint="default"/>
                            <w:sz w:val="18"/>
                            <w:szCs w:val="18"/>
                          </w:rPr>
                        </w:pPr>
                        <w:r>
                          <w:rPr>
                            <w:rFonts w:ascii="宋体" w:hAnsi="宋体" w:cs="宋体" w:eastAsia="宋体" w:hint="default"/>
                            <w:sz w:val="18"/>
                            <w:szCs w:val="18"/>
                          </w:rPr>
                          <w:t>市场 价</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30.46</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0.02%</w:t>
                        </w:r>
                      </w:p>
                    </w:tc>
                    <w:tc>
                      <w:tcPr>
                        <w:tcW w:w="67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6"/>
                          <w:jc w:val="right"/>
                          <w:rPr>
                            <w:rFonts w:ascii="Times New Roman" w:hAnsi="Times New Roman" w:cs="Times New Roman" w:eastAsia="Times New Roman" w:hint="default"/>
                            <w:sz w:val="18"/>
                            <w:szCs w:val="18"/>
                          </w:rPr>
                        </w:pPr>
                        <w:r>
                          <w:rPr>
                            <w:rFonts w:ascii="Times New Roman"/>
                            <w:sz w:val="18"/>
                          </w:rPr>
                          <w:t>30.46</w:t>
                        </w:r>
                      </w:p>
                    </w:tc>
                    <w:tc>
                      <w:tcPr>
                        <w:tcW w:w="4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98" w:right="96"/>
                          <w:jc w:val="left"/>
                          <w:rPr>
                            <w:rFonts w:ascii="宋体" w:hAnsi="宋体" w:cs="宋体" w:eastAsia="宋体" w:hint="default"/>
                            <w:sz w:val="18"/>
                            <w:szCs w:val="18"/>
                          </w:rPr>
                        </w:pPr>
                        <w:r>
                          <w:rPr>
                            <w:rFonts w:ascii="宋体" w:hAnsi="宋体" w:cs="宋体" w:eastAsia="宋体" w:hint="default"/>
                            <w:sz w:val="18"/>
                            <w:szCs w:val="18"/>
                          </w:rPr>
                          <w:t>定期 结算</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_</w:t>
                        </w:r>
                      </w:p>
                    </w:tc>
                    <w:tc>
                      <w:tcPr>
                        <w:tcW w:w="70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56" w:hRule="exact"/>
                    </w:trPr>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476"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523"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tcPr>
                      <w:p>
                        <w:pPr/>
                      </w:p>
                    </w:tc>
                    <w:tc>
                      <w:tcPr>
                        <w:tcW w:w="432"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161" w:hRule="exact"/>
                    </w:trPr>
                    <w:tc>
                      <w:tcPr>
                        <w:tcW w:w="3119" w:type="dxa"/>
                        <w:gridSpan w:val="4"/>
                        <w:tcBorders>
                          <w:top w:val="single" w:sz="4" w:space="0" w:color="000000"/>
                          <w:left w:val="single" w:sz="4" w:space="0" w:color="000000"/>
                          <w:bottom w:val="nil" w:sz="6" w:space="0" w:color="auto"/>
                          <w:right w:val="single" w:sz="4" w:space="0" w:color="000000"/>
                        </w:tcBorders>
                        <w:shd w:val="clear" w:color="auto" w:fill="D3D3D3"/>
                      </w:tcPr>
                      <w:p>
                        <w:pPr/>
                      </w:p>
                    </w:tc>
                    <w:tc>
                      <w:tcPr>
                        <w:tcW w:w="5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2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7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3" w:type="dxa"/>
                        <w:vMerge w:val="restart"/>
                        <w:tcBorders>
                          <w:top w:val="single" w:sz="4" w:space="0" w:color="000000"/>
                          <w:left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12,100.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58</w:t>
                        </w:r>
                      </w:p>
                    </w:tc>
                    <w:tc>
                      <w:tcPr>
                        <w:tcW w:w="4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0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3119" w:type="dxa"/>
                        <w:gridSpan w:val="4"/>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8" w:type="dxa"/>
                        <w:vMerge/>
                        <w:tcBorders>
                          <w:left w:val="single" w:sz="4" w:space="0" w:color="000000"/>
                          <w:right w:val="single" w:sz="4" w:space="0" w:color="000000"/>
                        </w:tcBorders>
                        <w:shd w:val="clear" w:color="auto" w:fill="D3D3D3"/>
                      </w:tcPr>
                      <w:p>
                        <w:pPr/>
                      </w:p>
                    </w:tc>
                    <w:tc>
                      <w:tcPr>
                        <w:tcW w:w="523" w:type="dxa"/>
                        <w:vMerge/>
                        <w:tcBorders>
                          <w:left w:val="single" w:sz="4" w:space="0" w:color="000000"/>
                          <w:right w:val="single" w:sz="4" w:space="0" w:color="000000"/>
                        </w:tcBorders>
                        <w:shd w:val="clear" w:color="auto" w:fill="D3D3D3"/>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3D3D3"/>
                      </w:tcPr>
                      <w:p>
                        <w:pPr/>
                      </w:p>
                    </w:tc>
                    <w:tc>
                      <w:tcPr>
                        <w:tcW w:w="673" w:type="dxa"/>
                        <w:vMerge/>
                        <w:tcBorders>
                          <w:left w:val="single" w:sz="4" w:space="0" w:color="000000"/>
                          <w:right w:val="single" w:sz="4" w:space="0" w:color="000000"/>
                        </w:tcBorders>
                      </w:tcPr>
                      <w:p>
                        <w:pPr/>
                      </w:p>
                    </w:tc>
                    <w:tc>
                      <w:tcPr>
                        <w:tcW w:w="432" w:type="dxa"/>
                        <w:vMerge/>
                        <w:tcBorders>
                          <w:left w:val="single" w:sz="4" w:space="0" w:color="000000"/>
                          <w:right w:val="single" w:sz="4" w:space="0" w:color="000000"/>
                        </w:tcBorders>
                        <w:shd w:val="clear" w:color="auto" w:fill="D3D3D3"/>
                      </w:tcPr>
                      <w:p>
                        <w:pPr/>
                      </w:p>
                    </w:tc>
                    <w:tc>
                      <w:tcPr>
                        <w:tcW w:w="566" w:type="dxa"/>
                        <w:vMerge/>
                        <w:tcBorders>
                          <w:left w:val="single" w:sz="4" w:space="0" w:color="000000"/>
                          <w:right w:val="single" w:sz="4" w:space="0" w:color="000000"/>
                        </w:tcBorders>
                        <w:shd w:val="clear" w:color="auto" w:fill="D3D3D3"/>
                      </w:tcPr>
                      <w:p>
                        <w:pPr/>
                      </w:p>
                    </w:tc>
                    <w:tc>
                      <w:tcPr>
                        <w:tcW w:w="568" w:type="dxa"/>
                        <w:vMerge/>
                        <w:tcBorders>
                          <w:left w:val="single" w:sz="4" w:space="0" w:color="000000"/>
                          <w:right w:val="single" w:sz="4" w:space="0" w:color="000000"/>
                        </w:tcBorders>
                        <w:shd w:val="clear" w:color="auto" w:fill="D3D3D3"/>
                      </w:tcPr>
                      <w:p>
                        <w:pPr/>
                      </w:p>
                    </w:tc>
                    <w:tc>
                      <w:tcPr>
                        <w:tcW w:w="708" w:type="dxa"/>
                        <w:vMerge/>
                        <w:tcBorders>
                          <w:left w:val="single" w:sz="4" w:space="0" w:color="000000"/>
                          <w:right w:val="single" w:sz="4" w:space="0" w:color="000000"/>
                        </w:tcBorders>
                        <w:shd w:val="clear" w:color="auto" w:fill="D3D3D3"/>
                      </w:tcPr>
                      <w:p>
                        <w:pPr/>
                      </w:p>
                    </w:tc>
                    <w:tc>
                      <w:tcPr>
                        <w:tcW w:w="1063" w:type="dxa"/>
                        <w:vMerge/>
                        <w:tcBorders>
                          <w:left w:val="single" w:sz="4" w:space="0" w:color="000000"/>
                          <w:right w:val="single" w:sz="4" w:space="0" w:color="000000"/>
                        </w:tcBorders>
                        <w:shd w:val="clear" w:color="auto" w:fill="D3D3D3"/>
                      </w:tcPr>
                      <w:p>
                        <w:pPr/>
                      </w:p>
                    </w:tc>
                  </w:tr>
                  <w:tr>
                    <w:trPr>
                      <w:trHeight w:val="161" w:hRule="exact"/>
                    </w:trPr>
                    <w:tc>
                      <w:tcPr>
                        <w:tcW w:w="3119" w:type="dxa"/>
                        <w:gridSpan w:val="4"/>
                        <w:tcBorders>
                          <w:top w:val="nil" w:sz="6" w:space="0" w:color="auto"/>
                          <w:left w:val="single" w:sz="4" w:space="0" w:color="000000"/>
                          <w:bottom w:val="single" w:sz="4" w:space="0" w:color="000000"/>
                          <w:right w:val="single" w:sz="4" w:space="0" w:color="000000"/>
                        </w:tcBorders>
                        <w:shd w:val="clear" w:color="auto" w:fill="D3D3D3"/>
                      </w:tcPr>
                      <w:p>
                        <w:pPr/>
                      </w:p>
                    </w:tc>
                    <w:tc>
                      <w:tcPr>
                        <w:tcW w:w="568" w:type="dxa"/>
                        <w:vMerge/>
                        <w:tcBorders>
                          <w:left w:val="single" w:sz="4" w:space="0" w:color="000000"/>
                          <w:bottom w:val="single" w:sz="4" w:space="0" w:color="000000"/>
                          <w:right w:val="single" w:sz="4" w:space="0" w:color="000000"/>
                        </w:tcBorders>
                        <w:shd w:val="clear" w:color="auto" w:fill="D3D3D3"/>
                      </w:tcPr>
                      <w:p>
                        <w:pPr/>
                      </w:p>
                    </w:tc>
                    <w:tc>
                      <w:tcPr>
                        <w:tcW w:w="523" w:type="dxa"/>
                        <w:vMerge/>
                        <w:tcBorders>
                          <w:left w:val="single" w:sz="4" w:space="0" w:color="000000"/>
                          <w:bottom w:val="single" w:sz="4" w:space="0" w:color="000000"/>
                          <w:right w:val="single" w:sz="4" w:space="0" w:color="000000"/>
                        </w:tcBorders>
                        <w:shd w:val="clear" w:color="auto" w:fill="D3D3D3"/>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3D3D3"/>
                      </w:tcPr>
                      <w:p>
                        <w:pPr/>
                      </w:p>
                    </w:tc>
                    <w:tc>
                      <w:tcPr>
                        <w:tcW w:w="673" w:type="dxa"/>
                        <w:vMerge/>
                        <w:tcBorders>
                          <w:left w:val="single" w:sz="4" w:space="0" w:color="000000"/>
                          <w:bottom w:val="single" w:sz="4" w:space="0" w:color="000000"/>
                          <w:right w:val="single" w:sz="4" w:space="0" w:color="000000"/>
                        </w:tcBorders>
                      </w:tcPr>
                      <w:p>
                        <w:pPr/>
                      </w:p>
                    </w:tc>
                    <w:tc>
                      <w:tcPr>
                        <w:tcW w:w="432" w:type="dxa"/>
                        <w:vMerge/>
                        <w:tcBorders>
                          <w:left w:val="single" w:sz="4" w:space="0" w:color="000000"/>
                          <w:bottom w:val="single" w:sz="4" w:space="0" w:color="000000"/>
                          <w:right w:val="single" w:sz="4" w:space="0" w:color="000000"/>
                        </w:tcBorders>
                        <w:shd w:val="clear" w:color="auto" w:fill="D3D3D3"/>
                      </w:tcPr>
                      <w:p>
                        <w:pPr/>
                      </w:p>
                    </w:tc>
                    <w:tc>
                      <w:tcPr>
                        <w:tcW w:w="566" w:type="dxa"/>
                        <w:vMerge/>
                        <w:tcBorders>
                          <w:left w:val="single" w:sz="4" w:space="0" w:color="000000"/>
                          <w:bottom w:val="single" w:sz="4" w:space="0" w:color="000000"/>
                          <w:right w:val="single" w:sz="4" w:space="0" w:color="000000"/>
                        </w:tcBorders>
                        <w:shd w:val="clear" w:color="auto" w:fill="D3D3D3"/>
                      </w:tcPr>
                      <w:p>
                        <w:pPr/>
                      </w:p>
                    </w:tc>
                    <w:tc>
                      <w:tcPr>
                        <w:tcW w:w="568" w:type="dxa"/>
                        <w:vMerge/>
                        <w:tcBorders>
                          <w:left w:val="single" w:sz="4" w:space="0" w:color="000000"/>
                          <w:bottom w:val="single" w:sz="4" w:space="0" w:color="000000"/>
                          <w:right w:val="single" w:sz="4" w:space="0" w:color="000000"/>
                        </w:tcBorders>
                        <w:shd w:val="clear" w:color="auto" w:fill="D3D3D3"/>
                      </w:tcPr>
                      <w:p>
                        <w:pPr/>
                      </w:p>
                    </w:tc>
                    <w:tc>
                      <w:tcPr>
                        <w:tcW w:w="708"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11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45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78" w:hRule="exact"/>
                    </w:trPr>
                    <w:tc>
                      <w:tcPr>
                        <w:tcW w:w="3119" w:type="dxa"/>
                        <w:gridSpan w:val="4"/>
                        <w:vMerge w:val="restart"/>
                        <w:tcBorders>
                          <w:top w:val="single" w:sz="4" w:space="0" w:color="000000"/>
                          <w:left w:val="single" w:sz="4" w:space="0" w:color="000000"/>
                          <w:right w:val="single" w:sz="4" w:space="0" w:color="000000"/>
                        </w:tcBorders>
                        <w:shd w:val="clear" w:color="auto" w:fill="D3D3D3"/>
                      </w:tcPr>
                      <w:p>
                        <w:pPr/>
                      </w:p>
                    </w:tc>
                    <w:tc>
                      <w:tcPr>
                        <w:tcW w:w="6450" w:type="dxa"/>
                        <w:gridSpan w:val="10"/>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日，公司第三届董事会第二十五次会议及第三届监事会第二十</w:t>
                        </w:r>
                      </w:p>
                    </w:tc>
                  </w:tr>
                  <w:tr>
                    <w:trPr>
                      <w:trHeight w:val="312" w:hRule="exact"/>
                    </w:trPr>
                    <w:tc>
                      <w:tcPr>
                        <w:tcW w:w="3119" w:type="dxa"/>
                        <w:gridSpan w:val="4"/>
                        <w:vMerge/>
                        <w:tcBorders>
                          <w:left w:val="single" w:sz="4" w:space="0" w:color="000000"/>
                          <w:right w:val="single" w:sz="4" w:space="0" w:color="000000"/>
                        </w:tcBorders>
                        <w:shd w:val="clear" w:color="auto" w:fill="D3D3D3"/>
                      </w:tcPr>
                      <w:p>
                        <w:pPr/>
                      </w:p>
                    </w:tc>
                    <w:tc>
                      <w:tcPr>
                        <w:tcW w:w="6450"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五次会议审议通过了《关于公司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年度日常关联交易预计的议案》预计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p>
                    </w:tc>
                  </w:tr>
                  <w:tr>
                    <w:trPr>
                      <w:trHeight w:val="312" w:hRule="exact"/>
                    </w:trPr>
                    <w:tc>
                      <w:tcPr>
                        <w:tcW w:w="3119" w:type="dxa"/>
                        <w:gridSpan w:val="4"/>
                        <w:vMerge/>
                        <w:tcBorders>
                          <w:left w:val="single" w:sz="4" w:space="0" w:color="000000"/>
                          <w:right w:val="single" w:sz="4" w:space="0" w:color="000000"/>
                        </w:tcBorders>
                        <w:shd w:val="clear" w:color="auto" w:fill="D3D3D3"/>
                      </w:tcPr>
                      <w:p>
                        <w:pPr/>
                      </w:p>
                    </w:tc>
                    <w:tc>
                      <w:tcPr>
                        <w:tcW w:w="6450"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年公司及子公司与关联方发生总金额不超过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9,810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万元的日常关联交易。</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229" w:hRule="exact"/>
                    </w:trPr>
                    <w:tc>
                      <w:tcPr>
                        <w:tcW w:w="3119" w:type="dxa"/>
                        <w:gridSpan w:val="4"/>
                        <w:vMerge/>
                        <w:tcBorders>
                          <w:left w:val="single" w:sz="4" w:space="0" w:color="000000"/>
                          <w:bottom w:val="nil" w:sz="6" w:space="0" w:color="auto"/>
                          <w:right w:val="single" w:sz="4" w:space="0" w:color="000000"/>
                        </w:tcBorders>
                        <w:shd w:val="clear" w:color="auto" w:fill="D3D3D3"/>
                      </w:tcPr>
                      <w:p>
                        <w:pPr/>
                      </w:p>
                    </w:tc>
                    <w:tc>
                      <w:tcPr>
                        <w:tcW w:w="6450" w:type="dxa"/>
                        <w:gridSpan w:val="10"/>
                        <w:vMerge w:val="restart"/>
                        <w:tcBorders>
                          <w:top w:val="nil" w:sz="6" w:space="0" w:color="auto"/>
                          <w:left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8"/>
                            <w:sz w:val="18"/>
                            <w:szCs w:val="18"/>
                          </w:rPr>
                          <w:t> </w:t>
                        </w:r>
                        <w:r>
                          <w:rPr>
                            <w:rFonts w:ascii="宋体" w:hAnsi="宋体" w:cs="宋体" w:eastAsia="宋体" w:hint="default"/>
                            <w:spacing w:val="-5"/>
                            <w:sz w:val="18"/>
                            <w:szCs w:val="18"/>
                          </w:rPr>
                          <w:t>日，公司审议通过了《关于全资子公司与关联方发生日常关联交易的议案</w:t>
                        </w:r>
                      </w:p>
                    </w:tc>
                  </w:tr>
                  <w:tr>
                    <w:trPr>
                      <w:trHeight w:val="83" w:hRule="exact"/>
                    </w:trPr>
                    <w:tc>
                      <w:tcPr>
                        <w:tcW w:w="3119" w:type="dxa"/>
                        <w:gridSpan w:val="4"/>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2" w:right="24"/>
                          <w:jc w:val="both"/>
                          <w:rPr>
                            <w:rFonts w:ascii="宋体" w:hAnsi="宋体" w:cs="宋体" w:eastAsia="宋体" w:hint="default"/>
                            <w:sz w:val="18"/>
                            <w:szCs w:val="18"/>
                          </w:rPr>
                        </w:pPr>
                        <w:r>
                          <w:rPr>
                            <w:rFonts w:ascii="宋体" w:hAnsi="宋体" w:cs="宋体" w:eastAsia="宋体" w:hint="default"/>
                            <w:sz w:val="18"/>
                            <w:szCs w:val="18"/>
                          </w:rPr>
                          <w:t>按类别对本期将发生的日常关联交易进 行总金额预计的，在报告期内的实际履 行情况（如有）</w:t>
                        </w:r>
                      </w:p>
                    </w:tc>
                    <w:tc>
                      <w:tcPr>
                        <w:tcW w:w="6450" w:type="dxa"/>
                        <w:gridSpan w:val="10"/>
                        <w:vMerge/>
                        <w:tcBorders>
                          <w:left w:val="single" w:sz="4" w:space="0" w:color="000000"/>
                          <w:bottom w:val="nil" w:sz="6" w:space="0" w:color="auto"/>
                          <w:right w:val="single" w:sz="4" w:space="0" w:color="000000"/>
                        </w:tcBorders>
                      </w:tcPr>
                      <w:p>
                        <w:pPr/>
                      </w:p>
                    </w:tc>
                  </w:tr>
                  <w:tr>
                    <w:trPr>
                      <w:trHeight w:val="313" w:hRule="exact"/>
                    </w:trPr>
                    <w:tc>
                      <w:tcPr>
                        <w:tcW w:w="3119" w:type="dxa"/>
                        <w:gridSpan w:val="4"/>
                        <w:vMerge/>
                        <w:tcBorders>
                          <w:left w:val="single" w:sz="4" w:space="0" w:color="000000"/>
                          <w:right w:val="single" w:sz="4" w:space="0" w:color="000000"/>
                        </w:tcBorders>
                        <w:shd w:val="clear" w:color="auto" w:fill="D3D3D3"/>
                      </w:tcPr>
                      <w:p>
                        <w:pPr/>
                      </w:p>
                    </w:tc>
                    <w:tc>
                      <w:tcPr>
                        <w:tcW w:w="6450"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17"/>
                          <w:jc w:val="left"/>
                          <w:rPr>
                            <w:rFonts w:ascii="宋体" w:hAnsi="宋体" w:cs="宋体" w:eastAsia="宋体" w:hint="default"/>
                            <w:sz w:val="18"/>
                            <w:szCs w:val="18"/>
                          </w:rPr>
                        </w:pPr>
                        <w:r>
                          <w:rPr>
                            <w:rFonts w:ascii="宋体" w:hAnsi="宋体" w:cs="宋体" w:eastAsia="宋体" w:hint="default"/>
                            <w:sz w:val="18"/>
                            <w:szCs w:val="18"/>
                          </w:rPr>
                          <w:t>预计与关联方沈阳城市公共安全签订总金额为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2058.65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万元的《技术开发（委托）</w:t>
                        </w:r>
                      </w:p>
                    </w:tc>
                  </w:tr>
                  <w:tr>
                    <w:trPr>
                      <w:trHeight w:val="327" w:hRule="exact"/>
                    </w:trPr>
                    <w:tc>
                      <w:tcPr>
                        <w:tcW w:w="3119" w:type="dxa"/>
                        <w:gridSpan w:val="4"/>
                        <w:vMerge/>
                        <w:tcBorders>
                          <w:left w:val="single" w:sz="4" w:space="0" w:color="000000"/>
                          <w:right w:val="single" w:sz="4" w:space="0" w:color="000000"/>
                        </w:tcBorders>
                        <w:shd w:val="clear" w:color="auto" w:fill="D3D3D3"/>
                      </w:tcPr>
                      <w:p>
                        <w:pPr/>
                      </w:p>
                    </w:tc>
                    <w:tc>
                      <w:tcPr>
                        <w:tcW w:w="6450"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合同</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294" w:hRule="exact"/>
                    </w:trPr>
                    <w:tc>
                      <w:tcPr>
                        <w:tcW w:w="3119" w:type="dxa"/>
                        <w:gridSpan w:val="4"/>
                        <w:vMerge/>
                        <w:tcBorders>
                          <w:left w:val="single" w:sz="4" w:space="0" w:color="000000"/>
                          <w:bottom w:val="nil" w:sz="6" w:space="0" w:color="auto"/>
                          <w:right w:val="single" w:sz="4" w:space="0" w:color="000000"/>
                        </w:tcBorders>
                        <w:shd w:val="clear" w:color="auto" w:fill="D3D3D3"/>
                      </w:tcPr>
                      <w:p>
                        <w:pPr/>
                      </w:p>
                    </w:tc>
                    <w:tc>
                      <w:tcPr>
                        <w:tcW w:w="6450"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382" w:right="0"/>
                          <w:jc w:val="left"/>
                          <w:rPr>
                            <w:rFonts w:ascii="宋体" w:hAnsi="宋体" w:cs="宋体" w:eastAsia="宋体" w:hint="default"/>
                            <w:sz w:val="18"/>
                            <w:szCs w:val="18"/>
                          </w:rPr>
                        </w:pPr>
                        <w:r>
                          <w:rPr>
                            <w:rFonts w:ascii="宋体" w:hAnsi="宋体" w:cs="宋体" w:eastAsia="宋体" w:hint="default"/>
                            <w:spacing w:val="-3"/>
                            <w:sz w:val="18"/>
                            <w:szCs w:val="18"/>
                          </w:rPr>
                          <w:t>报告期内，日常关联交易实际发生总金额未超过预计总金额。但由于公司在预</w:t>
                        </w:r>
                      </w:p>
                    </w:tc>
                  </w:tr>
                  <w:tr>
                    <w:trPr>
                      <w:trHeight w:val="349" w:hRule="exact"/>
                    </w:trPr>
                    <w:tc>
                      <w:tcPr>
                        <w:tcW w:w="3119" w:type="dxa"/>
                        <w:gridSpan w:val="4"/>
                        <w:vMerge w:val="restart"/>
                        <w:tcBorders>
                          <w:top w:val="nil" w:sz="6" w:space="0" w:color="auto"/>
                          <w:left w:val="single" w:sz="4" w:space="0" w:color="000000"/>
                          <w:right w:val="single" w:sz="4" w:space="0" w:color="000000"/>
                        </w:tcBorders>
                        <w:shd w:val="clear" w:color="auto" w:fill="D3D3D3"/>
                      </w:tcPr>
                      <w:p>
                        <w:pPr/>
                      </w:p>
                    </w:tc>
                    <w:tc>
                      <w:tcPr>
                        <w:tcW w:w="6450"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计日常关联交易额度时是基于市场需求和市场拓展情况的判断</w:t>
                        </w:r>
                        <w:r>
                          <w:rPr>
                            <w:rFonts w:ascii="宋体" w:hAnsi="宋体" w:cs="宋体" w:eastAsia="宋体" w:hint="default"/>
                            <w:spacing w:val="-87"/>
                            <w:sz w:val="18"/>
                            <w:szCs w:val="18"/>
                          </w:rPr>
                          <w:t>，</w:t>
                        </w:r>
                        <w:r>
                          <w:rPr>
                            <w:rFonts w:ascii="宋体" w:hAnsi="宋体" w:cs="宋体" w:eastAsia="宋体" w:hint="default"/>
                            <w:sz w:val="18"/>
                            <w:szCs w:val="18"/>
                          </w:rPr>
                          <w:t>以与关联方可能发</w:t>
                        </w:r>
                      </w:p>
                    </w:tc>
                  </w:tr>
                  <w:tr>
                    <w:trPr>
                      <w:trHeight w:val="318" w:hRule="exact"/>
                    </w:trPr>
                    <w:tc>
                      <w:tcPr>
                        <w:tcW w:w="3119" w:type="dxa"/>
                        <w:gridSpan w:val="4"/>
                        <w:vMerge/>
                        <w:tcBorders>
                          <w:left w:val="single" w:sz="4" w:space="0" w:color="000000"/>
                          <w:right w:val="single" w:sz="4" w:space="0" w:color="000000"/>
                        </w:tcBorders>
                        <w:shd w:val="clear" w:color="auto" w:fill="D3D3D3"/>
                      </w:tcPr>
                      <w:p>
                        <w:pPr/>
                      </w:p>
                    </w:tc>
                    <w:tc>
                      <w:tcPr>
                        <w:tcW w:w="6450"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生业务的金额进行预计，预计金额跟实际执行会存在一定的偏差。</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年度主要</w:t>
                        </w:r>
                      </w:p>
                    </w:tc>
                  </w:tr>
                  <w:tr>
                    <w:trPr>
                      <w:trHeight w:val="327" w:hRule="exact"/>
                    </w:trPr>
                    <w:tc>
                      <w:tcPr>
                        <w:tcW w:w="3119" w:type="dxa"/>
                        <w:gridSpan w:val="4"/>
                        <w:vMerge/>
                        <w:tcBorders>
                          <w:left w:val="single" w:sz="4" w:space="0" w:color="000000"/>
                          <w:right w:val="single" w:sz="4" w:space="0" w:color="000000"/>
                        </w:tcBorders>
                        <w:shd w:val="clear" w:color="auto" w:fill="D3D3D3"/>
                      </w:tcPr>
                      <w:p>
                        <w:pPr/>
                      </w:p>
                    </w:tc>
                    <w:tc>
                      <w:tcPr>
                        <w:tcW w:w="6450"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存在差异的情况为：</w:t>
                        </w:r>
                      </w:p>
                    </w:tc>
                  </w:tr>
                  <w:tr>
                    <w:trPr>
                      <w:trHeight w:val="336" w:hRule="exact"/>
                    </w:trPr>
                    <w:tc>
                      <w:tcPr>
                        <w:tcW w:w="3119" w:type="dxa"/>
                        <w:gridSpan w:val="4"/>
                        <w:vMerge/>
                        <w:tcBorders>
                          <w:left w:val="single" w:sz="4" w:space="0" w:color="000000"/>
                          <w:bottom w:val="single" w:sz="4" w:space="0" w:color="000000"/>
                          <w:right w:val="single" w:sz="4" w:space="0" w:color="000000"/>
                        </w:tcBorders>
                        <w:shd w:val="clear" w:color="auto" w:fill="D3D3D3"/>
                      </w:tcPr>
                      <w:p>
                        <w:pPr/>
                      </w:p>
                    </w:tc>
                    <w:tc>
                      <w:tcPr>
                        <w:tcW w:w="6450" w:type="dxa"/>
                        <w:gridSpan w:val="10"/>
                        <w:tcBorders>
                          <w:top w:val="nil" w:sz="6" w:space="0" w:color="auto"/>
                          <w:left w:val="single" w:sz="4" w:space="0" w:color="000000"/>
                          <w:bottom w:val="single" w:sz="4" w:space="0" w:color="000000"/>
                          <w:right w:val="single" w:sz="4" w:space="0" w:color="000000"/>
                        </w:tcBorders>
                      </w:tcPr>
                      <w:p>
                        <w:pPr>
                          <w:pStyle w:val="TableParagraph"/>
                          <w:spacing w:line="240" w:lineRule="auto" w:before="3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、与柏科电机实际发生额较预计发生额超出</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122.26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万元，主要是因为公司加</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6"/>
          <w:szCs w:val="26"/>
        </w:rPr>
      </w:pPr>
    </w:p>
    <w:p>
      <w:pPr>
        <w:spacing w:before="44"/>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before="44"/>
        <w:ind w:left="0" w:right="1138" w:firstLine="0"/>
        <w:jc w:val="right"/>
        <w:rPr>
          <w:rFonts w:ascii="宋体" w:hAnsi="宋体" w:cs="宋体" w:eastAsia="宋体" w:hint="default"/>
          <w:sz w:val="18"/>
          <w:szCs w:val="18"/>
        </w:rPr>
      </w:pPr>
      <w:r>
        <w:rPr/>
        <w:pict>
          <v:shape style="position:absolute;margin-left:56.459999pt;margin-top:-65.288017pt;width:479.2pt;height:280.7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19"/>
                    <w:gridCol w:w="6450"/>
                  </w:tblGrid>
                  <w:tr>
                    <w:trPr>
                      <w:trHeight w:val="338" w:hRule="exact"/>
                    </w:trPr>
                    <w:tc>
                      <w:tcPr>
                        <w:tcW w:w="3119" w:type="dxa"/>
                        <w:vMerge w:val="restart"/>
                        <w:tcBorders>
                          <w:top w:val="single" w:sz="4" w:space="0" w:color="000000"/>
                          <w:left w:val="single" w:sz="4" w:space="0" w:color="000000"/>
                          <w:right w:val="single" w:sz="4" w:space="0" w:color="000000"/>
                        </w:tcBorders>
                        <w:shd w:val="clear" w:color="auto" w:fill="D3D3D3"/>
                      </w:tcPr>
                      <w:p>
                        <w:pPr/>
                      </w:p>
                    </w:tc>
                    <w:tc>
                      <w:tcPr>
                        <w:tcW w:w="64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大对取证产品及一体化工作台的研发，增加了模具、开模结构件的采购需求。</w:t>
                        </w:r>
                      </w:p>
                    </w:tc>
                  </w:tr>
                  <w:tr>
                    <w:trPr>
                      <w:trHeight w:val="337" w:hRule="exact"/>
                    </w:trPr>
                    <w:tc>
                      <w:tcPr>
                        <w:tcW w:w="3119" w:type="dxa"/>
                        <w:vMerge/>
                        <w:tcBorders>
                          <w:left w:val="single" w:sz="4" w:space="0" w:color="000000"/>
                          <w:right w:val="single" w:sz="4" w:space="0" w:color="000000"/>
                        </w:tcBorders>
                        <w:shd w:val="clear" w:color="auto" w:fill="D3D3D3"/>
                      </w:tcPr>
                      <w:p>
                        <w:pPr/>
                      </w:p>
                    </w:tc>
                    <w:tc>
                      <w:tcPr>
                        <w:tcW w:w="6450"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、与巨龙信息实际发生额较预计发生额超出</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160.33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万元，主要是公司经营业</w:t>
                        </w:r>
                      </w:p>
                    </w:tc>
                  </w:tr>
                  <w:tr>
                    <w:trPr>
                      <w:trHeight w:val="327" w:hRule="exact"/>
                    </w:trPr>
                    <w:tc>
                      <w:tcPr>
                        <w:tcW w:w="3119" w:type="dxa"/>
                        <w:vMerge/>
                        <w:tcBorders>
                          <w:left w:val="single" w:sz="4" w:space="0" w:color="000000"/>
                          <w:right w:val="single" w:sz="4" w:space="0" w:color="000000"/>
                        </w:tcBorders>
                        <w:shd w:val="clear" w:color="auto" w:fill="D3D3D3"/>
                      </w:tcPr>
                      <w:p>
                        <w:pPr/>
                      </w:p>
                    </w:tc>
                    <w:tc>
                      <w:tcPr>
                        <w:tcW w:w="64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务发展所需，加大了产品销售力度。</w:t>
                        </w:r>
                      </w:p>
                    </w:tc>
                  </w:tr>
                  <w:tr>
                    <w:trPr>
                      <w:trHeight w:val="332" w:hRule="exact"/>
                    </w:trPr>
                    <w:tc>
                      <w:tcPr>
                        <w:tcW w:w="3119" w:type="dxa"/>
                        <w:vMerge/>
                        <w:tcBorders>
                          <w:left w:val="single" w:sz="4" w:space="0" w:color="000000"/>
                          <w:right w:val="single" w:sz="4" w:space="0" w:color="000000"/>
                        </w:tcBorders>
                        <w:shd w:val="clear" w:color="auto" w:fill="D3D3D3"/>
                      </w:tcPr>
                      <w:p>
                        <w:pPr/>
                      </w:p>
                    </w:tc>
                    <w:tc>
                      <w:tcPr>
                        <w:tcW w:w="6450"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23"/>
                          <w:jc w:val="right"/>
                          <w:rPr>
                            <w:rFonts w:ascii="宋体" w:hAnsi="宋体" w:cs="宋体" w:eastAsia="宋体" w:hint="default"/>
                            <w:sz w:val="18"/>
                            <w:szCs w:val="18"/>
                          </w:rPr>
                        </w:pPr>
                        <w:r>
                          <w:rPr>
                            <w:rFonts w:ascii="宋体" w:hAnsi="宋体" w:cs="宋体" w:eastAsia="宋体" w:hint="default"/>
                            <w:sz w:val="18"/>
                            <w:szCs w:val="18"/>
                          </w:rPr>
                          <w:t>上述两笔交易金额超出预计部分及部分未做预计的交易累计总金额未达</w:t>
                        </w:r>
                        <w:r>
                          <w:rPr>
                            <w:rFonts w:ascii="宋体" w:hAnsi="宋体" w:cs="宋体" w:eastAsia="宋体" w:hint="default"/>
                            <w:spacing w:val="-87"/>
                            <w:sz w:val="18"/>
                            <w:szCs w:val="18"/>
                          </w:rPr>
                          <w:t>到</w:t>
                        </w:r>
                        <w:r>
                          <w:rPr>
                            <w:rFonts w:ascii="宋体" w:hAnsi="宋体" w:cs="宋体" w:eastAsia="宋体" w:hint="default"/>
                            <w:sz w:val="18"/>
                            <w:szCs w:val="18"/>
                          </w:rPr>
                          <w:t>《深</w:t>
                        </w:r>
                      </w:p>
                    </w:tc>
                  </w:tr>
                  <w:tr>
                    <w:trPr>
                      <w:trHeight w:val="337" w:hRule="exact"/>
                    </w:trPr>
                    <w:tc>
                      <w:tcPr>
                        <w:tcW w:w="3119" w:type="dxa"/>
                        <w:vMerge/>
                        <w:tcBorders>
                          <w:left w:val="single" w:sz="4" w:space="0" w:color="000000"/>
                          <w:right w:val="single" w:sz="4" w:space="0" w:color="000000"/>
                        </w:tcBorders>
                        <w:shd w:val="clear" w:color="auto" w:fill="D3D3D3"/>
                      </w:tcPr>
                      <w:p>
                        <w:pPr/>
                      </w:p>
                    </w:tc>
                    <w:tc>
                      <w:tcPr>
                        <w:tcW w:w="645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pacing w:val="-3"/>
                            <w:sz w:val="18"/>
                            <w:szCs w:val="18"/>
                          </w:rPr>
                          <w:t>圳证券交易所创业板股票上市规则》</w:t>
                        </w:r>
                        <w:r>
                          <w:rPr>
                            <w:rFonts w:ascii="Times New Roman" w:hAnsi="Times New Roman" w:cs="Times New Roman" w:eastAsia="Times New Roman" w:hint="default"/>
                            <w:spacing w:val="-3"/>
                            <w:sz w:val="18"/>
                            <w:szCs w:val="18"/>
                          </w:rPr>
                          <w:t>10.2.4</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规定的情形，无需提交公司董事会审议</w:t>
                        </w:r>
                      </w:p>
                    </w:tc>
                  </w:tr>
                  <w:tr>
                    <w:trPr>
                      <w:trHeight w:val="332" w:hRule="exact"/>
                    </w:trPr>
                    <w:tc>
                      <w:tcPr>
                        <w:tcW w:w="3119" w:type="dxa"/>
                        <w:vMerge/>
                        <w:tcBorders>
                          <w:left w:val="single" w:sz="4" w:space="0" w:color="000000"/>
                          <w:right w:val="single" w:sz="4" w:space="0" w:color="000000"/>
                        </w:tcBorders>
                        <w:shd w:val="clear" w:color="auto" w:fill="D3D3D3"/>
                      </w:tcPr>
                      <w:p>
                        <w:pPr/>
                      </w:p>
                    </w:tc>
                    <w:tc>
                      <w:tcPr>
                        <w:tcW w:w="6450"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38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、由于部分关联方的合同约定了分期采购</w:t>
                        </w:r>
                        <w:r>
                          <w:rPr>
                            <w:rFonts w:ascii="Times New Roman" w:hAnsi="Times New Roman" w:cs="Times New Roman" w:eastAsia="Times New Roman" w:hint="default"/>
                            <w:sz w:val="18"/>
                            <w:szCs w:val="18"/>
                          </w:rPr>
                          <w:t>/</w:t>
                        </w:r>
                        <w:r>
                          <w:rPr>
                            <w:rFonts w:ascii="宋体" w:hAnsi="宋体" w:cs="宋体" w:eastAsia="宋体" w:hint="default"/>
                            <w:sz w:val="18"/>
                            <w:szCs w:val="18"/>
                          </w:rPr>
                          <w:t>分期付款的原因，致使有些</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p>
                    </w:tc>
                  </w:tr>
                  <w:tr>
                    <w:trPr>
                      <w:trHeight w:val="327" w:hRule="exact"/>
                    </w:trPr>
                    <w:tc>
                      <w:tcPr>
                        <w:tcW w:w="3119" w:type="dxa"/>
                        <w:vMerge/>
                        <w:tcBorders>
                          <w:left w:val="single" w:sz="4" w:space="0" w:color="000000"/>
                          <w:right w:val="single" w:sz="4" w:space="0" w:color="000000"/>
                        </w:tcBorders>
                        <w:shd w:val="clear" w:color="auto" w:fill="D3D3D3"/>
                      </w:tcPr>
                      <w:p>
                        <w:pPr/>
                      </w:p>
                    </w:tc>
                    <w:tc>
                      <w:tcPr>
                        <w:tcW w:w="64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年度预计的合同延至下一年度执行，实际发生的日常关联交易低于预计发生额。</w:t>
                        </w:r>
                      </w:p>
                    </w:tc>
                  </w:tr>
                  <w:tr>
                    <w:trPr>
                      <w:trHeight w:val="337" w:hRule="exact"/>
                    </w:trPr>
                    <w:tc>
                      <w:tcPr>
                        <w:tcW w:w="3119" w:type="dxa"/>
                        <w:vMerge/>
                        <w:tcBorders>
                          <w:left w:val="single" w:sz="4" w:space="0" w:color="000000"/>
                          <w:right w:val="single" w:sz="4" w:space="0" w:color="000000"/>
                        </w:tcBorders>
                        <w:shd w:val="clear" w:color="auto" w:fill="D3D3D3"/>
                      </w:tcPr>
                      <w:p>
                        <w:pPr/>
                      </w:p>
                    </w:tc>
                    <w:tc>
                      <w:tcPr>
                        <w:tcW w:w="6450"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right="25"/>
                          <w:jc w:val="right"/>
                          <w:rPr>
                            <w:rFonts w:ascii="宋体" w:hAnsi="宋体" w:cs="宋体" w:eastAsia="宋体" w:hint="default"/>
                            <w:sz w:val="18"/>
                            <w:szCs w:val="18"/>
                          </w:rPr>
                        </w:pPr>
                        <w:r>
                          <w:rPr>
                            <w:rFonts w:ascii="宋体" w:hAnsi="宋体" w:cs="宋体" w:eastAsia="宋体" w:hint="default"/>
                            <w:sz w:val="18"/>
                            <w:szCs w:val="18"/>
                          </w:rPr>
                          <w:t>综上原因，公司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年度日常关联交易实际发生额未超过预计金额。以上差</w:t>
                        </w:r>
                      </w:p>
                    </w:tc>
                  </w:tr>
                  <w:tr>
                    <w:trPr>
                      <w:trHeight w:val="308" w:hRule="exact"/>
                    </w:trPr>
                    <w:tc>
                      <w:tcPr>
                        <w:tcW w:w="3119" w:type="dxa"/>
                        <w:vMerge/>
                        <w:tcBorders>
                          <w:left w:val="single" w:sz="4" w:space="0" w:color="000000"/>
                          <w:right w:val="single" w:sz="4" w:space="0" w:color="000000"/>
                        </w:tcBorders>
                        <w:shd w:val="clear" w:color="auto" w:fill="D3D3D3"/>
                      </w:tcPr>
                      <w:p>
                        <w:pPr/>
                      </w:p>
                    </w:tc>
                    <w:tc>
                      <w:tcPr>
                        <w:tcW w:w="64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异不会对公司日常经营及业绩产生较大影响</w:t>
                        </w:r>
                        <w:r>
                          <w:rPr>
                            <w:rFonts w:ascii="宋体" w:hAnsi="宋体" w:cs="宋体" w:eastAsia="宋体" w:hint="default"/>
                            <w:spacing w:val="-87"/>
                            <w:sz w:val="18"/>
                            <w:szCs w:val="18"/>
                          </w:rPr>
                          <w:t>，</w:t>
                        </w:r>
                        <w:r>
                          <w:rPr>
                            <w:rFonts w:ascii="宋体" w:hAnsi="宋体" w:cs="宋体" w:eastAsia="宋体" w:hint="default"/>
                            <w:sz w:val="18"/>
                            <w:szCs w:val="18"/>
                          </w:rPr>
                          <w:t>不存在损害公司及中小股东利益的情</w:t>
                        </w:r>
                      </w:p>
                    </w:tc>
                  </w:tr>
                  <w:tr>
                    <w:trPr>
                      <w:trHeight w:val="356" w:hRule="exact"/>
                    </w:trPr>
                    <w:tc>
                      <w:tcPr>
                        <w:tcW w:w="3119" w:type="dxa"/>
                        <w:vMerge/>
                        <w:tcBorders>
                          <w:left w:val="single" w:sz="4" w:space="0" w:color="000000"/>
                          <w:bottom w:val="single" w:sz="4" w:space="0" w:color="000000"/>
                          <w:right w:val="single" w:sz="4" w:space="0" w:color="000000"/>
                        </w:tcBorders>
                        <w:shd w:val="clear" w:color="auto" w:fill="D3D3D3"/>
                      </w:tcPr>
                      <w:p>
                        <w:pPr/>
                      </w:p>
                    </w:tc>
                    <w:tc>
                      <w:tcPr>
                        <w:tcW w:w="64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形。</w:t>
                        </w:r>
                      </w:p>
                    </w:tc>
                  </w:tr>
                  <w:tr>
                    <w:trPr>
                      <w:trHeight w:val="363" w:hRule="exact"/>
                    </w:trPr>
                    <w:tc>
                      <w:tcPr>
                        <w:tcW w:w="3119" w:type="dxa"/>
                        <w:tcBorders>
                          <w:top w:val="single" w:sz="4" w:space="0" w:color="000000"/>
                          <w:left w:val="single" w:sz="4" w:space="0" w:color="000000"/>
                          <w:bottom w:val="nil" w:sz="6" w:space="0" w:color="auto"/>
                          <w:right w:val="single" w:sz="4" w:space="0" w:color="000000"/>
                        </w:tcBorders>
                        <w:shd w:val="clear" w:color="auto" w:fill="D3D3D3"/>
                      </w:tcPr>
                      <w:p>
                        <w:pPr/>
                      </w:p>
                    </w:tc>
                    <w:tc>
                      <w:tcPr>
                        <w:tcW w:w="64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26"/>
                          <w:jc w:val="right"/>
                          <w:rPr>
                            <w:rFonts w:ascii="宋体" w:hAnsi="宋体" w:cs="宋体" w:eastAsia="宋体" w:hint="default"/>
                            <w:sz w:val="18"/>
                            <w:szCs w:val="18"/>
                          </w:rPr>
                        </w:pPr>
                        <w:r>
                          <w:rPr>
                            <w:rFonts w:ascii="宋体" w:hAnsi="宋体" w:cs="宋体" w:eastAsia="宋体" w:hint="default"/>
                            <w:sz w:val="18"/>
                            <w:szCs w:val="18"/>
                          </w:rPr>
                          <w:t>经核查，公司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年度日常关联交易实际发生总金额低于预计总金额的主要</w:t>
                        </w:r>
                      </w:p>
                    </w:tc>
                  </w:tr>
                  <w:tr>
                    <w:trPr>
                      <w:trHeight w:val="312" w:hRule="exact"/>
                    </w:trPr>
                    <w:tc>
                      <w:tcPr>
                        <w:tcW w:w="3119" w:type="dxa"/>
                        <w:tcBorders>
                          <w:top w:val="nil" w:sz="6" w:space="0" w:color="auto"/>
                          <w:left w:val="single" w:sz="4" w:space="0" w:color="000000"/>
                          <w:bottom w:val="nil" w:sz="6" w:space="0" w:color="auto"/>
                          <w:right w:val="single" w:sz="4" w:space="0" w:color="000000"/>
                        </w:tcBorders>
                        <w:shd w:val="clear" w:color="auto" w:fill="D3D3D3"/>
                      </w:tcPr>
                      <w:p>
                        <w:pPr/>
                      </w:p>
                    </w:tc>
                    <w:tc>
                      <w:tcPr>
                        <w:tcW w:w="64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原因：为保证公司日常业务的顺利开展，公司在预计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年度日常关联交易额度</w:t>
                        </w:r>
                      </w:p>
                    </w:tc>
                  </w:tr>
                  <w:tr>
                    <w:trPr>
                      <w:trHeight w:val="936" w:hRule="exact"/>
                    </w:trPr>
                    <w:tc>
                      <w:tcPr>
                        <w:tcW w:w="311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61"/>
                          <w:ind w:left="22" w:right="24"/>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 因（如适用）</w:t>
                        </w:r>
                      </w:p>
                    </w:tc>
                    <w:tc>
                      <w:tcPr>
                        <w:tcW w:w="645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23"/>
                          <w:jc w:val="both"/>
                          <w:rPr>
                            <w:rFonts w:ascii="宋体" w:hAnsi="宋体" w:cs="宋体" w:eastAsia="宋体" w:hint="default"/>
                            <w:sz w:val="18"/>
                            <w:szCs w:val="18"/>
                          </w:rPr>
                        </w:pPr>
                        <w:r>
                          <w:rPr>
                            <w:rFonts w:ascii="宋体" w:hAnsi="宋体" w:cs="宋体" w:eastAsia="宋体" w:hint="default"/>
                            <w:spacing w:val="-3"/>
                            <w:sz w:val="18"/>
                            <w:szCs w:val="18"/>
                          </w:rPr>
                          <w:t>时是基于市场需求和市场拓展情况的判断，以与关联方可能发生业务的金额进行预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计的，预计金额具有一定的不确定性。同时，由于部分关联方的合同约定了分期采</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购</w:t>
                        </w:r>
                        <w:r>
                          <w:rPr>
                            <w:rFonts w:ascii="Times New Roman" w:hAnsi="Times New Roman" w:cs="Times New Roman" w:eastAsia="Times New Roman" w:hint="default"/>
                            <w:sz w:val="18"/>
                            <w:szCs w:val="18"/>
                          </w:rPr>
                          <w:t>/</w:t>
                        </w:r>
                        <w:r>
                          <w:rPr>
                            <w:rFonts w:ascii="宋体" w:hAnsi="宋体" w:cs="宋体" w:eastAsia="宋体" w:hint="default"/>
                            <w:sz w:val="18"/>
                            <w:szCs w:val="18"/>
                          </w:rPr>
                          <w:t>分期付款的原因，致使部分</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年度预计的合同延至下一年度执行。因此，公</w:t>
                        </w:r>
                      </w:p>
                    </w:tc>
                  </w:tr>
                  <w:tr>
                    <w:trPr>
                      <w:trHeight w:val="313" w:hRule="exact"/>
                    </w:trPr>
                    <w:tc>
                      <w:tcPr>
                        <w:tcW w:w="3119" w:type="dxa"/>
                        <w:tcBorders>
                          <w:top w:val="nil" w:sz="6" w:space="0" w:color="auto"/>
                          <w:left w:val="single" w:sz="4" w:space="0" w:color="000000"/>
                          <w:bottom w:val="nil" w:sz="6" w:space="0" w:color="auto"/>
                          <w:right w:val="single" w:sz="4" w:space="0" w:color="000000"/>
                        </w:tcBorders>
                        <w:shd w:val="clear" w:color="auto" w:fill="D3D3D3"/>
                      </w:tcPr>
                      <w:p>
                        <w:pPr/>
                      </w:p>
                    </w:tc>
                    <w:tc>
                      <w:tcPr>
                        <w:tcW w:w="64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年度发生的日常关联交易符合公司实际经营情况。上述关联交易遵循市场</w:t>
                        </w:r>
                      </w:p>
                    </w:tc>
                  </w:tr>
                  <w:tr>
                    <w:trPr>
                      <w:trHeight w:val="351" w:hRule="exact"/>
                    </w:trPr>
                    <w:tc>
                      <w:tcPr>
                        <w:tcW w:w="3119" w:type="dxa"/>
                        <w:tcBorders>
                          <w:top w:val="nil" w:sz="6" w:space="0" w:color="auto"/>
                          <w:left w:val="single" w:sz="4" w:space="0" w:color="000000"/>
                          <w:bottom w:val="single" w:sz="4" w:space="0" w:color="000000"/>
                          <w:right w:val="single" w:sz="4" w:space="0" w:color="000000"/>
                        </w:tcBorders>
                        <w:shd w:val="clear" w:color="auto" w:fill="D3D3D3"/>
                      </w:tcPr>
                      <w:p>
                        <w:pPr/>
                      </w:p>
                    </w:tc>
                    <w:tc>
                      <w:tcPr>
                        <w:tcW w:w="64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公允定价原则，不存在损害公司及全体股东尤其是公司中小股东合法权益的情形</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spacing w:before="44"/>
        <w:ind w:left="0" w:right="114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10"/>
        <w:rPr>
          <w:rFonts w:ascii="宋体" w:hAnsi="宋体" w:cs="宋体" w:eastAsia="宋体" w:hint="default"/>
          <w:sz w:val="27"/>
          <w:szCs w:val="27"/>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64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76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公司报告期不存在关联债权债务往来。</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80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公司报告期无其他重大关联交易。</w:t>
      </w:r>
    </w:p>
    <w:p>
      <w:pPr>
        <w:spacing w:after="0" w:line="338"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7"/>
        <w:rPr>
          <w:rFonts w:ascii="宋体" w:hAnsi="宋体" w:cs="宋体" w:eastAsia="宋体" w:hint="default"/>
          <w:sz w:val="23"/>
          <w:szCs w:val="23"/>
        </w:rPr>
      </w:pPr>
    </w:p>
    <w:p>
      <w:pPr>
        <w:pStyle w:val="Heading2"/>
        <w:spacing w:line="240" w:lineRule="auto" w:before="26"/>
        <w:ind w:right="0"/>
        <w:jc w:val="left"/>
        <w:rPr>
          <w:b w:val="0"/>
          <w:bCs w:val="0"/>
        </w:rPr>
      </w:pPr>
      <w:r>
        <w:rPr/>
        <w:t>十六、重大合同及其履行情况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84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54" w:right="84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84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公司报告期不存在租赁情况。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76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公司报告期不存在担保情况。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84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公司报告期不存在委托理财。</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84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80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after="0" w:line="338"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7"/>
        <w:rPr>
          <w:rFonts w:ascii="宋体" w:hAnsi="宋体" w:cs="宋体" w:eastAsia="宋体" w:hint="default"/>
          <w:sz w:val="23"/>
          <w:szCs w:val="23"/>
        </w:rPr>
      </w:pPr>
    </w:p>
    <w:p>
      <w:pPr>
        <w:pStyle w:val="Heading2"/>
        <w:spacing w:line="240" w:lineRule="auto" w:before="26"/>
        <w:ind w:right="0"/>
        <w:jc w:val="left"/>
        <w:rPr>
          <w:b w:val="0"/>
          <w:bCs w:val="0"/>
        </w:rPr>
      </w:pPr>
      <w:r>
        <w:rPr/>
        <w:t>十七、社会责任情况</w:t>
      </w:r>
      <w:r>
        <w:rPr>
          <w:b w:val="0"/>
          <w:bCs w:val="0"/>
        </w:rPr>
      </w:r>
    </w:p>
    <w:p>
      <w:pPr>
        <w:pStyle w:val="BodyText"/>
        <w:spacing w:line="690" w:lineRule="exact" w:before="15"/>
        <w:ind w:left="511" w:right="0" w:hanging="358"/>
        <w:jc w:val="left"/>
      </w:pPr>
      <w:r>
        <w:rPr>
          <w:rFonts w:ascii="Times New Roman" w:hAnsi="Times New Roman" w:cs="Times New Roman" w:eastAsia="Times New Roman" w:hint="default"/>
          <w:b/>
          <w:bCs/>
        </w:rPr>
        <w:t>1</w:t>
      </w:r>
      <w:r>
        <w:rPr>
          <w:rFonts w:ascii="宋体" w:hAnsi="宋体" w:cs="宋体" w:eastAsia="宋体" w:hint="default"/>
          <w:b/>
          <w:bCs/>
        </w:rPr>
        <w:t>、履行社会责任情况</w:t>
      </w:r>
      <w:r>
        <w:rPr>
          <w:rFonts w:ascii="宋体" w:hAnsi="宋体" w:cs="宋体" w:eastAsia="宋体" w:hint="default"/>
          <w:b/>
          <w:bCs/>
          <w:spacing w:val="1"/>
          <w:w w:val="99"/>
        </w:rPr>
        <w:t> </w:t>
      </w:r>
      <w:r>
        <w:rPr/>
        <w:t>公司于</w:t>
      </w:r>
      <w:r>
        <w:rPr>
          <w:rFonts w:ascii="Times New Roman" w:hAnsi="Times New Roman" w:cs="Times New Roman" w:eastAsia="Times New Roman" w:hint="default"/>
        </w:rPr>
        <w:t>2018</w:t>
      </w:r>
      <w:r>
        <w:rPr/>
        <w:t>年编制了《美亚柏科公益白皮书》。为弘扬公益文化，积极履行社会责任。公司与厦门市</w:t>
      </w:r>
    </w:p>
    <w:p>
      <w:pPr>
        <w:pStyle w:val="BodyText"/>
        <w:spacing w:line="408" w:lineRule="auto" w:before="84"/>
        <w:ind w:right="1131"/>
        <w:jc w:val="both"/>
      </w:pPr>
      <w:r>
        <w:rPr>
          <w:spacing w:val="-1"/>
        </w:rPr>
        <w:t>红十字会及红十字基金合作设立美亚柏科爱心基金，美亚柏科爱心基金的资金来源主要为公司、公司高管</w:t>
      </w:r>
      <w:r>
        <w:rPr>
          <w:spacing w:val="-81"/>
        </w:rPr>
        <w:t> </w:t>
      </w:r>
      <w:r>
        <w:rPr>
          <w:spacing w:val="-81"/>
        </w:rPr>
      </w:r>
      <w:r>
        <w:rPr>
          <w:spacing w:val="-1"/>
        </w:rPr>
        <w:t>及公司员工，主要用途为帮扶困难员工，关爱社会弱势群体，参与国家重大灾难救援与重建。公司的公益</w:t>
      </w:r>
      <w:r>
        <w:rPr>
          <w:spacing w:val="-82"/>
        </w:rPr>
        <w:t> </w:t>
      </w:r>
      <w:r>
        <w:rPr>
          <w:spacing w:val="-82"/>
        </w:rPr>
      </w:r>
      <w:r>
        <w:rPr/>
        <w:t>支持工作主要围绕着教育文化、公益扶住、社会公益等方向。</w:t>
      </w:r>
    </w:p>
    <w:p>
      <w:pPr>
        <w:pStyle w:val="BodyText"/>
        <w:spacing w:line="400" w:lineRule="auto" w:before="46"/>
        <w:ind w:left="153" w:right="1128" w:firstLine="420"/>
        <w:jc w:val="both"/>
      </w:pPr>
      <w:r>
        <w:rPr>
          <w:spacing w:val="-1"/>
        </w:rPr>
        <w:t>公司的公益事业自爱心基金设立起，统筹规划、有的放矢，顺应时代洪流与社会要求不断改进定向管</w:t>
      </w:r>
      <w:r>
        <w:rPr/>
        <w:t> </w:t>
      </w:r>
      <w:r>
        <w:rPr>
          <w:spacing w:val="-1"/>
        </w:rPr>
        <w:t>理和应急机制，逐步将经营战略与公益事业相结合，使经济效益、社会效益相辅相成。报告期内，美亚柏</w:t>
      </w:r>
      <w:r>
        <w:rPr>
          <w:spacing w:val="-83"/>
        </w:rPr>
        <w:t> </w:t>
      </w:r>
      <w:r>
        <w:rPr>
          <w:spacing w:val="-83"/>
        </w:rPr>
      </w:r>
      <w:r>
        <w:rPr/>
        <w:t>科爱心基金用于精准扶贫、教育支援、地方文化、内部帮扶、关怀一线民警等方面，全年捐助共计</w:t>
      </w:r>
      <w:r>
        <w:rPr>
          <w:rFonts w:ascii="Times New Roman" w:hAnsi="Times New Roman" w:cs="Times New Roman" w:eastAsia="Times New Roman" w:hint="default"/>
        </w:rPr>
        <w:t>481.18</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29"/>
        </w:rPr>
      </w:r>
      <w:r>
        <w:rPr/>
        <w:t>万元</w:t>
      </w:r>
      <w:r>
        <w:rPr>
          <w:spacing w:val="-21"/>
        </w:rPr>
        <w:t> </w:t>
      </w:r>
      <w:r>
        <w:rPr/>
        <w:t>。</w:t>
      </w:r>
    </w:p>
    <w:p>
      <w:pPr>
        <w:spacing w:line="240" w:lineRule="auto" w:before="13"/>
        <w:rPr>
          <w:rFonts w:ascii="宋体" w:hAnsi="宋体" w:cs="宋体" w:eastAsia="宋体" w:hint="default"/>
          <w:sz w:val="20"/>
          <w:szCs w:val="20"/>
        </w:rPr>
      </w:pPr>
    </w:p>
    <w:p>
      <w:pPr>
        <w:pStyle w:val="Heading3"/>
        <w:spacing w:line="240" w:lineRule="auto"/>
        <w:ind w:left="153" w:right="0"/>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pStyle w:val="BodyText"/>
        <w:spacing w:line="690" w:lineRule="exact" w:before="14"/>
        <w:ind w:left="511" w:right="0" w:hanging="358"/>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）精准扶贫规划</w:t>
      </w:r>
      <w:r>
        <w:rPr>
          <w:rFonts w:ascii="宋体" w:hAnsi="宋体" w:cs="宋体" w:eastAsia="宋体" w:hint="default"/>
          <w:b/>
          <w:bCs/>
          <w:spacing w:val="1"/>
          <w:w w:val="99"/>
        </w:rPr>
        <w:t> </w:t>
      </w:r>
      <w:r>
        <w:rPr/>
        <w:t>公司积极响应党中央号召，认真贯彻落实企业精准扶贫工作，在资助贫困地区及人民，保障或改善其</w:t>
      </w:r>
    </w:p>
    <w:p>
      <w:pPr>
        <w:pStyle w:val="BodyText"/>
        <w:spacing w:line="408" w:lineRule="auto" w:before="84"/>
        <w:ind w:left="153" w:right="1108"/>
        <w:jc w:val="both"/>
      </w:pPr>
      <w:r>
        <w:rPr>
          <w:spacing w:val="-1"/>
        </w:rPr>
        <w:t>生活水平、教育条件、基础医疗、基础设施上持续投入。在精准扶贫工作中，公司将始终把提升困难群众</w:t>
      </w:r>
      <w:r>
        <w:rPr>
          <w:spacing w:val="-83"/>
        </w:rPr>
        <w:t> </w:t>
      </w:r>
      <w:r>
        <w:rPr>
          <w:spacing w:val="-83"/>
        </w:rPr>
      </w:r>
      <w:r>
        <w:rPr/>
        <w:t>发展能力、提高贫困人口素质作为脱贫攻坚的重点工作，注重扶贫同扶志、扶智相结合，有效整合扶贫、 </w:t>
      </w:r>
      <w:r>
        <w:rPr>
          <w:spacing w:val="-1"/>
        </w:rPr>
        <w:t>教育、科技等部门的资源。在力所能及的范围内，大力开发公益扶助，加大贫困生资助力度。鼓励发展劳</w:t>
      </w:r>
      <w:r>
        <w:rPr>
          <w:spacing w:val="-83"/>
        </w:rPr>
        <w:t> </w:t>
      </w:r>
      <w:r>
        <w:rPr>
          <w:spacing w:val="-83"/>
        </w:rPr>
      </w:r>
      <w:r>
        <w:rPr>
          <w:spacing w:val="-1"/>
        </w:rPr>
        <w:t>务经济，协助地方科学制定劳动力输转规划，将企业超市与地方特色优质产品相结合，实现互利共赢的公</w:t>
      </w:r>
      <w:r>
        <w:rPr>
          <w:spacing w:val="-83"/>
        </w:rPr>
        <w:t> </w:t>
      </w:r>
      <w:r>
        <w:rPr>
          <w:spacing w:val="-83"/>
        </w:rPr>
      </w:r>
      <w:r>
        <w:rPr/>
        <w:t>益模式。</w:t>
      </w:r>
    </w:p>
    <w:p>
      <w:pPr>
        <w:spacing w:line="240" w:lineRule="auto" w:before="6"/>
        <w:rPr>
          <w:rFonts w:ascii="宋体" w:hAnsi="宋体" w:cs="宋体" w:eastAsia="宋体" w:hint="default"/>
          <w:sz w:val="20"/>
          <w:szCs w:val="20"/>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2</w:t>
      </w:r>
      <w:r>
        <w:rPr/>
        <w:t>）年度精准扶贫概要</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left="576" w:right="1121" w:hanging="65"/>
        <w:jc w:val="left"/>
      </w:pPr>
      <w:r>
        <w:rPr/>
        <w:t>报告期内，已开展及完成的扶贫项目有： </w:t>
      </w:r>
      <w:r>
        <w:rPr>
          <w:rFonts w:ascii="宋体" w:hAnsi="宋体" w:cs="宋体" w:eastAsia="宋体" w:hint="default"/>
          <w:b/>
          <w:bCs/>
          <w:spacing w:val="-2"/>
        </w:rPr>
        <w:t>帮扶困难群众及地区：</w:t>
      </w:r>
      <w:r>
        <w:rPr>
          <w:spacing w:val="-2"/>
        </w:rPr>
        <w:t>共捐助</w:t>
      </w:r>
      <w:r>
        <w:rPr>
          <w:rFonts w:ascii="Times New Roman" w:hAnsi="Times New Roman" w:cs="Times New Roman" w:eastAsia="Times New Roman" w:hint="default"/>
          <w:spacing w:val="-2"/>
        </w:rPr>
        <w:t>81.55</w:t>
      </w:r>
      <w:r>
        <w:rPr>
          <w:spacing w:val="-2"/>
        </w:rPr>
        <w:t>万元。主要用于帮扶福建革命老区困难家庭，助力国家脱贫攻坚战</w:t>
      </w:r>
    </w:p>
    <w:p>
      <w:pPr>
        <w:pStyle w:val="BodyText"/>
        <w:spacing w:line="444" w:lineRule="auto" w:before="14"/>
        <w:ind w:left="576" w:right="1125" w:hanging="423"/>
        <w:jc w:val="left"/>
      </w:pPr>
      <w:r>
        <w:rPr/>
        <w:t>略的实施；支持四川省剑阁县卫生和计划生育局采购医疗设备。 </w:t>
      </w:r>
      <w:r>
        <w:rPr>
          <w:rFonts w:ascii="宋体" w:hAnsi="宋体" w:cs="宋体" w:eastAsia="宋体" w:hint="default"/>
          <w:b/>
          <w:bCs/>
          <w:spacing w:val="-2"/>
        </w:rPr>
        <w:t>教育支援：</w:t>
      </w:r>
      <w:r>
        <w:rPr>
          <w:spacing w:val="-2"/>
        </w:rPr>
        <w:t>共捐助</w:t>
      </w:r>
      <w:r>
        <w:rPr>
          <w:rFonts w:ascii="Times New Roman" w:hAnsi="Times New Roman" w:cs="Times New Roman" w:eastAsia="Times New Roman" w:hint="default"/>
          <w:spacing w:val="-2"/>
        </w:rPr>
        <w:t>41.13</w:t>
      </w:r>
      <w:r>
        <w:rPr>
          <w:spacing w:val="-2"/>
        </w:rPr>
        <w:t>万元。主要用于资助厦门市东浦学校“小种子”生命教育课程；支持厦门大学</w:t>
      </w:r>
    </w:p>
    <w:p>
      <w:pPr>
        <w:pStyle w:val="BodyText"/>
        <w:spacing w:line="253" w:lineRule="exact"/>
        <w:ind w:right="0"/>
        <w:jc w:val="left"/>
      </w:pPr>
      <w:r>
        <w:rPr/>
        <w:t>教育发展基金关注和扶持大学生创新创业；资助漳州龙文区实验小学困难学生；帮扶闽清县困难学生；资</w:t>
      </w:r>
    </w:p>
    <w:p>
      <w:pPr>
        <w:spacing w:line="240" w:lineRule="auto" w:before="11"/>
        <w:rPr>
          <w:rFonts w:ascii="宋体" w:hAnsi="宋体" w:cs="宋体" w:eastAsia="宋体" w:hint="default"/>
          <w:sz w:val="14"/>
          <w:szCs w:val="14"/>
        </w:rPr>
      </w:pPr>
    </w:p>
    <w:p>
      <w:pPr>
        <w:pStyle w:val="BodyText"/>
        <w:spacing w:line="444" w:lineRule="auto"/>
        <w:ind w:left="576" w:right="3395" w:hanging="423"/>
        <w:jc w:val="left"/>
      </w:pPr>
      <w:r>
        <w:rPr/>
        <w:t>助华侨大学教育基金会；捐赠实验室设备支持科研院所实验室建设。 </w:t>
      </w:r>
      <w:r>
        <w:rPr>
          <w:rFonts w:ascii="宋体" w:hAnsi="宋体" w:cs="宋体" w:eastAsia="宋体" w:hint="default"/>
          <w:b/>
          <w:bCs/>
        </w:rPr>
        <w:t>地方文化</w:t>
      </w:r>
      <w:r>
        <w:rPr/>
        <w:t>：共捐助</w:t>
      </w:r>
      <w:r>
        <w:rPr>
          <w:rFonts w:ascii="Times New Roman" w:hAnsi="Times New Roman" w:cs="Times New Roman" w:eastAsia="Times New Roman" w:hint="default"/>
        </w:rPr>
        <w:t>35</w:t>
      </w:r>
      <w:r>
        <w:rPr/>
        <w:t>万元。主要用于支持传统艺术文化事业的传承和发展。</w:t>
      </w:r>
    </w:p>
    <w:p>
      <w:pPr>
        <w:spacing w:after="0" w:line="444"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420" w:lineRule="auto" w:before="175"/>
        <w:ind w:left="490" w:right="0" w:firstLine="86"/>
        <w:jc w:val="left"/>
      </w:pPr>
      <w:r>
        <w:rPr>
          <w:rFonts w:ascii="宋体" w:hAnsi="宋体" w:cs="宋体" w:eastAsia="宋体" w:hint="default"/>
          <w:b/>
          <w:bCs/>
        </w:rPr>
        <w:t>内部帮扶：</w:t>
      </w:r>
      <w:r>
        <w:rPr/>
        <w:t>共捐助</w:t>
      </w:r>
      <w:r>
        <w:rPr>
          <w:rFonts w:ascii="Times New Roman" w:hAnsi="Times New Roman" w:cs="Times New Roman" w:eastAsia="Times New Roman" w:hint="default"/>
        </w:rPr>
        <w:t>12</w:t>
      </w:r>
      <w:r>
        <w:rPr/>
        <w:t>万元。主要用于资助公司患重病员工支付高额的医院治疗费用。 </w:t>
      </w:r>
      <w:r>
        <w:rPr>
          <w:rFonts w:ascii="宋体" w:hAnsi="宋体" w:cs="宋体" w:eastAsia="宋体" w:hint="default"/>
          <w:b/>
          <w:bCs/>
        </w:rPr>
        <w:t>关怀一线民警：</w:t>
      </w:r>
      <w:r>
        <w:rPr/>
        <w:t>共捐助</w:t>
      </w:r>
      <w:r>
        <w:rPr>
          <w:rFonts w:ascii="Times New Roman" w:hAnsi="Times New Roman" w:cs="Times New Roman" w:eastAsia="Times New Roman" w:hint="default"/>
        </w:rPr>
        <w:t>11.5</w:t>
      </w:r>
      <w:r>
        <w:rPr/>
        <w:t>万元，用于资助困难一线民警。 除此之外，公司高管还积极履行社会责任，</w:t>
      </w:r>
      <w:r>
        <w:rPr>
          <w:rFonts w:ascii="Times New Roman" w:hAnsi="Times New Roman" w:cs="Times New Roman" w:eastAsia="Times New Roman" w:hint="default"/>
        </w:rPr>
        <w:t>2018</w:t>
      </w:r>
      <w:r>
        <w:rPr/>
        <w:t>年累计捐款</w:t>
      </w:r>
      <w:r>
        <w:rPr>
          <w:rFonts w:ascii="Times New Roman" w:hAnsi="Times New Roman" w:cs="Times New Roman" w:eastAsia="Times New Roman" w:hint="default"/>
        </w:rPr>
        <w:t>300</w:t>
      </w:r>
      <w:r>
        <w:rPr/>
        <w:t>万。 公司在成长过程中，不忘初心、牢记使命，以做大做好企业来巩固内部向心力，提高外部竞争力，为</w:t>
      </w:r>
    </w:p>
    <w:p>
      <w:pPr>
        <w:pStyle w:val="BodyText"/>
        <w:spacing w:line="240" w:lineRule="auto" w:before="35"/>
        <w:ind w:right="0"/>
        <w:jc w:val="left"/>
      </w:pPr>
      <w:r>
        <w:rPr/>
        <w:t>员工提供坚强后盾的同时兼顾社会急难与弱势群体，用实际行动回报社会、回报大众。</w:t>
      </w:r>
    </w:p>
    <w:p>
      <w:pPr>
        <w:spacing w:line="240" w:lineRule="auto" w:before="0"/>
        <w:rPr>
          <w:rFonts w:ascii="宋体" w:hAnsi="宋体" w:cs="宋体" w:eastAsia="宋体" w:hint="default"/>
          <w:sz w:val="20"/>
          <w:szCs w:val="20"/>
        </w:rPr>
      </w:pPr>
    </w:p>
    <w:p>
      <w:pPr>
        <w:pStyle w:val="Heading3"/>
        <w:spacing w:line="240" w:lineRule="auto" w:before="152"/>
        <w:ind w:right="0"/>
        <w:jc w:val="left"/>
        <w:rPr>
          <w:b w:val="0"/>
          <w:bCs w:val="0"/>
        </w:rPr>
      </w:pPr>
      <w:r>
        <w:rPr/>
        <w:t>（</w:t>
      </w:r>
      <w:r>
        <w:rPr>
          <w:rFonts w:ascii="Times New Roman" w:hAnsi="Times New Roman" w:cs="Times New Roman" w:eastAsia="Times New Roman" w:hint="default"/>
        </w:rPr>
        <w:t>3</w:t>
      </w:r>
      <w:r>
        <w:rPr/>
        <w:t>）精准扶贫成效</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111"/>
        <w:gridCol w:w="1066"/>
        <w:gridCol w:w="4391"/>
      </w:tblGrid>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资金</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481.18</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tabs>
                <w:tab w:pos="922" w:val="left" w:leader="none"/>
              </w:tabs>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资助贫困学生投入金额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41.13</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资助贫困学生人数</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tabs>
                <w:tab w:pos="1102" w:val="left" w:leader="none"/>
              </w:tabs>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5.1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贫困地区医疗卫生资源投入金额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扶贫公益基金投入金额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25.05</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9.2.</w:t>
            </w:r>
            <w:r>
              <w:rPr>
                <w:rFonts w:ascii="宋体" w:hAnsi="宋体" w:cs="宋体" w:eastAsia="宋体" w:hint="default"/>
                <w:sz w:val="18"/>
                <w:szCs w:val="18"/>
              </w:rPr>
              <w:t>投入金额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1"/>
        <w:rPr>
          <w:rFonts w:ascii="宋体" w:hAnsi="宋体" w:cs="宋体" w:eastAsia="宋体" w:hint="default"/>
          <w:b/>
          <w:bCs/>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）后续精准扶贫计划</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1131" w:firstLine="420"/>
        <w:jc w:val="both"/>
      </w:pPr>
      <w:r>
        <w:rPr>
          <w:spacing w:val="-1"/>
        </w:rPr>
        <w:t>公司积极响应《“十三五”脱贫攻坚规划的通知》，根据企业实际情况，积极开展围绕教育脱贫、健</w:t>
      </w:r>
      <w:r>
        <w:rPr/>
        <w:t> </w:t>
      </w:r>
      <w:r>
        <w:rPr>
          <w:spacing w:val="-1"/>
        </w:rPr>
        <w:t>康脱贫、社会扶贫等方向开展精准扶贫工作。同时在教育文化，公益扶助，社会公益等方面积极履行社会</w:t>
      </w:r>
      <w:r>
        <w:rPr>
          <w:spacing w:val="-82"/>
        </w:rPr>
        <w:t> </w:t>
      </w:r>
      <w:r>
        <w:rPr>
          <w:spacing w:val="-82"/>
        </w:rPr>
      </w:r>
      <w:r>
        <w:rPr/>
        <w:t>责任。</w:t>
      </w:r>
    </w:p>
    <w:p>
      <w:pPr>
        <w:spacing w:after="0" w:line="408" w:lineRule="auto"/>
        <w:jc w:val="both"/>
        <w:sectPr>
          <w:pgSz w:w="11910" w:h="16840"/>
          <w:pgMar w:header="747" w:footer="982" w:top="1060" w:bottom="118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spacing w:line="357" w:lineRule="auto" w:before="0"/>
        <w:ind w:left="153" w:right="5711"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否</w:t>
      </w:r>
    </w:p>
    <w:p>
      <w:pPr>
        <w:spacing w:before="28"/>
        <w:ind w:left="153" w:right="0" w:firstLine="0"/>
        <w:jc w:val="left"/>
        <w:rPr>
          <w:rFonts w:ascii="宋体" w:hAnsi="宋体" w:cs="宋体" w:eastAsia="宋体" w:hint="default"/>
          <w:sz w:val="18"/>
          <w:szCs w:val="18"/>
        </w:rPr>
      </w:pPr>
      <w:r>
        <w:rPr>
          <w:rFonts w:ascii="宋体" w:hAnsi="宋体" w:cs="宋体" w:eastAsia="宋体" w:hint="default"/>
          <w:sz w:val="18"/>
          <w:szCs w:val="18"/>
        </w:rPr>
        <w:t>公司及子公司不属于环境保护部门公布的重点排污单位。</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十八、其他重大事项的说明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Heading3"/>
        <w:spacing w:line="240" w:lineRule="auto" w:before="153"/>
        <w:ind w:left="576" w:right="0"/>
        <w:jc w:val="left"/>
        <w:rPr>
          <w:b w:val="0"/>
          <w:bCs w:val="0"/>
        </w:rPr>
      </w:pPr>
      <w:r>
        <w:rPr/>
        <w:t>（一）成立全资子公司美亚京安</w:t>
      </w:r>
      <w:r>
        <w:rPr>
          <w:b w:val="0"/>
          <w:bCs w:val="0"/>
        </w:rPr>
      </w:r>
    </w:p>
    <w:p>
      <w:pPr>
        <w:spacing w:line="240" w:lineRule="auto" w:before="10"/>
        <w:rPr>
          <w:rFonts w:ascii="宋体" w:hAnsi="宋体" w:cs="宋体" w:eastAsia="宋体" w:hint="default"/>
          <w:b/>
          <w:bCs/>
          <w:sz w:val="14"/>
          <w:szCs w:val="14"/>
        </w:rPr>
      </w:pPr>
    </w:p>
    <w:p>
      <w:pPr>
        <w:pStyle w:val="BodyText"/>
        <w:spacing w:line="398" w:lineRule="auto"/>
        <w:ind w:left="153" w:right="0" w:firstLine="420"/>
        <w:jc w:val="left"/>
      </w:pP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1</w:t>
      </w:r>
      <w:r>
        <w:rPr>
          <w:spacing w:val="-6"/>
        </w:rPr>
        <w:t>月，公司出资</w:t>
      </w:r>
      <w:r>
        <w:rPr>
          <w:rFonts w:ascii="Times New Roman" w:hAnsi="Times New Roman" w:cs="Times New Roman" w:eastAsia="Times New Roman" w:hint="default"/>
          <w:spacing w:val="-6"/>
        </w:rPr>
        <w:t>1,000</w:t>
      </w:r>
      <w:r>
        <w:rPr>
          <w:spacing w:val="-6"/>
        </w:rPr>
        <w:t>万元成立全资子公司北京美亚京安科技有限公司（以下简称“美亚京安”），</w:t>
      </w:r>
      <w:r>
        <w:rPr/>
        <w:t> 主要从事信息安全及军民融合产品的研发、销售和服务。同时借助北京作为政治经济中心的优势，进一步 吸引更多优秀人才加入公司，加强在司法机关、海关、法院、市场监督局等行业的拓展力度。</w:t>
      </w:r>
    </w:p>
    <w:p>
      <w:pPr>
        <w:pStyle w:val="BodyText"/>
        <w:spacing w:line="408" w:lineRule="auto" w:before="54"/>
        <w:ind w:left="573" w:right="2561"/>
        <w:jc w:val="left"/>
      </w:pPr>
      <w:r>
        <w:rPr/>
        <w:t>美亚京安已获得北京市工商行政管理局门头沟分局颁发的营业执照，主要信息如下： 公司名称：北京美亚京安科技有限公司</w:t>
      </w:r>
    </w:p>
    <w:p>
      <w:pPr>
        <w:pStyle w:val="BodyText"/>
        <w:spacing w:line="393" w:lineRule="auto" w:before="46"/>
        <w:ind w:left="573" w:right="4352"/>
        <w:jc w:val="left"/>
      </w:pPr>
      <w:r>
        <w:rPr/>
        <w:t>统一社会信用代码：</w:t>
      </w:r>
      <w:r>
        <w:rPr>
          <w:rFonts w:ascii="Times New Roman" w:hAnsi="Times New Roman" w:cs="Times New Roman" w:eastAsia="Times New Roman" w:hint="default"/>
        </w:rPr>
        <w:t>91110109MA019RE34L</w:t>
      </w:r>
      <w:r>
        <w:rPr>
          <w:rFonts w:ascii="Times New Roman" w:hAnsi="Times New Roman" w:cs="Times New Roman" w:eastAsia="Times New Roman" w:hint="default"/>
          <w:spacing w:val="-1"/>
        </w:rPr>
        <w:t> </w:t>
      </w:r>
      <w:r>
        <w:rPr/>
        <w:t>类型：有限责任公司（法人独资） 住所：北京市门头沟区石龙经济开发区永安路</w:t>
      </w:r>
      <w:r>
        <w:rPr>
          <w:rFonts w:ascii="Times New Roman" w:hAnsi="Times New Roman" w:cs="Times New Roman" w:eastAsia="Times New Roman" w:hint="default"/>
        </w:rPr>
        <w:t>20</w:t>
      </w:r>
      <w:r>
        <w:rPr/>
        <w:t>号</w:t>
      </w:r>
      <w:r>
        <w:rPr>
          <w:rFonts w:ascii="Times New Roman" w:hAnsi="Times New Roman" w:cs="Times New Roman" w:eastAsia="Times New Roman" w:hint="default"/>
        </w:rPr>
        <w:t>3</w:t>
      </w:r>
      <w:r>
        <w:rPr/>
        <w:t>号楼</w:t>
      </w:r>
      <w:r>
        <w:rPr>
          <w:rFonts w:ascii="Times New Roman" w:hAnsi="Times New Roman" w:cs="Times New Roman" w:eastAsia="Times New Roman" w:hint="default"/>
        </w:rPr>
        <w:t>A-5854</w:t>
      </w:r>
      <w:r>
        <w:rPr/>
        <w:t>室 法定代表人：周海涛</w:t>
      </w:r>
    </w:p>
    <w:p>
      <w:pPr>
        <w:pStyle w:val="BodyText"/>
        <w:spacing w:line="386" w:lineRule="auto" w:before="59"/>
        <w:ind w:left="573" w:right="6131"/>
        <w:jc w:val="left"/>
      </w:pPr>
      <w:r>
        <w:rPr/>
        <w:t>注册资本：</w:t>
      </w:r>
      <w:r>
        <w:rPr>
          <w:rFonts w:ascii="Times New Roman" w:hAnsi="Times New Roman" w:cs="Times New Roman" w:eastAsia="Times New Roman" w:hint="default"/>
        </w:rPr>
        <w:t>1000</w:t>
      </w:r>
      <w:r>
        <w:rPr/>
        <w:t>万元 营业期限：</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01</w:t>
      </w:r>
      <w:r>
        <w:rPr/>
        <w:t>月</w:t>
      </w:r>
      <w:r>
        <w:rPr>
          <w:rFonts w:ascii="Times New Roman" w:hAnsi="Times New Roman" w:cs="Times New Roman" w:eastAsia="Times New Roman" w:hint="default"/>
        </w:rPr>
        <w:t>09</w:t>
      </w:r>
      <w:r>
        <w:rPr/>
        <w:t>日至</w:t>
      </w:r>
      <w:r>
        <w:rPr>
          <w:rFonts w:ascii="Times New Roman" w:hAnsi="Times New Roman" w:cs="Times New Roman" w:eastAsia="Times New Roman" w:hint="default"/>
        </w:rPr>
        <w:t>2048</w:t>
      </w:r>
      <w:r>
        <w:rPr/>
        <w:t>年</w:t>
      </w:r>
      <w:r>
        <w:rPr>
          <w:rFonts w:ascii="Times New Roman" w:hAnsi="Times New Roman" w:cs="Times New Roman" w:eastAsia="Times New Roman" w:hint="default"/>
        </w:rPr>
        <w:t>01</w:t>
      </w:r>
      <w:r>
        <w:rPr/>
        <w:t>月</w:t>
      </w:r>
      <w:r>
        <w:rPr>
          <w:rFonts w:ascii="Times New Roman" w:hAnsi="Times New Roman" w:cs="Times New Roman" w:eastAsia="Times New Roman" w:hint="default"/>
        </w:rPr>
        <w:t>08</w:t>
      </w:r>
      <w:r>
        <w:rPr/>
        <w:t>日</w:t>
      </w:r>
    </w:p>
    <w:p>
      <w:pPr>
        <w:pStyle w:val="BodyText"/>
        <w:spacing w:line="403" w:lineRule="auto" w:before="35"/>
        <w:ind w:left="153" w:right="1022" w:firstLine="420"/>
        <w:jc w:val="left"/>
      </w:pPr>
      <w:r>
        <w:rPr/>
        <w:t>经营范围：技术开发；计算机系统集成服务；数据处理和存储服务（禁止新建和扩建银行卡中心和数 </w:t>
      </w:r>
      <w:r>
        <w:rPr>
          <w:spacing w:val="-4"/>
        </w:rPr>
        <w:t>据中心、</w:t>
      </w:r>
      <w:r>
        <w:rPr>
          <w:rFonts w:ascii="Times New Roman" w:hAnsi="Times New Roman" w:cs="Times New Roman" w:eastAsia="Times New Roman" w:hint="default"/>
          <w:spacing w:val="-4"/>
        </w:rPr>
        <w:t>PUE</w:t>
      </w:r>
      <w:r>
        <w:rPr>
          <w:spacing w:val="-4"/>
        </w:rPr>
        <w:t>值在</w:t>
      </w:r>
      <w:r>
        <w:rPr>
          <w:rFonts w:ascii="Times New Roman" w:hAnsi="Times New Roman" w:cs="Times New Roman" w:eastAsia="Times New Roman" w:hint="default"/>
          <w:spacing w:val="-4"/>
        </w:rPr>
        <w:t>1.5</w:t>
      </w:r>
      <w:r>
        <w:rPr>
          <w:spacing w:val="-4"/>
        </w:rPr>
        <w:t>以下的云计算中心除外）；软件设计；销售（含网上销售）计算机软硬件及辅助设备、</w:t>
      </w:r>
      <w:r>
        <w:rPr>
          <w:spacing w:val="-69"/>
        </w:rPr>
        <w:t> </w:t>
      </w:r>
      <w:r>
        <w:rPr>
          <w:spacing w:val="-69"/>
        </w:rPr>
      </w:r>
      <w:r>
        <w:rPr/>
        <w:t>通讯设备、电子设备；电脑图文设计、制作；货物进出口；技术进出口；代理进出口；企业形象策划；经</w:t>
      </w:r>
      <w:r>
        <w:rPr/>
        <w:t> </w:t>
      </w:r>
      <w:r>
        <w:rPr>
          <w:spacing w:val="-3"/>
        </w:rPr>
        <w:t>济信息咨询；出版物批发；互联网信息服务。（企业依法自主选择经营项目，开展经营活动；出版物批发、</w:t>
      </w:r>
      <w:r>
        <w:rPr>
          <w:spacing w:val="-94"/>
        </w:rPr>
        <w:t> </w:t>
      </w:r>
      <w:r>
        <w:rPr>
          <w:spacing w:val="-94"/>
        </w:rPr>
      </w:r>
      <w:r>
        <w:rPr/>
        <w:t>互联网信息服务一级依法须经批准的项目，经相关部门批准后依批准的内容开展经营活动；不得从事本市</w:t>
      </w:r>
      <w:r>
        <w:rPr/>
        <w:t> 产业政策禁止和限制类项目的经营活动。）</w:t>
      </w:r>
    </w:p>
    <w:p>
      <w:pPr>
        <w:pStyle w:val="Heading3"/>
        <w:spacing w:line="240" w:lineRule="auto" w:before="50"/>
        <w:ind w:left="576" w:right="0"/>
        <w:jc w:val="left"/>
        <w:rPr>
          <w:b w:val="0"/>
          <w:bCs w:val="0"/>
        </w:rPr>
      </w:pPr>
      <w:r>
        <w:rPr/>
        <w:t>（二）购买人才房</w:t>
      </w:r>
      <w:r>
        <w:rPr>
          <w:b w:val="0"/>
          <w:bCs w:val="0"/>
        </w:rPr>
      </w:r>
    </w:p>
    <w:p>
      <w:pPr>
        <w:spacing w:line="240" w:lineRule="auto" w:before="10"/>
        <w:rPr>
          <w:rFonts w:ascii="宋体" w:hAnsi="宋体" w:cs="宋体" w:eastAsia="宋体" w:hint="default"/>
          <w:b/>
          <w:bCs/>
          <w:sz w:val="14"/>
          <w:szCs w:val="14"/>
        </w:rPr>
      </w:pPr>
    </w:p>
    <w:p>
      <w:pPr>
        <w:pStyle w:val="BodyText"/>
        <w:spacing w:line="386" w:lineRule="auto"/>
        <w:ind w:left="573" w:right="1016" w:firstLine="2"/>
        <w:jc w:val="left"/>
      </w:pPr>
      <w:r>
        <w:rPr>
          <w:rFonts w:ascii="Times New Roman" w:hAnsi="Times New Roman" w:cs="Times New Roman" w:eastAsia="Times New Roman" w:hint="default"/>
          <w:b/>
          <w:bCs/>
        </w:rPr>
        <w:t>1</w:t>
      </w:r>
      <w:r>
        <w:rPr>
          <w:rFonts w:ascii="宋体" w:hAnsi="宋体" w:cs="宋体" w:eastAsia="宋体" w:hint="default"/>
          <w:b/>
          <w:bCs/>
        </w:rPr>
        <w:t>、交易概述</w:t>
      </w:r>
      <w:r>
        <w:rPr>
          <w:rFonts w:ascii="宋体" w:hAnsi="宋体" w:cs="宋体" w:eastAsia="宋体" w:hint="default"/>
          <w:b/>
          <w:bCs/>
          <w:spacing w:val="1"/>
          <w:w w:val="99"/>
        </w:rPr>
        <w:t> </w:t>
      </w:r>
      <w:r>
        <w:rPr>
          <w:spacing w:val="-3"/>
        </w:rPr>
        <w:t>为扩大公司生产经营规模，改善员工工作和生活环境，提升员工福利待遇体系，吸引和留住优秀人才，</w:t>
      </w:r>
    </w:p>
    <w:p>
      <w:pPr>
        <w:pStyle w:val="BodyText"/>
        <w:spacing w:line="386" w:lineRule="auto" w:before="65"/>
        <w:ind w:left="153" w:right="0" w:hanging="1"/>
        <w:jc w:val="left"/>
      </w:pPr>
      <w:r>
        <w:rPr>
          <w:spacing w:val="-1"/>
        </w:rPr>
        <w:t>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3</w:t>
      </w:r>
      <w:r>
        <w:rPr>
          <w:spacing w:val="-1"/>
        </w:rPr>
        <w:t>日与厦门万嘉翔房地产开发有限公司签订《商品房认购协议书》，公司购买莲花国际</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33"/>
        </w:rPr>
        <w:t> </w:t>
      </w:r>
      <w:r>
        <w:rPr>
          <w:spacing w:val="-1"/>
        </w:rPr>
        <w:t>块地</w:t>
      </w:r>
      <w:r>
        <w:rPr>
          <w:rFonts w:ascii="Times New Roman" w:hAnsi="Times New Roman" w:cs="Times New Roman" w:eastAsia="Times New Roman" w:hint="default"/>
          <w:spacing w:val="-1"/>
        </w:rPr>
        <w:t>A</w:t>
      </w:r>
      <w:r>
        <w:rPr>
          <w:spacing w:val="-1"/>
        </w:rPr>
        <w:t>栋</w:t>
      </w:r>
      <w:r>
        <w:rPr>
          <w:rFonts w:ascii="Times New Roman" w:hAnsi="Times New Roman" w:cs="Times New Roman" w:eastAsia="Times New Roman" w:hint="default"/>
          <w:spacing w:val="-1"/>
        </w:rPr>
        <w:t>201~1701</w:t>
      </w:r>
      <w:r>
        <w:rPr>
          <w:spacing w:val="-1"/>
        </w:rPr>
        <w:t>、</w:t>
      </w:r>
      <w:r>
        <w:rPr>
          <w:rFonts w:ascii="Times New Roman" w:hAnsi="Times New Roman" w:cs="Times New Roman" w:eastAsia="Times New Roman" w:hint="default"/>
          <w:spacing w:val="-1"/>
        </w:rPr>
        <w:t>1702</w:t>
      </w:r>
      <w:r>
        <w:rPr>
          <w:spacing w:val="-1"/>
        </w:rPr>
        <w:t>、</w:t>
      </w:r>
      <w:r>
        <w:rPr>
          <w:rFonts w:ascii="Times New Roman" w:hAnsi="Times New Roman" w:cs="Times New Roman" w:eastAsia="Times New Roman" w:hint="default"/>
          <w:spacing w:val="-1"/>
        </w:rPr>
        <w:t>1703</w:t>
      </w:r>
      <w:r>
        <w:rPr>
          <w:spacing w:val="-1"/>
        </w:rPr>
        <w:t>共计</w:t>
      </w:r>
      <w:r>
        <w:rPr>
          <w:rFonts w:ascii="Times New Roman" w:hAnsi="Times New Roman" w:cs="Times New Roman" w:eastAsia="Times New Roman" w:hint="default"/>
          <w:spacing w:val="-1"/>
        </w:rPr>
        <w:t>18</w:t>
      </w:r>
      <w:r>
        <w:rPr>
          <w:spacing w:val="-1"/>
        </w:rPr>
        <w:t>套住宅</w:t>
      </w:r>
      <w:r>
        <w:rPr>
          <w:rFonts w:ascii="Times New Roman" w:hAnsi="Times New Roman" w:cs="Times New Roman" w:eastAsia="Times New Roman" w:hint="default"/>
          <w:spacing w:val="-1"/>
        </w:rPr>
        <w:t>2016.79</w:t>
      </w:r>
      <w:r>
        <w:rPr>
          <w:spacing w:val="-1"/>
        </w:rPr>
        <w:t>平方米，作为公司人才房，吸引和留住关键岗位核心</w:t>
      </w:r>
    </w:p>
    <w:p>
      <w:pPr>
        <w:spacing w:after="0" w:line="386"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386" w:lineRule="auto" w:before="174"/>
        <w:ind w:left="574" w:right="0" w:hanging="421"/>
        <w:jc w:val="left"/>
      </w:pPr>
      <w:r>
        <w:rPr/>
        <w:t>人才。本次购买房产总额为</w:t>
      </w:r>
      <w:r>
        <w:rPr>
          <w:rFonts w:ascii="Times New Roman" w:hAnsi="Times New Roman" w:cs="Times New Roman" w:eastAsia="Times New Roman" w:hint="default"/>
        </w:rPr>
        <w:t>7,390.1463</w:t>
      </w:r>
      <w:r>
        <w:rPr/>
        <w:t>万元。 本次交易金额占</w:t>
      </w:r>
      <w:r>
        <w:rPr>
          <w:rFonts w:ascii="Times New Roman" w:hAnsi="Times New Roman" w:cs="Times New Roman" w:eastAsia="Times New Roman" w:hint="default"/>
        </w:rPr>
        <w:t>2017</w:t>
      </w:r>
      <w:r>
        <w:rPr/>
        <w:t>年经审计归属于母公司净资产</w:t>
      </w:r>
      <w:r>
        <w:rPr>
          <w:rFonts w:ascii="Times New Roman" w:hAnsi="Times New Roman" w:cs="Times New Roman" w:eastAsia="Times New Roman" w:hint="default"/>
        </w:rPr>
        <w:t>23.27</w:t>
      </w:r>
      <w:r>
        <w:rPr/>
        <w:t>亿的</w:t>
      </w:r>
      <w:r>
        <w:rPr>
          <w:rFonts w:ascii="Times New Roman" w:hAnsi="Times New Roman" w:cs="Times New Roman" w:eastAsia="Times New Roman" w:hint="default"/>
        </w:rPr>
        <w:t>3.18%</w:t>
      </w:r>
      <w:r>
        <w:rPr/>
        <w:t>，总资产</w:t>
      </w:r>
      <w:r>
        <w:rPr>
          <w:rFonts w:ascii="Times New Roman" w:hAnsi="Times New Roman" w:cs="Times New Roman" w:eastAsia="Times New Roman" w:hint="default"/>
        </w:rPr>
        <w:t>31.12</w:t>
      </w:r>
      <w:r>
        <w:rPr/>
        <w:t>亿的</w:t>
      </w:r>
      <w:r>
        <w:rPr>
          <w:rFonts w:ascii="Times New Roman" w:hAnsi="Times New Roman" w:cs="Times New Roman" w:eastAsia="Times New Roman" w:hint="default"/>
        </w:rPr>
        <w:t>2.37%</w:t>
      </w:r>
      <w:r>
        <w:rPr/>
        <w:t>。本次购</w:t>
      </w:r>
    </w:p>
    <w:p>
      <w:pPr>
        <w:pStyle w:val="BodyText"/>
        <w:spacing w:line="408" w:lineRule="auto" w:before="35"/>
        <w:ind w:right="1115"/>
        <w:jc w:val="left"/>
      </w:pPr>
      <w:r>
        <w:rPr>
          <w:spacing w:val="-5"/>
        </w:rPr>
        <w:t>买固定资产事项根据《深圳证券交易所创业板股票上市规则》等相关规定，不构成关联交易，亦不构成《上</w:t>
      </w:r>
      <w:r>
        <w:rPr/>
        <w:t> 市公司重大资产重组管理办法》规定的重大资产重组。</w:t>
      </w:r>
    </w:p>
    <w:p>
      <w:pPr>
        <w:pStyle w:val="BodyText"/>
        <w:spacing w:line="398" w:lineRule="auto" w:before="46"/>
        <w:ind w:left="574" w:right="6130" w:firstLine="2"/>
        <w:jc w:val="left"/>
      </w:pPr>
      <w:r>
        <w:rPr>
          <w:rFonts w:ascii="Times New Roman" w:hAnsi="Times New Roman" w:cs="Times New Roman" w:eastAsia="Times New Roman" w:hint="default"/>
          <w:b/>
          <w:bCs/>
        </w:rPr>
        <w:t>2</w:t>
      </w:r>
      <w:r>
        <w:rPr>
          <w:rFonts w:ascii="宋体" w:hAnsi="宋体" w:cs="宋体" w:eastAsia="宋体" w:hint="default"/>
          <w:b/>
          <w:bCs/>
        </w:rPr>
        <w:t>、交易对方的基本情况</w:t>
      </w:r>
      <w:r>
        <w:rPr>
          <w:rFonts w:ascii="宋体" w:hAnsi="宋体" w:cs="宋体" w:eastAsia="宋体" w:hint="default"/>
          <w:b/>
          <w:bCs/>
          <w:w w:val="99"/>
        </w:rPr>
        <w:t> </w:t>
      </w:r>
      <w:r>
        <w:rPr/>
        <w:t>企业名称：厦门万嘉翔房地产开发有限公司 统一社会信用代码：</w:t>
      </w:r>
      <w:r>
        <w:rPr>
          <w:rFonts w:ascii="Times New Roman" w:hAnsi="Times New Roman" w:cs="Times New Roman" w:eastAsia="Times New Roman" w:hint="default"/>
        </w:rPr>
        <w:t>91350200568433087J </w:t>
      </w:r>
      <w:r>
        <w:rPr/>
        <w:t>企业类型：有限责任公司（国有控股） 法定代表人：徐晓煜 注册资本：</w:t>
      </w:r>
      <w:r>
        <w:rPr>
          <w:rFonts w:ascii="Times New Roman" w:hAnsi="Times New Roman" w:cs="Times New Roman" w:eastAsia="Times New Roman" w:hint="default"/>
        </w:rPr>
        <w:t>30000</w:t>
      </w:r>
      <w:r>
        <w:rPr/>
        <w:t>万人民币 营业期限：</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04</w:t>
      </w:r>
      <w:r>
        <w:rPr/>
        <w:t>月</w:t>
      </w:r>
      <w:r>
        <w:rPr>
          <w:rFonts w:ascii="Times New Roman" w:hAnsi="Times New Roman" w:cs="Times New Roman" w:eastAsia="Times New Roman" w:hint="default"/>
        </w:rPr>
        <w:t>15</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04</w:t>
      </w:r>
      <w:r>
        <w:rPr/>
        <w:t>月</w:t>
      </w:r>
      <w:r>
        <w:rPr>
          <w:rFonts w:ascii="Times New Roman" w:hAnsi="Times New Roman" w:cs="Times New Roman" w:eastAsia="Times New Roman" w:hint="default"/>
        </w:rPr>
        <w:t>14</w:t>
      </w:r>
      <w:r>
        <w:rPr/>
        <w:t>日 登记机关：厦门市市场监督管理局 登记状态：存续（在营、开业、在册）</w:t>
      </w:r>
    </w:p>
    <w:p>
      <w:pPr>
        <w:pStyle w:val="BodyText"/>
        <w:spacing w:line="398" w:lineRule="auto" w:before="54"/>
        <w:ind w:left="574" w:right="5710"/>
        <w:jc w:val="left"/>
      </w:pPr>
      <w:r>
        <w:rPr/>
        <w:t>住所：厦门市思明区莲花南路</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215</w:t>
      </w:r>
      <w:r>
        <w:rPr/>
        <w:t>、</w:t>
      </w:r>
      <w:r>
        <w:rPr>
          <w:rFonts w:ascii="Times New Roman" w:hAnsi="Times New Roman" w:cs="Times New Roman" w:eastAsia="Times New Roman" w:hint="default"/>
        </w:rPr>
        <w:t>216</w:t>
      </w:r>
      <w:r>
        <w:rPr/>
        <w:t>、</w:t>
      </w:r>
      <w:r>
        <w:rPr>
          <w:rFonts w:ascii="Times New Roman" w:hAnsi="Times New Roman" w:cs="Times New Roman" w:eastAsia="Times New Roman" w:hint="default"/>
        </w:rPr>
        <w:t>217</w:t>
      </w:r>
      <w:r>
        <w:rPr/>
        <w:t>室 经营范围：房地产建设、开发、经营及管理。 主要股东：</w:t>
      </w:r>
    </w:p>
    <w:tbl>
      <w:tblPr>
        <w:tblW w:w="0" w:type="auto"/>
        <w:jc w:val="left"/>
        <w:tblInd w:w="1648" w:type="dxa"/>
        <w:tblLayout w:type="fixed"/>
        <w:tblCellMar>
          <w:top w:w="0" w:type="dxa"/>
          <w:left w:w="0" w:type="dxa"/>
          <w:bottom w:w="0" w:type="dxa"/>
          <w:right w:w="0" w:type="dxa"/>
        </w:tblCellMar>
        <w:tblLook w:val="01E0"/>
      </w:tblPr>
      <w:tblGrid>
        <w:gridCol w:w="704"/>
        <w:gridCol w:w="3402"/>
        <w:gridCol w:w="1134"/>
        <w:gridCol w:w="1396"/>
      </w:tblGrid>
      <w:tr>
        <w:trPr>
          <w:trHeight w:val="347" w:hRule="exact"/>
        </w:trPr>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股东</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r>
      <w:tr>
        <w:trPr>
          <w:trHeight w:val="347" w:hRule="exact"/>
        </w:trPr>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厦门住宅建设集团有限公司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6,000</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20%</w:t>
            </w:r>
          </w:p>
        </w:tc>
      </w:tr>
      <w:tr>
        <w:trPr>
          <w:trHeight w:val="347" w:hRule="exact"/>
        </w:trPr>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厦门市东区开发有限公司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24,000</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80%</w:t>
            </w:r>
          </w:p>
        </w:tc>
      </w:tr>
      <w:tr>
        <w:trPr>
          <w:trHeight w:val="348" w:hRule="exact"/>
        </w:trPr>
        <w:tc>
          <w:tcPr>
            <w:tcW w:w="41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b/>
                <w:sz w:val="18"/>
              </w:rPr>
              <w:t>30,000</w:t>
            </w:r>
            <w:r>
              <w:rPr>
                <w:rFonts w:ascii="Times New Roman"/>
                <w:sz w:val="18"/>
              </w:rPr>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r>
    </w:tbl>
    <w:p>
      <w:pPr>
        <w:pStyle w:val="BodyText"/>
        <w:spacing w:line="240" w:lineRule="auto" w:before="54"/>
        <w:ind w:left="574" w:right="0"/>
        <w:jc w:val="left"/>
      </w:pPr>
      <w:r>
        <w:rPr/>
        <w:t>以上交易方与公司不存在关联关系。</w:t>
      </w:r>
    </w:p>
    <w:p>
      <w:pPr>
        <w:spacing w:line="240" w:lineRule="auto" w:before="10"/>
        <w:rPr>
          <w:rFonts w:ascii="宋体" w:hAnsi="宋体" w:cs="宋体" w:eastAsia="宋体" w:hint="default"/>
          <w:sz w:val="14"/>
          <w:szCs w:val="14"/>
        </w:rPr>
      </w:pPr>
    </w:p>
    <w:p>
      <w:pPr>
        <w:pStyle w:val="Heading3"/>
        <w:spacing w:line="240" w:lineRule="auto"/>
        <w:ind w:left="576" w:right="0"/>
        <w:jc w:val="left"/>
        <w:rPr>
          <w:b w:val="0"/>
          <w:bCs w:val="0"/>
        </w:rPr>
      </w:pPr>
      <w:r>
        <w:rPr>
          <w:rFonts w:ascii="Times New Roman" w:hAnsi="Times New Roman" w:cs="Times New Roman" w:eastAsia="Times New Roman" w:hint="default"/>
        </w:rPr>
        <w:t>3</w:t>
      </w:r>
      <w:r>
        <w:rPr/>
        <w:t>、交易标的基本情况</w:t>
      </w:r>
      <w:r>
        <w:rPr>
          <w:b w:val="0"/>
          <w:bCs w:val="0"/>
        </w:rPr>
      </w:r>
    </w:p>
    <w:p>
      <w:pPr>
        <w:pStyle w:val="BodyText"/>
        <w:spacing w:line="386" w:lineRule="auto" w:before="177"/>
        <w:ind w:left="153" w:right="1130" w:firstLine="420"/>
        <w:jc w:val="both"/>
      </w:pPr>
      <w:r>
        <w:rPr/>
        <w:t>（</w:t>
      </w:r>
      <w:r>
        <w:rPr>
          <w:rFonts w:ascii="Times New Roman" w:hAnsi="Times New Roman" w:cs="Times New Roman" w:eastAsia="Times New Roman" w:hint="default"/>
        </w:rPr>
        <w:t>1</w:t>
      </w:r>
      <w:r>
        <w:rPr/>
        <w:t>）交易标的：厦门市集美区莲花国际</w:t>
      </w:r>
      <w:r>
        <w:rPr>
          <w:rFonts w:ascii="Times New Roman" w:hAnsi="Times New Roman" w:cs="Times New Roman" w:eastAsia="Times New Roman" w:hint="default"/>
        </w:rPr>
        <w:t>4#</w:t>
      </w:r>
      <w:r>
        <w:rPr/>
        <w:t>块地</w:t>
      </w:r>
      <w:r>
        <w:rPr>
          <w:rFonts w:ascii="Times New Roman" w:hAnsi="Times New Roman" w:cs="Times New Roman" w:eastAsia="Times New Roman" w:hint="default"/>
        </w:rPr>
        <w:t>A</w:t>
      </w:r>
      <w:r>
        <w:rPr/>
        <w:t>栋</w:t>
      </w:r>
      <w:r>
        <w:rPr>
          <w:rFonts w:ascii="Times New Roman" w:hAnsi="Times New Roman" w:cs="Times New Roman" w:eastAsia="Times New Roman" w:hint="default"/>
        </w:rPr>
        <w:t>201~1701</w:t>
      </w:r>
      <w:r>
        <w:rPr/>
        <w:t>、</w:t>
      </w:r>
      <w:r>
        <w:rPr>
          <w:rFonts w:ascii="Times New Roman" w:hAnsi="Times New Roman" w:cs="Times New Roman" w:eastAsia="Times New Roman" w:hint="default"/>
        </w:rPr>
        <w:t>1702</w:t>
      </w:r>
      <w:r>
        <w:rPr/>
        <w:t>、</w:t>
      </w:r>
      <w:r>
        <w:rPr>
          <w:rFonts w:ascii="Times New Roman" w:hAnsi="Times New Roman" w:cs="Times New Roman" w:eastAsia="Times New Roman" w:hint="default"/>
        </w:rPr>
        <w:t>1703</w:t>
      </w:r>
      <w:r>
        <w:rPr/>
        <w:t>共计</w:t>
      </w:r>
      <w:r>
        <w:rPr>
          <w:rFonts w:ascii="Times New Roman" w:hAnsi="Times New Roman" w:cs="Times New Roman" w:eastAsia="Times New Roman" w:hint="default"/>
        </w:rPr>
        <w:t>18</w:t>
      </w:r>
      <w:r>
        <w:rPr/>
        <w:t>套住宅</w:t>
      </w:r>
      <w:r>
        <w:rPr>
          <w:rFonts w:ascii="Times New Roman" w:hAnsi="Times New Roman" w:cs="Times New Roman" w:eastAsia="Times New Roman" w:hint="default"/>
        </w:rPr>
        <w:t>2,016.79</w:t>
      </w:r>
      <w:r>
        <w:rPr/>
        <w:t>平方</w:t>
      </w:r>
      <w:r>
        <w:rPr>
          <w:spacing w:val="1"/>
        </w:rPr>
        <w:t> </w:t>
      </w:r>
      <w:r>
        <w:rPr/>
        <w:t>米。该面积为预测面积，房屋最终的建筑面积，套内建筑面积，公用分摊面积均以房产部门登记为准。</w:t>
      </w:r>
    </w:p>
    <w:p>
      <w:pPr>
        <w:pStyle w:val="BodyText"/>
        <w:spacing w:line="386" w:lineRule="auto" w:before="65"/>
        <w:ind w:left="153" w:right="1127" w:firstLine="420"/>
        <w:jc w:val="both"/>
      </w:pPr>
      <w:r>
        <w:rPr/>
        <w:t>（</w:t>
      </w:r>
      <w:r>
        <w:rPr>
          <w:rFonts w:ascii="Times New Roman" w:hAnsi="Times New Roman" w:cs="Times New Roman" w:eastAsia="Times New Roman" w:hint="default"/>
        </w:rPr>
        <w:t>2</w:t>
      </w:r>
      <w:r>
        <w:rPr/>
        <w:t>）交易标的权属清晰，不涉及有关资产的重大争议、诉讼或者仲裁事项，不存在查封、冻结等司</w:t>
      </w:r>
      <w:r>
        <w:rPr>
          <w:spacing w:val="2"/>
        </w:rPr>
        <w:t> </w:t>
      </w:r>
      <w:r>
        <w:rPr/>
        <w:t>法措施。</w:t>
      </w:r>
    </w:p>
    <w:p>
      <w:pPr>
        <w:pStyle w:val="BodyText"/>
        <w:spacing w:line="398" w:lineRule="auto" w:before="65"/>
        <w:ind w:left="153" w:right="1122" w:firstLine="420"/>
        <w:jc w:val="both"/>
      </w:pPr>
      <w:r>
        <w:rPr/>
        <w:t>（</w:t>
      </w:r>
      <w:r>
        <w:rPr>
          <w:rFonts w:ascii="Times New Roman" w:hAnsi="Times New Roman" w:cs="Times New Roman" w:eastAsia="Times New Roman" w:hint="default"/>
        </w:rPr>
        <w:t>3</w:t>
      </w:r>
      <w:r>
        <w:rPr/>
        <w:t>）定价依据：公司在参考房产所在地区周围的房产价格基础上，经双方协商确定。由于住宅根据</w:t>
      </w:r>
      <w:r>
        <w:rPr>
          <w:spacing w:val="2"/>
        </w:rPr>
        <w:t> </w:t>
      </w:r>
      <w:r>
        <w:rPr>
          <w:spacing w:val="3"/>
        </w:rPr>
        <w:t>楼层不同，单价有所差异，但与同地其他房产的市场价格相比，不存在重大差异。本次购买房产总额为</w:t>
      </w:r>
      <w:r>
        <w:rPr>
          <w:spacing w:val="-78"/>
        </w:rPr>
        <w:t> </w:t>
      </w:r>
      <w:r>
        <w:rPr>
          <w:spacing w:val="-78"/>
        </w:rPr>
      </w:r>
      <w:r>
        <w:rPr>
          <w:rFonts w:ascii="Times New Roman" w:hAnsi="Times New Roman" w:cs="Times New Roman" w:eastAsia="Times New Roman" w:hint="default"/>
        </w:rPr>
        <w:t>7,390.1463</w:t>
      </w:r>
      <w:r>
        <w:rPr/>
        <w:t>万元。</w:t>
      </w:r>
    </w:p>
    <w:p>
      <w:pPr>
        <w:spacing w:line="386" w:lineRule="auto" w:before="24"/>
        <w:ind w:left="57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、本次交易的目的及对公司的影响</w:t>
      </w:r>
      <w:r>
        <w:rPr>
          <w:rFonts w:ascii="宋体" w:hAnsi="宋体" w:cs="宋体" w:eastAsia="宋体" w:hint="default"/>
          <w:b/>
          <w:bCs/>
          <w:w w:val="99"/>
          <w:sz w:val="21"/>
          <w:szCs w:val="21"/>
        </w:rPr>
        <w:t> </w:t>
      </w:r>
      <w:r>
        <w:rPr>
          <w:rFonts w:ascii="宋体" w:hAnsi="宋体" w:cs="宋体" w:eastAsia="宋体" w:hint="default"/>
          <w:spacing w:val="-1"/>
          <w:sz w:val="21"/>
          <w:szCs w:val="21"/>
        </w:rPr>
        <w:t>公司本次购买的房产，将作为公司人才住房使用。人才是公司的核心竞争力，通过增加员工福利待遇</w:t>
      </w:r>
    </w:p>
    <w:p>
      <w:pPr>
        <w:spacing w:after="0" w:line="386" w:lineRule="auto"/>
        <w:jc w:val="left"/>
        <w:rPr>
          <w:rFonts w:ascii="宋体" w:hAnsi="宋体" w:cs="宋体" w:eastAsia="宋体" w:hint="default"/>
          <w:sz w:val="21"/>
          <w:szCs w:val="21"/>
        </w:rPr>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吸引和留住人才，符合公司人才发展战略。</w:t>
      </w:r>
    </w:p>
    <w:p>
      <w:pPr>
        <w:spacing w:line="240" w:lineRule="auto" w:before="10"/>
        <w:rPr>
          <w:rFonts w:ascii="宋体" w:hAnsi="宋体" w:cs="宋体" w:eastAsia="宋体" w:hint="default"/>
          <w:sz w:val="14"/>
          <w:szCs w:val="14"/>
        </w:rPr>
      </w:pPr>
    </w:p>
    <w:p>
      <w:pPr>
        <w:spacing w:line="420" w:lineRule="auto" w:before="0"/>
        <w:ind w:left="57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6"/>
          <w:sz w:val="21"/>
          <w:szCs w:val="21"/>
        </w:rPr>
        <w:t> </w:t>
      </w:r>
      <w:r>
        <w:rPr>
          <w:rFonts w:ascii="宋体" w:hAnsi="宋体" w:cs="宋体" w:eastAsia="宋体" w:hint="default"/>
          <w:b/>
          <w:bCs/>
          <w:sz w:val="21"/>
          <w:szCs w:val="21"/>
        </w:rPr>
        <w:t>成立全资子公司美银智投</w:t>
      </w:r>
      <w:r>
        <w:rPr>
          <w:rFonts w:ascii="宋体" w:hAnsi="宋体" w:cs="宋体" w:eastAsia="宋体" w:hint="default"/>
          <w:b/>
          <w:bCs/>
          <w:spacing w:val="1"/>
          <w:w w:val="99"/>
          <w:sz w:val="21"/>
          <w:szCs w:val="21"/>
        </w:rPr>
        <w:t> </w:t>
      </w:r>
      <w:r>
        <w:rPr>
          <w:rFonts w:ascii="宋体" w:hAnsi="宋体" w:cs="宋体" w:eastAsia="宋体" w:hint="default"/>
          <w:spacing w:val="-9"/>
          <w:sz w:val="21"/>
          <w:szCs w:val="21"/>
        </w:rPr>
        <w:t>2018年11月，公司出资1,000万元成立全资子公司厦门美银智投科技有限公司（以下简称“美银智投”）。</w:t>
      </w:r>
    </w:p>
    <w:p>
      <w:pPr>
        <w:pStyle w:val="BodyText"/>
        <w:spacing w:line="410" w:lineRule="auto" w:before="34"/>
        <w:ind w:left="153" w:right="0"/>
        <w:jc w:val="left"/>
      </w:pPr>
      <w:r>
        <w:rPr>
          <w:spacing w:val="-1"/>
        </w:rPr>
        <w:t>美银智投将主要为公司生态内的初创企业提供战略合作服务、互联网信息服务和信息技术服务。美银智投</w:t>
      </w:r>
      <w:r>
        <w:rPr>
          <w:spacing w:val="-81"/>
        </w:rPr>
        <w:t> </w:t>
      </w:r>
      <w:r>
        <w:rPr>
          <w:spacing w:val="-81"/>
        </w:rPr>
      </w:r>
      <w:r>
        <w:rPr/>
        <w:t>已获得厦门市思明区市场监管管理局颁发的营业执照，主要信息如下：</w:t>
      </w:r>
    </w:p>
    <w:p>
      <w:pPr>
        <w:pStyle w:val="BodyText"/>
        <w:spacing w:line="408" w:lineRule="auto" w:before="83"/>
        <w:ind w:left="573" w:right="6241"/>
        <w:jc w:val="left"/>
        <w:rPr>
          <w:rFonts w:ascii="Times New Roman" w:hAnsi="Times New Roman" w:cs="Times New Roman" w:eastAsia="Times New Roman" w:hint="default"/>
        </w:rPr>
      </w:pPr>
      <w:r>
        <w:rPr/>
        <w:t>公司名称：厦门美银智投科技有限公司 统一社会信用代码：</w:t>
      </w:r>
      <w:r>
        <w:rPr>
          <w:spacing w:val="-29"/>
        </w:rPr>
        <w:t> </w:t>
      </w:r>
      <w:r>
        <w:rPr>
          <w:rFonts w:ascii="Times New Roman" w:hAnsi="Times New Roman" w:cs="Times New Roman" w:eastAsia="Times New Roman" w:hint="default"/>
        </w:rPr>
        <w:t>91350203MA329U9A4F</w:t>
      </w:r>
    </w:p>
    <w:p>
      <w:pPr>
        <w:pStyle w:val="BodyText"/>
        <w:spacing w:line="408" w:lineRule="auto" w:before="14"/>
        <w:ind w:left="573" w:right="3628"/>
        <w:jc w:val="left"/>
      </w:pPr>
      <w:r>
        <w:rPr/>
        <w:t>类型：法人商事主体【有限责任公司（自然人投资或控股的法人独资）】 住所：厦门市思明区民族路</w:t>
      </w:r>
      <w:r>
        <w:rPr>
          <w:rFonts w:ascii="Times New Roman" w:hAnsi="Times New Roman" w:cs="Times New Roman" w:eastAsia="Times New Roman" w:hint="default"/>
        </w:rPr>
        <w:t>127</w:t>
      </w:r>
      <w:r>
        <w:rPr/>
        <w:t>号二楼</w:t>
      </w:r>
      <w:r>
        <w:rPr>
          <w:rFonts w:ascii="Times New Roman" w:hAnsi="Times New Roman" w:cs="Times New Roman" w:eastAsia="Times New Roman" w:hint="default"/>
        </w:rPr>
        <w:t>F-95</w:t>
      </w:r>
      <w:r>
        <w:rPr/>
        <w:t>区</w:t>
      </w:r>
    </w:p>
    <w:p>
      <w:pPr>
        <w:pStyle w:val="BodyText"/>
        <w:spacing w:line="408" w:lineRule="auto" w:before="14"/>
        <w:ind w:left="573" w:right="8441"/>
        <w:jc w:val="left"/>
      </w:pPr>
      <w:r>
        <w:rPr/>
        <w:t>法定代表人：谢红兵 注册资本：</w:t>
      </w:r>
      <w:r>
        <w:rPr>
          <w:rFonts w:ascii="Times New Roman" w:hAnsi="Times New Roman" w:cs="Times New Roman" w:eastAsia="Times New Roman" w:hint="default"/>
        </w:rPr>
        <w:t>1000</w:t>
      </w:r>
      <w:r>
        <w:rPr/>
        <w:t>万元</w:t>
      </w:r>
    </w:p>
    <w:p>
      <w:pPr>
        <w:pStyle w:val="BodyText"/>
        <w:spacing w:line="386" w:lineRule="auto" w:before="14"/>
        <w:ind w:left="573" w:right="0"/>
        <w:jc w:val="left"/>
      </w:pPr>
      <w:r>
        <w:rPr/>
        <w:t>营业期限：</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26</w:t>
      </w:r>
      <w:r>
        <w:rPr/>
        <w:t>日至</w:t>
      </w:r>
      <w:r>
        <w:rPr>
          <w:rFonts w:ascii="Times New Roman" w:hAnsi="Times New Roman" w:cs="Times New Roman" w:eastAsia="Times New Roman" w:hint="default"/>
        </w:rPr>
        <w:t>2068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25</w:t>
      </w:r>
      <w:r>
        <w:rPr/>
        <w:t>日 </w:t>
      </w:r>
      <w:r>
        <w:rPr>
          <w:spacing w:val="-1"/>
        </w:rPr>
        <w:t>经营范围：商事主体的经营范围、经营场所、投资人信息、年报信息和监管信息等请至厦门市商事主</w:t>
      </w:r>
    </w:p>
    <w:p>
      <w:pPr>
        <w:pStyle w:val="BodyText"/>
        <w:spacing w:line="386" w:lineRule="auto" w:before="65"/>
        <w:ind w:left="153" w:right="0"/>
        <w:jc w:val="left"/>
      </w:pPr>
      <w:r>
        <w:rPr>
          <w:spacing w:val="-1"/>
        </w:rPr>
        <w:t>体登记及信用信息公示平台（网址：</w:t>
      </w:r>
      <w:hyperlink r:id="rId14">
        <w:r>
          <w:rPr>
            <w:rFonts w:ascii="Times New Roman" w:hAnsi="Times New Roman" w:cs="Times New Roman" w:eastAsia="Times New Roman" w:hint="default"/>
            <w:spacing w:val="-1"/>
          </w:rPr>
          <w:t>www.xiamencredit.gov.cn</w:t>
        </w:r>
      </w:hyperlink>
      <w:r>
        <w:rPr>
          <w:spacing w:val="-1"/>
        </w:rPr>
        <w:t>）查询。经营范围中涉及许可审批经营项目</w:t>
      </w:r>
      <w:r>
        <w:rPr>
          <w:spacing w:val="-64"/>
        </w:rPr>
        <w:t> </w:t>
      </w:r>
      <w:r>
        <w:rPr>
          <w:spacing w:val="-64"/>
        </w:rPr>
      </w:r>
      <w:r>
        <w:rPr/>
        <w:t>的，应在取得有关部门的许可后方可经营。</w:t>
      </w:r>
    </w:p>
    <w:p>
      <w:pPr>
        <w:pStyle w:val="Heading3"/>
        <w:spacing w:line="240" w:lineRule="auto" w:before="65"/>
        <w:ind w:left="576" w:right="0"/>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成立控股子公司美亚亿安</w:t>
      </w:r>
      <w:r>
        <w:rPr>
          <w:b w:val="0"/>
          <w:bCs w:val="0"/>
        </w:rPr>
      </w:r>
    </w:p>
    <w:p>
      <w:pPr>
        <w:spacing w:line="240" w:lineRule="auto" w:before="9"/>
        <w:rPr>
          <w:rFonts w:ascii="宋体" w:hAnsi="宋体" w:cs="宋体" w:eastAsia="宋体" w:hint="default"/>
          <w:b/>
          <w:bCs/>
          <w:sz w:val="16"/>
          <w:szCs w:val="16"/>
        </w:rPr>
      </w:pPr>
    </w:p>
    <w:p>
      <w:pPr>
        <w:pStyle w:val="BodyText"/>
        <w:spacing w:line="391" w:lineRule="auto"/>
        <w:ind w:left="153" w:right="1130" w:firstLine="440"/>
        <w:jc w:val="both"/>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月，公司与厦门环亚众智科技合伙企业（有限合伙）（以下简称“环亚众智”）共同设立厦</w:t>
      </w:r>
      <w:r>
        <w:rPr/>
        <w:t> </w:t>
      </w:r>
      <w:r>
        <w:rPr>
          <w:spacing w:val="-1"/>
        </w:rPr>
        <w:t>门美亚亿安信息科技有限公司（以下简称“美亚亿安”），主要面向企业开展企业电子信息调查及安全内</w:t>
      </w:r>
      <w:r>
        <w:rPr>
          <w:spacing w:val="-83"/>
        </w:rPr>
        <w:t> </w:t>
      </w:r>
      <w:r>
        <w:rPr>
          <w:spacing w:val="-83"/>
        </w:rPr>
      </w:r>
      <w:r>
        <w:rPr/>
        <w:t>容审计相关产品研发、销售及服务。美亚亿安注册资本为</w:t>
      </w:r>
      <w:r>
        <w:rPr>
          <w:rFonts w:ascii="Times New Roman" w:hAnsi="Times New Roman" w:cs="Times New Roman" w:eastAsia="Times New Roman" w:hint="default"/>
        </w:rPr>
        <w:t>1,000</w:t>
      </w:r>
      <w:r>
        <w:rPr/>
        <w:t>万元，其中美亚柏科以自有资金出资</w:t>
      </w:r>
      <w:r>
        <w:rPr>
          <w:rFonts w:ascii="Times New Roman" w:hAnsi="Times New Roman" w:cs="Times New Roman" w:eastAsia="Times New Roman" w:hint="default"/>
        </w:rPr>
        <w:t>550</w:t>
      </w:r>
      <w:r>
        <w:rPr/>
        <w:t>万</w:t>
      </w:r>
      <w:r>
        <w:rPr>
          <w:spacing w:val="-84"/>
        </w:rPr>
        <w:t> </w:t>
      </w:r>
      <w:r>
        <w:rPr>
          <w:spacing w:val="-2"/>
        </w:rPr>
        <w:t>元，持股</w:t>
      </w:r>
      <w:r>
        <w:rPr>
          <w:rFonts w:ascii="Times New Roman" w:hAnsi="Times New Roman" w:cs="Times New Roman" w:eastAsia="Times New Roman" w:hint="default"/>
          <w:spacing w:val="-2"/>
        </w:rPr>
        <w:t>55%</w:t>
      </w:r>
      <w:r>
        <w:rPr>
          <w:spacing w:val="-2"/>
        </w:rPr>
        <w:t>，环亚众智出资</w:t>
      </w:r>
      <w:r>
        <w:rPr>
          <w:rFonts w:ascii="Times New Roman" w:hAnsi="Times New Roman" w:cs="Times New Roman" w:eastAsia="Times New Roman" w:hint="default"/>
          <w:spacing w:val="-2"/>
        </w:rPr>
        <w:t>450</w:t>
      </w:r>
      <w:r>
        <w:rPr>
          <w:spacing w:val="-2"/>
        </w:rPr>
        <w:t>万元，持股</w:t>
      </w:r>
      <w:r>
        <w:rPr>
          <w:rFonts w:ascii="Times New Roman" w:hAnsi="Times New Roman" w:cs="Times New Roman" w:eastAsia="Times New Roman" w:hint="default"/>
          <w:spacing w:val="-2"/>
        </w:rPr>
        <w:t>45%</w:t>
      </w:r>
      <w:r>
        <w:rPr>
          <w:spacing w:val="-2"/>
        </w:rPr>
        <w:t>。美亚亿安已获得厦门市思明区市场监管管理局颁发的营</w:t>
      </w:r>
      <w:r>
        <w:rPr>
          <w:spacing w:val="-70"/>
        </w:rPr>
        <w:t> </w:t>
      </w:r>
      <w:r>
        <w:rPr>
          <w:spacing w:val="-70"/>
        </w:rPr>
      </w:r>
      <w:r>
        <w:rPr/>
        <w:t>业执照，主要信息如下：</w:t>
      </w:r>
    </w:p>
    <w:p>
      <w:pPr>
        <w:pStyle w:val="BodyText"/>
        <w:spacing w:line="398" w:lineRule="auto" w:before="99"/>
        <w:ind w:left="594" w:right="4745"/>
        <w:jc w:val="left"/>
      </w:pPr>
      <w:r>
        <w:rPr/>
        <w:t>公司名称：厦门美亚亿安信息科技有限公司 统一社会信用代码：</w:t>
      </w:r>
      <w:r>
        <w:rPr>
          <w:rFonts w:ascii="Times New Roman" w:hAnsi="Times New Roman" w:cs="Times New Roman" w:eastAsia="Times New Roman" w:hint="default"/>
        </w:rPr>
        <w:t>91350200MA32ALTX01 </w:t>
      </w:r>
      <w:r>
        <w:rPr/>
        <w:t>公司类型：有限责任公司（自然人投资或控股的法人独资） 公司住所：厦门市软件园三期诚毅北大街</w:t>
      </w:r>
      <w:r>
        <w:rPr>
          <w:rFonts w:ascii="Times New Roman" w:hAnsi="Times New Roman" w:cs="Times New Roman" w:eastAsia="Times New Roman" w:hint="default"/>
        </w:rPr>
        <w:t>62</w:t>
      </w:r>
      <w:r>
        <w:rPr/>
        <w:t>号</w:t>
      </w:r>
      <w:r>
        <w:rPr>
          <w:rFonts w:ascii="Times New Roman" w:hAnsi="Times New Roman" w:cs="Times New Roman" w:eastAsia="Times New Roman" w:hint="default"/>
        </w:rPr>
        <w:t>109</w:t>
      </w:r>
      <w:r>
        <w:rPr/>
        <w:t>单元</w:t>
      </w:r>
      <w:r>
        <w:rPr>
          <w:rFonts w:ascii="Times New Roman" w:hAnsi="Times New Roman" w:cs="Times New Roman" w:eastAsia="Times New Roman" w:hint="default"/>
        </w:rPr>
        <w:t>0150</w:t>
      </w:r>
      <w:r>
        <w:rPr/>
        <w:t>号 法定代表人：吴少华</w:t>
      </w:r>
    </w:p>
    <w:p>
      <w:pPr>
        <w:pStyle w:val="BodyText"/>
        <w:spacing w:line="408" w:lineRule="auto" w:before="54"/>
        <w:ind w:left="594" w:right="5900"/>
        <w:jc w:val="left"/>
      </w:pPr>
      <w:r>
        <w:rPr/>
        <w:t>注册资本：壹仟万元整 营业期限：自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04</w:t>
      </w:r>
      <w:r>
        <w:rPr/>
        <w:t>日至</w:t>
      </w:r>
      <w:r>
        <w:rPr>
          <w:rFonts w:ascii="Times New Roman" w:hAnsi="Times New Roman" w:cs="Times New Roman" w:eastAsia="Times New Roman" w:hint="default"/>
        </w:rPr>
        <w:t>2068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03</w:t>
      </w:r>
      <w:r>
        <w:rPr/>
        <w:t>日</w:t>
      </w:r>
    </w:p>
    <w:p>
      <w:pPr>
        <w:pStyle w:val="BodyText"/>
        <w:spacing w:line="240" w:lineRule="auto" w:before="14"/>
        <w:ind w:left="594" w:right="0"/>
        <w:jc w:val="left"/>
      </w:pPr>
      <w:r>
        <w:rPr/>
        <w:t>经营范围：信息系统集成服务；软件开发；信息技术咨询服务</w:t>
      </w:r>
      <w:r>
        <w:rPr>
          <w:rFonts w:ascii="Times New Roman" w:hAnsi="Times New Roman" w:cs="Times New Roman" w:eastAsia="Times New Roman" w:hint="default"/>
        </w:rPr>
        <w:t>;</w:t>
      </w:r>
      <w:r>
        <w:rPr/>
        <w:t>数据处理和存储服务；数字内容服务；</w:t>
      </w:r>
    </w:p>
    <w:p>
      <w:pPr>
        <w:spacing w:after="0" w:line="240"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391" w:lineRule="auto" w:before="174"/>
        <w:ind w:left="153" w:right="1128"/>
        <w:jc w:val="both"/>
      </w:pPr>
      <w:r>
        <w:rPr/>
        <w:t>互联网信息服务</w:t>
      </w:r>
      <w:r>
        <w:rPr>
          <w:rFonts w:ascii="Times New Roman" w:hAnsi="Times New Roman" w:cs="Times New Roman" w:eastAsia="Times New Roman" w:hint="default"/>
        </w:rPr>
        <w:t>(</w:t>
      </w:r>
      <w:r>
        <w:rPr/>
        <w:t>不含药品信息服务和网吧</w:t>
      </w:r>
      <w:r>
        <w:rPr>
          <w:rFonts w:ascii="Times New Roman" w:hAnsi="Times New Roman" w:cs="Times New Roman" w:eastAsia="Times New Roman" w:hint="default"/>
        </w:rPr>
        <w:t>)</w:t>
      </w:r>
      <w:r>
        <w:rPr/>
        <w:t>；其他未列明信息技术服务业</w:t>
      </w:r>
      <w:r>
        <w:rPr>
          <w:rFonts w:ascii="Times New Roman" w:hAnsi="Times New Roman" w:cs="Times New Roman" w:eastAsia="Times New Roman" w:hint="default"/>
        </w:rPr>
        <w:t>(</w:t>
      </w:r>
      <w:r>
        <w:rPr/>
        <w:t>不含需经许可审批的项目</w:t>
      </w:r>
      <w:r>
        <w:rPr>
          <w:rFonts w:ascii="Times New Roman" w:hAnsi="Times New Roman" w:cs="Times New Roman" w:eastAsia="Times New Roman" w:hint="default"/>
        </w:rPr>
        <w:t>);</w:t>
      </w:r>
      <w:r>
        <w:rPr/>
        <w:t>其他</w:t>
      </w:r>
      <w:r>
        <w:rPr>
          <w:spacing w:val="-59"/>
        </w:rPr>
        <w:t> </w:t>
      </w:r>
      <w:r>
        <w:rPr>
          <w:spacing w:val="-1"/>
        </w:rPr>
        <w:t>互联网服务</w:t>
      </w:r>
      <w:r>
        <w:rPr>
          <w:rFonts w:ascii="Times New Roman" w:hAnsi="Times New Roman" w:cs="Times New Roman" w:eastAsia="Times New Roman" w:hint="default"/>
          <w:spacing w:val="-1"/>
        </w:rPr>
        <w:t>(</w:t>
      </w:r>
      <w:r>
        <w:rPr>
          <w:spacing w:val="-1"/>
        </w:rPr>
        <w:t>不含需经许可审批的项目</w:t>
      </w:r>
      <w:r>
        <w:rPr>
          <w:rFonts w:ascii="Times New Roman" w:hAnsi="Times New Roman" w:cs="Times New Roman" w:eastAsia="Times New Roman" w:hint="default"/>
          <w:spacing w:val="-1"/>
        </w:rPr>
        <w:t>)</w:t>
      </w:r>
      <w:r>
        <w:rPr>
          <w:spacing w:val="-1"/>
        </w:rPr>
        <w:t>；计算机、软件及辅助设备批发</w:t>
      </w:r>
      <w:r>
        <w:rPr>
          <w:rFonts w:ascii="Times New Roman" w:hAnsi="Times New Roman" w:cs="Times New Roman" w:eastAsia="Times New Roman" w:hint="default"/>
          <w:spacing w:val="-1"/>
        </w:rPr>
        <w:t>;</w:t>
      </w:r>
      <w:r>
        <w:rPr>
          <w:spacing w:val="-1"/>
        </w:rPr>
        <w:t>其他机械设备及电子产品批发；计</w:t>
      </w:r>
      <w:r>
        <w:rPr>
          <w:spacing w:val="-72"/>
        </w:rPr>
        <w:t> </w:t>
      </w:r>
      <w:r>
        <w:rPr>
          <w:spacing w:val="-72"/>
        </w:rPr>
      </w:r>
      <w:r>
        <w:rPr>
          <w:spacing w:val="-1"/>
        </w:rPr>
        <w:t>算机、软件及辅助设备零售；其他电子产品零售；计算机及通讯设备租赁；经营各类商品和技术的进出口</w:t>
      </w:r>
      <w:r>
        <w:rPr>
          <w:spacing w:val="-82"/>
        </w:rPr>
        <w:t> </w:t>
      </w:r>
      <w:r>
        <w:rPr>
          <w:spacing w:val="-82"/>
        </w:rPr>
      </w:r>
      <w:r>
        <w:rPr>
          <w:rFonts w:ascii="Times New Roman" w:hAnsi="Times New Roman" w:cs="Times New Roman" w:eastAsia="Times New Roman" w:hint="default"/>
        </w:rPr>
        <w:t>(</w:t>
      </w:r>
      <w:r>
        <w:rPr/>
        <w:t>不另附进出口商品目录</w:t>
      </w:r>
      <w:r>
        <w:rPr>
          <w:rFonts w:ascii="Times New Roman" w:hAnsi="Times New Roman" w:cs="Times New Roman" w:eastAsia="Times New Roman" w:hint="default"/>
        </w:rPr>
        <w:t>)</w:t>
      </w:r>
      <w:r>
        <w:rPr/>
        <w:t>，但国家限定公司经营或禁止进出口的商品及技术除外；其他未列明的机械与设</w:t>
      </w:r>
      <w:r>
        <w:rPr>
          <w:spacing w:val="-69"/>
        </w:rPr>
        <w:t> </w:t>
      </w:r>
      <w:r>
        <w:rPr>
          <w:spacing w:val="-69"/>
        </w:rPr>
      </w:r>
      <w:r>
        <w:rPr>
          <w:spacing w:val="-1"/>
        </w:rPr>
        <w:t>备租赁</w:t>
      </w:r>
      <w:r>
        <w:rPr>
          <w:rFonts w:ascii="Times New Roman" w:hAnsi="Times New Roman" w:cs="Times New Roman" w:eastAsia="Times New Roman" w:hint="default"/>
          <w:spacing w:val="-1"/>
        </w:rPr>
        <w:t>(</w:t>
      </w:r>
      <w:r>
        <w:rPr>
          <w:spacing w:val="-1"/>
        </w:rPr>
        <w:t>不含需经许可审批的项目</w:t>
      </w:r>
      <w:r>
        <w:rPr>
          <w:rFonts w:ascii="Times New Roman" w:hAnsi="Times New Roman" w:cs="Times New Roman" w:eastAsia="Times New Roman" w:hint="default"/>
          <w:spacing w:val="-1"/>
        </w:rPr>
        <w:t>)</w:t>
      </w:r>
      <w:r>
        <w:rPr>
          <w:spacing w:val="-1"/>
        </w:rPr>
        <w:t>；教育辅助服务</w:t>
      </w:r>
      <w:r>
        <w:rPr>
          <w:rFonts w:ascii="Times New Roman" w:hAnsi="Times New Roman" w:cs="Times New Roman" w:eastAsia="Times New Roman" w:hint="default"/>
          <w:spacing w:val="-1"/>
        </w:rPr>
        <w:t>(</w:t>
      </w:r>
      <w:r>
        <w:rPr>
          <w:spacing w:val="-1"/>
        </w:rPr>
        <w:t>不含教育培训及出国留学中介、咨询等须经许可审批的</w:t>
      </w:r>
      <w:r>
        <w:rPr>
          <w:spacing w:val="-82"/>
        </w:rPr>
        <w:t> </w:t>
      </w:r>
      <w:r>
        <w:rPr>
          <w:spacing w:val="-82"/>
        </w:rPr>
      </w:r>
      <w:r>
        <w:rPr/>
        <w:t>项目</w:t>
      </w:r>
      <w:r>
        <w:rPr>
          <w:rFonts w:ascii="Times New Roman" w:hAnsi="Times New Roman" w:cs="Times New Roman" w:eastAsia="Times New Roman" w:hint="default"/>
        </w:rPr>
        <w:t>)</w:t>
      </w:r>
      <w:r>
        <w:rPr/>
        <w:t>。</w:t>
      </w:r>
    </w:p>
    <w:p>
      <w:pPr>
        <w:pStyle w:val="BodyText"/>
        <w:spacing w:line="240" w:lineRule="auto" w:before="30"/>
        <w:ind w:left="594" w:right="0"/>
        <w:jc w:val="left"/>
      </w:pPr>
      <w:r>
        <w:rPr/>
        <w:t>出资方式及股权结构：</w:t>
      </w:r>
    </w:p>
    <w:p>
      <w:pPr>
        <w:spacing w:line="240" w:lineRule="auto" w:before="12"/>
        <w:rPr>
          <w:rFonts w:ascii="宋体" w:hAnsi="宋体" w:cs="宋体" w:eastAsia="宋体" w:hint="default"/>
          <w:sz w:val="9"/>
          <w:szCs w:val="9"/>
        </w:rPr>
      </w:pPr>
    </w:p>
    <w:tbl>
      <w:tblPr>
        <w:tblW w:w="0" w:type="auto"/>
        <w:jc w:val="left"/>
        <w:tblInd w:w="499" w:type="dxa"/>
        <w:tblLayout w:type="fixed"/>
        <w:tblCellMar>
          <w:top w:w="0" w:type="dxa"/>
          <w:left w:w="0" w:type="dxa"/>
          <w:bottom w:w="0" w:type="dxa"/>
          <w:right w:w="0" w:type="dxa"/>
        </w:tblCellMar>
        <w:tblLook w:val="01E0"/>
      </w:tblPr>
      <w:tblGrid>
        <w:gridCol w:w="815"/>
        <w:gridCol w:w="3438"/>
        <w:gridCol w:w="1843"/>
        <w:gridCol w:w="1559"/>
        <w:gridCol w:w="1277"/>
      </w:tblGrid>
      <w:tr>
        <w:trPr>
          <w:trHeight w:val="347" w:hRule="exact"/>
        </w:trPr>
        <w:tc>
          <w:tcPr>
            <w:tcW w:w="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股东名称</w:t>
            </w:r>
            <w:r>
              <w:rPr>
                <w:rFonts w:ascii="宋体" w:hAnsi="宋体" w:cs="宋体" w:eastAsia="宋体" w:hint="default"/>
                <w:sz w:val="18"/>
                <w:szCs w:val="18"/>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b/>
                <w:bCs/>
                <w:sz w:val="18"/>
                <w:szCs w:val="18"/>
              </w:rPr>
              <w:t>出资金额（人民币）</w:t>
            </w:r>
            <w:r>
              <w:rPr>
                <w:rFonts w:ascii="宋体" w:hAnsi="宋体" w:cs="宋体" w:eastAsia="宋体" w:hint="default"/>
                <w:sz w:val="18"/>
                <w:szCs w:val="18"/>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出资比例</w:t>
            </w:r>
            <w:r>
              <w:rPr>
                <w:rFonts w:ascii="宋体" w:hAnsi="宋体" w:cs="宋体" w:eastAsia="宋体" w:hint="default"/>
                <w:sz w:val="18"/>
                <w:szCs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出资方式</w:t>
            </w:r>
            <w:r>
              <w:rPr>
                <w:rFonts w:ascii="宋体" w:hAnsi="宋体" w:cs="宋体" w:eastAsia="宋体" w:hint="default"/>
                <w:sz w:val="18"/>
                <w:szCs w:val="18"/>
              </w:rPr>
            </w:r>
          </w:p>
        </w:tc>
      </w:tr>
      <w:tr>
        <w:trPr>
          <w:trHeight w:val="347" w:hRule="exact"/>
        </w:trPr>
        <w:tc>
          <w:tcPr>
            <w:tcW w:w="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厦门市美亚柏科信息股份有限公司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550</w:t>
            </w:r>
            <w:r>
              <w:rPr>
                <w:rFonts w:ascii="宋体" w:hAnsi="宋体" w:cs="宋体" w:eastAsia="宋体" w:hint="default"/>
                <w:sz w:val="18"/>
                <w:szCs w:val="18"/>
              </w:rPr>
              <w:t>万</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货币</w:t>
            </w:r>
          </w:p>
        </w:tc>
      </w:tr>
      <w:tr>
        <w:trPr>
          <w:trHeight w:val="347" w:hRule="exact"/>
        </w:trPr>
        <w:tc>
          <w:tcPr>
            <w:tcW w:w="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w:t>
            </w:r>
          </w:p>
        </w:tc>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厦门环亚众智科技合伙企业（有限合伙）</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450</w:t>
            </w:r>
            <w:r>
              <w:rPr>
                <w:rFonts w:ascii="宋体" w:hAnsi="宋体" w:cs="宋体" w:eastAsia="宋体" w:hint="default"/>
                <w:sz w:val="18"/>
                <w:szCs w:val="18"/>
              </w:rPr>
              <w:t>万</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货币</w:t>
            </w:r>
          </w:p>
        </w:tc>
      </w:tr>
      <w:tr>
        <w:trPr>
          <w:trHeight w:val="348" w:hRule="exact"/>
        </w:trPr>
        <w:tc>
          <w:tcPr>
            <w:tcW w:w="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1000</w:t>
            </w:r>
            <w:r>
              <w:rPr>
                <w:rFonts w:ascii="宋体" w:hAnsi="宋体" w:cs="宋体" w:eastAsia="宋体" w:hint="default"/>
                <w:b/>
                <w:bCs/>
                <w:sz w:val="18"/>
                <w:szCs w:val="18"/>
              </w:rPr>
              <w:t>万</w:t>
            </w:r>
            <w:r>
              <w:rPr>
                <w:rFonts w:ascii="宋体" w:hAnsi="宋体" w:cs="宋体" w:eastAsia="宋体" w:hint="default"/>
                <w:sz w:val="18"/>
                <w:szCs w:val="18"/>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bl>
    <w:p>
      <w:pPr>
        <w:spacing w:line="240" w:lineRule="auto" w:before="4"/>
        <w:rPr>
          <w:rFonts w:ascii="宋体" w:hAnsi="宋体" w:cs="宋体" w:eastAsia="宋体" w:hint="default"/>
          <w:sz w:val="11"/>
          <w:szCs w:val="11"/>
        </w:rPr>
      </w:pPr>
    </w:p>
    <w:p>
      <w:pPr>
        <w:pStyle w:val="BodyText"/>
        <w:spacing w:line="386" w:lineRule="auto" w:before="35"/>
        <w:ind w:right="0" w:firstLine="440"/>
        <w:jc w:val="left"/>
      </w:pPr>
      <w:r>
        <w:rPr/>
        <w:t>环亚众智为美亚亿安核心员工出资设立的合伙企业，与公司董监高、控股股东及持股</w:t>
      </w:r>
      <w:r>
        <w:rPr>
          <w:rFonts w:ascii="Times New Roman" w:hAnsi="Times New Roman" w:cs="Times New Roman" w:eastAsia="Times New Roman" w:hint="default"/>
        </w:rPr>
        <w:t>5%</w:t>
      </w:r>
      <w:r>
        <w:rPr/>
        <w:t>以上的股东 不存在关联关系。本交易不涉及关联交易。</w:t>
      </w:r>
    </w:p>
    <w:p>
      <w:pPr>
        <w:pStyle w:val="BodyText"/>
        <w:spacing w:line="386" w:lineRule="auto" w:before="103"/>
        <w:ind w:left="594" w:right="0" w:firstLine="86"/>
        <w:jc w:val="left"/>
      </w:pPr>
      <w:r>
        <w:rPr>
          <w:rFonts w:ascii="Times New Roman" w:hAnsi="Times New Roman" w:cs="Times New Roman" w:eastAsia="Times New Roman" w:hint="default"/>
          <w:b/>
          <w:bCs/>
        </w:rPr>
        <w:t>(</w:t>
      </w:r>
      <w:r>
        <w:rPr>
          <w:rFonts w:ascii="宋体" w:hAnsi="宋体" w:cs="宋体" w:eastAsia="宋体" w:hint="default"/>
          <w:b/>
          <w:bCs/>
        </w:rPr>
        <w:t>五</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36"/>
        </w:rPr>
        <w:t> </w:t>
      </w:r>
      <w:r>
        <w:rPr>
          <w:rFonts w:ascii="宋体" w:hAnsi="宋体" w:cs="宋体" w:eastAsia="宋体" w:hint="default"/>
          <w:b/>
          <w:bCs/>
        </w:rPr>
        <w:t>参股华易智美</w:t>
      </w:r>
      <w:r>
        <w:rPr>
          <w:rFonts w:ascii="宋体" w:hAnsi="宋体" w:cs="宋体" w:eastAsia="宋体" w:hint="default"/>
          <w:b/>
          <w:bCs/>
          <w:spacing w:val="1"/>
          <w:w w:val="99"/>
        </w:rPr>
        <w:t> </w:t>
      </w:r>
      <w:r>
        <w:rPr/>
        <w:t>为了更好地抓住智慧城市建设的机遇，进一步增强公司竞争力，公司使用自有资金</w:t>
      </w:r>
      <w:r>
        <w:rPr>
          <w:rFonts w:ascii="Times New Roman" w:hAnsi="Times New Roman" w:cs="Times New Roman" w:eastAsia="Times New Roman" w:hint="default"/>
        </w:rPr>
        <w:t>200</w:t>
      </w:r>
      <w:r>
        <w:rPr/>
        <w:t>万，受让自然</w:t>
      </w:r>
    </w:p>
    <w:p>
      <w:pPr>
        <w:pStyle w:val="BodyText"/>
        <w:spacing w:line="393" w:lineRule="auto" w:before="35"/>
        <w:ind w:right="1131"/>
        <w:jc w:val="both"/>
      </w:pPr>
      <w:r>
        <w:rPr/>
        <w:t>人陈新龙持有北京华易智美城镇规划研究院（以下简称“华易智美”）</w:t>
      </w:r>
      <w:r>
        <w:rPr>
          <w:rFonts w:ascii="Times New Roman" w:hAnsi="Times New Roman" w:cs="Times New Roman" w:eastAsia="Times New Roman" w:hint="default"/>
        </w:rPr>
        <w:t>12.5%</w:t>
      </w:r>
      <w:r>
        <w:rPr/>
        <w:t>的股权，华易智美注册资本</w:t>
      </w:r>
      <w:r>
        <w:rPr>
          <w:spacing w:val="-55"/>
        </w:rPr>
        <w:t> </w:t>
      </w:r>
      <w:r>
        <w:rPr>
          <w:spacing w:val="-55"/>
        </w:rPr>
      </w:r>
      <w:r>
        <w:rPr>
          <w:spacing w:val="-1"/>
        </w:rPr>
        <w:t>为</w:t>
      </w:r>
      <w:r>
        <w:rPr>
          <w:rFonts w:ascii="Times New Roman" w:hAnsi="Times New Roman" w:cs="Times New Roman" w:eastAsia="Times New Roman" w:hint="default"/>
          <w:spacing w:val="-1"/>
        </w:rPr>
        <w:t>1600</w:t>
      </w:r>
      <w:r>
        <w:rPr>
          <w:spacing w:val="-1"/>
        </w:rPr>
        <w:t>万元。华易智美旨打造集智美城镇顶层设计、产业生态系统对接、资本助力产融结合、市场拓展建</w:t>
      </w:r>
      <w:r>
        <w:rPr>
          <w:spacing w:val="-83"/>
        </w:rPr>
        <w:t> </w:t>
      </w:r>
      <w:r>
        <w:rPr>
          <w:spacing w:val="-83"/>
        </w:rPr>
      </w:r>
      <w:r>
        <w:rPr>
          <w:spacing w:val="-1"/>
        </w:rPr>
        <w:t>营一体的智美城镇综合化服务平台，围绕城市与乡镇“安、居、乐、业”发展需求，提供端到端的智美城</w:t>
      </w:r>
      <w:r>
        <w:rPr>
          <w:spacing w:val="-85"/>
        </w:rPr>
        <w:t> </w:t>
      </w:r>
      <w:r>
        <w:rPr>
          <w:spacing w:val="-85"/>
        </w:rPr>
      </w:r>
      <w:r>
        <w:rPr/>
        <w:t>镇“硬件产品</w:t>
      </w:r>
      <w:r>
        <w:rPr>
          <w:rFonts w:ascii="Times New Roman" w:hAnsi="Times New Roman" w:cs="Times New Roman" w:eastAsia="Times New Roman" w:hint="default"/>
        </w:rPr>
        <w:t>+</w:t>
      </w:r>
      <w:r>
        <w:rPr/>
        <w:t>软件系统</w:t>
      </w:r>
      <w:r>
        <w:rPr>
          <w:rFonts w:ascii="Times New Roman" w:hAnsi="Times New Roman" w:cs="Times New Roman" w:eastAsia="Times New Roman" w:hint="default"/>
        </w:rPr>
        <w:t>+</w:t>
      </w:r>
      <w:r>
        <w:rPr/>
        <w:t>应用</w:t>
      </w:r>
      <w:r>
        <w:rPr>
          <w:rFonts w:ascii="Times New Roman" w:hAnsi="Times New Roman" w:cs="Times New Roman" w:eastAsia="Times New Roman" w:hint="default"/>
        </w:rPr>
        <w:t>+</w:t>
      </w:r>
      <w:r>
        <w:rPr/>
        <w:t>服务”。</w:t>
      </w:r>
      <w:r>
        <w:rPr>
          <w:spacing w:val="-23"/>
        </w:rPr>
        <w:t> </w:t>
      </w:r>
      <w:r>
        <w:rPr/>
        <w:t>华易智美主要信息如下：</w:t>
      </w:r>
    </w:p>
    <w:p>
      <w:pPr>
        <w:pStyle w:val="BodyText"/>
        <w:spacing w:line="408" w:lineRule="auto" w:before="28"/>
        <w:ind w:left="594" w:right="4430" w:firstLine="1"/>
        <w:jc w:val="left"/>
        <w:rPr>
          <w:rFonts w:ascii="Times New Roman" w:hAnsi="Times New Roman" w:cs="Times New Roman" w:eastAsia="Times New Roman" w:hint="default"/>
        </w:rPr>
      </w:pPr>
      <w:r>
        <w:rPr/>
        <w:t>企业名称：北京华易智美城镇规划研究院（有限合伙） 执行事务合伙人：厦门华易智美信息咨询合伙企业（有限合伙） 统一社会信用代码：</w:t>
      </w:r>
      <w:r>
        <w:rPr>
          <w:rFonts w:ascii="Times New Roman" w:hAnsi="Times New Roman" w:cs="Times New Roman" w:eastAsia="Times New Roman" w:hint="default"/>
        </w:rPr>
        <w:t>91110107MA00GHQT3Y</w:t>
      </w:r>
    </w:p>
    <w:p>
      <w:pPr>
        <w:pStyle w:val="BodyText"/>
        <w:spacing w:line="408" w:lineRule="auto" w:before="14"/>
        <w:ind w:left="594" w:right="7685"/>
        <w:jc w:val="left"/>
      </w:pPr>
      <w:r>
        <w:rPr/>
        <w:t>类型：有限合伙 合伙期限自：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w:t>
      </w:r>
    </w:p>
    <w:p>
      <w:pPr>
        <w:pStyle w:val="BodyText"/>
        <w:spacing w:line="386" w:lineRule="auto" w:before="14"/>
        <w:ind w:left="594" w:right="1070" w:hanging="1"/>
        <w:jc w:val="left"/>
      </w:pPr>
      <w:r>
        <w:rPr/>
        <w:t>主要经营场所：北京市石景山区阜石路</w:t>
      </w:r>
      <w:r>
        <w:rPr>
          <w:rFonts w:ascii="Times New Roman" w:hAnsi="Times New Roman" w:cs="Times New Roman" w:eastAsia="Times New Roman" w:hint="default"/>
        </w:rPr>
        <w:t>165</w:t>
      </w:r>
      <w:r>
        <w:rPr/>
        <w:t>号院</w:t>
      </w:r>
      <w:r>
        <w:rPr>
          <w:rFonts w:ascii="Times New Roman" w:hAnsi="Times New Roman" w:cs="Times New Roman" w:eastAsia="Times New Roman" w:hint="default"/>
        </w:rPr>
        <w:t>1</w:t>
      </w:r>
      <w:r>
        <w:rPr/>
        <w:t>号楼</w:t>
      </w:r>
      <w:r>
        <w:rPr>
          <w:rFonts w:ascii="Times New Roman" w:hAnsi="Times New Roman" w:cs="Times New Roman" w:eastAsia="Times New Roman" w:hint="default"/>
        </w:rPr>
        <w:t>8</w:t>
      </w:r>
      <w:r>
        <w:rPr/>
        <w:t>层</w:t>
      </w:r>
      <w:r>
        <w:rPr>
          <w:rFonts w:ascii="Times New Roman" w:hAnsi="Times New Roman" w:cs="Times New Roman" w:eastAsia="Times New Roman" w:hint="default"/>
        </w:rPr>
        <w:t>8016</w:t>
      </w:r>
      <w:r>
        <w:rPr/>
        <w:t>室 经营范围：工程和技术研究与试验发展；规划管理；城市园林绿化；涉及、制作、代理、发布广告；</w:t>
      </w:r>
    </w:p>
    <w:p>
      <w:pPr>
        <w:pStyle w:val="BodyText"/>
        <w:spacing w:line="408" w:lineRule="auto" w:before="65"/>
        <w:ind w:right="1129"/>
        <w:jc w:val="both"/>
      </w:pPr>
      <w:r>
        <w:rPr>
          <w:spacing w:val="-1"/>
        </w:rPr>
        <w:t>市场调查；企业经营策划；企业形象涉及；安全技术防范产品维修；计算机系统集成；销售通讯设备；技</w:t>
      </w:r>
      <w:r>
        <w:rPr>
          <w:spacing w:val="-83"/>
        </w:rPr>
        <w:t> </w:t>
      </w:r>
      <w:r>
        <w:rPr>
          <w:spacing w:val="-83"/>
        </w:rPr>
      </w:r>
      <w:r>
        <w:rPr>
          <w:spacing w:val="-1"/>
        </w:rPr>
        <w:t>术开发、技术转让、技术咨询；工程设计。（企业依法自主选择经营项目，开展经营活动；工程设计以及</w:t>
      </w:r>
      <w:r>
        <w:rPr>
          <w:spacing w:val="-85"/>
        </w:rPr>
        <w:t> </w:t>
      </w:r>
      <w:r>
        <w:rPr>
          <w:spacing w:val="-85"/>
        </w:rPr>
      </w:r>
      <w:r>
        <w:rPr>
          <w:spacing w:val="-1"/>
        </w:rPr>
        <w:t>依法须经批准的项目，相关部门批准后依批准的内容开展经营活动；不得从事本市产业政策禁止和限制类</w:t>
      </w:r>
      <w:r>
        <w:rPr>
          <w:spacing w:val="-81"/>
        </w:rPr>
        <w:t> </w:t>
      </w:r>
      <w:r>
        <w:rPr>
          <w:spacing w:val="-81"/>
        </w:rPr>
      </w:r>
      <w:r>
        <w:rPr/>
        <w:t>项目的经营活动。）</w:t>
      </w:r>
    </w:p>
    <w:p>
      <w:pPr>
        <w:spacing w:after="0" w:line="408" w:lineRule="auto"/>
        <w:jc w:val="both"/>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240" w:lineRule="auto" w:before="175"/>
        <w:ind w:left="594" w:right="0"/>
        <w:jc w:val="left"/>
      </w:pPr>
      <w:r>
        <w:rPr/>
        <w:t>股权结构</w:t>
      </w:r>
    </w:p>
    <w:p>
      <w:pPr>
        <w:spacing w:line="240" w:lineRule="auto" w:before="11"/>
        <w:rPr>
          <w:rFonts w:ascii="宋体" w:hAnsi="宋体" w:cs="宋体" w:eastAsia="宋体" w:hint="default"/>
          <w:sz w:val="12"/>
          <w:szCs w:val="12"/>
        </w:rPr>
      </w:pPr>
    </w:p>
    <w:tbl>
      <w:tblPr>
        <w:tblW w:w="0" w:type="auto"/>
        <w:jc w:val="left"/>
        <w:tblInd w:w="784" w:type="dxa"/>
        <w:tblLayout w:type="fixed"/>
        <w:tblCellMar>
          <w:top w:w="0" w:type="dxa"/>
          <w:left w:w="0" w:type="dxa"/>
          <w:bottom w:w="0" w:type="dxa"/>
          <w:right w:w="0" w:type="dxa"/>
        </w:tblCellMar>
        <w:tblLook w:val="01E0"/>
      </w:tblPr>
      <w:tblGrid>
        <w:gridCol w:w="764"/>
        <w:gridCol w:w="3455"/>
        <w:gridCol w:w="1274"/>
        <w:gridCol w:w="1594"/>
        <w:gridCol w:w="1276"/>
      </w:tblGrid>
      <w:tr>
        <w:trPr>
          <w:trHeight w:val="427" w:hRule="exact"/>
        </w:trPr>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b/>
                <w:bCs/>
                <w:sz w:val="18"/>
                <w:szCs w:val="18"/>
              </w:rPr>
              <w:t>姓名</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名称</w:t>
            </w:r>
            <w:r>
              <w:rPr>
                <w:rFonts w:ascii="宋体" w:hAnsi="宋体" w:cs="宋体" w:eastAsia="宋体" w:hint="default"/>
                <w:sz w:val="18"/>
                <w:szCs w:val="18"/>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b/>
                <w:bCs/>
                <w:sz w:val="18"/>
                <w:szCs w:val="18"/>
              </w:rPr>
              <w:t>合伙人类型</w:t>
            </w:r>
            <w:r>
              <w:rPr>
                <w:rFonts w:ascii="宋体" w:hAnsi="宋体" w:cs="宋体" w:eastAsia="宋体" w:hint="default"/>
                <w:sz w:val="18"/>
                <w:szCs w:val="18"/>
              </w:rPr>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认缴出资额</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万元</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b/>
                <w:bCs/>
                <w:sz w:val="18"/>
                <w:szCs w:val="18"/>
              </w:rPr>
              <w:t>占比</w:t>
            </w:r>
            <w:r>
              <w:rPr>
                <w:rFonts w:ascii="宋体" w:hAnsi="宋体" w:cs="宋体" w:eastAsia="宋体" w:hint="default"/>
                <w:sz w:val="18"/>
                <w:szCs w:val="18"/>
              </w:rPr>
            </w:r>
          </w:p>
        </w:tc>
      </w:tr>
      <w:tr>
        <w:trPr>
          <w:trHeight w:val="347" w:hRule="exact"/>
        </w:trPr>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3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易华录投资管理有限公司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普通</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170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05"/>
              <w:jc w:val="right"/>
              <w:rPr>
                <w:rFonts w:ascii="Times New Roman" w:hAnsi="Times New Roman" w:cs="Times New Roman" w:eastAsia="Times New Roman" w:hint="default"/>
                <w:sz w:val="18"/>
                <w:szCs w:val="18"/>
              </w:rPr>
            </w:pPr>
            <w:r>
              <w:rPr>
                <w:rFonts w:ascii="Times New Roman"/>
                <w:sz w:val="18"/>
              </w:rPr>
              <w:t>10.625%</w:t>
            </w:r>
          </w:p>
        </w:tc>
      </w:tr>
      <w:tr>
        <w:trPr>
          <w:trHeight w:val="347" w:hRule="exact"/>
        </w:trPr>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w:t>
            </w:r>
          </w:p>
        </w:tc>
        <w:tc>
          <w:tcPr>
            <w:tcW w:w="3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山东共达信息技术有限公司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有限</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0"/>
              <w:jc w:val="right"/>
              <w:rPr>
                <w:rFonts w:ascii="Times New Roman" w:hAnsi="Times New Roman" w:cs="Times New Roman" w:eastAsia="Times New Roman" w:hint="default"/>
                <w:sz w:val="18"/>
                <w:szCs w:val="18"/>
              </w:rPr>
            </w:pPr>
            <w:r>
              <w:rPr>
                <w:rFonts w:ascii="Times New Roman"/>
                <w:sz w:val="18"/>
              </w:rPr>
              <w:t>1.875%</w:t>
            </w:r>
          </w:p>
        </w:tc>
      </w:tr>
      <w:tr>
        <w:trPr>
          <w:trHeight w:val="348" w:hRule="exact"/>
        </w:trPr>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w:t>
            </w:r>
          </w:p>
        </w:tc>
        <w:tc>
          <w:tcPr>
            <w:tcW w:w="3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北京雪迪龙科技股份有限公司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有限</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2"/>
              <w:jc w:val="right"/>
              <w:rPr>
                <w:rFonts w:ascii="Times New Roman" w:hAnsi="Times New Roman" w:cs="Times New Roman" w:eastAsia="Times New Roman" w:hint="default"/>
                <w:sz w:val="18"/>
                <w:szCs w:val="18"/>
              </w:rPr>
            </w:pPr>
            <w:r>
              <w:rPr>
                <w:rFonts w:ascii="Times New Roman"/>
                <w:sz w:val="18"/>
              </w:rPr>
              <w:t>12.50%</w:t>
            </w:r>
          </w:p>
        </w:tc>
      </w:tr>
      <w:tr>
        <w:trPr>
          <w:trHeight w:val="347" w:hRule="exact"/>
        </w:trPr>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w:t>
            </w:r>
          </w:p>
        </w:tc>
        <w:tc>
          <w:tcPr>
            <w:tcW w:w="3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天域生态环境股份有限公司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有限</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52"/>
              <w:jc w:val="right"/>
              <w:rPr>
                <w:rFonts w:ascii="Times New Roman" w:hAnsi="Times New Roman" w:cs="Times New Roman" w:eastAsia="Times New Roman" w:hint="default"/>
                <w:sz w:val="18"/>
                <w:szCs w:val="18"/>
              </w:rPr>
            </w:pPr>
            <w:r>
              <w:rPr>
                <w:rFonts w:ascii="Times New Roman"/>
                <w:sz w:val="18"/>
              </w:rPr>
              <w:t>12.50%</w:t>
            </w:r>
          </w:p>
        </w:tc>
      </w:tr>
      <w:tr>
        <w:trPr>
          <w:trHeight w:val="347" w:hRule="exact"/>
        </w:trPr>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w:t>
            </w:r>
          </w:p>
        </w:tc>
        <w:tc>
          <w:tcPr>
            <w:tcW w:w="3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北京合众思壮科技股份有限公司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有限</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2"/>
              <w:jc w:val="right"/>
              <w:rPr>
                <w:rFonts w:ascii="Times New Roman" w:hAnsi="Times New Roman" w:cs="Times New Roman" w:eastAsia="Times New Roman" w:hint="default"/>
                <w:sz w:val="18"/>
                <w:szCs w:val="18"/>
              </w:rPr>
            </w:pPr>
            <w:r>
              <w:rPr>
                <w:rFonts w:ascii="Times New Roman"/>
                <w:sz w:val="18"/>
              </w:rPr>
              <w:t>12.50%</w:t>
            </w:r>
          </w:p>
        </w:tc>
      </w:tr>
      <w:tr>
        <w:trPr>
          <w:trHeight w:val="347" w:hRule="exact"/>
        </w:trPr>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w:t>
            </w:r>
          </w:p>
        </w:tc>
        <w:tc>
          <w:tcPr>
            <w:tcW w:w="3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广州奥格智能科技有限公司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有限</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0"/>
              <w:jc w:val="right"/>
              <w:rPr>
                <w:rFonts w:ascii="Times New Roman" w:hAnsi="Times New Roman" w:cs="Times New Roman" w:eastAsia="Times New Roman" w:hint="default"/>
                <w:sz w:val="18"/>
                <w:szCs w:val="18"/>
              </w:rPr>
            </w:pPr>
            <w:r>
              <w:rPr>
                <w:rFonts w:ascii="Times New Roman"/>
                <w:sz w:val="18"/>
              </w:rPr>
              <w:t>1.875%</w:t>
            </w:r>
          </w:p>
        </w:tc>
      </w:tr>
      <w:tr>
        <w:trPr>
          <w:trHeight w:val="347" w:hRule="exact"/>
        </w:trPr>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w:t>
            </w:r>
          </w:p>
        </w:tc>
        <w:tc>
          <w:tcPr>
            <w:tcW w:w="3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厦门市美亚柏科信息股份有限公司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有限</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2"/>
              <w:jc w:val="right"/>
              <w:rPr>
                <w:rFonts w:ascii="Times New Roman" w:hAnsi="Times New Roman" w:cs="Times New Roman" w:eastAsia="Times New Roman" w:hint="default"/>
                <w:sz w:val="18"/>
                <w:szCs w:val="18"/>
              </w:rPr>
            </w:pPr>
            <w:r>
              <w:rPr>
                <w:rFonts w:ascii="Times New Roman"/>
                <w:sz w:val="18"/>
              </w:rPr>
              <w:t>12.50%</w:t>
            </w:r>
          </w:p>
        </w:tc>
      </w:tr>
      <w:tr>
        <w:trPr>
          <w:trHeight w:val="347" w:hRule="exact"/>
        </w:trPr>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8</w:t>
            </w:r>
          </w:p>
        </w:tc>
        <w:tc>
          <w:tcPr>
            <w:tcW w:w="3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北京格灵深瞳信息技术有限公司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有限</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2"/>
              <w:jc w:val="right"/>
              <w:rPr>
                <w:rFonts w:ascii="Times New Roman" w:hAnsi="Times New Roman" w:cs="Times New Roman" w:eastAsia="Times New Roman" w:hint="default"/>
                <w:sz w:val="18"/>
                <w:szCs w:val="18"/>
              </w:rPr>
            </w:pPr>
            <w:r>
              <w:rPr>
                <w:rFonts w:ascii="Times New Roman"/>
                <w:sz w:val="18"/>
              </w:rPr>
              <w:t>12.50%</w:t>
            </w:r>
          </w:p>
        </w:tc>
      </w:tr>
      <w:tr>
        <w:trPr>
          <w:trHeight w:val="348" w:hRule="exact"/>
        </w:trPr>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w:t>
            </w:r>
          </w:p>
        </w:tc>
        <w:tc>
          <w:tcPr>
            <w:tcW w:w="3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福建省康源图像智能研究院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有限</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0"/>
              <w:jc w:val="right"/>
              <w:rPr>
                <w:rFonts w:ascii="Times New Roman" w:hAnsi="Times New Roman" w:cs="Times New Roman" w:eastAsia="Times New Roman" w:hint="default"/>
                <w:sz w:val="18"/>
                <w:szCs w:val="18"/>
              </w:rPr>
            </w:pPr>
            <w:r>
              <w:rPr>
                <w:rFonts w:ascii="Times New Roman"/>
                <w:sz w:val="18"/>
              </w:rPr>
              <w:t>1.875%</w:t>
            </w:r>
          </w:p>
        </w:tc>
      </w:tr>
      <w:tr>
        <w:trPr>
          <w:trHeight w:val="347" w:hRule="exact"/>
        </w:trPr>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10</w:t>
            </w:r>
          </w:p>
        </w:tc>
        <w:tc>
          <w:tcPr>
            <w:tcW w:w="3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厦门华易智美信息咨询合伙企</w:t>
            </w:r>
            <w:r>
              <w:rPr>
                <w:rFonts w:ascii="宋体" w:hAnsi="宋体" w:cs="宋体" w:eastAsia="宋体" w:hint="default"/>
                <w:spacing w:val="-75"/>
                <w:sz w:val="18"/>
                <w:szCs w:val="18"/>
              </w:rPr>
              <w:t>业</w:t>
            </w:r>
            <w:r>
              <w:rPr>
                <w:rFonts w:ascii="宋体" w:hAnsi="宋体" w:cs="宋体" w:eastAsia="宋体" w:hint="default"/>
                <w:sz w:val="18"/>
                <w:szCs w:val="18"/>
              </w:rPr>
              <w:t>（有限合伙</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tabs>
                <w:tab w:pos="449" w:val="left" w:leader="none"/>
              </w:tabs>
              <w:spacing w:line="240" w:lineRule="auto" w:before="20"/>
              <w:ind w:left="-108" w:right="0"/>
              <w:jc w:val="left"/>
              <w:rPr>
                <w:rFonts w:ascii="宋体" w:hAnsi="宋体" w:cs="宋体" w:eastAsia="宋体" w:hint="default"/>
                <w:sz w:val="18"/>
                <w:szCs w:val="18"/>
              </w:rPr>
            </w:pPr>
            <w:r>
              <w:rPr>
                <w:rFonts w:ascii="宋体" w:hAnsi="宋体" w:cs="宋体" w:eastAsia="宋体" w:hint="default"/>
                <w:sz w:val="18"/>
                <w:szCs w:val="18"/>
              </w:rPr>
              <w:t>）</w:t>
              <w:tab/>
              <w:t>有限</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340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50"/>
              <w:jc w:val="right"/>
              <w:rPr>
                <w:rFonts w:ascii="Times New Roman" w:hAnsi="Times New Roman" w:cs="Times New Roman" w:eastAsia="Times New Roman" w:hint="default"/>
                <w:sz w:val="18"/>
                <w:szCs w:val="18"/>
              </w:rPr>
            </w:pPr>
            <w:r>
              <w:rPr>
                <w:rFonts w:ascii="Times New Roman"/>
                <w:sz w:val="18"/>
              </w:rPr>
              <w:t>21.25%</w:t>
            </w:r>
          </w:p>
        </w:tc>
      </w:tr>
      <w:tr>
        <w:trPr>
          <w:trHeight w:val="347" w:hRule="exact"/>
        </w:trPr>
        <w:tc>
          <w:tcPr>
            <w:tcW w:w="764" w:type="dxa"/>
            <w:tcBorders>
              <w:top w:val="single" w:sz="6" w:space="0" w:color="000000"/>
              <w:left w:val="single" w:sz="6" w:space="0" w:color="000000"/>
              <w:bottom w:val="single" w:sz="6" w:space="0" w:color="000000"/>
              <w:right w:val="single" w:sz="6" w:space="0" w:color="000000"/>
            </w:tcBorders>
          </w:tcPr>
          <w:p>
            <w:pPr/>
          </w:p>
        </w:tc>
        <w:tc>
          <w:tcPr>
            <w:tcW w:w="472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b/>
                <w:sz w:val="18"/>
              </w:rPr>
              <w:t>1600</w:t>
            </w:r>
            <w:r>
              <w:rPr>
                <w:rFonts w:ascii="Times New Roman"/>
                <w:sz w:val="18"/>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290"/>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r>
    </w:tbl>
    <w:p>
      <w:pPr>
        <w:spacing w:line="240" w:lineRule="auto" w:before="5"/>
        <w:rPr>
          <w:rFonts w:ascii="宋体" w:hAnsi="宋体" w:cs="宋体" w:eastAsia="宋体" w:hint="default"/>
          <w:sz w:val="11"/>
          <w:szCs w:val="11"/>
        </w:rPr>
      </w:pPr>
    </w:p>
    <w:p>
      <w:pPr>
        <w:pStyle w:val="BodyText"/>
        <w:spacing w:line="240" w:lineRule="auto" w:before="35"/>
        <w:ind w:left="594" w:right="0"/>
        <w:jc w:val="left"/>
      </w:pPr>
      <w:r>
        <w:rPr/>
        <w:t>公司及华易智美其他股东不存在关联关系。本交易不涉及关联交易。</w:t>
      </w:r>
    </w:p>
    <w:p>
      <w:pPr>
        <w:spacing w:line="240" w:lineRule="auto" w:before="10"/>
        <w:rPr>
          <w:rFonts w:ascii="宋体" w:hAnsi="宋体" w:cs="宋体" w:eastAsia="宋体" w:hint="default"/>
          <w:sz w:val="17"/>
          <w:szCs w:val="17"/>
        </w:rPr>
      </w:pPr>
    </w:p>
    <w:p>
      <w:pPr>
        <w:spacing w:line="408" w:lineRule="auto" w:before="0"/>
        <w:ind w:left="621" w:right="0" w:firstLine="44"/>
        <w:jc w:val="left"/>
        <w:rPr>
          <w:rFonts w:ascii="宋体" w:hAnsi="宋体" w:cs="宋体" w:eastAsia="宋体" w:hint="default"/>
          <w:sz w:val="21"/>
          <w:szCs w:val="21"/>
        </w:rPr>
      </w:pPr>
      <w:r>
        <w:rPr>
          <w:rFonts w:ascii="宋体" w:hAnsi="宋体" w:cs="宋体" w:eastAsia="宋体" w:hint="default"/>
          <w:b/>
          <w:bCs/>
          <w:sz w:val="21"/>
          <w:szCs w:val="21"/>
        </w:rPr>
        <w:t>（六）美桐产业并购基金进展</w:t>
      </w:r>
      <w:r>
        <w:rPr>
          <w:rFonts w:ascii="宋体" w:hAnsi="宋体" w:cs="宋体" w:eastAsia="宋体" w:hint="default"/>
          <w:b/>
          <w:bCs/>
          <w:spacing w:val="1"/>
          <w:w w:val="99"/>
          <w:sz w:val="21"/>
          <w:szCs w:val="21"/>
        </w:rPr>
        <w:t> </w:t>
      </w:r>
      <w:r>
        <w:rPr>
          <w:rFonts w:ascii="宋体" w:hAnsi="宋体" w:cs="宋体" w:eastAsia="宋体" w:hint="default"/>
          <w:spacing w:val="-2"/>
          <w:sz w:val="21"/>
          <w:szCs w:val="21"/>
        </w:rPr>
        <w:t>公司于</w:t>
      </w:r>
      <w:r>
        <w:rPr>
          <w:rFonts w:ascii="Times New Roman" w:hAnsi="Times New Roman" w:cs="Times New Roman" w:eastAsia="Times New Roman" w:hint="default"/>
          <w:spacing w:val="-2"/>
          <w:sz w:val="21"/>
          <w:szCs w:val="21"/>
        </w:rPr>
        <w:t>2015</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14</w:t>
      </w:r>
      <w:r>
        <w:rPr>
          <w:rFonts w:ascii="宋体" w:hAnsi="宋体" w:cs="宋体" w:eastAsia="宋体" w:hint="default"/>
          <w:spacing w:val="-2"/>
          <w:sz w:val="21"/>
          <w:szCs w:val="21"/>
        </w:rPr>
        <w:t>日召开第三届董事会第七次会议，审议通过了《关于发起设立产业并购基金的议</w:t>
      </w:r>
    </w:p>
    <w:p>
      <w:pPr>
        <w:pStyle w:val="BodyText"/>
        <w:spacing w:line="396" w:lineRule="auto" w:before="14"/>
        <w:ind w:left="153" w:right="0"/>
        <w:jc w:val="left"/>
      </w:pPr>
      <w:r>
        <w:rPr/>
        <w:t>案》，公司与深圳市前海梧桐并购投资基金管理有限公司（以下统称“合作双方”）共同出资发起设立美 亚梧桐网络空间安全及大数据产业并购基金（以下简称“美桐产业并购基金</w:t>
      </w:r>
      <w:r>
        <w:rPr>
          <w:rFonts w:ascii="Times New Roman" w:hAnsi="Times New Roman" w:cs="Times New Roman" w:eastAsia="Times New Roman" w:hint="default"/>
        </w:rPr>
        <w:t>”</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日，因公司 部分董事、高级管理人员及核心员工通过成立合伙企业的形式参与认购美桐产业并购基金份额，公司第三 届董事会第八次会议审议通过了《关于公司与董事、高级管理人员参与认购美亚梧桐产业并购基金暨关联 </w:t>
      </w:r>
      <w:r>
        <w:rPr>
          <w:spacing w:val="-3"/>
        </w:rPr>
        <w:t>交易的议案》，该议案于</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30</w:t>
      </w:r>
      <w:r>
        <w:rPr>
          <w:spacing w:val="-3"/>
        </w:rPr>
        <w:t>日经公司</w:t>
      </w:r>
      <w:r>
        <w:rPr>
          <w:rFonts w:ascii="Times New Roman" w:hAnsi="Times New Roman" w:cs="Times New Roman" w:eastAsia="Times New Roman" w:hint="default"/>
          <w:spacing w:val="-3"/>
        </w:rPr>
        <w:t>2016</w:t>
      </w:r>
      <w:r>
        <w:rPr>
          <w:spacing w:val="-3"/>
        </w:rPr>
        <w:t>年第一次临时股东大会审议通过。截至</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30</w:t>
      </w:r>
      <w:r>
        <w:rPr>
          <w:spacing w:val="-3"/>
        </w:rPr>
        <w:t>日，</w:t>
      </w:r>
      <w:r>
        <w:rPr>
          <w:spacing w:val="-80"/>
        </w:rPr>
        <w:t> </w:t>
      </w:r>
      <w:r>
        <w:rPr/>
        <w:t>合作双方已陆续完成了基金管理人厦门市美亚梧桐投资管理有限公司、厦门市亚桐投资管理合伙企业（有</w:t>
      </w:r>
      <w:r>
        <w:rPr/>
        <w:t> 限合伙）（即</w:t>
      </w:r>
      <w:r>
        <w:rPr>
          <w:rFonts w:ascii="Times New Roman" w:hAnsi="Times New Roman" w:cs="Times New Roman" w:eastAsia="Times New Roman" w:hint="default"/>
        </w:rPr>
        <w:t>SPV</w:t>
      </w:r>
      <w:r>
        <w:rPr/>
        <w:t>）以及厦门市美桐股权投资基金合伙企业（有限合伙）（即美桐产业并购基金）的工商 注册登记。</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日，基金管理人厦门市美亚梧桐投资管理有限公司在中国证券投资基金业协会完 </w:t>
      </w:r>
      <w:r>
        <w:rPr>
          <w:spacing w:val="-2"/>
        </w:rPr>
        <w:t>成了私募基金管理人登记。美桐产业并购基金于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30</w:t>
      </w:r>
      <w:r>
        <w:rPr>
          <w:spacing w:val="-2"/>
        </w:rPr>
        <w:t>日募集完成，实际募集资金</w:t>
      </w:r>
      <w:r>
        <w:rPr>
          <w:rFonts w:ascii="Times New Roman" w:hAnsi="Times New Roman" w:cs="Times New Roman" w:eastAsia="Times New Roman" w:hint="default"/>
          <w:spacing w:val="-2"/>
        </w:rPr>
        <w:t>2.23</w:t>
      </w:r>
      <w:r>
        <w:rPr>
          <w:spacing w:val="-2"/>
        </w:rPr>
        <w:t>亿元。详见公</w:t>
      </w:r>
      <w:r>
        <w:rPr>
          <w:spacing w:val="-88"/>
        </w:rPr>
        <w:t> </w:t>
      </w:r>
      <w:r>
        <w:rPr>
          <w:spacing w:val="-88"/>
        </w:rPr>
      </w:r>
      <w:r>
        <w:rPr/>
        <w:t>司分别于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日披露在中 国证监会指定创业板信息披露网站巨潮资讯网的相关公告。美桐产业并购基金围绕美亚柏科在网络安全和 大数据信息化领域的产业纵深，先后在司法信息化、舆情分析、反电信诈骗信息化、司法大数据等子行业 进行了拓展，选取了在子行业中的一些领先企业进行了立项以及投资。截至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日，美桐产业并 购基金已投资包括中科金审、北京捷兴信源、新译科技、天轴通讯等项目</w:t>
      </w:r>
      <w:r>
        <w:rPr>
          <w:rFonts w:ascii="Times New Roman" w:hAnsi="Times New Roman" w:cs="Times New Roman" w:eastAsia="Times New Roman" w:hint="default"/>
        </w:rPr>
        <w:t>7</w:t>
      </w:r>
      <w:r>
        <w:rPr/>
        <w:t>个，协议金额合计</w:t>
      </w:r>
      <w:r>
        <w:rPr>
          <w:rFonts w:ascii="Times New Roman" w:hAnsi="Times New Roman" w:cs="Times New Roman" w:eastAsia="Times New Roman" w:hint="default"/>
        </w:rPr>
        <w:t>17,730</w:t>
      </w:r>
      <w:r>
        <w:rPr/>
        <w:t>万元， 美桐产业并购基金投资进展，公司将按照相关规定，及时履行信息披露义务。</w:t>
      </w:r>
    </w:p>
    <w:p>
      <w:pPr>
        <w:spacing w:after="0" w:line="396" w:lineRule="auto"/>
        <w:jc w:val="left"/>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4928"/>
        <w:gridCol w:w="992"/>
        <w:gridCol w:w="3649"/>
      </w:tblGrid>
      <w:tr>
        <w:trPr>
          <w:trHeight w:val="694"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重要事项概述</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b/>
                <w:bCs/>
                <w:sz w:val="18"/>
                <w:szCs w:val="18"/>
              </w:rPr>
              <w:t>披露日期</w:t>
            </w:r>
            <w:r>
              <w:rPr>
                <w:rFonts w:ascii="宋体" w:hAnsi="宋体" w:cs="宋体" w:eastAsia="宋体" w:hint="default"/>
                <w:sz w:val="18"/>
                <w:szCs w:val="18"/>
              </w:rPr>
            </w:r>
          </w:p>
        </w:tc>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735" w:right="0"/>
              <w:jc w:val="left"/>
              <w:rPr>
                <w:rFonts w:ascii="宋体" w:hAnsi="宋体" w:cs="宋体" w:eastAsia="宋体" w:hint="default"/>
                <w:sz w:val="18"/>
                <w:szCs w:val="18"/>
              </w:rPr>
            </w:pPr>
            <w:r>
              <w:rPr>
                <w:rFonts w:ascii="宋体" w:hAnsi="宋体" w:cs="宋体" w:eastAsia="宋体" w:hint="default"/>
                <w:b/>
                <w:bCs/>
                <w:sz w:val="18"/>
                <w:szCs w:val="18"/>
              </w:rPr>
              <w:t>临时报告披露网站查询索引</w:t>
            </w:r>
            <w:r>
              <w:rPr>
                <w:rFonts w:ascii="宋体" w:hAnsi="宋体" w:cs="宋体" w:eastAsia="宋体" w:hint="default"/>
                <w:sz w:val="18"/>
                <w:szCs w:val="18"/>
              </w:rPr>
            </w:r>
          </w:p>
        </w:tc>
      </w:tr>
      <w:tr>
        <w:trPr>
          <w:trHeight w:val="363" w:hRule="exact"/>
        </w:trPr>
        <w:tc>
          <w:tcPr>
            <w:tcW w:w="49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日，中国证监会核准公司向韦玉荣等</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人</w:t>
            </w:r>
          </w:p>
        </w:tc>
        <w:tc>
          <w:tcPr>
            <w:tcW w:w="992" w:type="dxa"/>
            <w:tcBorders>
              <w:top w:val="single" w:sz="4" w:space="0" w:color="000000"/>
              <w:left w:val="single" w:sz="4" w:space="0" w:color="000000"/>
              <w:bottom w:val="nil" w:sz="6" w:space="0" w:color="auto"/>
              <w:right w:val="single" w:sz="4" w:space="0" w:color="000000"/>
            </w:tcBorders>
          </w:tcPr>
          <w:p>
            <w:pPr/>
          </w:p>
        </w:tc>
        <w:tc>
          <w:tcPr>
            <w:tcW w:w="3649"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49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3"/>
                <w:sz w:val="18"/>
                <w:szCs w:val="18"/>
              </w:rPr>
              <w:t>发行股份购买相关资产，江苏税软和新德汇完成了</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w:t>
            </w:r>
          </w:p>
        </w:tc>
        <w:tc>
          <w:tcPr>
            <w:tcW w:w="992" w:type="dxa"/>
            <w:tcBorders>
              <w:top w:val="nil" w:sz="6" w:space="0" w:color="auto"/>
              <w:left w:val="single" w:sz="4" w:space="0" w:color="000000"/>
              <w:bottom w:val="nil" w:sz="6" w:space="0" w:color="auto"/>
              <w:right w:val="single" w:sz="4" w:space="0" w:color="000000"/>
            </w:tcBorders>
          </w:tcPr>
          <w:p>
            <w:pPr/>
          </w:p>
        </w:tc>
        <w:tc>
          <w:tcPr>
            <w:tcW w:w="364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49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业绩承诺，按照规定，公司于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日对韦玉荣等</w:t>
            </w:r>
          </w:p>
        </w:tc>
        <w:tc>
          <w:tcPr>
            <w:tcW w:w="992" w:type="dxa"/>
            <w:tcBorders>
              <w:top w:val="nil" w:sz="6" w:space="0" w:color="auto"/>
              <w:left w:val="single" w:sz="4" w:space="0" w:color="000000"/>
              <w:bottom w:val="nil" w:sz="6" w:space="0" w:color="auto"/>
              <w:right w:val="single" w:sz="4" w:space="0" w:color="000000"/>
            </w:tcBorders>
          </w:tcPr>
          <w:p>
            <w:pPr/>
          </w:p>
        </w:tc>
        <w:tc>
          <w:tcPr>
            <w:tcW w:w="3649"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49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人持有的部分限售股份解除限售。本次解除限售的股份数</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01</w:t>
            </w:r>
          </w:p>
        </w:tc>
        <w:tc>
          <w:tcPr>
            <w:tcW w:w="364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hyperlink r:id="rId11">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《关于非公开发行限售股</w:t>
            </w:r>
          </w:p>
        </w:tc>
      </w:tr>
      <w:tr>
        <w:trPr>
          <w:trHeight w:val="312" w:hRule="exact"/>
        </w:trPr>
        <w:tc>
          <w:tcPr>
            <w:tcW w:w="49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量为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10,582,326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股，占公司总股本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497,030,706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的</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2.13%</w:t>
            </w:r>
            <w:r>
              <w:rPr>
                <w:rFonts w:ascii="宋体" w:hAnsi="宋体" w:cs="宋体" w:eastAsia="宋体" w:hint="default"/>
                <w:spacing w:val="-5"/>
                <w:sz w:val="18"/>
                <w:szCs w:val="18"/>
              </w:rPr>
              <w:t>；本</w:t>
            </w:r>
            <w:r>
              <w:rPr>
                <w:rFonts w:ascii="宋体" w:hAnsi="宋体" w:cs="宋体" w:eastAsia="宋体" w:hint="default"/>
                <w:sz w:val="18"/>
                <w:szCs w:val="18"/>
              </w:rPr>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4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份上市流通的提示性公告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2018-03</w:t>
            </w:r>
            <w:r>
              <w:rPr>
                <w:rFonts w:ascii="宋体" w:hAnsi="宋体" w:cs="宋体" w:eastAsia="宋体" w:hint="default"/>
                <w:sz w:val="18"/>
                <w:szCs w:val="18"/>
              </w:rPr>
              <w:t>）</w:t>
            </w:r>
          </w:p>
        </w:tc>
      </w:tr>
      <w:tr>
        <w:trPr>
          <w:trHeight w:val="311" w:hRule="exact"/>
        </w:trPr>
        <w:tc>
          <w:tcPr>
            <w:tcW w:w="49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18"/>
                <w:sz w:val="18"/>
                <w:szCs w:val="18"/>
              </w:rPr>
              <w:t>次实际可上市流通数量为 </w:t>
            </w:r>
            <w:r>
              <w:rPr>
                <w:rFonts w:ascii="Times New Roman" w:hAnsi="Times New Roman" w:cs="Times New Roman" w:eastAsia="Times New Roman" w:hint="default"/>
                <w:sz w:val="18"/>
                <w:szCs w:val="18"/>
              </w:rPr>
              <w:t>5,333,878 </w:t>
            </w:r>
            <w:r>
              <w:rPr>
                <w:rFonts w:ascii="Times New Roman" w:hAnsi="Times New Roman" w:cs="Times New Roman" w:eastAsia="Times New Roman" w:hint="default"/>
                <w:spacing w:val="29"/>
                <w:sz w:val="18"/>
                <w:szCs w:val="18"/>
              </w:rPr>
              <w:t> </w:t>
            </w:r>
            <w:r>
              <w:rPr>
                <w:rFonts w:ascii="宋体" w:hAnsi="宋体" w:cs="宋体" w:eastAsia="宋体" w:hint="default"/>
                <w:spacing w:val="17"/>
                <w:sz w:val="18"/>
                <w:szCs w:val="18"/>
              </w:rPr>
              <w:t>股，占公司总股本</w:t>
            </w:r>
            <w:r>
              <w:rPr>
                <w:rFonts w:ascii="宋体" w:hAnsi="宋体" w:cs="宋体" w:eastAsia="宋体" w:hint="default"/>
                <w:spacing w:val="-70"/>
                <w:sz w:val="18"/>
                <w:szCs w:val="18"/>
              </w:rPr>
              <w:t> </w:t>
            </w:r>
            <w:r>
              <w:rPr>
                <w:rFonts w:ascii="宋体" w:hAnsi="宋体" w:cs="宋体" w:eastAsia="宋体" w:hint="default"/>
                <w:sz w:val="18"/>
                <w:szCs w:val="18"/>
              </w:rPr>
            </w:r>
          </w:p>
        </w:tc>
        <w:tc>
          <w:tcPr>
            <w:tcW w:w="992" w:type="dxa"/>
            <w:tcBorders>
              <w:top w:val="nil" w:sz="6" w:space="0" w:color="auto"/>
              <w:left w:val="single" w:sz="4" w:space="0" w:color="000000"/>
              <w:bottom w:val="nil" w:sz="6" w:space="0" w:color="auto"/>
              <w:right w:val="single" w:sz="4" w:space="0" w:color="000000"/>
            </w:tcBorders>
          </w:tcPr>
          <w:p>
            <w:pPr/>
          </w:p>
        </w:tc>
        <w:tc>
          <w:tcPr>
            <w:tcW w:w="3649"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49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497,030,706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1.07%</w:t>
            </w:r>
            <w:r>
              <w:rPr>
                <w:rFonts w:ascii="宋体" w:hAnsi="宋体" w:cs="宋体" w:eastAsia="宋体" w:hint="default"/>
                <w:sz w:val="18"/>
                <w:szCs w:val="18"/>
              </w:rPr>
              <w:t>。解除限售股份的上市流通日期为</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2018</w:t>
            </w:r>
          </w:p>
        </w:tc>
        <w:tc>
          <w:tcPr>
            <w:tcW w:w="992" w:type="dxa"/>
            <w:tcBorders>
              <w:top w:val="nil" w:sz="6" w:space="0" w:color="auto"/>
              <w:left w:val="single" w:sz="4" w:space="0" w:color="000000"/>
              <w:bottom w:val="nil" w:sz="6" w:space="0" w:color="auto"/>
              <w:right w:val="single" w:sz="4" w:space="0" w:color="000000"/>
            </w:tcBorders>
          </w:tcPr>
          <w:p>
            <w:pPr/>
          </w:p>
        </w:tc>
        <w:tc>
          <w:tcPr>
            <w:tcW w:w="3649" w:type="dxa"/>
            <w:tcBorders>
              <w:top w:val="nil" w:sz="6" w:space="0" w:color="auto"/>
              <w:left w:val="single" w:sz="4" w:space="0" w:color="000000"/>
              <w:bottom w:val="nil" w:sz="6" w:space="0" w:color="auto"/>
              <w:right w:val="single" w:sz="4" w:space="0" w:color="000000"/>
            </w:tcBorders>
          </w:tcPr>
          <w:p>
            <w:pPr/>
          </w:p>
        </w:tc>
      </w:tr>
      <w:tr>
        <w:trPr>
          <w:trHeight w:val="351" w:hRule="exact"/>
        </w:trPr>
        <w:tc>
          <w:tcPr>
            <w:tcW w:w="49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single" w:sz="4" w:space="0" w:color="000000"/>
              <w:right w:val="single" w:sz="4" w:space="0" w:color="000000"/>
            </w:tcBorders>
          </w:tcPr>
          <w:p>
            <w:pPr/>
          </w:p>
        </w:tc>
        <w:tc>
          <w:tcPr>
            <w:tcW w:w="3649"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103" w:right="11"/>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日召开第三届董事会第二十四次会议， 审议通过了《关于公司参与投资美桐贰期产业并购基金的议</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3"/>
                <w:sz w:val="18"/>
                <w:szCs w:val="18"/>
              </w:rPr>
              <w:t>案》，公司拟出资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万元参与投资美桐贰期产业并购基金。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00" w:lineRule="auto"/>
              <w:ind w:left="103" w:right="101"/>
              <w:jc w:val="left"/>
              <w:rPr>
                <w:rFonts w:ascii="宋体" w:hAnsi="宋体" w:cs="宋体" w:eastAsia="宋体" w:hint="default"/>
                <w:sz w:val="18"/>
                <w:szCs w:val="18"/>
              </w:rPr>
            </w:pPr>
            <w:hyperlink r:id="rId11">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《关于公司参与投资美桐</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5"/>
                <w:sz w:val="18"/>
                <w:szCs w:val="18"/>
              </w:rPr>
              <w:t>贰期产业并购基金的公告》（</w:t>
            </w:r>
            <w:r>
              <w:rPr>
                <w:rFonts w:ascii="Times New Roman" w:hAnsi="Times New Roman" w:cs="Times New Roman" w:eastAsia="Times New Roman" w:hint="default"/>
                <w:spacing w:val="-5"/>
                <w:sz w:val="18"/>
                <w:szCs w:val="18"/>
              </w:rPr>
              <w:t>2018-08</w:t>
            </w:r>
            <w:r>
              <w:rPr>
                <w:rFonts w:ascii="宋体" w:hAnsi="宋体" w:cs="宋体" w:eastAsia="宋体" w:hint="default"/>
                <w:spacing w:val="-5"/>
                <w:sz w:val="18"/>
                <w:szCs w:val="18"/>
              </w:rPr>
              <w:t>）</w:t>
            </w:r>
          </w:p>
        </w:tc>
      </w:tr>
      <w:tr>
        <w:trPr>
          <w:trHeight w:val="944" w:hRule="exact"/>
        </w:trPr>
        <w:tc>
          <w:tcPr>
            <w:tcW w:w="4928"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73"/>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49" w:type="dxa"/>
            <w:tcBorders>
              <w:top w:val="single" w:sz="4" w:space="0" w:color="000000"/>
              <w:left w:val="single" w:sz="4" w:space="0" w:color="000000"/>
              <w:bottom w:val="nil" w:sz="6" w:space="0" w:color="auto"/>
              <w:right w:val="single" w:sz="4" w:space="0" w:color="000000"/>
            </w:tcBorders>
          </w:tcPr>
          <w:p>
            <w:pPr>
              <w:pStyle w:val="TableParagraph"/>
              <w:spacing w:line="309" w:lineRule="auto" w:before="52"/>
              <w:ind w:left="103" w:right="99"/>
              <w:jc w:val="both"/>
              <w:rPr>
                <w:rFonts w:ascii="宋体" w:hAnsi="宋体" w:cs="宋体" w:eastAsia="宋体" w:hint="default"/>
                <w:sz w:val="18"/>
                <w:szCs w:val="18"/>
              </w:rPr>
            </w:pPr>
            <w:hyperlink r:id="rId11">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《关于回购注销部分离职</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激励对象已获授尚未解锁的限制性股票的公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9"/>
                <w:sz w:val="18"/>
                <w:szCs w:val="18"/>
              </w:rPr>
              <w:t>告》（</w:t>
            </w:r>
            <w:r>
              <w:rPr>
                <w:rFonts w:ascii="Times New Roman" w:hAnsi="Times New Roman" w:cs="Times New Roman" w:eastAsia="Times New Roman" w:hint="default"/>
                <w:spacing w:val="-9"/>
                <w:sz w:val="18"/>
                <w:szCs w:val="18"/>
              </w:rPr>
              <w:t>2017-73</w:t>
            </w:r>
            <w:r>
              <w:rPr>
                <w:rFonts w:ascii="宋体" w:hAnsi="宋体" w:cs="宋体" w:eastAsia="宋体" w:hint="default"/>
                <w:spacing w:val="-9"/>
                <w:sz w:val="18"/>
                <w:szCs w:val="18"/>
              </w:rPr>
              <w:t>）</w:t>
            </w:r>
          </w:p>
        </w:tc>
      </w:tr>
      <w:tr>
        <w:trPr>
          <w:trHeight w:val="82" w:hRule="exact"/>
        </w:trPr>
        <w:tc>
          <w:tcPr>
            <w:tcW w:w="4928" w:type="dxa"/>
            <w:vMerge w:val="restart"/>
            <w:tcBorders>
              <w:top w:val="nil" w:sz="6" w:space="0" w:color="auto"/>
              <w:left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公司于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日召开第三届董事会第二十一次会</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议，对 </w:t>
            </w:r>
            <w:r>
              <w:rPr>
                <w:rFonts w:ascii="Times New Roman" w:hAnsi="Times New Roman" w:cs="Times New Roman" w:eastAsia="Times New Roman" w:hint="default"/>
                <w:sz w:val="18"/>
                <w:szCs w:val="18"/>
              </w:rPr>
              <w:t>4 </w:t>
            </w:r>
            <w:r>
              <w:rPr>
                <w:rFonts w:ascii="宋体" w:hAnsi="宋体" w:cs="宋体" w:eastAsia="宋体" w:hint="default"/>
                <w:sz w:val="18"/>
                <w:szCs w:val="18"/>
              </w:rPr>
              <w:t>名已离职原激励对象获授的限制性股票共计</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73,000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股进行回购注销；</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日召开第三届董事会第二</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pacing w:val="-9"/>
                <w:sz w:val="18"/>
                <w:szCs w:val="18"/>
              </w:rPr>
              <w:t>十五次会议，对</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名已离职原激励对象获授尚未解锁的限制</w:t>
            </w:r>
          </w:p>
        </w:tc>
        <w:tc>
          <w:tcPr>
            <w:tcW w:w="992" w:type="dxa"/>
            <w:tcBorders>
              <w:top w:val="nil" w:sz="6" w:space="0" w:color="auto"/>
              <w:left w:val="single" w:sz="4" w:space="0" w:color="000000"/>
              <w:bottom w:val="single" w:sz="4" w:space="0" w:color="000000"/>
              <w:right w:val="single" w:sz="4" w:space="0" w:color="000000"/>
            </w:tcBorders>
          </w:tcPr>
          <w:p>
            <w:pPr/>
          </w:p>
        </w:tc>
        <w:tc>
          <w:tcPr>
            <w:tcW w:w="3649"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4928" w:type="dxa"/>
            <w:vMerge/>
            <w:tcBorders>
              <w:left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103" w:right="99"/>
              <w:jc w:val="both"/>
              <w:rPr>
                <w:rFonts w:ascii="宋体" w:hAnsi="宋体" w:cs="宋体" w:eastAsia="宋体" w:hint="default"/>
                <w:sz w:val="18"/>
                <w:szCs w:val="18"/>
              </w:rPr>
            </w:pPr>
            <w:hyperlink r:id="rId11">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《关于回购注销部分离职</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激励对象已获授尚未解锁的限制性股票的公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9"/>
                <w:sz w:val="18"/>
                <w:szCs w:val="18"/>
              </w:rPr>
              <w:t>告》（</w:t>
            </w:r>
            <w:r>
              <w:rPr>
                <w:rFonts w:ascii="Times New Roman" w:hAnsi="Times New Roman" w:cs="Times New Roman" w:eastAsia="Times New Roman" w:hint="default"/>
                <w:spacing w:val="-9"/>
                <w:sz w:val="18"/>
                <w:szCs w:val="18"/>
              </w:rPr>
              <w:t>2018-22</w:t>
            </w:r>
            <w:r>
              <w:rPr>
                <w:rFonts w:ascii="宋体" w:hAnsi="宋体" w:cs="宋体" w:eastAsia="宋体" w:hint="default"/>
                <w:spacing w:val="-9"/>
                <w:sz w:val="18"/>
                <w:szCs w:val="18"/>
              </w:rPr>
              <w:t>）</w:t>
            </w:r>
          </w:p>
        </w:tc>
      </w:tr>
      <w:tr>
        <w:trPr>
          <w:trHeight w:val="73" w:hRule="exact"/>
        </w:trPr>
        <w:tc>
          <w:tcPr>
            <w:tcW w:w="4928" w:type="dxa"/>
            <w:vMerge/>
            <w:tcBorders>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364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4928"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性股票共计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153,720 </w:t>
            </w:r>
            <w:r>
              <w:rPr>
                <w:rFonts w:ascii="宋体" w:hAnsi="宋体" w:cs="宋体" w:eastAsia="宋体" w:hint="default"/>
                <w:spacing w:val="-3"/>
                <w:sz w:val="18"/>
                <w:szCs w:val="18"/>
              </w:rPr>
              <w:t>股进行回购注销；</w:t>
            </w:r>
            <w:r>
              <w:rPr>
                <w:rFonts w:ascii="Times New Roman" w:hAnsi="Times New Roman" w:cs="Times New Roman" w:eastAsia="Times New Roman" w:hint="default"/>
                <w:spacing w:val="-3"/>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pacing w:val="-10"/>
                <w:sz w:val="18"/>
                <w:szCs w:val="18"/>
              </w:rPr>
              <w:t>日，公</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33"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04</w:t>
            </w:r>
          </w:p>
        </w:tc>
        <w:tc>
          <w:tcPr>
            <w:tcW w:w="3649" w:type="dxa"/>
            <w:tcBorders>
              <w:top w:val="nil" w:sz="6" w:space="0" w:color="auto"/>
              <w:left w:val="single" w:sz="4" w:space="0" w:color="000000"/>
              <w:bottom w:val="nil" w:sz="6" w:space="0" w:color="auto"/>
              <w:right w:val="single" w:sz="4" w:space="0" w:color="000000"/>
            </w:tcBorders>
          </w:tcPr>
          <w:p>
            <w:pPr>
              <w:pStyle w:val="TableParagraph"/>
              <w:spacing w:line="233" w:lineRule="exact"/>
              <w:ind w:left="103" w:right="0"/>
              <w:jc w:val="left"/>
              <w:rPr>
                <w:rFonts w:ascii="宋体" w:hAnsi="宋体" w:cs="宋体" w:eastAsia="宋体" w:hint="default"/>
                <w:sz w:val="18"/>
                <w:szCs w:val="18"/>
              </w:rPr>
            </w:pPr>
            <w:hyperlink r:id="rId11">
              <w:r>
                <w:rPr>
                  <w:rFonts w:ascii="Times New Roman" w:hAnsi="Times New Roman" w:cs="Times New Roman" w:eastAsia="Times New Roman" w:hint="default"/>
                  <w:sz w:val="18"/>
                  <w:szCs w:val="18"/>
                </w:rPr>
                <w:t>ww</w:t>
              </w:r>
              <w:r>
                <w:rPr>
                  <w:rFonts w:ascii="Times New Roman" w:hAnsi="Times New Roman" w:cs="Times New Roman" w:eastAsia="Times New Roman" w:hint="default"/>
                  <w:spacing w:val="-13"/>
                  <w:sz w:val="18"/>
                  <w:szCs w:val="18"/>
                </w:rPr>
                <w:t>w</w:t>
              </w:r>
              <w:r>
                <w:rPr>
                  <w:rFonts w:ascii="Times New Roman" w:hAnsi="Times New Roman" w:cs="Times New Roman" w:eastAsia="Times New Roman" w:hint="default"/>
                  <w:sz w:val="18"/>
                  <w:szCs w:val="18"/>
                </w:rPr>
                <w:t>.cninfo.c</w:t>
              </w:r>
              <w:r>
                <w:rPr>
                  <w:rFonts w:ascii="Times New Roman" w:hAnsi="Times New Roman" w:cs="Times New Roman" w:eastAsia="Times New Roman" w:hint="default"/>
                  <w:spacing w:val="-2"/>
                  <w:sz w:val="18"/>
                  <w:szCs w:val="18"/>
                </w:rPr>
                <w:t>o</w:t>
              </w:r>
              <w:r>
                <w:rPr>
                  <w:rFonts w:ascii="Times New Roman" w:hAnsi="Times New Roman" w:cs="Times New Roman" w:eastAsia="Times New Roman" w:hint="default"/>
                  <w:sz w:val="18"/>
                  <w:szCs w:val="18"/>
                </w:rPr>
                <w:t>m.c</w:t>
              </w:r>
              <w:r>
                <w:rPr>
                  <w:rFonts w:ascii="Times New Roman" w:hAnsi="Times New Roman" w:cs="Times New Roman" w:eastAsia="Times New Roman" w:hint="default"/>
                  <w:spacing w:val="-45"/>
                  <w:sz w:val="18"/>
                  <w:szCs w:val="18"/>
                </w:rPr>
                <w:t>n</w:t>
              </w:r>
            </w:hyperlink>
            <w:r>
              <w:rPr>
                <w:rFonts w:ascii="宋体" w:hAnsi="宋体" w:cs="宋体" w:eastAsia="宋体" w:hint="default"/>
                <w:spacing w:val="-136"/>
                <w:sz w:val="18"/>
                <w:szCs w:val="18"/>
              </w:rPr>
              <w:t>《</w:t>
            </w:r>
            <w:r>
              <w:rPr>
                <w:rFonts w:ascii="Times New Roman" w:hAnsi="Times New Roman" w:cs="Times New Roman" w:eastAsia="Times New Roman" w:hint="default"/>
                <w:sz w:val="18"/>
                <w:szCs w:val="18"/>
              </w:rPr>
              <w:t>,  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年年度股东大会决</w:t>
            </w:r>
          </w:p>
        </w:tc>
      </w:tr>
      <w:tr>
        <w:trPr>
          <w:trHeight w:val="329" w:hRule="exact"/>
        </w:trPr>
        <w:tc>
          <w:tcPr>
            <w:tcW w:w="4928"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司召开 </w:t>
            </w:r>
            <w:r>
              <w:rPr>
                <w:rFonts w:ascii="Times New Roman" w:hAnsi="Times New Roman" w:cs="Times New Roman" w:eastAsia="Times New Roman" w:hint="default"/>
                <w:sz w:val="18"/>
                <w:szCs w:val="18"/>
              </w:rPr>
              <w:t>2017 </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年年度股东大会审议通过了以上两次回购注销</w:t>
            </w: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49" w:type="dxa"/>
            <w:tcBorders>
              <w:top w:val="nil" w:sz="6" w:space="0" w:color="auto"/>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议</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2018-28</w:t>
            </w:r>
            <w:r>
              <w:rPr>
                <w:rFonts w:ascii="宋体" w:hAnsi="宋体" w:cs="宋体" w:eastAsia="宋体" w:hint="default"/>
                <w:sz w:val="18"/>
                <w:szCs w:val="18"/>
              </w:rPr>
              <w:t>）</w:t>
            </w:r>
          </w:p>
        </w:tc>
      </w:tr>
      <w:tr>
        <w:trPr>
          <w:trHeight w:val="340" w:hRule="exact"/>
        </w:trPr>
        <w:tc>
          <w:tcPr>
            <w:tcW w:w="49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股份事项。</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日，公司在中登公司办理完成上</w:t>
            </w: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05</w:t>
            </w:r>
          </w:p>
        </w:tc>
        <w:tc>
          <w:tcPr>
            <w:tcW w:w="36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hyperlink r:id="rId11">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《关于部分限制性股票回</w:t>
            </w:r>
          </w:p>
        </w:tc>
      </w:tr>
      <w:tr>
        <w:trPr>
          <w:trHeight w:val="312" w:hRule="exact"/>
        </w:trPr>
        <w:tc>
          <w:tcPr>
            <w:tcW w:w="4928"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述回购股份注销事项。</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日，公司召开第四届</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49"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购注销完成的公告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2018-38</w:t>
            </w:r>
            <w:r>
              <w:rPr>
                <w:rFonts w:ascii="宋体" w:hAnsi="宋体" w:cs="宋体" w:eastAsia="宋体" w:hint="default"/>
                <w:sz w:val="18"/>
                <w:szCs w:val="18"/>
              </w:rPr>
              <w:t>）</w:t>
            </w:r>
          </w:p>
        </w:tc>
      </w:tr>
      <w:tr>
        <w:trPr>
          <w:trHeight w:val="62" w:hRule="exact"/>
        </w:trPr>
        <w:tc>
          <w:tcPr>
            <w:tcW w:w="4928" w:type="dxa"/>
            <w:vMerge w:val="restart"/>
            <w:tcBorders>
              <w:top w:val="nil" w:sz="6" w:space="0" w:color="auto"/>
              <w:left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董事会第二次会议，对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名已离职原激励对象获授尚未解锁</w:t>
            </w:r>
          </w:p>
          <w:p>
            <w:pPr>
              <w:pStyle w:val="TableParagraph"/>
              <w:spacing w:line="302" w:lineRule="auto" w:before="63"/>
              <w:ind w:left="103" w:right="11"/>
              <w:jc w:val="left"/>
              <w:rPr>
                <w:rFonts w:ascii="宋体" w:hAnsi="宋体" w:cs="宋体" w:eastAsia="宋体" w:hint="default"/>
                <w:sz w:val="18"/>
                <w:szCs w:val="18"/>
              </w:rPr>
            </w:pPr>
            <w:r>
              <w:rPr>
                <w:rFonts w:ascii="宋体" w:hAnsi="宋体" w:cs="宋体" w:eastAsia="宋体" w:hint="default"/>
                <w:sz w:val="18"/>
                <w:szCs w:val="18"/>
              </w:rPr>
              <w:t>的限制性股票共计</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53,568</w:t>
            </w:r>
            <w:r>
              <w:rPr>
                <w:rFonts w:ascii="Times New Roman" w:hAnsi="Times New Roman" w:cs="Times New Roman" w:eastAsia="Times New Roman" w:hint="default"/>
                <w:spacing w:val="-8"/>
                <w:sz w:val="18"/>
                <w:szCs w:val="18"/>
              </w:rPr>
              <w:t> </w:t>
            </w:r>
            <w:r>
              <w:rPr>
                <w:rFonts w:ascii="宋体" w:hAnsi="宋体" w:cs="宋体" w:eastAsia="宋体" w:hint="default"/>
                <w:spacing w:val="-8"/>
                <w:sz w:val="18"/>
                <w:szCs w:val="18"/>
              </w:rPr>
              <w:t>股进行回购注销，</w:t>
            </w:r>
            <w:r>
              <w:rPr>
                <w:rFonts w:ascii="Times New Roman" w:hAnsi="Times New Roman" w:cs="Times New Roman" w:eastAsia="Times New Roman" w:hint="default"/>
                <w:spacing w:val="-8"/>
                <w:sz w:val="18"/>
                <w:szCs w:val="18"/>
              </w:rPr>
              <w:t>2019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 公司在中登公司办理完成上述回购股份注销事项。</w:t>
            </w:r>
          </w:p>
        </w:tc>
        <w:tc>
          <w:tcPr>
            <w:tcW w:w="992" w:type="dxa"/>
            <w:tcBorders>
              <w:top w:val="nil" w:sz="6" w:space="0" w:color="auto"/>
              <w:left w:val="single" w:sz="4" w:space="0" w:color="000000"/>
              <w:bottom w:val="single" w:sz="4" w:space="0" w:color="000000"/>
              <w:right w:val="single" w:sz="4" w:space="0" w:color="000000"/>
            </w:tcBorders>
          </w:tcPr>
          <w:p>
            <w:pPr/>
          </w:p>
        </w:tc>
        <w:tc>
          <w:tcPr>
            <w:tcW w:w="3649"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4928" w:type="dxa"/>
            <w:vMerge/>
            <w:tcBorders>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103" w:right="99"/>
              <w:jc w:val="both"/>
              <w:rPr>
                <w:rFonts w:ascii="宋体" w:hAnsi="宋体" w:cs="宋体" w:eastAsia="宋体" w:hint="default"/>
                <w:sz w:val="18"/>
                <w:szCs w:val="18"/>
              </w:rPr>
            </w:pPr>
            <w:hyperlink r:id="rId11">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《关于回购注销部分离职</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激励对象已获授尚未解锁的限制性股票的公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9"/>
                <w:sz w:val="18"/>
                <w:szCs w:val="18"/>
              </w:rPr>
              <w:t>告》（</w:t>
            </w:r>
            <w:r>
              <w:rPr>
                <w:rFonts w:ascii="Times New Roman" w:hAnsi="Times New Roman" w:cs="Times New Roman" w:eastAsia="Times New Roman" w:hint="default"/>
                <w:spacing w:val="-9"/>
                <w:sz w:val="18"/>
                <w:szCs w:val="18"/>
              </w:rPr>
              <w:t>2018-83</w:t>
            </w:r>
            <w:r>
              <w:rPr>
                <w:rFonts w:ascii="宋体" w:hAnsi="宋体" w:cs="宋体" w:eastAsia="宋体" w:hint="default"/>
                <w:spacing w:val="-9"/>
                <w:sz w:val="18"/>
                <w:szCs w:val="18"/>
              </w:rPr>
              <w:t>）</w:t>
            </w:r>
          </w:p>
        </w:tc>
      </w:tr>
      <w:tr>
        <w:trPr>
          <w:trHeight w:val="364" w:hRule="exact"/>
        </w:trPr>
        <w:tc>
          <w:tcPr>
            <w:tcW w:w="4928" w:type="dxa"/>
            <w:tcBorders>
              <w:top w:val="nil" w:sz="6" w:space="0" w:color="auto"/>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01</w:t>
            </w:r>
          </w:p>
        </w:tc>
        <w:tc>
          <w:tcPr>
            <w:tcW w:w="36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hyperlink r:id="rId11">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《关于部分限制性股票回</w:t>
            </w:r>
          </w:p>
        </w:tc>
      </w:tr>
      <w:tr>
        <w:trPr>
          <w:trHeight w:val="350" w:hRule="exact"/>
        </w:trPr>
        <w:tc>
          <w:tcPr>
            <w:tcW w:w="4928"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购注销完成的公告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2019-01</w:t>
            </w:r>
            <w:r>
              <w:rPr>
                <w:rFonts w:ascii="宋体" w:hAnsi="宋体" w:cs="宋体" w:eastAsia="宋体" w:hint="default"/>
                <w:sz w:val="18"/>
                <w:szCs w:val="18"/>
              </w:rPr>
              <w:t>）</w:t>
            </w:r>
          </w:p>
        </w:tc>
      </w:tr>
      <w:tr>
        <w:trPr>
          <w:trHeight w:val="714"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公司拟认购中科信工基金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万元人民币基金份额的事项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01"/>
              <w:jc w:val="left"/>
              <w:rPr>
                <w:rFonts w:ascii="宋体" w:hAnsi="宋体" w:cs="宋体" w:eastAsia="宋体" w:hint="default"/>
                <w:sz w:val="18"/>
                <w:szCs w:val="18"/>
              </w:rPr>
            </w:pPr>
            <w:hyperlink r:id="rId11">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《关于公司参与认购中科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6"/>
                <w:sz w:val="18"/>
                <w:szCs w:val="18"/>
              </w:rPr>
              <w:t>信工基金的公告》（</w:t>
            </w:r>
            <w:r>
              <w:rPr>
                <w:rFonts w:ascii="Times New Roman" w:hAnsi="Times New Roman" w:cs="Times New Roman" w:eastAsia="Times New Roman" w:hint="default"/>
                <w:spacing w:val="-6"/>
                <w:sz w:val="18"/>
                <w:szCs w:val="18"/>
              </w:rPr>
              <w:t>2018-36</w:t>
            </w:r>
            <w:r>
              <w:rPr>
                <w:rFonts w:ascii="宋体" w:hAnsi="宋体" w:cs="宋体" w:eastAsia="宋体" w:hint="default"/>
                <w:spacing w:val="-6"/>
                <w:sz w:val="18"/>
                <w:szCs w:val="18"/>
              </w:rPr>
              <w:t>）</w:t>
            </w:r>
          </w:p>
        </w:tc>
      </w:tr>
      <w:tr>
        <w:trPr>
          <w:trHeight w:val="714"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公司拟成立人工智能全资子公司的事项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01"/>
              <w:jc w:val="left"/>
              <w:rPr>
                <w:rFonts w:ascii="宋体" w:hAnsi="宋体" w:cs="宋体" w:eastAsia="宋体" w:hint="default"/>
                <w:sz w:val="18"/>
                <w:szCs w:val="18"/>
              </w:rPr>
            </w:pPr>
            <w:hyperlink r:id="rId11">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《关于成立全资子公司的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8"/>
                <w:sz w:val="18"/>
                <w:szCs w:val="18"/>
              </w:rPr>
              <w:t>公告》（</w:t>
            </w:r>
            <w:r>
              <w:rPr>
                <w:rFonts w:ascii="Times New Roman" w:hAnsi="Times New Roman" w:cs="Times New Roman" w:eastAsia="Times New Roman" w:hint="default"/>
                <w:spacing w:val="-8"/>
                <w:sz w:val="18"/>
                <w:szCs w:val="18"/>
              </w:rPr>
              <w:t>2018-33</w:t>
            </w:r>
            <w:r>
              <w:rPr>
                <w:rFonts w:ascii="宋体" w:hAnsi="宋体" w:cs="宋体" w:eastAsia="宋体" w:hint="default"/>
                <w:spacing w:val="-8"/>
                <w:sz w:val="18"/>
                <w:szCs w:val="18"/>
              </w:rPr>
              <w:t>）</w:t>
            </w:r>
          </w:p>
        </w:tc>
      </w:tr>
      <w:tr>
        <w:trPr>
          <w:trHeight w:val="1026"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公司发起设立美银壹号产业投资基金暨关联交易的事项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7"/>
              <w:jc w:val="left"/>
              <w:rPr>
                <w:rFonts w:ascii="宋体" w:hAnsi="宋体" w:cs="宋体" w:eastAsia="宋体" w:hint="default"/>
                <w:sz w:val="18"/>
                <w:szCs w:val="18"/>
              </w:rPr>
            </w:pPr>
            <w:hyperlink r:id="rId11">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《关于公司发起设立美银</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2"/>
                <w:sz w:val="18"/>
                <w:szCs w:val="18"/>
              </w:rPr>
              <w:t>壹号产业投</w:t>
            </w:r>
            <w:r>
              <w:rPr>
                <w:rFonts w:ascii="宋体" w:hAnsi="宋体" w:cs="宋体" w:eastAsia="宋体" w:hint="default"/>
                <w:spacing w:val="-59"/>
                <w:sz w:val="18"/>
                <w:szCs w:val="18"/>
              </w:rPr>
              <w:t> </w:t>
            </w:r>
            <w:r>
              <w:rPr>
                <w:rFonts w:ascii="宋体" w:hAnsi="宋体" w:cs="宋体" w:eastAsia="宋体" w:hint="default"/>
                <w:spacing w:val="22"/>
                <w:sz w:val="18"/>
                <w:szCs w:val="18"/>
              </w:rPr>
              <w:t>资基金暨关</w:t>
            </w:r>
            <w:r>
              <w:rPr>
                <w:rFonts w:ascii="宋体" w:hAnsi="宋体" w:cs="宋体" w:eastAsia="宋体" w:hint="default"/>
                <w:spacing w:val="-59"/>
                <w:sz w:val="18"/>
                <w:szCs w:val="18"/>
              </w:rPr>
              <w:t> </w:t>
            </w:r>
            <w:r>
              <w:rPr>
                <w:rFonts w:ascii="宋体" w:hAnsi="宋体" w:cs="宋体" w:eastAsia="宋体" w:hint="default"/>
                <w:spacing w:val="22"/>
                <w:sz w:val="18"/>
                <w:szCs w:val="18"/>
              </w:rPr>
              <w:t>联交易的公</w:t>
            </w:r>
            <w:r>
              <w:rPr>
                <w:rFonts w:ascii="宋体" w:hAnsi="宋体" w:cs="宋体" w:eastAsia="宋体" w:hint="default"/>
                <w:spacing w:val="-59"/>
                <w:sz w:val="18"/>
                <w:szCs w:val="18"/>
              </w:rPr>
              <w:t> </w:t>
            </w:r>
            <w:r>
              <w:rPr>
                <w:rFonts w:ascii="宋体" w:hAnsi="宋体" w:cs="宋体" w:eastAsia="宋体" w:hint="default"/>
                <w:spacing w:val="14"/>
                <w:sz w:val="18"/>
                <w:szCs w:val="18"/>
              </w:rPr>
              <w:t>告》</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2018-35</w:t>
            </w:r>
            <w:r>
              <w:rPr>
                <w:rFonts w:ascii="宋体" w:hAnsi="宋体" w:cs="宋体" w:eastAsia="宋体" w:hint="default"/>
                <w:sz w:val="18"/>
                <w:szCs w:val="18"/>
              </w:rPr>
              <w:t>）</w:t>
            </w:r>
          </w:p>
        </w:tc>
      </w:tr>
      <w:tr>
        <w:trPr>
          <w:trHeight w:val="714"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关于公司成立美亚柏科慈善基金会的事项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01"/>
              <w:jc w:val="left"/>
              <w:rPr>
                <w:rFonts w:ascii="宋体" w:hAnsi="宋体" w:cs="宋体" w:eastAsia="宋体" w:hint="default"/>
                <w:sz w:val="18"/>
                <w:szCs w:val="18"/>
              </w:rPr>
            </w:pPr>
            <w:hyperlink r:id="rId11">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《关于公司成立美亚柏科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5"/>
                <w:sz w:val="18"/>
                <w:szCs w:val="18"/>
              </w:rPr>
              <w:t>慈善基金会的公告》（</w:t>
            </w:r>
            <w:r>
              <w:rPr>
                <w:rFonts w:ascii="Times New Roman" w:hAnsi="Times New Roman" w:cs="Times New Roman" w:eastAsia="Times New Roman" w:hint="default"/>
                <w:spacing w:val="-5"/>
                <w:sz w:val="18"/>
                <w:szCs w:val="18"/>
              </w:rPr>
              <w:t>2018-34</w:t>
            </w:r>
            <w:r>
              <w:rPr>
                <w:rFonts w:ascii="宋体" w:hAnsi="宋体" w:cs="宋体" w:eastAsia="宋体" w:hint="default"/>
                <w:spacing w:val="-5"/>
                <w:sz w:val="18"/>
                <w:szCs w:val="18"/>
              </w:rPr>
              <w:t>）</w:t>
            </w:r>
          </w:p>
        </w:tc>
      </w:tr>
      <w:tr>
        <w:trPr>
          <w:trHeight w:val="364" w:hRule="exact"/>
        </w:trPr>
        <w:tc>
          <w:tcPr>
            <w:tcW w:w="4928" w:type="dxa"/>
            <w:vMerge w:val="restart"/>
            <w:tcBorders>
              <w:top w:val="single" w:sz="4" w:space="0" w:color="000000"/>
              <w:left w:val="single" w:sz="4" w:space="0" w:color="000000"/>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09</w:t>
            </w:r>
          </w:p>
        </w:tc>
        <w:tc>
          <w:tcPr>
            <w:tcW w:w="36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hyperlink r:id="rId11">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《关于完成慈善基金会法</w:t>
            </w:r>
          </w:p>
        </w:tc>
      </w:tr>
      <w:tr>
        <w:trPr>
          <w:trHeight w:val="350" w:hRule="exact"/>
        </w:trPr>
        <w:tc>
          <w:tcPr>
            <w:tcW w:w="4928" w:type="dxa"/>
            <w:vMerge/>
            <w:tcBorders>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人登记的公告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2018-72</w:t>
            </w:r>
            <w:r>
              <w:rPr>
                <w:rFonts w:ascii="宋体" w:hAnsi="宋体" w:cs="宋体" w:eastAsia="宋体" w:hint="default"/>
                <w:sz w:val="18"/>
                <w:szCs w:val="18"/>
              </w:rPr>
              <w:t>）</w:t>
            </w:r>
          </w:p>
        </w:tc>
      </w:tr>
      <w:tr>
        <w:trPr>
          <w:trHeight w:val="40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关于成立福州全资子公司事项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08</w:t>
            </w:r>
          </w:p>
        </w:tc>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hyperlink r:id="rId11">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《关于公司成立福州全资</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4928"/>
        <w:gridCol w:w="992"/>
        <w:gridCol w:w="3649"/>
      </w:tblGrid>
      <w:tr>
        <w:trPr>
          <w:trHeight w:val="362" w:hRule="exact"/>
        </w:trPr>
        <w:tc>
          <w:tcPr>
            <w:tcW w:w="492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子公司的公告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2018-53</w:t>
            </w:r>
            <w:r>
              <w:rPr>
                <w:rFonts w:ascii="宋体" w:hAnsi="宋体" w:cs="宋体" w:eastAsia="宋体" w:hint="default"/>
                <w:sz w:val="18"/>
                <w:szCs w:val="18"/>
              </w:rPr>
              <w:t>）</w:t>
            </w:r>
          </w:p>
        </w:tc>
      </w:tr>
      <w:tr>
        <w:trPr>
          <w:trHeight w:val="363" w:hRule="exact"/>
        </w:trPr>
        <w:tc>
          <w:tcPr>
            <w:tcW w:w="4928" w:type="dxa"/>
            <w:vMerge w:val="restart"/>
            <w:tcBorders>
              <w:top w:val="single" w:sz="4" w:space="0" w:color="000000"/>
              <w:left w:val="single" w:sz="4" w:space="0" w:color="000000"/>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09</w:t>
            </w:r>
          </w:p>
        </w:tc>
        <w:tc>
          <w:tcPr>
            <w:tcW w:w="36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hyperlink r:id="rId11">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《关于全资子公司完成工</w:t>
            </w:r>
          </w:p>
        </w:tc>
      </w:tr>
      <w:tr>
        <w:trPr>
          <w:trHeight w:val="351" w:hRule="exact"/>
        </w:trPr>
        <w:tc>
          <w:tcPr>
            <w:tcW w:w="4928" w:type="dxa"/>
            <w:vMerge/>
            <w:tcBorders>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商注册登记的公告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2018-71</w:t>
            </w:r>
            <w:r>
              <w:rPr>
                <w:rFonts w:ascii="宋体" w:hAnsi="宋体" w:cs="宋体" w:eastAsia="宋体" w:hint="default"/>
                <w:sz w:val="18"/>
                <w:szCs w:val="18"/>
              </w:rPr>
              <w:t>）</w:t>
            </w:r>
          </w:p>
        </w:tc>
      </w:tr>
      <w:tr>
        <w:trPr>
          <w:trHeight w:val="1026"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2"/>
              <w:jc w:val="left"/>
              <w:rPr>
                <w:rFonts w:ascii="宋体" w:hAnsi="宋体" w:cs="宋体" w:eastAsia="宋体" w:hint="default"/>
                <w:sz w:val="18"/>
                <w:szCs w:val="18"/>
              </w:rPr>
            </w:pPr>
            <w:r>
              <w:rPr>
                <w:rFonts w:ascii="宋体" w:hAnsi="宋体" w:cs="宋体" w:eastAsia="宋体" w:hint="default"/>
                <w:sz w:val="18"/>
                <w:szCs w:val="18"/>
              </w:rPr>
              <w:t>关于控股子公司美亚宏数放弃国信宏数优先增资权暨关联交</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易的事项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99"/>
              <w:jc w:val="both"/>
              <w:rPr>
                <w:rFonts w:ascii="宋体" w:hAnsi="宋体" w:cs="宋体" w:eastAsia="宋体" w:hint="default"/>
                <w:sz w:val="18"/>
                <w:szCs w:val="18"/>
              </w:rPr>
            </w:pPr>
            <w:hyperlink r:id="rId11">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《关于控股子公司美亚宏</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数放弃国信宏数优先增资权暨关联交易的公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9"/>
                <w:sz w:val="18"/>
                <w:szCs w:val="18"/>
              </w:rPr>
              <w:t>告》（</w:t>
            </w:r>
            <w:r>
              <w:rPr>
                <w:rFonts w:ascii="Times New Roman" w:hAnsi="Times New Roman" w:cs="Times New Roman" w:eastAsia="Times New Roman" w:hint="default"/>
                <w:spacing w:val="-9"/>
                <w:sz w:val="18"/>
                <w:szCs w:val="18"/>
              </w:rPr>
              <w:t>2018-68</w:t>
            </w:r>
            <w:r>
              <w:rPr>
                <w:rFonts w:ascii="宋体" w:hAnsi="宋体" w:cs="宋体" w:eastAsia="宋体" w:hint="default"/>
                <w:spacing w:val="-9"/>
                <w:sz w:val="18"/>
                <w:szCs w:val="18"/>
              </w:rPr>
              <w:t>）</w:t>
            </w:r>
          </w:p>
        </w:tc>
      </w:tr>
      <w:tr>
        <w:trPr>
          <w:trHeight w:val="363" w:hRule="exact"/>
        </w:trPr>
        <w:tc>
          <w:tcPr>
            <w:tcW w:w="4928" w:type="dxa"/>
            <w:vMerge w:val="restart"/>
            <w:tcBorders>
              <w:top w:val="single" w:sz="4" w:space="0" w:color="000000"/>
              <w:left w:val="single" w:sz="4" w:space="0" w:color="000000"/>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08</w:t>
            </w:r>
          </w:p>
        </w:tc>
        <w:tc>
          <w:tcPr>
            <w:tcW w:w="36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hyperlink r:id="rId11">
              <w:r>
                <w:rPr>
                  <w:rFonts w:ascii="Times New Roman" w:hAnsi="Times New Roman" w:cs="Times New Roman" w:eastAsia="Times New Roman" w:hint="default"/>
                  <w:sz w:val="18"/>
                  <w:szCs w:val="18"/>
                </w:rPr>
                <w:t>ww</w:t>
              </w:r>
              <w:r>
                <w:rPr>
                  <w:rFonts w:ascii="Times New Roman" w:hAnsi="Times New Roman" w:cs="Times New Roman" w:eastAsia="Times New Roman" w:hint="default"/>
                  <w:spacing w:val="-13"/>
                  <w:sz w:val="18"/>
                  <w:szCs w:val="18"/>
                </w:rPr>
                <w:t>w</w:t>
              </w:r>
              <w:r>
                <w:rPr>
                  <w:rFonts w:ascii="Times New Roman" w:hAnsi="Times New Roman" w:cs="Times New Roman" w:eastAsia="Times New Roman" w:hint="default"/>
                  <w:sz w:val="18"/>
                  <w:szCs w:val="18"/>
                </w:rPr>
                <w:t>.cninfo.c</w:t>
              </w:r>
              <w:r>
                <w:rPr>
                  <w:rFonts w:ascii="Times New Roman" w:hAnsi="Times New Roman" w:cs="Times New Roman" w:eastAsia="Times New Roman" w:hint="default"/>
                  <w:spacing w:val="-2"/>
                  <w:sz w:val="18"/>
                  <w:szCs w:val="18"/>
                </w:rPr>
                <w:t>o</w:t>
              </w:r>
              <w:r>
                <w:rPr>
                  <w:rFonts w:ascii="Times New Roman" w:hAnsi="Times New Roman" w:cs="Times New Roman" w:eastAsia="Times New Roman" w:hint="default"/>
                  <w:sz w:val="18"/>
                  <w:szCs w:val="18"/>
                </w:rPr>
                <w:t>m.c</w:t>
              </w:r>
              <w:r>
                <w:rPr>
                  <w:rFonts w:ascii="Times New Roman" w:hAnsi="Times New Roman" w:cs="Times New Roman" w:eastAsia="Times New Roman" w:hint="default"/>
                  <w:spacing w:val="-45"/>
                  <w:sz w:val="18"/>
                  <w:szCs w:val="18"/>
                </w:rPr>
                <w:t>n</w:t>
              </w:r>
            </w:hyperlink>
            <w:r>
              <w:rPr>
                <w:rFonts w:ascii="宋体" w:hAnsi="宋体" w:cs="宋体" w:eastAsia="宋体" w:hint="default"/>
                <w:spacing w:val="-136"/>
                <w:sz w:val="18"/>
                <w:szCs w:val="18"/>
              </w:rPr>
              <w:t>《</w:t>
            </w:r>
            <w:r>
              <w:rPr>
                <w:rFonts w:ascii="Times New Roman" w:hAnsi="Times New Roman" w:cs="Times New Roman" w:eastAsia="Times New Roman" w:hint="default"/>
                <w:sz w:val="18"/>
                <w:szCs w:val="18"/>
              </w:rPr>
              <w:t>,  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w:t>
            </w:r>
          </w:p>
        </w:tc>
      </w:tr>
      <w:tr>
        <w:trPr>
          <w:trHeight w:val="351" w:hRule="exact"/>
        </w:trPr>
        <w:tc>
          <w:tcPr>
            <w:tcW w:w="4928" w:type="dxa"/>
            <w:vMerge/>
            <w:tcBorders>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大会决议的公告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2018-59</w:t>
            </w:r>
            <w:r>
              <w:rPr>
                <w:rFonts w:ascii="宋体" w:hAnsi="宋体" w:cs="宋体" w:eastAsia="宋体" w:hint="default"/>
                <w:sz w:val="18"/>
                <w:szCs w:val="18"/>
              </w:rPr>
              <w:t>）</w:t>
            </w:r>
          </w:p>
        </w:tc>
      </w:tr>
      <w:tr>
        <w:trPr>
          <w:trHeight w:val="714"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关于公司拟在西安购买房产的事项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left"/>
              <w:rPr>
                <w:rFonts w:ascii="宋体" w:hAnsi="宋体" w:cs="宋体" w:eastAsia="宋体" w:hint="default"/>
                <w:sz w:val="18"/>
                <w:szCs w:val="18"/>
              </w:rPr>
            </w:pPr>
            <w:hyperlink r:id="rId11">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《关于公司拟在西安购买</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6"/>
                <w:sz w:val="18"/>
                <w:szCs w:val="18"/>
              </w:rPr>
              <w:t>房产的公告》（</w:t>
            </w:r>
            <w:r>
              <w:rPr>
                <w:rFonts w:ascii="Times New Roman" w:hAnsi="Times New Roman" w:cs="Times New Roman" w:eastAsia="Times New Roman" w:hint="default"/>
                <w:spacing w:val="-6"/>
                <w:sz w:val="18"/>
                <w:szCs w:val="18"/>
              </w:rPr>
              <w:t>2018-68</w:t>
            </w:r>
            <w:r>
              <w:rPr>
                <w:rFonts w:ascii="宋体" w:hAnsi="宋体" w:cs="宋体" w:eastAsia="宋体" w:hint="default"/>
                <w:spacing w:val="-6"/>
                <w:sz w:val="18"/>
                <w:szCs w:val="18"/>
              </w:rPr>
              <w:t>）</w:t>
            </w:r>
          </w:p>
        </w:tc>
      </w:tr>
      <w:tr>
        <w:trPr>
          <w:trHeight w:val="363" w:hRule="exact"/>
        </w:trPr>
        <w:tc>
          <w:tcPr>
            <w:tcW w:w="4928" w:type="dxa"/>
            <w:vMerge w:val="restart"/>
            <w:tcBorders>
              <w:top w:val="single" w:sz="4" w:space="0" w:color="000000"/>
              <w:left w:val="single" w:sz="4" w:space="0" w:color="000000"/>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73"/>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tc>
        <w:tc>
          <w:tcPr>
            <w:tcW w:w="36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hyperlink r:id="rId11">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《关于公司在西安购买房</w:t>
            </w:r>
          </w:p>
        </w:tc>
      </w:tr>
      <w:tr>
        <w:trPr>
          <w:trHeight w:val="351" w:hRule="exact"/>
        </w:trPr>
        <w:tc>
          <w:tcPr>
            <w:tcW w:w="4928" w:type="dxa"/>
            <w:vMerge/>
            <w:tcBorders>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产的进展公告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2018-90</w:t>
            </w:r>
            <w:r>
              <w:rPr>
                <w:rFonts w:ascii="宋体" w:hAnsi="宋体" w:cs="宋体" w:eastAsia="宋体" w:hint="default"/>
                <w:sz w:val="18"/>
                <w:szCs w:val="18"/>
              </w:rPr>
              <w:t>）</w:t>
            </w:r>
          </w:p>
        </w:tc>
      </w:tr>
      <w:tr>
        <w:trPr>
          <w:trHeight w:val="363" w:hRule="exact"/>
        </w:trPr>
        <w:tc>
          <w:tcPr>
            <w:tcW w:w="4928"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08</w:t>
            </w:r>
          </w:p>
        </w:tc>
        <w:tc>
          <w:tcPr>
            <w:tcW w:w="36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hyperlink r:id="rId11">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《第三届董事会第二十七</w:t>
            </w:r>
          </w:p>
        </w:tc>
      </w:tr>
      <w:tr>
        <w:trPr>
          <w:trHeight w:val="351" w:hRule="exact"/>
        </w:trPr>
        <w:tc>
          <w:tcPr>
            <w:tcW w:w="492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次会议决议的公告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2018-49</w:t>
            </w:r>
            <w:r>
              <w:rPr>
                <w:rFonts w:ascii="宋体" w:hAnsi="宋体" w:cs="宋体" w:eastAsia="宋体" w:hint="default"/>
                <w:sz w:val="18"/>
                <w:szCs w:val="18"/>
              </w:rPr>
              <w:t>）</w:t>
            </w:r>
          </w:p>
        </w:tc>
      </w:tr>
      <w:tr>
        <w:trPr>
          <w:trHeight w:val="363" w:hRule="exact"/>
        </w:trPr>
        <w:tc>
          <w:tcPr>
            <w:tcW w:w="4928" w:type="dxa"/>
            <w:tcBorders>
              <w:top w:val="nil" w:sz="6" w:space="0" w:color="auto"/>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08</w:t>
            </w:r>
          </w:p>
        </w:tc>
        <w:tc>
          <w:tcPr>
            <w:tcW w:w="36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hyperlink r:id="rId11">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《第三届监事会第二十七</w:t>
            </w:r>
          </w:p>
        </w:tc>
      </w:tr>
      <w:tr>
        <w:trPr>
          <w:trHeight w:val="351" w:hRule="exact"/>
        </w:trPr>
        <w:tc>
          <w:tcPr>
            <w:tcW w:w="492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次会议决议的公告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2018-50</w:t>
            </w:r>
            <w:r>
              <w:rPr>
                <w:rFonts w:ascii="宋体" w:hAnsi="宋体" w:cs="宋体" w:eastAsia="宋体" w:hint="default"/>
                <w:sz w:val="18"/>
                <w:szCs w:val="18"/>
              </w:rPr>
              <w:t>）</w:t>
            </w:r>
          </w:p>
        </w:tc>
      </w:tr>
      <w:tr>
        <w:trPr>
          <w:trHeight w:val="363" w:hRule="exact"/>
        </w:trPr>
        <w:tc>
          <w:tcPr>
            <w:tcW w:w="4928" w:type="dxa"/>
            <w:tcBorders>
              <w:top w:val="nil" w:sz="6" w:space="0" w:color="auto"/>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08</w:t>
            </w:r>
          </w:p>
        </w:tc>
        <w:tc>
          <w:tcPr>
            <w:tcW w:w="36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hyperlink r:id="rId11">
              <w:r>
                <w:rPr>
                  <w:rFonts w:ascii="Times New Roman" w:hAnsi="Times New Roman" w:cs="Times New Roman" w:eastAsia="Times New Roman" w:hint="default"/>
                  <w:sz w:val="18"/>
                  <w:szCs w:val="18"/>
                </w:rPr>
                <w:t>ww</w:t>
              </w:r>
              <w:r>
                <w:rPr>
                  <w:rFonts w:ascii="Times New Roman" w:hAnsi="Times New Roman" w:cs="Times New Roman" w:eastAsia="Times New Roman" w:hint="default"/>
                  <w:spacing w:val="-13"/>
                  <w:sz w:val="18"/>
                  <w:szCs w:val="18"/>
                </w:rPr>
                <w:t>w</w:t>
              </w:r>
              <w:r>
                <w:rPr>
                  <w:rFonts w:ascii="Times New Roman" w:hAnsi="Times New Roman" w:cs="Times New Roman" w:eastAsia="Times New Roman" w:hint="default"/>
                  <w:sz w:val="18"/>
                  <w:szCs w:val="18"/>
                </w:rPr>
                <w:t>.cninfo.c</w:t>
              </w:r>
              <w:r>
                <w:rPr>
                  <w:rFonts w:ascii="Times New Roman" w:hAnsi="Times New Roman" w:cs="Times New Roman" w:eastAsia="Times New Roman" w:hint="default"/>
                  <w:spacing w:val="-2"/>
                  <w:sz w:val="18"/>
                  <w:szCs w:val="18"/>
                </w:rPr>
                <w:t>o</w:t>
              </w:r>
              <w:r>
                <w:rPr>
                  <w:rFonts w:ascii="Times New Roman" w:hAnsi="Times New Roman" w:cs="Times New Roman" w:eastAsia="Times New Roman" w:hint="default"/>
                  <w:sz w:val="18"/>
                  <w:szCs w:val="18"/>
                </w:rPr>
                <w:t>m.c</w:t>
              </w:r>
              <w:r>
                <w:rPr>
                  <w:rFonts w:ascii="Times New Roman" w:hAnsi="Times New Roman" w:cs="Times New Roman" w:eastAsia="Times New Roman" w:hint="default"/>
                  <w:spacing w:val="-45"/>
                  <w:sz w:val="18"/>
                  <w:szCs w:val="18"/>
                </w:rPr>
                <w:t>n</w:t>
              </w:r>
            </w:hyperlink>
            <w:r>
              <w:rPr>
                <w:rFonts w:ascii="宋体" w:hAnsi="宋体" w:cs="宋体" w:eastAsia="宋体" w:hint="default"/>
                <w:spacing w:val="-136"/>
                <w:sz w:val="18"/>
                <w:szCs w:val="18"/>
              </w:rPr>
              <w:t>《</w:t>
            </w:r>
            <w:r>
              <w:rPr>
                <w:rFonts w:ascii="Times New Roman" w:hAnsi="Times New Roman" w:cs="Times New Roman" w:eastAsia="Times New Roman" w:hint="default"/>
                <w:sz w:val="18"/>
                <w:szCs w:val="18"/>
              </w:rPr>
              <w:t>,  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w:t>
            </w:r>
          </w:p>
        </w:tc>
      </w:tr>
      <w:tr>
        <w:trPr>
          <w:trHeight w:val="351" w:hRule="exact"/>
        </w:trPr>
        <w:tc>
          <w:tcPr>
            <w:tcW w:w="492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大会决议的公告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2018-59</w:t>
            </w:r>
            <w:r>
              <w:rPr>
                <w:rFonts w:ascii="宋体" w:hAnsi="宋体" w:cs="宋体" w:eastAsia="宋体" w:hint="default"/>
                <w:sz w:val="18"/>
                <w:szCs w:val="18"/>
              </w:rPr>
              <w:t>）</w:t>
            </w:r>
          </w:p>
        </w:tc>
      </w:tr>
      <w:tr>
        <w:trPr>
          <w:trHeight w:val="413" w:hRule="exact"/>
        </w:trPr>
        <w:tc>
          <w:tcPr>
            <w:tcW w:w="492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董事会、监事会换届选举事项</w:t>
            </w: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08</w:t>
            </w:r>
          </w:p>
        </w:tc>
        <w:tc>
          <w:tcPr>
            <w:tcW w:w="36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hyperlink r:id="rId11">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《关于董事会完成换届选</w:t>
            </w:r>
          </w:p>
        </w:tc>
      </w:tr>
      <w:tr>
        <w:trPr>
          <w:trHeight w:val="301" w:hRule="exact"/>
        </w:trPr>
        <w:tc>
          <w:tcPr>
            <w:tcW w:w="492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49" w:type="dxa"/>
            <w:tcBorders>
              <w:top w:val="nil" w:sz="6" w:space="0" w:color="auto"/>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举的公告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2018-60</w:t>
            </w:r>
            <w:r>
              <w:rPr>
                <w:rFonts w:ascii="宋体" w:hAnsi="宋体" w:cs="宋体" w:eastAsia="宋体" w:hint="default"/>
                <w:sz w:val="18"/>
                <w:szCs w:val="18"/>
              </w:rPr>
              <w:t>）</w:t>
            </w:r>
          </w:p>
        </w:tc>
      </w:tr>
      <w:tr>
        <w:trPr>
          <w:trHeight w:val="363" w:hRule="exact"/>
        </w:trPr>
        <w:tc>
          <w:tcPr>
            <w:tcW w:w="4928" w:type="dxa"/>
            <w:tcBorders>
              <w:top w:val="nil" w:sz="6" w:space="0" w:color="auto"/>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08</w:t>
            </w:r>
          </w:p>
        </w:tc>
        <w:tc>
          <w:tcPr>
            <w:tcW w:w="36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hyperlink r:id="rId11">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《关于监事会完成换届选</w:t>
            </w:r>
          </w:p>
        </w:tc>
      </w:tr>
      <w:tr>
        <w:trPr>
          <w:trHeight w:val="351" w:hRule="exact"/>
        </w:trPr>
        <w:tc>
          <w:tcPr>
            <w:tcW w:w="492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举的公告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2018-61</w:t>
            </w:r>
            <w:r>
              <w:rPr>
                <w:rFonts w:ascii="宋体" w:hAnsi="宋体" w:cs="宋体" w:eastAsia="宋体" w:hint="default"/>
                <w:sz w:val="18"/>
                <w:szCs w:val="18"/>
              </w:rPr>
              <w:t>）</w:t>
            </w:r>
          </w:p>
        </w:tc>
      </w:tr>
      <w:tr>
        <w:trPr>
          <w:trHeight w:val="362" w:hRule="exact"/>
        </w:trPr>
        <w:tc>
          <w:tcPr>
            <w:tcW w:w="4928" w:type="dxa"/>
            <w:tcBorders>
              <w:top w:val="nil" w:sz="6" w:space="0" w:color="auto"/>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36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hyperlink r:id="rId11">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《关于选举董事长、副董</w:t>
            </w:r>
          </w:p>
        </w:tc>
      </w:tr>
      <w:tr>
        <w:trPr>
          <w:trHeight w:val="312" w:hRule="exact"/>
        </w:trPr>
        <w:tc>
          <w:tcPr>
            <w:tcW w:w="492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08</w:t>
            </w:r>
          </w:p>
        </w:tc>
        <w:tc>
          <w:tcPr>
            <w:tcW w:w="364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事长、各专门委员会委员及聘任高级管理人</w:t>
            </w:r>
          </w:p>
        </w:tc>
      </w:tr>
      <w:tr>
        <w:trPr>
          <w:trHeight w:val="313" w:hRule="exact"/>
        </w:trPr>
        <w:tc>
          <w:tcPr>
            <w:tcW w:w="492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4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4"/>
              <w:jc w:val="left"/>
              <w:rPr>
                <w:rFonts w:ascii="宋体" w:hAnsi="宋体" w:cs="宋体" w:eastAsia="宋体" w:hint="default"/>
                <w:sz w:val="18"/>
                <w:szCs w:val="18"/>
              </w:rPr>
            </w:pPr>
            <w:r>
              <w:rPr>
                <w:rFonts w:ascii="宋体" w:hAnsi="宋体" w:cs="宋体" w:eastAsia="宋体" w:hint="default"/>
                <w:spacing w:val="15"/>
                <w:sz w:val="18"/>
                <w:szCs w:val="18"/>
              </w:rPr>
              <w:t>员、董事会秘书、证券事务代表的公告》</w:t>
            </w:r>
            <w:r>
              <w:rPr>
                <w:rFonts w:ascii="宋体" w:hAnsi="宋体" w:cs="宋体" w:eastAsia="宋体" w:hint="default"/>
                <w:spacing w:val="-74"/>
                <w:sz w:val="18"/>
                <w:szCs w:val="18"/>
              </w:rPr>
              <w:t> </w:t>
            </w:r>
            <w:r>
              <w:rPr>
                <w:rFonts w:ascii="宋体" w:hAnsi="宋体" w:cs="宋体" w:eastAsia="宋体" w:hint="default"/>
                <w:sz w:val="18"/>
                <w:szCs w:val="18"/>
              </w:rPr>
            </w:r>
          </w:p>
        </w:tc>
      </w:tr>
      <w:tr>
        <w:trPr>
          <w:trHeight w:val="351" w:hRule="exact"/>
        </w:trPr>
        <w:tc>
          <w:tcPr>
            <w:tcW w:w="4928"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36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2018-67</w:t>
            </w:r>
            <w:r>
              <w:rPr>
                <w:rFonts w:ascii="宋体" w:hAnsi="宋体" w:cs="宋体" w:eastAsia="宋体" w:hint="default"/>
                <w:sz w:val="18"/>
                <w:szCs w:val="18"/>
              </w:rPr>
              <w:t>）</w:t>
            </w:r>
          </w:p>
        </w:tc>
      </w:tr>
      <w:tr>
        <w:trPr>
          <w:trHeight w:val="363" w:hRule="exact"/>
        </w:trPr>
        <w:tc>
          <w:tcPr>
            <w:tcW w:w="4928"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08</w:t>
            </w:r>
          </w:p>
        </w:tc>
        <w:tc>
          <w:tcPr>
            <w:tcW w:w="36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hyperlink r:id="rId11">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&lt;</w:t>
            </w:r>
            <w:r>
              <w:rPr>
                <w:rFonts w:ascii="宋体" w:hAnsi="宋体" w:cs="宋体" w:eastAsia="宋体" w:hint="default"/>
                <w:spacing w:val="3"/>
                <w:sz w:val="18"/>
                <w:szCs w:val="18"/>
              </w:rPr>
              <w:t>公司章程</w:t>
            </w:r>
            <w:r>
              <w:rPr>
                <w:rFonts w:ascii="Times New Roman" w:hAnsi="Times New Roman" w:cs="Times New Roman" w:eastAsia="Times New Roman" w:hint="default"/>
                <w:spacing w:val="3"/>
                <w:sz w:val="18"/>
                <w:szCs w:val="18"/>
              </w:rPr>
              <w:t>&gt;</w:t>
            </w:r>
            <w:r>
              <w:rPr>
                <w:rFonts w:ascii="宋体" w:hAnsi="宋体" w:cs="宋体" w:eastAsia="宋体" w:hint="default"/>
                <w:spacing w:val="3"/>
                <w:sz w:val="18"/>
                <w:szCs w:val="18"/>
              </w:rPr>
              <w:t>修订对照</w:t>
            </w:r>
          </w:p>
        </w:tc>
      </w:tr>
      <w:tr>
        <w:trPr>
          <w:trHeight w:val="256" w:hRule="exact"/>
        </w:trPr>
        <w:tc>
          <w:tcPr>
            <w:tcW w:w="492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4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表</w:t>
            </w:r>
            <w:r>
              <w:rPr>
                <w:rFonts w:ascii="宋体" w:hAnsi="宋体" w:cs="宋体" w:eastAsia="宋体" w:hint="default"/>
                <w:spacing w:val="-90"/>
                <w:sz w:val="18"/>
                <w:szCs w:val="18"/>
              </w:rPr>
              <w:t>》、</w:t>
            </w: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95" w:hRule="exact"/>
        </w:trPr>
        <w:tc>
          <w:tcPr>
            <w:tcW w:w="4928" w:type="dxa"/>
            <w:vMerge w:val="restart"/>
            <w:tcBorders>
              <w:top w:val="nil" w:sz="6" w:space="0" w:color="auto"/>
              <w:left w:val="single" w:sz="4" w:space="0" w:color="000000"/>
              <w:right w:val="single" w:sz="4" w:space="0" w:color="000000"/>
            </w:tcBorders>
          </w:tcPr>
          <w:p>
            <w:pPr>
              <w:pStyle w:val="TableParagraph"/>
              <w:spacing w:line="185" w:lineRule="exact"/>
              <w:ind w:left="103" w:right="0"/>
              <w:jc w:val="left"/>
              <w:rPr>
                <w:rFonts w:ascii="宋体" w:hAnsi="宋体" w:cs="宋体" w:eastAsia="宋体" w:hint="default"/>
                <w:sz w:val="18"/>
                <w:szCs w:val="18"/>
              </w:rPr>
            </w:pPr>
            <w:r>
              <w:rPr>
                <w:rFonts w:ascii="宋体" w:hAnsi="宋体" w:cs="宋体" w:eastAsia="宋体" w:hint="default"/>
                <w:sz w:val="18"/>
                <w:szCs w:val="18"/>
              </w:rPr>
              <w:t>修订《公司章程》部分条款</w:t>
            </w:r>
          </w:p>
        </w:tc>
        <w:tc>
          <w:tcPr>
            <w:tcW w:w="992" w:type="dxa"/>
            <w:tcBorders>
              <w:top w:val="nil" w:sz="6" w:space="0" w:color="auto"/>
              <w:left w:val="single" w:sz="4" w:space="0" w:color="000000"/>
              <w:bottom w:val="single" w:sz="4" w:space="0" w:color="000000"/>
              <w:right w:val="single" w:sz="4" w:space="0" w:color="000000"/>
            </w:tcBorders>
          </w:tcPr>
          <w:p>
            <w:pPr/>
          </w:p>
        </w:tc>
        <w:tc>
          <w:tcPr>
            <w:tcW w:w="3649" w:type="dxa"/>
            <w:tcBorders>
              <w:top w:val="nil" w:sz="6" w:space="0" w:color="auto"/>
              <w:left w:val="single" w:sz="4" w:space="0" w:color="000000"/>
              <w:bottom w:val="single" w:sz="4" w:space="0" w:color="000000"/>
              <w:right w:val="single" w:sz="4" w:space="0" w:color="000000"/>
            </w:tcBorders>
          </w:tcPr>
          <w:p>
            <w:pPr/>
          </w:p>
        </w:tc>
      </w:tr>
      <w:tr>
        <w:trPr>
          <w:trHeight w:val="101" w:hRule="exact"/>
        </w:trPr>
        <w:tc>
          <w:tcPr>
            <w:tcW w:w="4928" w:type="dxa"/>
            <w:vMerge/>
            <w:tcBorders>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3649" w:type="dxa"/>
            <w:tcBorders>
              <w:top w:val="single" w:sz="4" w:space="0" w:color="000000"/>
              <w:left w:val="single" w:sz="4" w:space="0" w:color="000000"/>
              <w:bottom w:val="nil" w:sz="6" w:space="0" w:color="auto"/>
              <w:right w:val="single" w:sz="4" w:space="0" w:color="000000"/>
            </w:tcBorders>
          </w:tcPr>
          <w:p>
            <w:pPr/>
          </w:p>
        </w:tc>
      </w:tr>
      <w:tr>
        <w:trPr>
          <w:trHeight w:val="262" w:hRule="exact"/>
        </w:trPr>
        <w:tc>
          <w:tcPr>
            <w:tcW w:w="492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04"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08</w:t>
            </w:r>
          </w:p>
        </w:tc>
        <w:tc>
          <w:tcPr>
            <w:tcW w:w="3649" w:type="dxa"/>
            <w:tcBorders>
              <w:top w:val="nil" w:sz="6" w:space="0" w:color="auto"/>
              <w:left w:val="single" w:sz="4" w:space="0" w:color="000000"/>
              <w:bottom w:val="nil" w:sz="6" w:space="0" w:color="auto"/>
              <w:right w:val="single" w:sz="4" w:space="0" w:color="000000"/>
            </w:tcBorders>
          </w:tcPr>
          <w:p>
            <w:pPr>
              <w:pStyle w:val="TableParagraph"/>
              <w:spacing w:line="204" w:lineRule="exact"/>
              <w:ind w:left="103" w:right="0"/>
              <w:jc w:val="left"/>
              <w:rPr>
                <w:rFonts w:ascii="宋体" w:hAnsi="宋体" w:cs="宋体" w:eastAsia="宋体" w:hint="default"/>
                <w:sz w:val="18"/>
                <w:szCs w:val="18"/>
              </w:rPr>
            </w:pPr>
            <w:hyperlink r:id="rId11">
              <w:r>
                <w:rPr>
                  <w:rFonts w:ascii="Times New Roman" w:hAnsi="Times New Roman" w:cs="Times New Roman" w:eastAsia="Times New Roman" w:hint="default"/>
                  <w:sz w:val="18"/>
                  <w:szCs w:val="18"/>
                </w:rPr>
                <w:t>ww</w:t>
              </w:r>
              <w:r>
                <w:rPr>
                  <w:rFonts w:ascii="Times New Roman" w:hAnsi="Times New Roman" w:cs="Times New Roman" w:eastAsia="Times New Roman" w:hint="default"/>
                  <w:spacing w:val="-13"/>
                  <w:sz w:val="18"/>
                  <w:szCs w:val="18"/>
                </w:rPr>
                <w:t>w</w:t>
              </w:r>
              <w:r>
                <w:rPr>
                  <w:rFonts w:ascii="Times New Roman" w:hAnsi="Times New Roman" w:cs="Times New Roman" w:eastAsia="Times New Roman" w:hint="default"/>
                  <w:sz w:val="18"/>
                  <w:szCs w:val="18"/>
                </w:rPr>
                <w:t>.cninfo.c</w:t>
              </w:r>
              <w:r>
                <w:rPr>
                  <w:rFonts w:ascii="Times New Roman" w:hAnsi="Times New Roman" w:cs="Times New Roman" w:eastAsia="Times New Roman" w:hint="default"/>
                  <w:spacing w:val="-2"/>
                  <w:sz w:val="18"/>
                  <w:szCs w:val="18"/>
                </w:rPr>
                <w:t>o</w:t>
              </w:r>
              <w:r>
                <w:rPr>
                  <w:rFonts w:ascii="Times New Roman" w:hAnsi="Times New Roman" w:cs="Times New Roman" w:eastAsia="Times New Roman" w:hint="default"/>
                  <w:sz w:val="18"/>
                  <w:szCs w:val="18"/>
                </w:rPr>
                <w:t>m.c</w:t>
              </w:r>
              <w:r>
                <w:rPr>
                  <w:rFonts w:ascii="Times New Roman" w:hAnsi="Times New Roman" w:cs="Times New Roman" w:eastAsia="Times New Roman" w:hint="default"/>
                  <w:spacing w:val="-45"/>
                  <w:sz w:val="18"/>
                  <w:szCs w:val="18"/>
                </w:rPr>
                <w:t>n</w:t>
              </w:r>
            </w:hyperlink>
            <w:r>
              <w:rPr>
                <w:rFonts w:ascii="宋体" w:hAnsi="宋体" w:cs="宋体" w:eastAsia="宋体" w:hint="default"/>
                <w:spacing w:val="-136"/>
                <w:sz w:val="18"/>
                <w:szCs w:val="18"/>
              </w:rPr>
              <w:t>《</w:t>
            </w:r>
            <w:r>
              <w:rPr>
                <w:rFonts w:ascii="Times New Roman" w:hAnsi="Times New Roman" w:cs="Times New Roman" w:eastAsia="Times New Roman" w:hint="default"/>
                <w:sz w:val="18"/>
                <w:szCs w:val="18"/>
              </w:rPr>
              <w:t>,  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w:t>
            </w:r>
          </w:p>
        </w:tc>
      </w:tr>
      <w:tr>
        <w:trPr>
          <w:trHeight w:val="351" w:hRule="exact"/>
        </w:trPr>
        <w:tc>
          <w:tcPr>
            <w:tcW w:w="4928"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大会决议的公告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2018-59</w:t>
            </w:r>
            <w:r>
              <w:rPr>
                <w:rFonts w:ascii="宋体" w:hAnsi="宋体" w:cs="宋体" w:eastAsia="宋体" w:hint="default"/>
                <w:sz w:val="18"/>
                <w:szCs w:val="18"/>
              </w:rPr>
              <w:t>）</w:t>
            </w:r>
          </w:p>
        </w:tc>
      </w:tr>
      <w:tr>
        <w:trPr>
          <w:trHeight w:val="714"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入选国家首批综合信用服务机构试点单位</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left"/>
              <w:rPr>
                <w:rFonts w:ascii="宋体" w:hAnsi="宋体" w:cs="宋体" w:eastAsia="宋体" w:hint="default"/>
                <w:sz w:val="18"/>
                <w:szCs w:val="18"/>
              </w:rPr>
            </w:pPr>
            <w:hyperlink r:id="rId11">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《关于入选国家首批综合</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4"/>
                <w:sz w:val="18"/>
                <w:szCs w:val="18"/>
              </w:rPr>
              <w:t>信用服务机构试点单位的公告》（</w:t>
            </w:r>
            <w:r>
              <w:rPr>
                <w:rFonts w:ascii="Times New Roman" w:hAnsi="Times New Roman" w:cs="Times New Roman" w:eastAsia="Times New Roman" w:hint="default"/>
                <w:spacing w:val="-4"/>
                <w:sz w:val="18"/>
                <w:szCs w:val="18"/>
              </w:rPr>
              <w:t>2018-87</w:t>
            </w:r>
            <w:r>
              <w:rPr>
                <w:rFonts w:ascii="宋体" w:hAnsi="宋体" w:cs="宋体" w:eastAsia="宋体" w:hint="default"/>
                <w:spacing w:val="-4"/>
                <w:sz w:val="18"/>
                <w:szCs w:val="18"/>
              </w:rPr>
              <w:t>）</w:t>
            </w:r>
          </w:p>
        </w:tc>
      </w:tr>
      <w:tr>
        <w:trPr>
          <w:trHeight w:val="363" w:hRule="exact"/>
        </w:trPr>
        <w:tc>
          <w:tcPr>
            <w:tcW w:w="4928"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73"/>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tc>
        <w:tc>
          <w:tcPr>
            <w:tcW w:w="36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hyperlink r:id="rId11">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《关于授权公司管理层择</w:t>
            </w:r>
          </w:p>
        </w:tc>
      </w:tr>
      <w:tr>
        <w:trPr>
          <w:trHeight w:val="256" w:hRule="exact"/>
        </w:trPr>
        <w:tc>
          <w:tcPr>
            <w:tcW w:w="492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4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机处置可供出售金融资产的公告</w:t>
            </w:r>
            <w:r>
              <w:rPr>
                <w:rFonts w:ascii="宋体" w:hAnsi="宋体" w:cs="宋体" w:eastAsia="宋体" w:hint="default"/>
                <w:spacing w:val="-137"/>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2018-91</w:t>
            </w:r>
            <w:r>
              <w:rPr>
                <w:rFonts w:ascii="宋体" w:hAnsi="宋体" w:cs="宋体" w:eastAsia="宋体" w:hint="default"/>
                <w:sz w:val="18"/>
                <w:szCs w:val="18"/>
              </w:rPr>
              <w:t>）</w:t>
            </w:r>
          </w:p>
        </w:tc>
      </w:tr>
      <w:tr>
        <w:trPr>
          <w:trHeight w:val="95" w:hRule="exact"/>
        </w:trPr>
        <w:tc>
          <w:tcPr>
            <w:tcW w:w="4928" w:type="dxa"/>
            <w:vMerge w:val="restart"/>
            <w:tcBorders>
              <w:top w:val="nil" w:sz="6" w:space="0" w:color="auto"/>
              <w:left w:val="single" w:sz="4" w:space="0" w:color="000000"/>
              <w:right w:val="single" w:sz="4" w:space="0" w:color="000000"/>
            </w:tcBorders>
          </w:tcPr>
          <w:p>
            <w:pPr>
              <w:pStyle w:val="TableParagraph"/>
              <w:spacing w:line="185" w:lineRule="exact"/>
              <w:ind w:left="103" w:right="0"/>
              <w:jc w:val="left"/>
              <w:rPr>
                <w:rFonts w:ascii="宋体" w:hAnsi="宋体" w:cs="宋体" w:eastAsia="宋体" w:hint="default"/>
                <w:sz w:val="18"/>
                <w:szCs w:val="18"/>
              </w:rPr>
            </w:pPr>
            <w:r>
              <w:rPr>
                <w:rFonts w:ascii="宋体" w:hAnsi="宋体" w:cs="宋体" w:eastAsia="宋体" w:hint="default"/>
                <w:sz w:val="18"/>
                <w:szCs w:val="18"/>
              </w:rPr>
              <w:t>处置可供出售金融资产事项</w:t>
            </w:r>
          </w:p>
        </w:tc>
        <w:tc>
          <w:tcPr>
            <w:tcW w:w="992" w:type="dxa"/>
            <w:tcBorders>
              <w:top w:val="nil" w:sz="6" w:space="0" w:color="auto"/>
              <w:left w:val="single" w:sz="4" w:space="0" w:color="000000"/>
              <w:bottom w:val="single" w:sz="4" w:space="0" w:color="000000"/>
              <w:right w:val="single" w:sz="4" w:space="0" w:color="000000"/>
            </w:tcBorders>
          </w:tcPr>
          <w:p>
            <w:pPr/>
          </w:p>
        </w:tc>
        <w:tc>
          <w:tcPr>
            <w:tcW w:w="3649" w:type="dxa"/>
            <w:tcBorders>
              <w:top w:val="nil" w:sz="6" w:space="0" w:color="auto"/>
              <w:left w:val="single" w:sz="4" w:space="0" w:color="000000"/>
              <w:bottom w:val="single" w:sz="4" w:space="0" w:color="000000"/>
              <w:right w:val="single" w:sz="4" w:space="0" w:color="000000"/>
            </w:tcBorders>
          </w:tcPr>
          <w:p>
            <w:pPr/>
          </w:p>
        </w:tc>
      </w:tr>
      <w:tr>
        <w:trPr>
          <w:trHeight w:val="101" w:hRule="exact"/>
        </w:trPr>
        <w:tc>
          <w:tcPr>
            <w:tcW w:w="4928" w:type="dxa"/>
            <w:vMerge/>
            <w:tcBorders>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3649" w:type="dxa"/>
            <w:tcBorders>
              <w:top w:val="single" w:sz="4" w:space="0" w:color="000000"/>
              <w:left w:val="single" w:sz="4" w:space="0" w:color="000000"/>
              <w:bottom w:val="nil" w:sz="6" w:space="0" w:color="auto"/>
              <w:right w:val="single" w:sz="4" w:space="0" w:color="000000"/>
            </w:tcBorders>
          </w:tcPr>
          <w:p>
            <w:pPr/>
          </w:p>
        </w:tc>
      </w:tr>
      <w:tr>
        <w:trPr>
          <w:trHeight w:val="262" w:hRule="exact"/>
        </w:trPr>
        <w:tc>
          <w:tcPr>
            <w:tcW w:w="492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04"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12</w:t>
            </w:r>
          </w:p>
        </w:tc>
        <w:tc>
          <w:tcPr>
            <w:tcW w:w="3649" w:type="dxa"/>
            <w:tcBorders>
              <w:top w:val="nil" w:sz="6" w:space="0" w:color="auto"/>
              <w:left w:val="single" w:sz="4" w:space="0" w:color="000000"/>
              <w:bottom w:val="nil" w:sz="6" w:space="0" w:color="auto"/>
              <w:right w:val="single" w:sz="4" w:space="0" w:color="000000"/>
            </w:tcBorders>
          </w:tcPr>
          <w:p>
            <w:pPr>
              <w:pStyle w:val="TableParagraph"/>
              <w:spacing w:line="204" w:lineRule="exact"/>
              <w:ind w:left="103" w:right="0"/>
              <w:jc w:val="left"/>
              <w:rPr>
                <w:rFonts w:ascii="宋体" w:hAnsi="宋体" w:cs="宋体" w:eastAsia="宋体" w:hint="default"/>
                <w:sz w:val="18"/>
                <w:szCs w:val="18"/>
              </w:rPr>
            </w:pPr>
            <w:hyperlink r:id="rId11">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《关于处置可供出售金融</w:t>
            </w:r>
          </w:p>
        </w:tc>
      </w:tr>
      <w:tr>
        <w:trPr>
          <w:trHeight w:val="351" w:hRule="exact"/>
        </w:trPr>
        <w:tc>
          <w:tcPr>
            <w:tcW w:w="4928"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资产的进展公告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2018-103</w:t>
            </w:r>
            <w:r>
              <w:rPr>
                <w:rFonts w:ascii="宋体" w:hAnsi="宋体" w:cs="宋体" w:eastAsia="宋体" w:hint="default"/>
                <w:sz w:val="18"/>
                <w:szCs w:val="18"/>
              </w:rPr>
              <w:t>）</w:t>
            </w:r>
          </w:p>
        </w:tc>
      </w:tr>
    </w:tbl>
    <w:p>
      <w:pPr>
        <w:spacing w:line="240" w:lineRule="auto" w:before="5"/>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十九、公司子公司重大事项</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386" w:lineRule="auto" w:before="174"/>
        <w:ind w:left="574" w:right="1195" w:firstLine="2"/>
        <w:jc w:val="left"/>
      </w:pPr>
      <w:r>
        <w:rPr>
          <w:rFonts w:ascii="Times New Roman" w:hAnsi="Times New Roman" w:cs="Times New Roman" w:eastAsia="Times New Roman" w:hint="default"/>
          <w:b/>
          <w:bCs/>
        </w:rPr>
        <w:t>1</w:t>
      </w:r>
      <w:r>
        <w:rPr>
          <w:rFonts w:ascii="宋体" w:hAnsi="宋体" w:cs="宋体" w:eastAsia="宋体" w:hint="default"/>
          <w:b/>
          <w:bCs/>
        </w:rPr>
        <w:t>、江苏税软增资事项</w:t>
      </w:r>
      <w:r>
        <w:rPr>
          <w:rFonts w:ascii="宋体" w:hAnsi="宋体" w:cs="宋体" w:eastAsia="宋体" w:hint="default"/>
          <w:b/>
          <w:bCs/>
          <w:spacing w:val="1"/>
          <w:w w:val="99"/>
        </w:rPr>
        <w:t> </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日召开第三届董事会第二十四次会议，审议通过《关于全资子公司以未分配利润</w:t>
      </w:r>
    </w:p>
    <w:p>
      <w:pPr>
        <w:pStyle w:val="BodyText"/>
        <w:spacing w:line="386" w:lineRule="auto" w:before="35"/>
        <w:ind w:left="153" w:right="1025"/>
        <w:jc w:val="left"/>
      </w:pPr>
      <w:r>
        <w:rPr>
          <w:spacing w:val="-2"/>
        </w:rPr>
        <w:t>转增注册资本的议案》，全资子公司江苏税软使用截至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日经审计的部分未分配利润</w:t>
      </w:r>
      <w:r>
        <w:rPr>
          <w:rFonts w:ascii="Times New Roman" w:hAnsi="Times New Roman" w:cs="Times New Roman" w:eastAsia="Times New Roman" w:hint="default"/>
          <w:spacing w:val="-2"/>
        </w:rPr>
        <w:t>4,001</w:t>
      </w:r>
      <w:r>
        <w:rPr>
          <w:spacing w:val="-2"/>
        </w:rPr>
        <w:t>万元</w:t>
      </w:r>
      <w:r>
        <w:rPr>
          <w:spacing w:val="-83"/>
        </w:rPr>
        <w:t> </w:t>
      </w:r>
      <w:r>
        <w:rPr>
          <w:spacing w:val="-1"/>
        </w:rPr>
        <w:t>转增注册资本。完成本次增资后，江苏税软注册资本由</w:t>
      </w:r>
      <w:r>
        <w:rPr>
          <w:rFonts w:ascii="Times New Roman" w:hAnsi="Times New Roman" w:cs="Times New Roman" w:eastAsia="Times New Roman" w:hint="default"/>
          <w:spacing w:val="-1"/>
        </w:rPr>
        <w:t>1,000</w:t>
      </w:r>
      <w:r>
        <w:rPr>
          <w:spacing w:val="-1"/>
        </w:rPr>
        <w:t>万元增加至</w:t>
      </w:r>
      <w:r>
        <w:rPr>
          <w:rFonts w:ascii="Times New Roman" w:hAnsi="Times New Roman" w:cs="Times New Roman" w:eastAsia="Times New Roman" w:hint="default"/>
          <w:spacing w:val="-1"/>
        </w:rPr>
        <w:t>5,001</w:t>
      </w:r>
      <w:r>
        <w:rPr>
          <w:spacing w:val="-1"/>
        </w:rPr>
        <w:t>万元，仍为公司全资子公司。</w:t>
      </w:r>
      <w:r>
        <w:rPr>
          <w:spacing w:val="-83"/>
        </w:rPr>
        <w:t> </w:t>
      </w:r>
      <w:r>
        <w:rPr>
          <w:spacing w:val="-83"/>
        </w:rPr>
      </w:r>
      <w:r>
        <w:rPr/>
        <w:t>江苏税软于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日完成了工商变更登记手续。具体内容详见公司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01</w:t>
      </w:r>
      <w:r>
        <w:rPr/>
        <w:t>月</w:t>
      </w:r>
      <w:r>
        <w:rPr>
          <w:rFonts w:ascii="Times New Roman" w:hAnsi="Times New Roman" w:cs="Times New Roman" w:eastAsia="Times New Roman" w:hint="default"/>
        </w:rPr>
        <w:t>31</w:t>
      </w:r>
      <w:r>
        <w:rPr/>
        <w:t>日披露于中国证监会 指定信息披露网站，《关于全资子公司以未分配利润转增注册资本的公告》（</w:t>
      </w:r>
      <w:r>
        <w:rPr>
          <w:rFonts w:ascii="Times New Roman" w:hAnsi="Times New Roman" w:cs="Times New Roman" w:eastAsia="Times New Roman" w:hint="default"/>
        </w:rPr>
        <w:t>2018-07</w:t>
      </w:r>
      <w:r>
        <w:rPr/>
        <w:t>）和</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03</w:t>
      </w:r>
      <w:r>
        <w:rPr/>
        <w:t>月</w:t>
      </w:r>
      <w:r>
        <w:rPr>
          <w:rFonts w:ascii="Times New Roman" w:hAnsi="Times New Roman" w:cs="Times New Roman" w:eastAsia="Times New Roman" w:hint="default"/>
        </w:rPr>
        <w:t>14 </w:t>
      </w:r>
      <w:r>
        <w:rPr/>
        <w:t>日《关于全资子公司完成工商变更登记的公告》（</w:t>
      </w:r>
      <w:r>
        <w:rPr>
          <w:rFonts w:ascii="Times New Roman" w:hAnsi="Times New Roman" w:cs="Times New Roman" w:eastAsia="Times New Roman" w:hint="default"/>
        </w:rPr>
        <w:t>2018-12</w:t>
      </w:r>
      <w:r>
        <w:rPr/>
        <w:t>）。</w:t>
      </w:r>
    </w:p>
    <w:p>
      <w:pPr>
        <w:pStyle w:val="Heading3"/>
        <w:spacing w:line="240" w:lineRule="auto" w:before="35"/>
        <w:ind w:left="573" w:right="0"/>
        <w:jc w:val="left"/>
        <w:rPr>
          <w:b w:val="0"/>
          <w:bCs w:val="0"/>
        </w:rPr>
      </w:pPr>
      <w:r>
        <w:rPr>
          <w:rFonts w:ascii="Times New Roman" w:hAnsi="Times New Roman" w:cs="Times New Roman" w:eastAsia="Times New Roman" w:hint="default"/>
        </w:rPr>
        <w:t>2</w:t>
      </w:r>
      <w:r>
        <w:rPr/>
        <w:t>、参股公司中新赛克（证券代码：</w:t>
      </w:r>
      <w:r>
        <w:rPr>
          <w:rFonts w:ascii="Times New Roman" w:hAnsi="Times New Roman" w:cs="Times New Roman" w:eastAsia="Times New Roman" w:hint="default"/>
        </w:rPr>
        <w:t>002912</w:t>
      </w:r>
      <w:r>
        <w:rPr/>
        <w:t>）相关事项</w:t>
      </w:r>
      <w:r>
        <w:rPr>
          <w:b w:val="0"/>
          <w:bCs w:val="0"/>
        </w:rPr>
      </w:r>
    </w:p>
    <w:p>
      <w:pPr>
        <w:pStyle w:val="BodyText"/>
        <w:spacing w:line="386" w:lineRule="auto" w:before="177"/>
        <w:ind w:left="153" w:right="1117" w:firstLine="420"/>
        <w:jc w:val="left"/>
      </w:pPr>
      <w:r>
        <w:rPr/>
        <w:t>2018年5月，中新赛克实施了</w:t>
      </w:r>
      <w:r>
        <w:rPr>
          <w:rFonts w:ascii="Times New Roman" w:hAnsi="Times New Roman" w:cs="Times New Roman" w:eastAsia="Times New Roman" w:hint="default"/>
        </w:rPr>
        <w:t>2017</w:t>
      </w:r>
      <w:r>
        <w:rPr/>
        <w:t>年度利润分配及资本公积金转增股本方案，向全体股东每</w:t>
      </w:r>
      <w:r>
        <w:rPr>
          <w:rFonts w:ascii="Times New Roman" w:hAnsi="Times New Roman" w:cs="Times New Roman" w:eastAsia="Times New Roman" w:hint="default"/>
        </w:rPr>
        <w:t>10</w:t>
      </w:r>
      <w:r>
        <w:rPr/>
        <w:t>股派发 </w:t>
      </w:r>
      <w:r>
        <w:rPr>
          <w:spacing w:val="-3"/>
        </w:rPr>
        <w:t>现金红利</w:t>
      </w:r>
      <w:r>
        <w:rPr>
          <w:rFonts w:ascii="Times New Roman" w:hAnsi="Times New Roman" w:cs="Times New Roman" w:eastAsia="Times New Roman" w:hint="default"/>
          <w:spacing w:val="-3"/>
        </w:rPr>
        <w:t>7.5</w:t>
      </w:r>
      <w:r>
        <w:rPr>
          <w:spacing w:val="-3"/>
        </w:rPr>
        <w:t>元（含税），同时以资本公积金向全体股东每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6</w:t>
      </w:r>
      <w:r>
        <w:rPr>
          <w:spacing w:val="-3"/>
        </w:rPr>
        <w:t>股，公司共收到中新赛克分红款</w:t>
      </w:r>
      <w:r>
        <w:rPr>
          <w:rFonts w:ascii="Times New Roman" w:hAnsi="Times New Roman" w:cs="Times New Roman" w:eastAsia="Times New Roman" w:hint="default"/>
          <w:spacing w:val="-3"/>
        </w:rPr>
        <w:t>153.75</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8"/>
        </w:rPr>
      </w:r>
      <w:r>
        <w:rPr/>
        <w:t>万元。</w:t>
      </w:r>
    </w:p>
    <w:p>
      <w:pPr>
        <w:pStyle w:val="BodyText"/>
        <w:spacing w:line="386" w:lineRule="auto" w:before="65"/>
        <w:ind w:left="153" w:right="1020" w:firstLine="420"/>
        <w:jc w:val="left"/>
      </w:pPr>
      <w:r>
        <w:rPr/>
        <w:t>2018年12月，公司通过集中竞价的方式，减持持有的中新赛克无限售流通股</w:t>
      </w:r>
      <w:r>
        <w:rPr>
          <w:rFonts w:ascii="Times New Roman" w:hAnsi="Times New Roman" w:cs="Times New Roman" w:eastAsia="Times New Roman" w:hint="default"/>
        </w:rPr>
        <w:t>106.7201</w:t>
      </w:r>
      <w:r>
        <w:rPr/>
        <w:t>万股，占中新赛 </w:t>
      </w:r>
      <w:r>
        <w:rPr>
          <w:spacing w:val="-2"/>
        </w:rPr>
        <w:t>克当前总股本的</w:t>
      </w:r>
      <w:r>
        <w:rPr>
          <w:rFonts w:ascii="Times New Roman" w:hAnsi="Times New Roman" w:cs="Times New Roman" w:eastAsia="Times New Roman" w:hint="default"/>
          <w:spacing w:val="-2"/>
        </w:rPr>
        <w:t>1.00%</w:t>
      </w:r>
      <w:r>
        <w:rPr>
          <w:spacing w:val="-2"/>
        </w:rPr>
        <w:t>。预计扣除投资成本和相关税费后，公司取得投资收益约</w:t>
      </w:r>
      <w:r>
        <w:rPr>
          <w:rFonts w:ascii="Times New Roman" w:hAnsi="Times New Roman" w:cs="Times New Roman" w:eastAsia="Times New Roman" w:hint="default"/>
          <w:spacing w:val="-2"/>
        </w:rPr>
        <w:t>6,545</w:t>
      </w:r>
      <w:r>
        <w:rPr>
          <w:spacing w:val="-2"/>
        </w:rPr>
        <w:t>万元。截至本报告日，</w:t>
      </w:r>
      <w:r>
        <w:rPr>
          <w:spacing w:val="-100"/>
        </w:rPr>
        <w:t> </w:t>
      </w:r>
      <w:r>
        <w:rPr>
          <w:spacing w:val="-100"/>
        </w:rPr>
      </w:r>
      <w:r>
        <w:rPr/>
        <w:t>公司持有中新赛克股份为221.2799万股，持股比例为</w:t>
      </w:r>
      <w:r>
        <w:rPr>
          <w:rFonts w:ascii="Times New Roman" w:hAnsi="Times New Roman" w:cs="Times New Roman" w:eastAsia="Times New Roman" w:hint="default"/>
        </w:rPr>
        <w:t>2.07%</w:t>
      </w:r>
      <w:r>
        <w:rPr/>
        <w:t>。</w:t>
      </w:r>
    </w:p>
    <w:p>
      <w:pPr>
        <w:pStyle w:val="Heading3"/>
        <w:spacing w:line="240" w:lineRule="auto" w:before="35"/>
        <w:ind w:left="576" w:right="0"/>
        <w:jc w:val="left"/>
        <w:rPr>
          <w:b w:val="0"/>
          <w:bCs w:val="0"/>
        </w:rPr>
      </w:pPr>
      <w:r>
        <w:rPr>
          <w:rFonts w:ascii="Times New Roman" w:hAnsi="Times New Roman" w:cs="Times New Roman" w:eastAsia="Times New Roman" w:hint="default"/>
        </w:rPr>
        <w:t>3</w:t>
      </w:r>
      <w:r>
        <w:rPr/>
        <w:t>、美亚商鼎受让万诚信用股份</w:t>
      </w:r>
      <w:r>
        <w:rPr>
          <w:b w:val="0"/>
          <w:bCs w:val="0"/>
        </w:rPr>
      </w:r>
    </w:p>
    <w:p>
      <w:pPr>
        <w:pStyle w:val="BodyText"/>
        <w:spacing w:line="391" w:lineRule="auto" w:before="177"/>
        <w:ind w:left="153" w:right="0" w:firstLine="42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月，公司持股</w:t>
      </w:r>
      <w:r>
        <w:rPr>
          <w:rFonts w:ascii="Times New Roman" w:hAnsi="Times New Roman" w:cs="Times New Roman" w:eastAsia="Times New Roman" w:hint="default"/>
          <w:spacing w:val="-2"/>
        </w:rPr>
        <w:t>62%</w:t>
      </w:r>
      <w:r>
        <w:rPr>
          <w:spacing w:val="-2"/>
        </w:rPr>
        <w:t>的控股公司美亚商鼎使用自有资金</w:t>
      </w:r>
      <w:r>
        <w:rPr>
          <w:rFonts w:ascii="Times New Roman" w:hAnsi="Times New Roman" w:cs="Times New Roman" w:eastAsia="Times New Roman" w:hint="default"/>
          <w:spacing w:val="-2"/>
        </w:rPr>
        <w:t>280</w:t>
      </w:r>
      <w:r>
        <w:rPr>
          <w:spacing w:val="-2"/>
        </w:rPr>
        <w:t>万元，受让中检国控科技集团有限公</w:t>
      </w:r>
      <w:r>
        <w:rPr/>
        <w:t> 司持有的北京万诚信用评价有限公司（以下简称</w:t>
      </w:r>
      <w:r>
        <w:rPr>
          <w:rFonts w:ascii="Times New Roman" w:hAnsi="Times New Roman" w:cs="Times New Roman" w:eastAsia="Times New Roman" w:hint="default"/>
        </w:rPr>
        <w:t>”</w:t>
      </w:r>
      <w:r>
        <w:rPr/>
        <w:t>万诚信用</w:t>
      </w:r>
      <w:r>
        <w:rPr>
          <w:rFonts w:ascii="Times New Roman" w:hAnsi="Times New Roman" w:cs="Times New Roman" w:eastAsia="Times New Roman" w:hint="default"/>
        </w:rPr>
        <w:t>”</w:t>
      </w:r>
      <w:r>
        <w:rPr/>
        <w:t>）</w:t>
      </w:r>
      <w:r>
        <w:rPr>
          <w:rFonts w:ascii="Times New Roman" w:hAnsi="Times New Roman" w:cs="Times New Roman" w:eastAsia="Times New Roman" w:hint="default"/>
        </w:rPr>
        <w:t>18%</w:t>
      </w:r>
      <w:r>
        <w:rPr/>
        <w:t>股份。北京万诚信用评价有限公司注册 </w:t>
      </w:r>
      <w:r>
        <w:rPr>
          <w:spacing w:val="-6"/>
        </w:rPr>
        <w:t>资本</w:t>
      </w:r>
      <w:r>
        <w:rPr>
          <w:rFonts w:ascii="Times New Roman" w:hAnsi="Times New Roman" w:cs="Times New Roman" w:eastAsia="Times New Roman" w:hint="default"/>
          <w:spacing w:val="-6"/>
        </w:rPr>
        <w:t>625</w:t>
      </w:r>
      <w:r>
        <w:rPr>
          <w:spacing w:val="-6"/>
        </w:rPr>
        <w:t>万元，其中美亚柏科以自有资金出资</w:t>
      </w:r>
      <w:r>
        <w:rPr>
          <w:rFonts w:ascii="Times New Roman" w:hAnsi="Times New Roman" w:cs="Times New Roman" w:eastAsia="Times New Roman" w:hint="default"/>
          <w:spacing w:val="-6"/>
        </w:rPr>
        <w:t>175</w:t>
      </w:r>
      <w:r>
        <w:rPr>
          <w:spacing w:val="-6"/>
        </w:rPr>
        <w:t>万元，持股比例为</w:t>
      </w:r>
      <w:r>
        <w:rPr>
          <w:rFonts w:ascii="Times New Roman" w:hAnsi="Times New Roman" w:cs="Times New Roman" w:eastAsia="Times New Roman" w:hint="default"/>
          <w:spacing w:val="-6"/>
        </w:rPr>
        <w:t>28%</w:t>
      </w:r>
      <w:r>
        <w:rPr>
          <w:spacing w:val="-6"/>
        </w:rPr>
        <w:t>，控股公司美亚商鼎持股比例为</w:t>
      </w:r>
      <w:r>
        <w:rPr>
          <w:rFonts w:ascii="Times New Roman" w:hAnsi="Times New Roman" w:cs="Times New Roman" w:eastAsia="Times New Roman" w:hint="default"/>
          <w:spacing w:val="-6"/>
        </w:rPr>
        <w:t>18%</w:t>
      </w:r>
      <w:r>
        <w:rPr>
          <w:spacing w:val="-6"/>
        </w:rPr>
        <w:t>。</w:t>
      </w:r>
      <w:r>
        <w:rPr>
          <w:spacing w:val="-63"/>
        </w:rPr>
        <w:t> </w:t>
      </w:r>
      <w:r>
        <w:rPr/>
        <w:t>万诚信用主要从事质检系统检测及执法大数据分析系统，主要客户为食药监等行业，和控股公司美亚商鼎</w:t>
      </w:r>
      <w:r>
        <w:rPr/>
        <w:t> 具有较好的产业协同效应，通过受让股份，可以进一步增强资源整合，促进双方业务协同发展。</w:t>
      </w:r>
    </w:p>
    <w:p>
      <w:pPr>
        <w:pStyle w:val="Heading3"/>
        <w:spacing w:line="240" w:lineRule="auto" w:before="61"/>
        <w:ind w:left="576" w:right="0"/>
        <w:jc w:val="left"/>
        <w:rPr>
          <w:b w:val="0"/>
          <w:bCs w:val="0"/>
        </w:rPr>
      </w:pPr>
      <w:r>
        <w:rPr/>
        <w:t>4、全资子公司美亚榕安福州购买房产事项</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ind w:left="573" w:right="0" w:firstLine="2"/>
        <w:jc w:val="left"/>
      </w:pPr>
      <w:r>
        <w:rPr>
          <w:rFonts w:ascii="宋体" w:hAnsi="宋体" w:cs="宋体" w:eastAsia="宋体" w:hint="default"/>
          <w:b/>
          <w:bCs/>
        </w:rPr>
        <w:t>（1）交易概述</w:t>
      </w:r>
      <w:r>
        <w:rPr>
          <w:rFonts w:ascii="宋体" w:hAnsi="宋体" w:cs="宋体" w:eastAsia="宋体" w:hint="default"/>
          <w:b/>
          <w:bCs/>
          <w:w w:val="99"/>
        </w:rPr>
        <w:t> </w:t>
      </w:r>
      <w:r>
        <w:rPr>
          <w:spacing w:val="-1"/>
        </w:rPr>
        <w:t>全资子公司美亚榕安于2018年与福州软件园产业基地开发有限公司（以下简称“福州软件园”）签订</w:t>
      </w:r>
    </w:p>
    <w:p>
      <w:pPr>
        <w:pStyle w:val="BodyText"/>
        <w:spacing w:line="408" w:lineRule="auto" w:before="46"/>
        <w:ind w:left="153" w:right="0"/>
        <w:jc w:val="left"/>
      </w:pPr>
      <w:r>
        <w:rPr>
          <w:spacing w:val="-1"/>
        </w:rPr>
        <w:t>了《研发楼转让合同》，软件园将位于福州软件园五期D栋24层建筑面积为1233.46平方米的研发楼转让给</w:t>
      </w:r>
      <w:r>
        <w:rPr>
          <w:spacing w:val="-82"/>
        </w:rPr>
        <w:t> </w:t>
      </w:r>
      <w:r>
        <w:rPr>
          <w:spacing w:val="-82"/>
        </w:rPr>
      </w:r>
      <w:r>
        <w:rPr/>
        <w:t>美亚榕安，转让金额约为1134.17万元。</w:t>
      </w:r>
    </w:p>
    <w:p>
      <w:pPr>
        <w:pStyle w:val="BodyText"/>
        <w:spacing w:line="398" w:lineRule="auto" w:before="46"/>
        <w:ind w:left="153" w:right="1131" w:firstLine="420"/>
        <w:jc w:val="both"/>
      </w:pPr>
      <w:r>
        <w:rPr>
          <w:spacing w:val="-1"/>
        </w:rPr>
        <w:t>本次交易金额占</w:t>
      </w:r>
      <w:r>
        <w:rPr>
          <w:rFonts w:ascii="Times New Roman" w:hAnsi="Times New Roman" w:cs="Times New Roman" w:eastAsia="Times New Roman" w:hint="default"/>
          <w:spacing w:val="-1"/>
        </w:rPr>
        <w:t>2017</w:t>
      </w:r>
      <w:r>
        <w:rPr>
          <w:spacing w:val="-1"/>
        </w:rPr>
        <w:t>年经审计归属于母公司净资产</w:t>
      </w:r>
      <w:r>
        <w:rPr>
          <w:rFonts w:ascii="Times New Roman" w:hAnsi="Times New Roman" w:cs="Times New Roman" w:eastAsia="Times New Roman" w:hint="default"/>
          <w:spacing w:val="-1"/>
        </w:rPr>
        <w:t>23.27</w:t>
      </w:r>
      <w:r>
        <w:rPr>
          <w:spacing w:val="-1"/>
        </w:rPr>
        <w:t>亿的</w:t>
      </w:r>
      <w:r>
        <w:rPr>
          <w:rFonts w:ascii="Times New Roman" w:hAnsi="Times New Roman" w:cs="Times New Roman" w:eastAsia="Times New Roman" w:hint="default"/>
          <w:spacing w:val="-1"/>
        </w:rPr>
        <w:t>0.49%</w:t>
      </w:r>
      <w:r>
        <w:rPr>
          <w:spacing w:val="-1"/>
        </w:rPr>
        <w:t>，总资产</w:t>
      </w:r>
      <w:r>
        <w:rPr>
          <w:rFonts w:ascii="Times New Roman" w:hAnsi="Times New Roman" w:cs="Times New Roman" w:eastAsia="Times New Roman" w:hint="default"/>
          <w:spacing w:val="-1"/>
        </w:rPr>
        <w:t>31.12</w:t>
      </w:r>
      <w:r>
        <w:rPr>
          <w:spacing w:val="-1"/>
        </w:rPr>
        <w:t>亿的0.36</w:t>
      </w:r>
      <w:r>
        <w:rPr>
          <w:rFonts w:ascii="Times New Roman" w:hAnsi="Times New Roman" w:cs="Times New Roman" w:eastAsia="Times New Roman" w:hint="default"/>
          <w:spacing w:val="-1"/>
        </w:rPr>
        <w:t>%</w:t>
      </w:r>
      <w:r>
        <w:rPr>
          <w:spacing w:val="-1"/>
        </w:rPr>
        <w:t>。本次购</w:t>
      </w:r>
      <w:r>
        <w:rPr/>
        <w:t> </w:t>
      </w:r>
      <w:r>
        <w:rPr>
          <w:spacing w:val="-5"/>
        </w:rPr>
        <w:t>买固定资产事项根据《深圳证券交易所创业板股票上市规则》等相关规定，不构成关联交易，亦不构成《上</w:t>
      </w:r>
      <w:r>
        <w:rPr/>
        <w:t> 市公司重大资产重组管理办法》规定的重大资产重组。</w:t>
      </w:r>
    </w:p>
    <w:p>
      <w:pPr>
        <w:spacing w:line="408" w:lineRule="auto" w:before="54"/>
        <w:ind w:left="573" w:right="6131" w:firstLine="2"/>
        <w:jc w:val="left"/>
        <w:rPr>
          <w:rFonts w:ascii="宋体" w:hAnsi="宋体" w:cs="宋体" w:eastAsia="宋体" w:hint="default"/>
          <w:sz w:val="21"/>
          <w:szCs w:val="21"/>
        </w:rPr>
      </w:pPr>
      <w:r>
        <w:rPr>
          <w:rFonts w:ascii="宋体" w:hAnsi="宋体" w:cs="宋体" w:eastAsia="宋体" w:hint="default"/>
          <w:b/>
          <w:bCs/>
          <w:sz w:val="21"/>
          <w:szCs w:val="21"/>
        </w:rPr>
        <w:t>（2）交易对方的基本情况</w:t>
      </w:r>
      <w:r>
        <w:rPr>
          <w:rFonts w:ascii="宋体" w:hAnsi="宋体" w:cs="宋体" w:eastAsia="宋体" w:hint="default"/>
          <w:b/>
          <w:bCs/>
          <w:w w:val="99"/>
          <w:sz w:val="21"/>
          <w:szCs w:val="21"/>
        </w:rPr>
        <w:t> </w:t>
      </w:r>
      <w:r>
        <w:rPr>
          <w:rFonts w:ascii="宋体" w:hAnsi="宋体" w:cs="宋体" w:eastAsia="宋体" w:hint="default"/>
          <w:sz w:val="21"/>
          <w:szCs w:val="21"/>
        </w:rPr>
        <w:t>企业名称：福州软件园产业基地开发有限公司</w:t>
      </w:r>
    </w:p>
    <w:p>
      <w:pPr>
        <w:spacing w:after="0" w:line="408" w:lineRule="auto"/>
        <w:jc w:val="left"/>
        <w:rPr>
          <w:rFonts w:ascii="宋体" w:hAnsi="宋体" w:cs="宋体" w:eastAsia="宋体" w:hint="default"/>
          <w:sz w:val="21"/>
          <w:szCs w:val="21"/>
        </w:rPr>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573" w:right="6253"/>
        <w:jc w:val="left"/>
      </w:pPr>
      <w:r>
        <w:rPr/>
        <w:t>统一社会信用代码：91350100705107940C</w:t>
      </w:r>
      <w:r>
        <w:rPr>
          <w:spacing w:val="-1"/>
        </w:rPr>
        <w:t> </w:t>
      </w:r>
      <w:r>
        <w:rPr/>
        <w:t>企业类型：有限责任公司（国有控股）</w:t>
      </w:r>
      <w:r>
        <w:rPr/>
        <w:t> 法定代表人：王林辉 注册资本：35802.42万元 营业期限：1999年12月30日-2049年12月29日 登记机关：福州市市场监督管理局 登记状态：存续（在营、开业，在册）</w:t>
      </w:r>
    </w:p>
    <w:p>
      <w:pPr>
        <w:pStyle w:val="BodyText"/>
        <w:spacing w:line="408" w:lineRule="auto" w:before="46"/>
        <w:ind w:left="573" w:right="0"/>
        <w:jc w:val="left"/>
      </w:pPr>
      <w:r>
        <w:rPr/>
        <w:t>住所：福州市鼓楼区铜盘路软件大道89号A区1号楼 </w:t>
      </w:r>
      <w:r>
        <w:rPr>
          <w:spacing w:val="-1"/>
        </w:rPr>
        <w:t>经营范围：软件园产业基地的开发；计算机软件研发、销售及技术服务；动漫设计；物业管理；电子</w:t>
      </w:r>
    </w:p>
    <w:p>
      <w:pPr>
        <w:pStyle w:val="BodyText"/>
        <w:spacing w:line="408" w:lineRule="auto" w:before="46"/>
        <w:ind w:left="153" w:right="0"/>
        <w:jc w:val="left"/>
      </w:pPr>
      <w:r>
        <w:rPr>
          <w:spacing w:val="-1"/>
        </w:rPr>
        <w:t>产品、通讯器材、建筑五金、文化用品、日用百货代购代销。（依法须经批准的项目，经相关部门批准后</w:t>
      </w:r>
      <w:r>
        <w:rPr>
          <w:spacing w:val="-85"/>
        </w:rPr>
        <w:t> </w:t>
      </w:r>
      <w:r>
        <w:rPr>
          <w:spacing w:val="-85"/>
        </w:rPr>
      </w:r>
      <w:r>
        <w:rPr/>
        <w:t>方可开展经营活动）。</w:t>
      </w:r>
    </w:p>
    <w:p>
      <w:pPr>
        <w:pStyle w:val="BodyText"/>
        <w:spacing w:line="240" w:lineRule="auto" w:before="46"/>
        <w:ind w:left="573" w:right="0"/>
        <w:jc w:val="left"/>
      </w:pPr>
      <w:r>
        <w:rPr/>
        <w:t>主要股东：</w:t>
      </w:r>
    </w:p>
    <w:p>
      <w:pPr>
        <w:spacing w:line="240" w:lineRule="auto" w:before="12"/>
        <w:rPr>
          <w:rFonts w:ascii="宋体" w:hAnsi="宋体" w:cs="宋体" w:eastAsia="宋体" w:hint="default"/>
          <w:sz w:val="9"/>
          <w:szCs w:val="9"/>
        </w:rPr>
      </w:pPr>
    </w:p>
    <w:tbl>
      <w:tblPr>
        <w:tblW w:w="0" w:type="auto"/>
        <w:jc w:val="left"/>
        <w:tblInd w:w="1110" w:type="dxa"/>
        <w:tblLayout w:type="fixed"/>
        <w:tblCellMar>
          <w:top w:w="0" w:type="dxa"/>
          <w:left w:w="0" w:type="dxa"/>
          <w:bottom w:w="0" w:type="dxa"/>
          <w:right w:w="0" w:type="dxa"/>
        </w:tblCellMar>
        <w:tblLook w:val="01E0"/>
      </w:tblPr>
      <w:tblGrid>
        <w:gridCol w:w="880"/>
        <w:gridCol w:w="4253"/>
        <w:gridCol w:w="1387"/>
        <w:gridCol w:w="1190"/>
      </w:tblGrid>
      <w:tr>
        <w:trPr>
          <w:trHeight w:val="347" w:hRule="exact"/>
        </w:trPr>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股东</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金额（万元）</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r>
      <w:tr>
        <w:trPr>
          <w:trHeight w:val="347" w:hRule="exact"/>
        </w:trPr>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福州市电子信息集团有限公司</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17,901.21</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50%</w:t>
            </w:r>
          </w:p>
        </w:tc>
      </w:tr>
      <w:tr>
        <w:trPr>
          <w:trHeight w:val="347" w:hRule="exact"/>
        </w:trPr>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福州市鼓楼区国有资产投资发展集团有限公司</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17,901.21</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50%</w:t>
            </w:r>
          </w:p>
        </w:tc>
      </w:tr>
      <w:tr>
        <w:trPr>
          <w:trHeight w:val="348" w:hRule="exact"/>
        </w:trPr>
        <w:tc>
          <w:tcPr>
            <w:tcW w:w="51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35,802.42</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r>
    </w:tbl>
    <w:p>
      <w:pPr>
        <w:pStyle w:val="BodyText"/>
        <w:spacing w:line="240" w:lineRule="auto" w:before="63"/>
        <w:ind w:left="574" w:right="0"/>
        <w:jc w:val="left"/>
      </w:pPr>
      <w:r>
        <w:rPr/>
        <w:t>以上交易方与公司不存在关联关系。</w:t>
      </w:r>
    </w:p>
    <w:p>
      <w:pPr>
        <w:spacing w:line="240" w:lineRule="auto" w:before="10"/>
        <w:rPr>
          <w:rFonts w:ascii="宋体" w:hAnsi="宋体" w:cs="宋体" w:eastAsia="宋体" w:hint="default"/>
          <w:sz w:val="14"/>
          <w:szCs w:val="14"/>
        </w:rPr>
      </w:pPr>
    </w:p>
    <w:p>
      <w:pPr>
        <w:spacing w:line="386" w:lineRule="auto" w:before="0"/>
        <w:ind w:left="573" w:right="3296"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）交易标的基本情况</w:t>
      </w:r>
      <w:r>
        <w:rPr>
          <w:rFonts w:ascii="宋体" w:hAnsi="宋体" w:cs="宋体" w:eastAsia="宋体" w:hint="default"/>
          <w:b/>
          <w:bCs/>
          <w:w w:val="99"/>
          <w:sz w:val="21"/>
          <w:szCs w:val="21"/>
        </w:rPr>
        <w:t> </w:t>
      </w:r>
      <w:r>
        <w:rPr>
          <w:rFonts w:ascii="宋体" w:hAnsi="宋体" w:cs="宋体" w:eastAsia="宋体" w:hint="default"/>
          <w:sz w:val="21"/>
          <w:szCs w:val="21"/>
        </w:rPr>
        <w:t>1）交易标的：福州软件园五期D楼24层研发楼，建筑面积为1233.46平方米。</w:t>
      </w:r>
    </w:p>
    <w:p>
      <w:pPr>
        <w:pStyle w:val="BodyText"/>
        <w:spacing w:line="240" w:lineRule="auto" w:before="65"/>
        <w:ind w:left="573" w:right="0"/>
        <w:jc w:val="left"/>
      </w:pPr>
      <w:r>
        <w:rPr/>
        <w:t>2）转让价格：研发楼转让价为9195元/平方米，转让总价约为1134.17万元。</w:t>
      </w:r>
    </w:p>
    <w:p>
      <w:pPr>
        <w:spacing w:line="240" w:lineRule="auto" w:before="10"/>
        <w:rPr>
          <w:rFonts w:ascii="宋体" w:hAnsi="宋体" w:cs="宋体" w:eastAsia="宋体" w:hint="default"/>
          <w:sz w:val="14"/>
          <w:szCs w:val="14"/>
        </w:rPr>
      </w:pPr>
    </w:p>
    <w:p>
      <w:pPr>
        <w:pStyle w:val="BodyText"/>
        <w:spacing w:line="408" w:lineRule="auto"/>
        <w:ind w:left="153" w:right="0" w:firstLine="420"/>
        <w:jc w:val="left"/>
      </w:pPr>
      <w:r>
        <w:rPr>
          <w:spacing w:val="-1"/>
        </w:rPr>
        <w:t>3）付款方式及期限：合同签订后五个工作日转让价款总额的30%，公司在《交房通知书》规定的交款</w:t>
      </w:r>
      <w:r>
        <w:rPr/>
        <w:t> 截止日之前全部付清转让价款。</w:t>
      </w:r>
    </w:p>
    <w:p>
      <w:pPr>
        <w:spacing w:line="386" w:lineRule="auto" w:before="46"/>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）本次交易的目的及对公司的影响</w:t>
      </w:r>
      <w:r>
        <w:rPr>
          <w:rFonts w:ascii="宋体" w:hAnsi="宋体" w:cs="宋体" w:eastAsia="宋体" w:hint="default"/>
          <w:b/>
          <w:bCs/>
          <w:w w:val="99"/>
          <w:sz w:val="21"/>
          <w:szCs w:val="21"/>
        </w:rPr>
        <w:t> </w:t>
      </w:r>
      <w:r>
        <w:rPr>
          <w:rFonts w:ascii="宋体" w:hAnsi="宋体" w:cs="宋体" w:eastAsia="宋体" w:hint="default"/>
          <w:spacing w:val="-1"/>
          <w:sz w:val="21"/>
          <w:szCs w:val="21"/>
        </w:rPr>
        <w:t>本次购买的研发楼主要是作为美亚榕安的研究及办公场地。通过购置房产，有助于改善子公司的办公</w:t>
      </w:r>
    </w:p>
    <w:p>
      <w:pPr>
        <w:pStyle w:val="BodyText"/>
        <w:spacing w:line="240" w:lineRule="auto" w:before="65"/>
        <w:ind w:left="153" w:right="0"/>
        <w:jc w:val="left"/>
      </w:pPr>
      <w:r>
        <w:rPr/>
        <w:t>环境，为子公司员工提供稳定的办公场所，同时有助于吸引和留住人才，符合公司的发展战略。</w:t>
      </w:r>
    </w:p>
    <w:p>
      <w:pPr>
        <w:spacing w:after="0" w:line="240"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2965" w:right="0"/>
        <w:jc w:val="left"/>
        <w:rPr>
          <w:b w:val="0"/>
          <w:bCs w:val="0"/>
        </w:rPr>
      </w:pPr>
      <w:bookmarkStart w:name="_TOC_250006" w:id="6"/>
      <w:r>
        <w:rPr/>
        <w:t>第六节</w:t>
      </w:r>
      <w:r>
        <w:rPr>
          <w:spacing w:val="-10"/>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85"/>
        <w:gridCol w:w="1066"/>
        <w:gridCol w:w="823"/>
        <w:gridCol w:w="522"/>
        <w:gridCol w:w="425"/>
        <w:gridCol w:w="991"/>
        <w:gridCol w:w="852"/>
        <w:gridCol w:w="991"/>
        <w:gridCol w:w="1123"/>
        <w:gridCol w:w="794"/>
      </w:tblGrid>
      <w:tr>
        <w:trPr>
          <w:trHeight w:val="402" w:hRule="exact"/>
        </w:trPr>
        <w:tc>
          <w:tcPr>
            <w:tcW w:w="1985" w:type="dxa"/>
            <w:vMerge w:val="restart"/>
            <w:tcBorders>
              <w:top w:val="single" w:sz="4" w:space="0" w:color="000000"/>
              <w:left w:val="single" w:sz="4" w:space="0" w:color="000000"/>
              <w:right w:val="single" w:sz="4" w:space="0" w:color="000000"/>
            </w:tcBorders>
            <w:shd w:val="clear" w:color="auto" w:fill="D3D3D3"/>
          </w:tcPr>
          <w:p>
            <w:pPr/>
          </w:p>
        </w:tc>
        <w:tc>
          <w:tcPr>
            <w:tcW w:w="188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78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95"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1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5" w:right="74"/>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8"/>
              <w:jc w:val="right"/>
              <w:rPr>
                <w:rFonts w:ascii="宋体" w:hAnsi="宋体" w:cs="宋体" w:eastAsia="宋体" w:hint="default"/>
                <w:sz w:val="18"/>
                <w:szCs w:val="18"/>
              </w:rPr>
            </w:pPr>
            <w:r>
              <w:rPr>
                <w:rFonts w:ascii="宋体" w:hAnsi="宋体" w:cs="宋体" w:eastAsia="宋体" w:hint="default"/>
                <w:sz w:val="18"/>
                <w:szCs w:val="18"/>
              </w:rPr>
              <w:t>公积金转股</w:t>
            </w:r>
          </w:p>
        </w:tc>
        <w:tc>
          <w:tcPr>
            <w:tcW w:w="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195,431,487</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39.32%</w:t>
            </w:r>
          </w:p>
        </w:tc>
        <w:tc>
          <w:tcPr>
            <w:tcW w:w="5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113,918,033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-5,621,667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108,296,366</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303,727,853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38.21%</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5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5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195,360,487</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39.31%</w:t>
            </w:r>
          </w:p>
        </w:tc>
        <w:tc>
          <w:tcPr>
            <w:tcW w:w="5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113,875,433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-5,621,667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108,253,766</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303,614,253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38.20%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5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50"/>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195,360,487</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39.31%</w:t>
            </w:r>
          </w:p>
        </w:tc>
        <w:tc>
          <w:tcPr>
            <w:tcW w:w="5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113,875,433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-5,621,667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108,253,766</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303,614,253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38.20%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5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42,600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42,600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113,600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5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50"/>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5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42,600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42,600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113,600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301,599,219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60.68%</w:t>
            </w:r>
          </w:p>
        </w:tc>
        <w:tc>
          <w:tcPr>
            <w:tcW w:w="5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184,164,358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5,341,379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189,505,737</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491,104,956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61.79%</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301,599,219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60.68%</w:t>
            </w:r>
          </w:p>
        </w:tc>
        <w:tc>
          <w:tcPr>
            <w:tcW w:w="5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184,164,358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5,341,379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189,505,737</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491,104,956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61.79%</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5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5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5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497,030,706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5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298,082,391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-280,288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297,802,103</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794,832,809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3"/>
        <w:ind w:right="1195" w:firstLine="420"/>
        <w:jc w:val="left"/>
      </w:pPr>
      <w:r>
        <w:rPr/>
        <w:t>（</w:t>
      </w:r>
      <w:r>
        <w:rPr>
          <w:rFonts w:ascii="Times New Roman" w:hAnsi="Times New Roman" w:cs="Times New Roman" w:eastAsia="Times New Roman" w:hint="default"/>
        </w:rPr>
        <w:t>1</w:t>
      </w:r>
      <w:r>
        <w:rPr/>
        <w:t>）部分董事、高级管理人员所持公司股份解锁：公司副总经理张雪峰，今年年初其所持高管锁定 股按上年末持股总数的</w:t>
      </w:r>
      <w:r>
        <w:rPr>
          <w:rFonts w:ascii="Times New Roman" w:hAnsi="Times New Roman" w:cs="Times New Roman" w:eastAsia="Times New Roman" w:hint="default"/>
        </w:rPr>
        <w:t>25%</w:t>
      </w:r>
      <w:r>
        <w:rPr/>
        <w:t>解锁，共计</w:t>
      </w:r>
      <w:r>
        <w:rPr>
          <w:rFonts w:ascii="Times New Roman" w:hAnsi="Times New Roman" w:cs="Times New Roman" w:eastAsia="Times New Roman" w:hint="default"/>
        </w:rPr>
        <w:t>7,500</w:t>
      </w:r>
      <w:r>
        <w:rPr/>
        <w:t>股由高管锁定股转为无限售流通股。</w:t>
      </w:r>
    </w:p>
    <w:p>
      <w:pPr>
        <w:pStyle w:val="BodyText"/>
        <w:spacing w:line="386" w:lineRule="auto" w:before="74"/>
        <w:ind w:right="0" w:firstLine="419"/>
        <w:jc w:val="left"/>
      </w:pPr>
      <w:r>
        <w:rPr/>
        <w:t>（</w:t>
      </w:r>
      <w:r>
        <w:rPr>
          <w:rFonts w:ascii="Times New Roman" w:hAnsi="Times New Roman" w:cs="Times New Roman" w:eastAsia="Times New Roman" w:hint="default"/>
        </w:rPr>
        <w:t>2</w:t>
      </w:r>
      <w:r>
        <w:rPr/>
        <w:t>）非公开发行限售股解禁：公司非公开发行股份购买资产之标的公司江苏税软、新德汇</w:t>
      </w:r>
      <w:r>
        <w:rPr>
          <w:rFonts w:ascii="Times New Roman" w:hAnsi="Times New Roman" w:cs="Times New Roman" w:eastAsia="Times New Roman" w:hint="default"/>
        </w:rPr>
        <w:t>2016</w:t>
      </w:r>
      <w:r>
        <w:rPr/>
        <w:t>年度 </w:t>
      </w:r>
      <w:r>
        <w:rPr>
          <w:spacing w:val="-1"/>
        </w:rPr>
        <w:t>完成了业绩承诺，公司于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18</w:t>
      </w:r>
      <w:r>
        <w:rPr>
          <w:spacing w:val="-1"/>
        </w:rPr>
        <w:t>日对韦玉荣等</w:t>
      </w:r>
      <w:r>
        <w:rPr>
          <w:rFonts w:ascii="Times New Roman" w:hAnsi="Times New Roman" w:cs="Times New Roman" w:eastAsia="Times New Roman" w:hint="default"/>
          <w:spacing w:val="-1"/>
        </w:rPr>
        <w:t>19</w:t>
      </w:r>
      <w:r>
        <w:rPr>
          <w:spacing w:val="-1"/>
        </w:rPr>
        <w:t>人持有的共计</w:t>
      </w:r>
      <w:r>
        <w:rPr>
          <w:rFonts w:ascii="Times New Roman" w:hAnsi="Times New Roman" w:cs="Times New Roman" w:eastAsia="Times New Roman" w:hint="default"/>
          <w:spacing w:val="-1"/>
        </w:rPr>
        <w:t>10,582,326</w:t>
      </w:r>
      <w:r>
        <w:rPr>
          <w:spacing w:val="-1"/>
        </w:rPr>
        <w:t>股解除限售，由于苏学武和</w:t>
      </w:r>
      <w:r>
        <w:rPr>
          <w:spacing w:val="-86"/>
        </w:rPr>
        <w:t> </w:t>
      </w:r>
      <w:r>
        <w:rPr>
          <w:spacing w:val="-86"/>
        </w:rPr>
      </w:r>
      <w:r>
        <w:rPr>
          <w:spacing w:val="-1"/>
        </w:rPr>
        <w:t>韦玉荣为公司董事，共计</w:t>
      </w:r>
      <w:r>
        <w:rPr>
          <w:rFonts w:ascii="Times New Roman" w:hAnsi="Times New Roman" w:cs="Times New Roman" w:eastAsia="Times New Roman" w:hint="default"/>
          <w:spacing w:val="-1"/>
        </w:rPr>
        <w:t>5,248,448</w:t>
      </w:r>
      <w:r>
        <w:rPr>
          <w:spacing w:val="-1"/>
        </w:rPr>
        <w:t>股转为高管锁定股，本次实际可上市流通数量为</w:t>
      </w:r>
      <w:r>
        <w:rPr>
          <w:rFonts w:ascii="Times New Roman" w:hAnsi="Times New Roman" w:cs="Times New Roman" w:eastAsia="Times New Roman" w:hint="default"/>
          <w:spacing w:val="-1"/>
        </w:rPr>
        <w:t>5,333,878</w:t>
      </w:r>
      <w:r>
        <w:rPr>
          <w:spacing w:val="-1"/>
        </w:rPr>
        <w:t>股。详见</w:t>
      </w:r>
      <w:r>
        <w:rPr>
          <w:rFonts w:ascii="Times New Roman" w:hAnsi="Times New Roman" w:cs="Times New Roman" w:eastAsia="Times New Roman" w:hint="default"/>
          <w:spacing w:val="-1"/>
        </w:rPr>
        <w:t>2018</w:t>
      </w:r>
      <w:r>
        <w:rPr>
          <w:rFonts w:ascii="Times New Roman" w:hAnsi="Times New Roman" w:cs="Times New Roman" w:eastAsia="Times New Roman" w:hint="default"/>
          <w:spacing w:val="-32"/>
        </w:rPr>
        <w:t> </w:t>
      </w:r>
      <w:r>
        <w:rPr>
          <w:rFonts w:ascii="Times New Roman" w:hAnsi="Times New Roman" w:cs="Times New Roman" w:eastAsia="Times New Roman" w:hint="default"/>
          <w:spacing w:val="-32"/>
        </w:rPr>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日公司发布在巨潮资讯网</w:t>
      </w:r>
      <w:r>
        <w:rPr>
          <w:spacing w:val="-36"/>
        </w:rPr>
        <w:t> </w:t>
      </w:r>
      <w:hyperlink r:id="rId15">
        <w:r>
          <w:rPr>
            <w:rFonts w:ascii="Times New Roman" w:hAnsi="Times New Roman" w:cs="Times New Roman" w:eastAsia="Times New Roman" w:hint="default"/>
          </w:rPr>
          <w:t>www.cninfo.com.cn</w:t>
        </w:r>
        <w:r>
          <w:rPr/>
          <w:t>的《关于</w:t>
        </w:r>
      </w:hyperlink>
      <w:r>
        <w:rPr/>
        <w:t>非公开发行限售股份上市流通的提示性公</w:t>
      </w:r>
    </w:p>
    <w:p>
      <w:pPr>
        <w:spacing w:after="0" w:line="386"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0"/>
        <w:jc w:val="both"/>
      </w:pPr>
      <w:r>
        <w:rPr/>
        <w:t>告》。</w:t>
      </w:r>
    </w:p>
    <w:p>
      <w:pPr>
        <w:spacing w:line="240" w:lineRule="auto" w:before="9"/>
        <w:rPr>
          <w:rFonts w:ascii="宋体" w:hAnsi="宋体" w:cs="宋体" w:eastAsia="宋体" w:hint="default"/>
          <w:sz w:val="17"/>
          <w:szCs w:val="17"/>
        </w:rPr>
      </w:pPr>
    </w:p>
    <w:p>
      <w:pPr>
        <w:pStyle w:val="BodyText"/>
        <w:spacing w:line="386" w:lineRule="auto"/>
        <w:ind w:right="0" w:firstLine="419"/>
        <w:jc w:val="left"/>
      </w:pPr>
      <w:r>
        <w:rPr>
          <w:spacing w:val="-1"/>
        </w:rPr>
        <w:t>（</w:t>
      </w: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2017</w:t>
      </w:r>
      <w:r>
        <w:rPr>
          <w:spacing w:val="-1"/>
        </w:rPr>
        <w:t>年度权益分派公积金转增股本：公司于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16</w:t>
      </w:r>
      <w:r>
        <w:rPr>
          <w:spacing w:val="-1"/>
        </w:rPr>
        <w:t>日发布了《</w:t>
      </w:r>
      <w:r>
        <w:rPr>
          <w:rFonts w:ascii="Times New Roman" w:hAnsi="Times New Roman" w:cs="Times New Roman" w:eastAsia="Times New Roman" w:hint="default"/>
          <w:spacing w:val="-1"/>
        </w:rPr>
        <w:t>2017</w:t>
      </w:r>
      <w:r>
        <w:rPr>
          <w:spacing w:val="-1"/>
        </w:rPr>
        <w:t>年年度权益分派实施公</w:t>
      </w:r>
      <w:r>
        <w:rPr/>
        <w:t> 告》，以公司总股本</w:t>
      </w:r>
      <w:r>
        <w:rPr>
          <w:rFonts w:ascii="Times New Roman" w:hAnsi="Times New Roman" w:cs="Times New Roman" w:eastAsia="Times New Roman" w:hint="default"/>
        </w:rPr>
        <w:t>496,803,986</w:t>
      </w:r>
      <w:r>
        <w:rPr/>
        <w:t>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2</w:t>
      </w:r>
      <w:r>
        <w:rPr/>
        <w:t>元人民币现金（含税），同时以资本公积 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股，共计转增</w:t>
      </w:r>
      <w:r>
        <w:rPr>
          <w:rFonts w:ascii="Times New Roman" w:hAnsi="Times New Roman" w:cs="Times New Roman" w:eastAsia="Times New Roman" w:hint="default"/>
        </w:rPr>
        <w:t>298,082,391</w:t>
      </w:r>
      <w:r>
        <w:rPr/>
        <w:t>股。本次权益分派实施后，公司总股本由</w:t>
      </w:r>
      <w:r>
        <w:rPr>
          <w:rFonts w:ascii="Times New Roman" w:hAnsi="Times New Roman" w:cs="Times New Roman" w:eastAsia="Times New Roman" w:hint="default"/>
        </w:rPr>
        <w:t>496,803,986 </w:t>
      </w:r>
      <w:r>
        <w:rPr/>
        <w:t>股增至</w:t>
      </w:r>
      <w:r>
        <w:rPr>
          <w:rFonts w:ascii="Times New Roman" w:hAnsi="Times New Roman" w:cs="Times New Roman" w:eastAsia="Times New Roman" w:hint="default"/>
        </w:rPr>
        <w:t>794,886,377</w:t>
      </w:r>
      <w:r>
        <w:rPr/>
        <w:t>股。</w:t>
      </w:r>
    </w:p>
    <w:p>
      <w:pPr>
        <w:pStyle w:val="BodyText"/>
        <w:spacing w:line="386" w:lineRule="auto" w:before="75"/>
        <w:ind w:right="1129" w:firstLine="419"/>
        <w:jc w:val="both"/>
      </w:pPr>
      <w:r>
        <w:rPr>
          <w:spacing w:val="-1"/>
        </w:rPr>
        <w:t>（</w:t>
      </w:r>
      <w:r>
        <w:rPr>
          <w:rFonts w:ascii="Times New Roman" w:hAnsi="Times New Roman" w:cs="Times New Roman" w:eastAsia="Times New Roman" w:hint="default"/>
          <w:spacing w:val="-1"/>
        </w:rPr>
        <w:t>4</w:t>
      </w:r>
      <w:r>
        <w:rPr>
          <w:spacing w:val="-1"/>
        </w:rPr>
        <w:t>）第二期限制性股票激励计划股份回购注销：公司于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15</w:t>
      </w:r>
      <w:r>
        <w:rPr>
          <w:spacing w:val="-1"/>
        </w:rPr>
        <w:t>日在中国证券登记结算有限责任</w:t>
      </w:r>
      <w:r>
        <w:rPr/>
        <w:t> </w:t>
      </w:r>
      <w:r>
        <w:rPr>
          <w:spacing w:val="-1"/>
        </w:rPr>
        <w:t>公司深圳分公司完成限制性股票回购注销手续。本次回购的限制性股票涉及股权激励对象</w:t>
      </w:r>
      <w:r>
        <w:rPr>
          <w:rFonts w:ascii="Times New Roman" w:hAnsi="Times New Roman" w:cs="Times New Roman" w:eastAsia="Times New Roman" w:hint="default"/>
          <w:spacing w:val="-1"/>
        </w:rPr>
        <w:t>17</w:t>
      </w:r>
      <w:r>
        <w:rPr>
          <w:spacing w:val="-1"/>
        </w:rPr>
        <w:t>人，回购注销</w:t>
      </w:r>
      <w:r>
        <w:rPr>
          <w:spacing w:val="-81"/>
        </w:rPr>
        <w:t> </w:t>
      </w:r>
      <w:r>
        <w:rPr>
          <w:spacing w:val="-81"/>
        </w:rPr>
      </w:r>
      <w:r>
        <w:rPr/>
        <w:t>的股权激励限售股份数量为</w:t>
      </w:r>
      <w:r>
        <w:rPr>
          <w:rFonts w:ascii="Times New Roman" w:hAnsi="Times New Roman" w:cs="Times New Roman" w:eastAsia="Times New Roman" w:hint="default"/>
        </w:rPr>
        <w:t>226,720</w:t>
      </w:r>
      <w:r>
        <w:rPr/>
        <w:t>股，详见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日公司发布在巨潮资讯网</w:t>
      </w:r>
      <w:r>
        <w:rPr>
          <w:spacing w:val="-44"/>
        </w:rPr>
        <w:t> </w:t>
      </w:r>
      <w:hyperlink r:id="rId15">
        <w:r>
          <w:rPr>
            <w:rFonts w:ascii="Times New Roman" w:hAnsi="Times New Roman" w:cs="Times New Roman" w:eastAsia="Times New Roman" w:hint="default"/>
          </w:rPr>
          <w:t>www.cninfo.com.cn</w:t>
        </w:r>
        <w:r>
          <w:rPr/>
          <w:t>的</w:t>
        </w:r>
      </w:hyperlink>
    </w:p>
    <w:p>
      <w:pPr>
        <w:pStyle w:val="BodyText"/>
        <w:spacing w:line="386" w:lineRule="auto" w:before="35"/>
        <w:ind w:right="1131" w:hanging="1"/>
        <w:jc w:val="both"/>
      </w:pPr>
      <w:r>
        <w:rPr>
          <w:spacing w:val="-1"/>
        </w:rPr>
        <w:t>《关于部分限制性股票回购注销完成的公告》。2</w:t>
      </w:r>
      <w:r>
        <w:rPr>
          <w:rFonts w:ascii="Times New Roman" w:hAnsi="Times New Roman" w:cs="Times New Roman" w:eastAsia="Times New Roman" w:hint="default"/>
          <w:spacing w:val="-1"/>
        </w:rPr>
        <w:t>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3</w:t>
      </w:r>
      <w:r>
        <w:rPr>
          <w:spacing w:val="-1"/>
        </w:rPr>
        <w:t>日，公司发布了《关于部分限制性股票回购注</w:t>
      </w:r>
      <w:r>
        <w:rPr>
          <w:spacing w:val="-83"/>
        </w:rPr>
        <w:t> </w:t>
      </w:r>
      <w:r>
        <w:rPr>
          <w:spacing w:val="-83"/>
        </w:rPr>
      </w:r>
      <w:r>
        <w:rPr>
          <w:spacing w:val="-2"/>
        </w:rPr>
        <w:t>销完成的公告》，本次回购的限制性股票涉及股权激励对象</w:t>
      </w:r>
      <w:r>
        <w:rPr>
          <w:rFonts w:ascii="Times New Roman" w:hAnsi="Times New Roman" w:cs="Times New Roman" w:eastAsia="Times New Roman" w:hint="default"/>
          <w:spacing w:val="-2"/>
        </w:rPr>
        <w:t>7</w:t>
      </w:r>
      <w:r>
        <w:rPr>
          <w:spacing w:val="-2"/>
        </w:rPr>
        <w:t>人，回购注销的股票数量</w:t>
      </w:r>
      <w:r>
        <w:rPr>
          <w:rFonts w:ascii="Times New Roman" w:hAnsi="Times New Roman" w:cs="Times New Roman" w:eastAsia="Times New Roman" w:hint="default"/>
          <w:spacing w:val="-2"/>
        </w:rPr>
        <w:t>53,568</w:t>
      </w:r>
      <w:r>
        <w:rPr>
          <w:spacing w:val="-2"/>
        </w:rPr>
        <w:t>股。该部分限</w:t>
      </w:r>
      <w:r>
        <w:rPr>
          <w:spacing w:val="-88"/>
        </w:rPr>
        <w:t> </w:t>
      </w:r>
      <w:r>
        <w:rPr>
          <w:spacing w:val="-88"/>
        </w:rPr>
      </w:r>
      <w:r>
        <w:rPr>
          <w:spacing w:val="-1"/>
        </w:rPr>
        <w:t>制性股票于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w:t>
      </w:r>
      <w:r>
        <w:rPr>
          <w:spacing w:val="-1"/>
        </w:rPr>
        <w:t>日在中国证券登记结算有限责任公司深圳分公司完成回购注销手续。本次回购注销</w:t>
      </w:r>
      <w:r>
        <w:rPr>
          <w:spacing w:val="-85"/>
        </w:rPr>
        <w:t> </w:t>
      </w:r>
      <w:r>
        <w:rPr>
          <w:spacing w:val="-85"/>
        </w:rPr>
      </w:r>
      <w:r>
        <w:rPr/>
        <w:t>完成后，公司总股本由</w:t>
      </w:r>
      <w:r>
        <w:rPr>
          <w:rFonts w:ascii="Times New Roman" w:hAnsi="Times New Roman" w:cs="Times New Roman" w:eastAsia="Times New Roman" w:hint="default"/>
        </w:rPr>
        <w:t>794,886,377</w:t>
      </w:r>
      <w:r>
        <w:rPr/>
        <w:t>股减至</w:t>
      </w:r>
      <w:r>
        <w:rPr>
          <w:rFonts w:ascii="Times New Roman" w:hAnsi="Times New Roman" w:cs="Times New Roman" w:eastAsia="Times New Roman" w:hint="default"/>
        </w:rPr>
        <w:t>794,832,809</w:t>
      </w:r>
      <w:r>
        <w:rPr/>
        <w:t>股。</w:t>
      </w:r>
    </w:p>
    <w:p>
      <w:pPr>
        <w:spacing w:before="22"/>
        <w:ind w:left="154" w:right="0" w:firstLine="0"/>
        <w:jc w:val="both"/>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6"/>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5"/>
        <w:ind w:right="0" w:firstLine="419"/>
        <w:jc w:val="left"/>
      </w:pPr>
      <w:r>
        <w:rPr>
          <w:spacing w:val="-3"/>
        </w:rPr>
        <w:t>（</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2017</w:t>
      </w:r>
      <w:r>
        <w:rPr>
          <w:spacing w:val="-3"/>
        </w:rPr>
        <w:t>年度利润分配及资本公积金转增股本预案》已经公司第三届董事会第二十五次会议及</w:t>
      </w:r>
      <w:r>
        <w:rPr>
          <w:rFonts w:ascii="Times New Roman" w:hAnsi="Times New Roman" w:cs="Times New Roman" w:eastAsia="Times New Roman" w:hint="default"/>
          <w:spacing w:val="-3"/>
        </w:rPr>
        <w:t>2017</w:t>
      </w:r>
      <w:r>
        <w:rPr>
          <w:rFonts w:ascii="Times New Roman" w:hAnsi="Times New Roman" w:cs="Times New Roman" w:eastAsia="Times New Roman" w:hint="default"/>
        </w:rPr>
        <w:t> </w:t>
      </w:r>
      <w:r>
        <w:rPr/>
        <w:t>年年度股东大会审议通过。</w:t>
      </w:r>
    </w:p>
    <w:p>
      <w:pPr>
        <w:pStyle w:val="BodyText"/>
        <w:spacing w:line="386" w:lineRule="auto" w:before="65"/>
        <w:ind w:right="1114" w:firstLine="419"/>
        <w:jc w:val="left"/>
      </w:pPr>
      <w:r>
        <w:rPr>
          <w:spacing w:val="-3"/>
        </w:rPr>
        <w:t>（</w:t>
      </w:r>
      <w:r>
        <w:rPr>
          <w:rFonts w:ascii="Times New Roman" w:hAnsi="Times New Roman" w:cs="Times New Roman" w:eastAsia="Times New Roman" w:hint="default"/>
          <w:spacing w:val="-3"/>
        </w:rPr>
        <w:t>2</w:t>
      </w:r>
      <w:r>
        <w:rPr>
          <w:spacing w:val="-3"/>
        </w:rPr>
        <w:t>）股份回购事项详见“第五节 </w:t>
      </w:r>
      <w:r>
        <w:rPr/>
        <w:t>重要事项</w:t>
      </w:r>
      <w:r>
        <w:rPr>
          <w:spacing w:val="-80"/>
        </w:rPr>
        <w:t> </w:t>
      </w:r>
      <w:r>
        <w:rPr/>
        <w:t>十二、公司股权激励计划、员工持股计划或其他员工激励</w:t>
      </w:r>
      <w:r>
        <w:rPr/>
        <w:t> 措施的实施情况”。</w:t>
      </w:r>
    </w:p>
    <w:p>
      <w:pPr>
        <w:spacing w:line="240" w:lineRule="auto" w:before="12"/>
        <w:rPr>
          <w:rFonts w:ascii="宋体" w:hAnsi="宋体" w:cs="宋体" w:eastAsia="宋体" w:hint="default"/>
          <w:sz w:val="27"/>
          <w:szCs w:val="27"/>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股份变动的过户情况</w:t>
      </w:r>
    </w:p>
    <w:p>
      <w:pPr>
        <w:spacing w:before="116"/>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5"/>
        <w:ind w:left="574" w:right="0"/>
        <w:jc w:val="left"/>
      </w:pPr>
      <w:r>
        <w:rPr/>
        <w:t>报告期内，公司共回购注销股份</w:t>
      </w:r>
      <w:r>
        <w:rPr>
          <w:rFonts w:ascii="Times New Roman" w:hAnsi="Times New Roman" w:cs="Times New Roman" w:eastAsia="Times New Roman" w:hint="default"/>
        </w:rPr>
        <w:t>280,288</w:t>
      </w:r>
      <w:r>
        <w:rPr/>
        <w:t>股，新增股份</w:t>
      </w:r>
      <w:r>
        <w:rPr>
          <w:rFonts w:ascii="Times New Roman" w:hAnsi="Times New Roman" w:cs="Times New Roman" w:eastAsia="Times New Roman" w:hint="default"/>
        </w:rPr>
        <w:t>298,082,391</w:t>
      </w:r>
      <w:r>
        <w:rPr/>
        <w:t>股，股份过户情况如下：</w:t>
      </w:r>
    </w:p>
    <w:p>
      <w:pPr>
        <w:pStyle w:val="BodyText"/>
        <w:spacing w:line="393" w:lineRule="auto" w:before="177"/>
        <w:ind w:left="153" w:right="0" w:firstLine="420"/>
        <w:jc w:val="left"/>
      </w:pPr>
      <w:r>
        <w:rPr>
          <w:spacing w:val="-1"/>
        </w:rPr>
        <w:t>（</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15</w:t>
      </w:r>
      <w:r>
        <w:rPr>
          <w:spacing w:val="-1"/>
        </w:rPr>
        <w:t>日，公司发布了《关于部分限制性股票回购注销完成的公告》，本次回购的限制性</w:t>
      </w:r>
      <w:r>
        <w:rPr/>
        <w:t> 股票涉及股权激励对象</w:t>
      </w:r>
      <w:r>
        <w:rPr>
          <w:rFonts w:ascii="Times New Roman" w:hAnsi="Times New Roman" w:cs="Times New Roman" w:eastAsia="Times New Roman" w:hint="default"/>
        </w:rPr>
        <w:t>17</w:t>
      </w:r>
      <w:r>
        <w:rPr/>
        <w:t>人，回购注销的股票数量</w:t>
      </w:r>
      <w:r>
        <w:rPr>
          <w:rFonts w:ascii="Times New Roman" w:hAnsi="Times New Roman" w:cs="Times New Roman" w:eastAsia="Times New Roman" w:hint="default"/>
        </w:rPr>
        <w:t>226,720</w:t>
      </w:r>
      <w:r>
        <w:rPr/>
        <w:t>股。该部分限制性股票于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日在中国 证券登记结算有限责任公司深圳分公司完成回购注销手续。本次回购注销完成后，公司总股本由 </w:t>
      </w:r>
      <w:r>
        <w:rPr>
          <w:rFonts w:ascii="Times New Roman" w:hAnsi="Times New Roman" w:cs="Times New Roman" w:eastAsia="Times New Roman" w:hint="default"/>
        </w:rPr>
        <w:t>497,030,706</w:t>
      </w:r>
      <w:r>
        <w:rPr/>
        <w:t>股减至</w:t>
      </w:r>
      <w:r>
        <w:rPr>
          <w:rFonts w:ascii="Times New Roman" w:hAnsi="Times New Roman" w:cs="Times New Roman" w:eastAsia="Times New Roman" w:hint="default"/>
        </w:rPr>
        <w:t>496,803,986</w:t>
      </w:r>
      <w:r>
        <w:rPr/>
        <w:t>股。</w:t>
      </w:r>
    </w:p>
    <w:p>
      <w:pPr>
        <w:pStyle w:val="BodyText"/>
        <w:spacing w:line="408" w:lineRule="auto" w:before="28"/>
        <w:ind w:left="153" w:right="1129" w:firstLine="420"/>
        <w:jc w:val="both"/>
      </w:pPr>
      <w:r>
        <w:rPr>
          <w:spacing w:val="-1"/>
        </w:rPr>
        <w:t>（2）2018年5月16日，公司发布了《2017年年度权益分派实施公告》。本次权益股权登记日为2018年</w:t>
      </w:r>
      <w:r>
        <w:rPr/>
        <w:t> </w:t>
      </w:r>
      <w:r>
        <w:rPr>
          <w:spacing w:val="-4"/>
        </w:rPr>
        <w:t>5月22日，除权除息日为2018年5月23日。本次权益分派实施后，公司总股本由496,803,986增至794,886,377</w:t>
      </w:r>
      <w:r>
        <w:rPr>
          <w:spacing w:val="-103"/>
        </w:rPr>
        <w:t> </w:t>
      </w:r>
      <w:r>
        <w:rPr>
          <w:spacing w:val="-103"/>
        </w:rPr>
      </w:r>
      <w:r>
        <w:rPr/>
        <w:t>股。</w:t>
      </w:r>
    </w:p>
    <w:p>
      <w:pPr>
        <w:pStyle w:val="BodyText"/>
        <w:spacing w:line="408" w:lineRule="auto" w:before="46"/>
        <w:ind w:left="153" w:right="1118" w:firstLine="420"/>
        <w:jc w:val="left"/>
      </w:pPr>
      <w:r>
        <w:rPr/>
        <w:t>(3)</w:t>
      </w:r>
      <w:r>
        <w:rPr>
          <w:spacing w:val="-27"/>
        </w:rPr>
        <w:t> </w:t>
      </w:r>
      <w:r>
        <w:rPr/>
        <w:t>2019年1月3日，公司发布了《关于部分限制性股票回购注销完成的公告》，本次回购的限制性股</w:t>
      </w:r>
      <w:r>
        <w:rPr/>
        <w:t> 票涉及股权激励对象7人，回购注销的股票数量53,568股。该部分限制性股票于2019年1月2日在中国证券</w:t>
      </w:r>
    </w:p>
    <w:p>
      <w:pPr>
        <w:spacing w:after="0" w:line="408"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95"/>
        <w:jc w:val="left"/>
      </w:pPr>
      <w:r>
        <w:rPr/>
        <w:t>登记结算有限责任公司深圳分公司完成回购注销手续。本次回购注销完成后，公司总股本由794,886,377 股减至794,832,809股。</w:t>
      </w:r>
    </w:p>
    <w:p>
      <w:pPr>
        <w:spacing w:line="240" w:lineRule="auto" w:before="6"/>
        <w:rPr>
          <w:rFonts w:ascii="宋体" w:hAnsi="宋体" w:cs="宋体" w:eastAsia="宋体" w:hint="default"/>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股份回购的实施进展情况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10" w:lineRule="auto" w:before="153"/>
        <w:ind w:left="153" w:right="1133" w:firstLine="420"/>
        <w:jc w:val="left"/>
      </w:pPr>
      <w:r>
        <w:rPr/>
        <w:t>股份回购事项详见“第五节 重要事项</w:t>
      </w:r>
      <w:r>
        <w:rPr>
          <w:spacing w:val="-42"/>
        </w:rPr>
        <w:t> </w:t>
      </w:r>
      <w:r>
        <w:rPr/>
        <w:t>十二、公司股权激励计划、员工持股计划或其他员工激励措施</w:t>
      </w:r>
      <w:r>
        <w:rPr/>
        <w:t> 的实施情况”。</w:t>
      </w:r>
    </w:p>
    <w:p>
      <w:pPr>
        <w:spacing w:before="31"/>
        <w:ind w:left="154" w:right="0" w:firstLine="0"/>
        <w:jc w:val="left"/>
        <w:rPr>
          <w:rFonts w:ascii="宋体" w:hAnsi="宋体" w:cs="宋体" w:eastAsia="宋体" w:hint="default"/>
          <w:sz w:val="18"/>
          <w:szCs w:val="18"/>
        </w:rPr>
      </w:pPr>
      <w:r>
        <w:rPr>
          <w:rFonts w:ascii="宋体" w:hAnsi="宋体" w:cs="宋体" w:eastAsia="宋体" w:hint="default"/>
          <w:sz w:val="18"/>
          <w:szCs w:val="18"/>
        </w:rPr>
        <w:t>采用集中竞价方式减持回购股份的实施进展情况</w:t>
      </w:r>
    </w:p>
    <w:p>
      <w:pPr>
        <w:spacing w:line="338" w:lineRule="auto" w:before="117"/>
        <w:ind w:left="154" w:right="13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pStyle w:val="BodyText"/>
        <w:spacing w:line="388" w:lineRule="auto" w:before="42"/>
        <w:ind w:right="1142"/>
        <w:jc w:val="left"/>
      </w:pPr>
      <w:r>
        <w:rPr>
          <w:rFonts w:ascii="Times New Roman" w:hAnsi="Times New Roman" w:cs="Times New Roman" w:eastAsia="Times New Roman" w:hint="default"/>
          <w:sz w:val="18"/>
          <w:szCs w:val="18"/>
        </w:rPr>
        <w:t>√ </w:t>
      </w:r>
      <w:r>
        <w:rPr>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sz w:val="18"/>
          <w:szCs w:val="18"/>
        </w:rPr>
        <w:t>不适用 </w:t>
      </w:r>
      <w:r>
        <w:rPr/>
        <w:t>股份变动后，按新股本</w:t>
      </w:r>
      <w:r>
        <w:rPr>
          <w:rFonts w:ascii="Times New Roman" w:hAnsi="Times New Roman" w:cs="Times New Roman" w:eastAsia="Times New Roman" w:hint="default"/>
        </w:rPr>
        <w:t>794,832,809</w:t>
      </w:r>
      <w:r>
        <w:rPr/>
        <w:t>股摊薄计算，公司</w:t>
      </w:r>
      <w:r>
        <w:rPr>
          <w:rFonts w:ascii="Times New Roman" w:hAnsi="Times New Roman" w:cs="Times New Roman" w:eastAsia="Times New Roman" w:hint="default"/>
        </w:rPr>
        <w:t>2017</w:t>
      </w:r>
      <w:r>
        <w:rPr/>
        <w:t>年度基本每股收益为</w:t>
      </w:r>
      <w:r>
        <w:rPr>
          <w:rFonts w:ascii="Times New Roman" w:hAnsi="Times New Roman" w:cs="Times New Roman" w:eastAsia="Times New Roman" w:hint="default"/>
        </w:rPr>
        <w:t>0.3419</w:t>
      </w:r>
      <w:r>
        <w:rPr/>
        <w:t>元、归属于普通股股 东的每股净资产</w:t>
      </w:r>
      <w:r>
        <w:rPr>
          <w:rFonts w:ascii="Times New Roman" w:hAnsi="Times New Roman" w:cs="Times New Roman" w:eastAsia="Times New Roman" w:hint="default"/>
        </w:rPr>
        <w:t>2.93</w:t>
      </w:r>
      <w:r>
        <w:rPr/>
        <w:t>元</w:t>
      </w:r>
      <w:r>
        <w:rPr>
          <w:color w:val="FF0000"/>
        </w:rPr>
        <w:t>。</w:t>
      </w:r>
      <w:r>
        <w:rPr/>
      </w:r>
    </w:p>
    <w:p>
      <w:pPr>
        <w:spacing w:before="2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51"/>
        <w:gridCol w:w="992"/>
        <w:gridCol w:w="1134"/>
        <w:gridCol w:w="992"/>
        <w:gridCol w:w="1276"/>
        <w:gridCol w:w="1276"/>
        <w:gridCol w:w="3048"/>
      </w:tblGrid>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00" w:right="41"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91" w:right="110"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0" w:right="41"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期末限售股数</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30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7"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滕达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1,213,088</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727,853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1,940,941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每年年初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解除限售</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郭永芳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86,183,968</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51,710,381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137,894,349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每年年初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解除限售</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李国林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44,495,325</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26,697,195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71,192,520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每年年初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解除限售</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刘冬颖</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19,200,000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11,520,000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30,720,000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每年年初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解除限售</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吴鸿伟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773,850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464,310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1,238,160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每年年初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解除限售</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申强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779,250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467,550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1,246,800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每年年初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解除限售</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张雪峰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565,875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8" w:right="0"/>
              <w:jc w:val="left"/>
              <w:rPr>
                <w:rFonts w:ascii="Times New Roman" w:hAnsi="Times New Roman" w:cs="Times New Roman" w:eastAsia="Times New Roman" w:hint="default"/>
                <w:sz w:val="18"/>
                <w:szCs w:val="18"/>
              </w:rPr>
            </w:pPr>
            <w:r>
              <w:rPr>
                <w:rFonts w:ascii="Times New Roman"/>
                <w:sz w:val="18"/>
              </w:rPr>
              <w:t>7,500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335,025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893,400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每年年初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解除限售</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赵庸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688,500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413,100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1,101,600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每年年初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解除限售</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张乃军</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544,500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326,700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871,200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每年年初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解除限售</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栾江霞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382,500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229,500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612,000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每年年初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解除限售</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李滢雪</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55,500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33,300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88,800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日离任</w:t>
            </w:r>
            <w:r>
              <w:rPr>
                <w:rFonts w:ascii="Times New Roman" w:hAnsi="Times New Roman" w:cs="Times New Roman" w:eastAsia="Times New Roman" w:hint="default"/>
                <w:sz w:val="18"/>
                <w:szCs w:val="18"/>
              </w:rPr>
              <w:t>, </w:t>
            </w:r>
            <w:r>
              <w:rPr>
                <w:rFonts w:ascii="宋体" w:hAnsi="宋体" w:cs="宋体" w:eastAsia="宋体" w:hint="default"/>
                <w:sz w:val="18"/>
                <w:szCs w:val="18"/>
              </w:rPr>
              <w:t>在任期届满 后半年内，股份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锁定</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蔡志评</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66,600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39,960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106,560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每年年初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解除限售</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苏学武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687,368</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6,949,234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7,636,602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每年年初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解除限售</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51"/>
        <w:gridCol w:w="992"/>
        <w:gridCol w:w="1134"/>
        <w:gridCol w:w="992"/>
        <w:gridCol w:w="1276"/>
        <w:gridCol w:w="1276"/>
        <w:gridCol w:w="3048"/>
      </w:tblGrid>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韦玉荣</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741</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1,861,147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1,861,888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每年年初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解除限售</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葛鹏</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3" w:right="0"/>
              <w:jc w:val="left"/>
              <w:rPr>
                <w:rFonts w:ascii="Times New Roman" w:hAnsi="Times New Roman" w:cs="Times New Roman" w:eastAsia="Times New Roman" w:hint="default"/>
                <w:sz w:val="18"/>
                <w:szCs w:val="18"/>
              </w:rPr>
            </w:pPr>
            <w:r>
              <w:rPr>
                <w:rFonts w:ascii="Times New Roman"/>
                <w:sz w:val="18"/>
              </w:rPr>
              <w:t>12,000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7,200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19,200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每年年初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解除限售</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周成祖</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3" w:right="0"/>
              <w:jc w:val="left"/>
              <w:rPr>
                <w:rFonts w:ascii="Times New Roman" w:hAnsi="Times New Roman" w:cs="Times New Roman" w:eastAsia="Times New Roman" w:hint="default"/>
                <w:sz w:val="18"/>
                <w:szCs w:val="18"/>
              </w:rPr>
            </w:pPr>
            <w:r>
              <w:rPr>
                <w:rFonts w:ascii="Times New Roman"/>
                <w:sz w:val="18"/>
              </w:rPr>
              <w:t>10,500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6,300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16,800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每年年初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解除限售</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韦玉荣</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3,488,822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1,162,940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1,395,529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3,721,411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首发后限售股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Times New Roman" w:hAnsi="Times New Roman" w:cs="Times New Roman" w:eastAsia="Times New Roman" w:hint="default"/>
                <w:sz w:val="18"/>
                <w:szCs w:val="18"/>
              </w:rPr>
            </w:pPr>
            <w:r>
              <w:rPr>
                <w:rFonts w:ascii="宋体" w:hAnsi="宋体" w:cs="宋体" w:eastAsia="宋体" w:hint="default"/>
                <w:spacing w:val="-5"/>
                <w:sz w:val="18"/>
                <w:szCs w:val="18"/>
              </w:rPr>
              <w:t>达到业绩承诺条件的，增发股份自本次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发行完成之日起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后分别解锁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50%</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苏学武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9,532,852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4,085,508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3,268,406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8,715,750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首发后限售股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Times New Roman" w:hAnsi="Times New Roman" w:cs="Times New Roman" w:eastAsia="Times New Roman" w:hint="default"/>
                <w:sz w:val="18"/>
                <w:szCs w:val="18"/>
              </w:rPr>
            </w:pPr>
            <w:r>
              <w:rPr>
                <w:rFonts w:ascii="宋体" w:hAnsi="宋体" w:cs="宋体" w:eastAsia="宋体" w:hint="default"/>
                <w:spacing w:val="-5"/>
                <w:sz w:val="18"/>
                <w:szCs w:val="18"/>
              </w:rPr>
              <w:t>达到业绩承诺条件的，增发股份自本次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发行完成之日起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后分别解锁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40%</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陈燕</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4,651,762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2,791,057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7,442,819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首发后限售股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达到业绩承诺条件的，增发股份自本次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发行完成之日起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孙士玉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3,560,022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1,186,674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1,424,009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3,797,357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首发后限售股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Times New Roman" w:hAnsi="Times New Roman" w:cs="Times New Roman" w:eastAsia="Times New Roman" w:hint="default"/>
                <w:sz w:val="18"/>
                <w:szCs w:val="18"/>
              </w:rPr>
            </w:pPr>
            <w:r>
              <w:rPr>
                <w:rFonts w:ascii="宋体" w:hAnsi="宋体" w:cs="宋体" w:eastAsia="宋体" w:hint="default"/>
                <w:spacing w:val="-5"/>
                <w:sz w:val="18"/>
                <w:szCs w:val="18"/>
              </w:rPr>
              <w:t>达到业绩承诺条件的，增发股份自本次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发行完成之日起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后分别解锁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50%</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李江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3,488,822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1,162,940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1,395,529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3,721,411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首发后限售股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Times New Roman" w:hAnsi="Times New Roman" w:cs="Times New Roman" w:eastAsia="Times New Roman" w:hint="default"/>
                <w:sz w:val="18"/>
                <w:szCs w:val="18"/>
              </w:rPr>
            </w:pPr>
            <w:r>
              <w:rPr>
                <w:rFonts w:ascii="宋体" w:hAnsi="宋体" w:cs="宋体" w:eastAsia="宋体" w:hint="default"/>
                <w:spacing w:val="-5"/>
                <w:sz w:val="18"/>
                <w:szCs w:val="18"/>
              </w:rPr>
              <w:t>达到业绩承诺条件的，增发股份自本次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发行完成之日起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后分别解锁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50%</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卢晓英</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3,337,521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1,112,507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1,335,009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3,560,023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首发后限售股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Times New Roman" w:hAnsi="Times New Roman" w:cs="Times New Roman" w:eastAsia="Times New Roman" w:hint="default"/>
                <w:sz w:val="18"/>
                <w:szCs w:val="18"/>
              </w:rPr>
            </w:pPr>
            <w:r>
              <w:rPr>
                <w:rFonts w:ascii="宋体" w:hAnsi="宋体" w:cs="宋体" w:eastAsia="宋体" w:hint="default"/>
                <w:spacing w:val="-5"/>
                <w:sz w:val="18"/>
                <w:szCs w:val="18"/>
              </w:rPr>
              <w:t>达到业绩承诺条件的，增发股份自本次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发行完成之日起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后分别解锁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50%</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黄新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2,327,365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775,788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930,946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2,482,523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首发后限售股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Times New Roman" w:hAnsi="Times New Roman" w:cs="Times New Roman" w:eastAsia="Times New Roman" w:hint="default"/>
                <w:sz w:val="18"/>
                <w:szCs w:val="18"/>
              </w:rPr>
            </w:pPr>
            <w:r>
              <w:rPr>
                <w:rFonts w:ascii="宋体" w:hAnsi="宋体" w:cs="宋体" w:eastAsia="宋体" w:hint="default"/>
                <w:spacing w:val="-5"/>
                <w:sz w:val="18"/>
                <w:szCs w:val="18"/>
              </w:rPr>
              <w:t>达到业绩承诺条件的，增发股份自本次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发行完成之日起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后分别解锁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50%</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安林冲</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97" w:right="0"/>
              <w:jc w:val="left"/>
              <w:rPr>
                <w:rFonts w:ascii="Times New Roman" w:hAnsi="Times New Roman" w:cs="Times New Roman" w:eastAsia="Times New Roman" w:hint="default"/>
                <w:sz w:val="18"/>
                <w:szCs w:val="18"/>
              </w:rPr>
            </w:pPr>
            <w:r>
              <w:rPr>
                <w:rFonts w:ascii="Times New Roman"/>
                <w:sz w:val="18"/>
              </w:rPr>
              <w:t>335,003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112,500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133,502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356,005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首发后限售股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Times New Roman" w:hAnsi="Times New Roman" w:cs="Times New Roman" w:eastAsia="Times New Roman" w:hint="default"/>
                <w:sz w:val="18"/>
                <w:szCs w:val="18"/>
              </w:rPr>
            </w:pPr>
            <w:r>
              <w:rPr>
                <w:rFonts w:ascii="宋体" w:hAnsi="宋体" w:cs="宋体" w:eastAsia="宋体" w:hint="default"/>
                <w:spacing w:val="-5"/>
                <w:sz w:val="18"/>
                <w:szCs w:val="18"/>
              </w:rPr>
              <w:t>达到业绩承诺条件的，增发股份自本次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发行完成之日起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后分别解锁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50%</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仇宏远</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97" w:right="0"/>
              <w:jc w:val="left"/>
              <w:rPr>
                <w:rFonts w:ascii="Times New Roman" w:hAnsi="Times New Roman" w:cs="Times New Roman" w:eastAsia="Times New Roman" w:hint="default"/>
                <w:sz w:val="18"/>
                <w:szCs w:val="18"/>
              </w:rPr>
            </w:pPr>
            <w:r>
              <w:rPr>
                <w:rFonts w:ascii="Times New Roman"/>
                <w:sz w:val="18"/>
              </w:rPr>
              <w:t>333,753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pacing w:val="-3"/>
                <w:sz w:val="18"/>
              </w:rPr>
              <w:t>111,250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133,502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356,005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首发后限售股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Times New Roman" w:hAnsi="Times New Roman" w:cs="Times New Roman" w:eastAsia="Times New Roman" w:hint="default"/>
                <w:sz w:val="18"/>
                <w:szCs w:val="18"/>
              </w:rPr>
            </w:pPr>
            <w:r>
              <w:rPr>
                <w:rFonts w:ascii="宋体" w:hAnsi="宋体" w:cs="宋体" w:eastAsia="宋体" w:hint="default"/>
                <w:spacing w:val="-5"/>
                <w:sz w:val="18"/>
                <w:szCs w:val="18"/>
              </w:rPr>
              <w:t>达到业绩承诺条件的，增发股份自本次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发行完成之日起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后分别解锁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50%</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郭玉智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97" w:right="0"/>
              <w:jc w:val="left"/>
              <w:rPr>
                <w:rFonts w:ascii="Times New Roman" w:hAnsi="Times New Roman" w:cs="Times New Roman" w:eastAsia="Times New Roman" w:hint="default"/>
                <w:sz w:val="18"/>
                <w:szCs w:val="18"/>
              </w:rPr>
            </w:pPr>
            <w:r>
              <w:rPr>
                <w:rFonts w:ascii="Times New Roman"/>
                <w:sz w:val="18"/>
              </w:rPr>
              <w:t>333,753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pacing w:val="-3"/>
                <w:sz w:val="18"/>
              </w:rPr>
              <w:t>111,250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133,502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356,005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首发后限售股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Times New Roman" w:hAnsi="Times New Roman" w:cs="Times New Roman" w:eastAsia="Times New Roman" w:hint="default"/>
                <w:sz w:val="18"/>
                <w:szCs w:val="18"/>
              </w:rPr>
            </w:pPr>
            <w:r>
              <w:rPr>
                <w:rFonts w:ascii="宋体" w:hAnsi="宋体" w:cs="宋体" w:eastAsia="宋体" w:hint="default"/>
                <w:spacing w:val="-5"/>
                <w:sz w:val="18"/>
                <w:szCs w:val="18"/>
              </w:rPr>
              <w:t>达到业绩承诺条件的，增发股份自本次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发行完成之日起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后分别解锁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50%</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邓炽成</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97" w:right="0"/>
              <w:jc w:val="left"/>
              <w:rPr>
                <w:rFonts w:ascii="Times New Roman" w:hAnsi="Times New Roman" w:cs="Times New Roman" w:eastAsia="Times New Roman" w:hint="default"/>
                <w:sz w:val="18"/>
                <w:szCs w:val="18"/>
              </w:rPr>
            </w:pPr>
            <w:r>
              <w:rPr>
                <w:rFonts w:ascii="Times New Roman"/>
                <w:sz w:val="18"/>
              </w:rPr>
              <w:t>282,100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120,900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96,720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257,920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首发后限售股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Times New Roman" w:hAnsi="Times New Roman" w:cs="Times New Roman" w:eastAsia="Times New Roman" w:hint="default"/>
                <w:sz w:val="18"/>
                <w:szCs w:val="18"/>
              </w:rPr>
            </w:pPr>
            <w:r>
              <w:rPr>
                <w:rFonts w:ascii="宋体" w:hAnsi="宋体" w:cs="宋体" w:eastAsia="宋体" w:hint="default"/>
                <w:spacing w:val="-5"/>
                <w:sz w:val="18"/>
                <w:szCs w:val="18"/>
              </w:rPr>
              <w:t>达到业绩承诺条件的，增发股份自本次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发行完成之日起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后分别解锁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40%</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水军</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97" w:right="0"/>
              <w:jc w:val="left"/>
              <w:rPr>
                <w:rFonts w:ascii="Times New Roman" w:hAnsi="Times New Roman" w:cs="Times New Roman" w:eastAsia="Times New Roman" w:hint="default"/>
                <w:sz w:val="18"/>
                <w:szCs w:val="18"/>
              </w:rPr>
            </w:pPr>
            <w:r>
              <w:rPr>
                <w:rFonts w:ascii="Times New Roman"/>
                <w:sz w:val="18"/>
              </w:rPr>
              <w:t>282,100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120,900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96,720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257,920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首发后限售股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Times New Roman" w:hAnsi="Times New Roman" w:cs="Times New Roman" w:eastAsia="Times New Roman" w:hint="default"/>
                <w:sz w:val="18"/>
                <w:szCs w:val="18"/>
              </w:rPr>
            </w:pPr>
            <w:r>
              <w:rPr>
                <w:rFonts w:ascii="宋体" w:hAnsi="宋体" w:cs="宋体" w:eastAsia="宋体" w:hint="default"/>
                <w:spacing w:val="-5"/>
                <w:sz w:val="18"/>
                <w:szCs w:val="18"/>
              </w:rPr>
              <w:t>达到业绩承诺条件的，增发股份自本次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发行完成之日起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后分别解锁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40%</w:t>
            </w:r>
          </w:p>
        </w:tc>
      </w:tr>
      <w:tr>
        <w:trPr>
          <w:trHeight w:val="67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包志翔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97" w:right="0"/>
              <w:jc w:val="left"/>
              <w:rPr>
                <w:rFonts w:ascii="Times New Roman" w:hAnsi="Times New Roman" w:cs="Times New Roman" w:eastAsia="Times New Roman" w:hint="default"/>
                <w:sz w:val="18"/>
                <w:szCs w:val="18"/>
              </w:rPr>
            </w:pPr>
            <w:r>
              <w:rPr>
                <w:rFonts w:ascii="Times New Roman"/>
                <w:sz w:val="18"/>
              </w:rPr>
              <w:t>222,501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74,167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89,001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237,335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首发后限售股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5"/>
                <w:sz w:val="18"/>
                <w:szCs w:val="18"/>
              </w:rPr>
              <w:t>达到业绩承诺条件的，增发股份自本次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发行完成之日起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51"/>
        <w:gridCol w:w="992"/>
        <w:gridCol w:w="1134"/>
        <w:gridCol w:w="992"/>
        <w:gridCol w:w="1276"/>
        <w:gridCol w:w="1276"/>
        <w:gridCol w:w="3048"/>
      </w:tblGrid>
      <w:tr>
        <w:trPr>
          <w:trHeight w:val="362" w:hRule="exact"/>
        </w:trPr>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后分别解锁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50%</w:t>
            </w:r>
          </w:p>
        </w:tc>
      </w:tr>
      <w:tr>
        <w:trPr>
          <w:trHeight w:val="357" w:hRule="exact"/>
        </w:trPr>
        <w:tc>
          <w:tcPr>
            <w:tcW w:w="851"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30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5"/>
                <w:sz w:val="18"/>
                <w:szCs w:val="18"/>
              </w:rPr>
              <w:t>达到业绩承诺条件的，增发股份自本次</w:t>
            </w:r>
          </w:p>
        </w:tc>
      </w:tr>
      <w:tr>
        <w:trPr>
          <w:trHeight w:val="317" w:hRule="exact"/>
        </w:trPr>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49" w:right="0"/>
              <w:jc w:val="left"/>
              <w:rPr>
                <w:rFonts w:ascii="宋体" w:hAnsi="宋体" w:cs="宋体" w:eastAsia="宋体" w:hint="default"/>
                <w:sz w:val="18"/>
                <w:szCs w:val="18"/>
              </w:rPr>
            </w:pPr>
            <w:r>
              <w:rPr>
                <w:rFonts w:ascii="宋体" w:hAnsi="宋体" w:cs="宋体" w:eastAsia="宋体" w:hint="default"/>
                <w:sz w:val="18"/>
                <w:szCs w:val="18"/>
              </w:rPr>
              <w:t>韩海青</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222,501</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314" w:right="0"/>
              <w:jc w:val="left"/>
              <w:rPr>
                <w:rFonts w:ascii="Times New Roman" w:hAnsi="Times New Roman" w:cs="Times New Roman" w:eastAsia="Times New Roman" w:hint="default"/>
                <w:sz w:val="18"/>
                <w:szCs w:val="18"/>
              </w:rPr>
            </w:pPr>
            <w:r>
              <w:rPr>
                <w:rFonts w:ascii="Times New Roman"/>
                <w:sz w:val="18"/>
              </w:rPr>
              <w:t>74,167</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89,001</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340" w:right="0"/>
              <w:jc w:val="left"/>
              <w:rPr>
                <w:rFonts w:ascii="Times New Roman" w:hAnsi="Times New Roman" w:cs="Times New Roman" w:eastAsia="Times New Roman" w:hint="default"/>
                <w:sz w:val="18"/>
                <w:szCs w:val="18"/>
              </w:rPr>
            </w:pPr>
            <w:r>
              <w:rPr>
                <w:rFonts w:ascii="Times New Roman"/>
                <w:sz w:val="18"/>
              </w:rPr>
              <w:t>237,335</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首发后限售股</w:t>
            </w:r>
          </w:p>
        </w:tc>
        <w:tc>
          <w:tcPr>
            <w:tcW w:w="30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发行完成之日起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52" w:hRule="exact"/>
        </w:trPr>
        <w:tc>
          <w:tcPr>
            <w:tcW w:w="851"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30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后分别解锁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50%</w:t>
            </w:r>
          </w:p>
        </w:tc>
      </w:tr>
      <w:tr>
        <w:trPr>
          <w:trHeight w:val="357" w:hRule="exact"/>
        </w:trPr>
        <w:tc>
          <w:tcPr>
            <w:tcW w:w="851"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30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5"/>
                <w:sz w:val="18"/>
                <w:szCs w:val="18"/>
              </w:rPr>
              <w:t>达到业绩承诺条件的，增发股份自本次</w:t>
            </w:r>
          </w:p>
        </w:tc>
      </w:tr>
      <w:tr>
        <w:trPr>
          <w:trHeight w:val="317" w:hRule="exact"/>
        </w:trPr>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9" w:right="0"/>
              <w:jc w:val="left"/>
              <w:rPr>
                <w:rFonts w:ascii="宋体" w:hAnsi="宋体" w:cs="宋体" w:eastAsia="宋体" w:hint="default"/>
                <w:sz w:val="18"/>
                <w:szCs w:val="18"/>
              </w:rPr>
            </w:pPr>
            <w:r>
              <w:rPr>
                <w:rFonts w:ascii="宋体" w:hAnsi="宋体" w:cs="宋体" w:eastAsia="宋体" w:hint="default"/>
                <w:sz w:val="18"/>
                <w:szCs w:val="18"/>
              </w:rPr>
              <w:t>李佳</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222,501</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314" w:right="0"/>
              <w:jc w:val="left"/>
              <w:rPr>
                <w:rFonts w:ascii="Times New Roman" w:hAnsi="Times New Roman" w:cs="Times New Roman" w:eastAsia="Times New Roman" w:hint="default"/>
                <w:sz w:val="18"/>
                <w:szCs w:val="18"/>
              </w:rPr>
            </w:pPr>
            <w:r>
              <w:rPr>
                <w:rFonts w:ascii="Times New Roman"/>
                <w:sz w:val="18"/>
              </w:rPr>
              <w:t>74,167</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89,000</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340" w:right="0"/>
              <w:jc w:val="left"/>
              <w:rPr>
                <w:rFonts w:ascii="Times New Roman" w:hAnsi="Times New Roman" w:cs="Times New Roman" w:eastAsia="Times New Roman" w:hint="default"/>
                <w:sz w:val="18"/>
                <w:szCs w:val="18"/>
              </w:rPr>
            </w:pPr>
            <w:r>
              <w:rPr>
                <w:rFonts w:ascii="Times New Roman"/>
                <w:sz w:val="18"/>
              </w:rPr>
              <w:t>237,334</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首发后限售股</w:t>
            </w:r>
          </w:p>
        </w:tc>
        <w:tc>
          <w:tcPr>
            <w:tcW w:w="30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发行完成之日起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52" w:hRule="exact"/>
        </w:trPr>
        <w:tc>
          <w:tcPr>
            <w:tcW w:w="851"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30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后分别解锁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50%</w:t>
            </w:r>
          </w:p>
        </w:tc>
      </w:tr>
      <w:tr>
        <w:trPr>
          <w:trHeight w:val="357" w:hRule="exact"/>
        </w:trPr>
        <w:tc>
          <w:tcPr>
            <w:tcW w:w="851"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30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5"/>
                <w:sz w:val="18"/>
                <w:szCs w:val="18"/>
              </w:rPr>
              <w:t>达到业绩承诺条件的，增发股份自本次</w:t>
            </w:r>
          </w:p>
        </w:tc>
      </w:tr>
      <w:tr>
        <w:trPr>
          <w:trHeight w:val="317" w:hRule="exact"/>
        </w:trPr>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9" w:right="0"/>
              <w:jc w:val="left"/>
              <w:rPr>
                <w:rFonts w:ascii="宋体" w:hAnsi="宋体" w:cs="宋体" w:eastAsia="宋体" w:hint="default"/>
                <w:sz w:val="18"/>
                <w:szCs w:val="18"/>
              </w:rPr>
            </w:pPr>
            <w:r>
              <w:rPr>
                <w:rFonts w:ascii="宋体" w:hAnsi="宋体" w:cs="宋体" w:eastAsia="宋体" w:hint="default"/>
                <w:sz w:val="18"/>
                <w:szCs w:val="18"/>
              </w:rPr>
              <w:t>任炜</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222,501</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314" w:right="0"/>
              <w:jc w:val="left"/>
              <w:rPr>
                <w:rFonts w:ascii="Times New Roman" w:hAnsi="Times New Roman" w:cs="Times New Roman" w:eastAsia="Times New Roman" w:hint="default"/>
                <w:sz w:val="18"/>
                <w:szCs w:val="18"/>
              </w:rPr>
            </w:pPr>
            <w:r>
              <w:rPr>
                <w:rFonts w:ascii="Times New Roman"/>
                <w:sz w:val="18"/>
              </w:rPr>
              <w:t>74,167</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89,000</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340" w:right="0"/>
              <w:jc w:val="left"/>
              <w:rPr>
                <w:rFonts w:ascii="Times New Roman" w:hAnsi="Times New Roman" w:cs="Times New Roman" w:eastAsia="Times New Roman" w:hint="default"/>
                <w:sz w:val="18"/>
                <w:szCs w:val="18"/>
              </w:rPr>
            </w:pPr>
            <w:r>
              <w:rPr>
                <w:rFonts w:ascii="Times New Roman"/>
                <w:sz w:val="18"/>
              </w:rPr>
              <w:t>237,334</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首发后限售股</w:t>
            </w:r>
          </w:p>
        </w:tc>
        <w:tc>
          <w:tcPr>
            <w:tcW w:w="30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发行完成之日起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52" w:hRule="exact"/>
        </w:trPr>
        <w:tc>
          <w:tcPr>
            <w:tcW w:w="851"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30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后分别解锁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50%</w:t>
            </w:r>
          </w:p>
        </w:tc>
      </w:tr>
      <w:tr>
        <w:trPr>
          <w:trHeight w:val="357" w:hRule="exact"/>
        </w:trPr>
        <w:tc>
          <w:tcPr>
            <w:tcW w:w="851"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30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5"/>
                <w:sz w:val="18"/>
                <w:szCs w:val="18"/>
              </w:rPr>
              <w:t>达到业绩承诺条件的，增发股份自本次</w:t>
            </w:r>
          </w:p>
        </w:tc>
      </w:tr>
      <w:tr>
        <w:trPr>
          <w:trHeight w:val="317" w:hRule="exact"/>
        </w:trPr>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49" w:right="0"/>
              <w:jc w:val="left"/>
              <w:rPr>
                <w:rFonts w:ascii="宋体" w:hAnsi="宋体" w:cs="宋体" w:eastAsia="宋体" w:hint="default"/>
                <w:sz w:val="18"/>
                <w:szCs w:val="18"/>
              </w:rPr>
            </w:pPr>
            <w:r>
              <w:rPr>
                <w:rFonts w:ascii="宋体" w:hAnsi="宋体" w:cs="宋体" w:eastAsia="宋体" w:hint="default"/>
                <w:sz w:val="18"/>
                <w:szCs w:val="18"/>
              </w:rPr>
              <w:t>王亚明</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222,501</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314" w:right="0"/>
              <w:jc w:val="left"/>
              <w:rPr>
                <w:rFonts w:ascii="Times New Roman" w:hAnsi="Times New Roman" w:cs="Times New Roman" w:eastAsia="Times New Roman" w:hint="default"/>
                <w:sz w:val="18"/>
                <w:szCs w:val="18"/>
              </w:rPr>
            </w:pPr>
            <w:r>
              <w:rPr>
                <w:rFonts w:ascii="Times New Roman"/>
                <w:sz w:val="18"/>
              </w:rPr>
              <w:t>74,167</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89,000</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340" w:right="0"/>
              <w:jc w:val="left"/>
              <w:rPr>
                <w:rFonts w:ascii="Times New Roman" w:hAnsi="Times New Roman" w:cs="Times New Roman" w:eastAsia="Times New Roman" w:hint="default"/>
                <w:sz w:val="18"/>
                <w:szCs w:val="18"/>
              </w:rPr>
            </w:pPr>
            <w:r>
              <w:rPr>
                <w:rFonts w:ascii="Times New Roman"/>
                <w:sz w:val="18"/>
              </w:rPr>
              <w:t>237,334</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首发后限售股</w:t>
            </w:r>
          </w:p>
        </w:tc>
        <w:tc>
          <w:tcPr>
            <w:tcW w:w="30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发行完成之日起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52" w:hRule="exact"/>
        </w:trPr>
        <w:tc>
          <w:tcPr>
            <w:tcW w:w="851"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30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后分别解锁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50%</w:t>
            </w:r>
          </w:p>
        </w:tc>
      </w:tr>
      <w:tr>
        <w:trPr>
          <w:trHeight w:val="357" w:hRule="exact"/>
        </w:trPr>
        <w:tc>
          <w:tcPr>
            <w:tcW w:w="851"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30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5"/>
                <w:sz w:val="18"/>
                <w:szCs w:val="18"/>
              </w:rPr>
              <w:t>达到业绩承诺条件的，增发股份自本次</w:t>
            </w:r>
          </w:p>
        </w:tc>
      </w:tr>
      <w:tr>
        <w:trPr>
          <w:trHeight w:val="317" w:hRule="exact"/>
        </w:trPr>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49" w:right="0"/>
              <w:jc w:val="left"/>
              <w:rPr>
                <w:rFonts w:ascii="宋体" w:hAnsi="宋体" w:cs="宋体" w:eastAsia="宋体" w:hint="default"/>
                <w:sz w:val="18"/>
                <w:szCs w:val="18"/>
              </w:rPr>
            </w:pPr>
            <w:r>
              <w:rPr>
                <w:rFonts w:ascii="宋体" w:hAnsi="宋体" w:cs="宋体" w:eastAsia="宋体" w:hint="default"/>
                <w:sz w:val="18"/>
                <w:szCs w:val="18"/>
              </w:rPr>
              <w:t>叶树军</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222,501</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314" w:right="0"/>
              <w:jc w:val="left"/>
              <w:rPr>
                <w:rFonts w:ascii="Times New Roman" w:hAnsi="Times New Roman" w:cs="Times New Roman" w:eastAsia="Times New Roman" w:hint="default"/>
                <w:sz w:val="18"/>
                <w:szCs w:val="18"/>
              </w:rPr>
            </w:pPr>
            <w:r>
              <w:rPr>
                <w:rFonts w:ascii="Times New Roman"/>
                <w:sz w:val="18"/>
              </w:rPr>
              <w:t>74,167</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89,000</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340" w:right="0"/>
              <w:jc w:val="left"/>
              <w:rPr>
                <w:rFonts w:ascii="Times New Roman" w:hAnsi="Times New Roman" w:cs="Times New Roman" w:eastAsia="Times New Roman" w:hint="default"/>
                <w:sz w:val="18"/>
                <w:szCs w:val="18"/>
              </w:rPr>
            </w:pPr>
            <w:r>
              <w:rPr>
                <w:rFonts w:ascii="Times New Roman"/>
                <w:sz w:val="18"/>
              </w:rPr>
              <w:t>237,334</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首发后限售股</w:t>
            </w:r>
          </w:p>
        </w:tc>
        <w:tc>
          <w:tcPr>
            <w:tcW w:w="30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发行完成之日起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52" w:hRule="exact"/>
        </w:trPr>
        <w:tc>
          <w:tcPr>
            <w:tcW w:w="851"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30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后分别解锁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50%</w:t>
            </w:r>
          </w:p>
        </w:tc>
      </w:tr>
      <w:tr>
        <w:trPr>
          <w:trHeight w:val="357" w:hRule="exact"/>
        </w:trPr>
        <w:tc>
          <w:tcPr>
            <w:tcW w:w="851"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30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5"/>
                <w:sz w:val="18"/>
                <w:szCs w:val="18"/>
              </w:rPr>
              <w:t>达到业绩承诺条件的，增发股份自本次</w:t>
            </w:r>
          </w:p>
        </w:tc>
      </w:tr>
      <w:tr>
        <w:trPr>
          <w:trHeight w:val="317" w:hRule="exact"/>
        </w:trPr>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49" w:right="0"/>
              <w:jc w:val="left"/>
              <w:rPr>
                <w:rFonts w:ascii="宋体" w:hAnsi="宋体" w:cs="宋体" w:eastAsia="宋体" w:hint="default"/>
                <w:sz w:val="18"/>
                <w:szCs w:val="18"/>
              </w:rPr>
            </w:pPr>
            <w:r>
              <w:rPr>
                <w:rFonts w:ascii="宋体" w:hAnsi="宋体" w:cs="宋体" w:eastAsia="宋体" w:hint="default"/>
                <w:sz w:val="18"/>
                <w:szCs w:val="18"/>
              </w:rPr>
              <w:t>张红光</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222,501</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314" w:right="0"/>
              <w:jc w:val="left"/>
              <w:rPr>
                <w:rFonts w:ascii="Times New Roman" w:hAnsi="Times New Roman" w:cs="Times New Roman" w:eastAsia="Times New Roman" w:hint="default"/>
                <w:sz w:val="18"/>
                <w:szCs w:val="18"/>
              </w:rPr>
            </w:pPr>
            <w:r>
              <w:rPr>
                <w:rFonts w:ascii="Times New Roman"/>
                <w:sz w:val="18"/>
              </w:rPr>
              <w:t>74,167</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89,000</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340" w:right="0"/>
              <w:jc w:val="left"/>
              <w:rPr>
                <w:rFonts w:ascii="Times New Roman" w:hAnsi="Times New Roman" w:cs="Times New Roman" w:eastAsia="Times New Roman" w:hint="default"/>
                <w:sz w:val="18"/>
                <w:szCs w:val="18"/>
              </w:rPr>
            </w:pPr>
            <w:r>
              <w:rPr>
                <w:rFonts w:ascii="Times New Roman"/>
                <w:sz w:val="18"/>
              </w:rPr>
              <w:t>237,334</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首发后限售股</w:t>
            </w:r>
          </w:p>
        </w:tc>
        <w:tc>
          <w:tcPr>
            <w:tcW w:w="30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发行完成之日起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52" w:hRule="exact"/>
        </w:trPr>
        <w:tc>
          <w:tcPr>
            <w:tcW w:w="851"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30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后分别解锁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50%</w:t>
            </w:r>
          </w:p>
        </w:tc>
      </w:tr>
      <w:tr>
        <w:trPr>
          <w:trHeight w:val="357" w:hRule="exact"/>
        </w:trPr>
        <w:tc>
          <w:tcPr>
            <w:tcW w:w="851"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30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根据公司第二期限制性股票激励计划</w:t>
            </w:r>
          </w:p>
        </w:tc>
      </w:tr>
      <w:tr>
        <w:trPr>
          <w:trHeight w:val="312" w:hRule="exact"/>
        </w:trPr>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59"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0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（草案）的有关规定执行解锁及回购注</w:t>
            </w:r>
          </w:p>
        </w:tc>
      </w:tr>
      <w:tr>
        <w:trPr>
          <w:trHeight w:val="628" w:hRule="exact"/>
        </w:trPr>
        <w:tc>
          <w:tcPr>
            <w:tcW w:w="85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firstLine="37"/>
              <w:jc w:val="left"/>
              <w:rPr>
                <w:rFonts w:ascii="Times New Roman" w:hAnsi="Times New Roman" w:cs="Times New Roman" w:eastAsia="Times New Roman" w:hint="default"/>
                <w:sz w:val="18"/>
                <w:szCs w:val="18"/>
              </w:rPr>
            </w:pPr>
            <w:r>
              <w:rPr>
                <w:rFonts w:ascii="宋体" w:hAnsi="宋体" w:cs="宋体" w:eastAsia="宋体" w:hint="default"/>
                <w:sz w:val="18"/>
                <w:szCs w:val="18"/>
              </w:rPr>
              <w:t>对象（首 </w:t>
            </w:r>
            <w:r>
              <w:rPr>
                <w:rFonts w:ascii="宋体" w:hAnsi="宋体" w:cs="宋体" w:eastAsia="宋体" w:hint="default"/>
                <w:spacing w:val="-20"/>
                <w:sz w:val="18"/>
                <w:szCs w:val="18"/>
              </w:rPr>
              <w:t>次）共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550</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6,260,540</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280,288</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3,620,292</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72" w:right="0"/>
              <w:jc w:val="left"/>
              <w:rPr>
                <w:rFonts w:ascii="Times New Roman" w:hAnsi="Times New Roman" w:cs="Times New Roman" w:eastAsia="Times New Roman" w:hint="default"/>
                <w:sz w:val="18"/>
                <w:szCs w:val="18"/>
              </w:rPr>
            </w:pPr>
            <w:r>
              <w:rPr>
                <w:rFonts w:ascii="Times New Roman"/>
                <w:sz w:val="18"/>
              </w:rPr>
              <w:t>9,600,544</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542" w:right="91" w:hanging="450"/>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3048"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2" w:right="44"/>
              <w:jc w:val="left"/>
              <w:rPr>
                <w:rFonts w:ascii="宋体" w:hAnsi="宋体" w:cs="宋体" w:eastAsia="宋体" w:hint="default"/>
                <w:sz w:val="18"/>
                <w:szCs w:val="18"/>
              </w:rPr>
            </w:pPr>
            <w:r>
              <w:rPr>
                <w:rFonts w:ascii="宋体" w:hAnsi="宋体" w:cs="宋体" w:eastAsia="宋体" w:hint="default"/>
                <w:sz w:val="18"/>
                <w:szCs w:val="18"/>
              </w:rPr>
              <w:t>销。报告期内，完成回购注销原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 激励对象持有的股权激励限售股份</w:t>
            </w:r>
          </w:p>
        </w:tc>
      </w:tr>
      <w:tr>
        <w:trPr>
          <w:trHeight w:val="313" w:hRule="exact"/>
        </w:trPr>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人</w:t>
            </w: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30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280,288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股。激励对象由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550 </w:t>
            </w:r>
            <w:r>
              <w:rPr>
                <w:rFonts w:ascii="宋体" w:hAnsi="宋体" w:cs="宋体" w:eastAsia="宋体" w:hint="default"/>
                <w:sz w:val="18"/>
                <w:szCs w:val="18"/>
              </w:rPr>
              <w:t>人调整为</w:t>
            </w:r>
          </w:p>
        </w:tc>
      </w:tr>
      <w:tr>
        <w:trPr>
          <w:trHeight w:val="352" w:hRule="exact"/>
        </w:trPr>
        <w:tc>
          <w:tcPr>
            <w:tcW w:w="851"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30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195,431,487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7" w:right="0"/>
              <w:jc w:val="left"/>
              <w:rPr>
                <w:rFonts w:ascii="Times New Roman" w:hAnsi="Times New Roman" w:cs="Times New Roman" w:eastAsia="Times New Roman" w:hint="default"/>
                <w:sz w:val="18"/>
                <w:szCs w:val="18"/>
              </w:rPr>
            </w:pPr>
            <w:r>
              <w:rPr>
                <w:rFonts w:ascii="Times New Roman"/>
                <w:sz w:val="18"/>
              </w:rPr>
              <w:t>10,870,114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119,166,480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3" w:right="0"/>
              <w:jc w:val="left"/>
              <w:rPr>
                <w:rFonts w:ascii="Times New Roman" w:hAnsi="Times New Roman" w:cs="Times New Roman" w:eastAsia="Times New Roman" w:hint="default"/>
                <w:sz w:val="18"/>
                <w:szCs w:val="18"/>
              </w:rPr>
            </w:pPr>
            <w:r>
              <w:rPr>
                <w:rFonts w:ascii="Times New Roman"/>
                <w:sz w:val="18"/>
              </w:rPr>
              <w:t>303,727,853</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0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pStyle w:val="BodyText"/>
        <w:spacing w:line="240" w:lineRule="auto" w:before="155"/>
        <w:ind w:left="574" w:right="0"/>
        <w:jc w:val="left"/>
      </w:pPr>
      <w:r>
        <w:rPr/>
        <w:t>本报告期初，公司股份总数</w:t>
      </w:r>
      <w:r>
        <w:rPr>
          <w:rFonts w:ascii="Times New Roman" w:hAnsi="Times New Roman" w:cs="Times New Roman" w:eastAsia="Times New Roman" w:hint="default"/>
        </w:rPr>
        <w:t>497,030,706</w:t>
      </w:r>
      <w:r>
        <w:rPr/>
        <w:t>股。</w:t>
      </w:r>
    </w:p>
    <w:p>
      <w:pPr>
        <w:spacing w:line="240" w:lineRule="auto" w:before="8"/>
        <w:rPr>
          <w:rFonts w:ascii="宋体" w:hAnsi="宋体" w:cs="宋体" w:eastAsia="宋体" w:hint="default"/>
          <w:sz w:val="16"/>
          <w:szCs w:val="16"/>
        </w:rPr>
      </w:pPr>
    </w:p>
    <w:p>
      <w:pPr>
        <w:pStyle w:val="BodyText"/>
        <w:spacing w:line="386" w:lineRule="auto"/>
        <w:ind w:right="1161" w:firstLine="42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日，公司实施了</w:t>
      </w:r>
      <w:r>
        <w:rPr>
          <w:rFonts w:ascii="Times New Roman" w:hAnsi="Times New Roman" w:cs="Times New Roman" w:eastAsia="Times New Roman" w:hint="default"/>
        </w:rPr>
        <w:t>2017</w:t>
      </w:r>
      <w:r>
        <w:rPr/>
        <w:t>年年度权益分派，以公司总股本</w:t>
      </w:r>
      <w:r>
        <w:rPr>
          <w:rFonts w:ascii="Times New Roman" w:hAnsi="Times New Roman" w:cs="Times New Roman" w:eastAsia="Times New Roman" w:hint="default"/>
        </w:rPr>
        <w:t>496,803,986</w:t>
      </w:r>
      <w:r>
        <w:rPr/>
        <w:t>（实施权益分派时公司 总股本</w:t>
      </w:r>
      <w:r>
        <w:rPr>
          <w:rFonts w:ascii="Times New Roman" w:hAnsi="Times New Roman" w:cs="Times New Roman" w:eastAsia="Times New Roman" w:hint="default"/>
        </w:rPr>
        <w:t>497,030,706</w:t>
      </w:r>
      <w:r>
        <w:rPr/>
        <w:t>股，扣除</w:t>
      </w:r>
      <w:r>
        <w:rPr>
          <w:rFonts w:ascii="Times New Roman" w:hAnsi="Times New Roman" w:cs="Times New Roman" w:eastAsia="Times New Roman" w:hint="default"/>
        </w:rPr>
        <w:t>226,720</w:t>
      </w:r>
      <w:r>
        <w:rPr/>
        <w:t>股待注销的股权激励限制性股票）为基数，向全体股东每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2</w:t>
      </w:r>
      <w:r>
        <w:rPr/>
        <w:t>元人 民币现金（含税），同时以资本公积金向全体股东每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股，共计转增</w:t>
      </w:r>
      <w:r>
        <w:rPr>
          <w:rFonts w:ascii="Times New Roman" w:hAnsi="Times New Roman" w:cs="Times New Roman" w:eastAsia="Times New Roman" w:hint="default"/>
        </w:rPr>
        <w:t>298,082,391</w:t>
      </w:r>
      <w:r>
        <w:rPr/>
        <w:t>股。本次权益分</w:t>
      </w:r>
    </w:p>
    <w:p>
      <w:pPr>
        <w:spacing w:after="0" w:line="386" w:lineRule="auto"/>
        <w:jc w:val="both"/>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0"/>
        <w:jc w:val="left"/>
      </w:pPr>
      <w:r>
        <w:rPr/>
        <w:t>派实施后，公司总股本由</w:t>
      </w:r>
      <w:r>
        <w:rPr>
          <w:rFonts w:ascii="Times New Roman" w:hAnsi="Times New Roman" w:cs="Times New Roman" w:eastAsia="Times New Roman" w:hint="default"/>
        </w:rPr>
        <w:t>496,803,986</w:t>
      </w:r>
      <w:r>
        <w:rPr/>
        <w:t>股增至</w:t>
      </w:r>
      <w:r>
        <w:rPr>
          <w:rFonts w:ascii="Times New Roman" w:hAnsi="Times New Roman" w:cs="Times New Roman" w:eastAsia="Times New Roman" w:hint="default"/>
        </w:rPr>
        <w:t>794,886,377</w:t>
      </w:r>
      <w:r>
        <w:rPr/>
        <w:t>股。</w:t>
      </w:r>
    </w:p>
    <w:p>
      <w:pPr>
        <w:spacing w:line="240" w:lineRule="auto" w:before="6"/>
        <w:rPr>
          <w:rFonts w:ascii="宋体" w:hAnsi="宋体" w:cs="宋体" w:eastAsia="宋体" w:hint="default"/>
          <w:sz w:val="16"/>
          <w:szCs w:val="16"/>
        </w:rPr>
      </w:pPr>
    </w:p>
    <w:p>
      <w:pPr>
        <w:pStyle w:val="BodyText"/>
        <w:spacing w:line="386" w:lineRule="auto"/>
        <w:ind w:right="0" w:firstLine="419"/>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日公司在中国证券登记结算有限责任公司深圳分完成限制性股票回购注销手续。本次回 购的限制性股票涉及股权激励对象</w:t>
      </w:r>
      <w:r>
        <w:rPr>
          <w:rFonts w:ascii="Times New Roman" w:hAnsi="Times New Roman" w:cs="Times New Roman" w:eastAsia="Times New Roman" w:hint="default"/>
        </w:rPr>
        <w:t>17</w:t>
      </w:r>
      <w:r>
        <w:rPr/>
        <w:t>人，回购注销的股权激励限售股份数量为</w:t>
      </w:r>
      <w:r>
        <w:rPr>
          <w:rFonts w:ascii="Times New Roman" w:hAnsi="Times New Roman" w:cs="Times New Roman" w:eastAsia="Times New Roman" w:hint="default"/>
        </w:rPr>
        <w:t>226,720</w:t>
      </w:r>
      <w:r>
        <w:rPr/>
        <w:t>股，详见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 </w:t>
      </w:r>
      <w:r>
        <w:rPr>
          <w:rFonts w:ascii="Times New Roman" w:hAnsi="Times New Roman" w:cs="Times New Roman" w:eastAsia="Times New Roman" w:hint="default"/>
        </w:rPr>
        <w:t>15</w:t>
      </w:r>
      <w:r>
        <w:rPr/>
        <w:t>日公司发布在巨潮资讯网</w:t>
      </w:r>
      <w:r>
        <w:rPr>
          <w:spacing w:val="-37"/>
        </w:rPr>
        <w:t> </w:t>
      </w:r>
      <w:hyperlink r:id="rId15">
        <w:r>
          <w:rPr>
            <w:rFonts w:ascii="Times New Roman" w:hAnsi="Times New Roman" w:cs="Times New Roman" w:eastAsia="Times New Roman" w:hint="default"/>
          </w:rPr>
          <w:t>www.cninfo.com.cn</w:t>
        </w:r>
        <w:r>
          <w:rPr/>
          <w:t>的</w:t>
        </w:r>
      </w:hyperlink>
      <w:r>
        <w:rPr/>
        <w:t>《关于部分限制性股票回购注销完成的公告》。2</w:t>
      </w:r>
      <w:r>
        <w:rPr>
          <w:rFonts w:ascii="Times New Roman" w:hAnsi="Times New Roman" w:cs="Times New Roman" w:eastAsia="Times New Roman" w:hint="default"/>
        </w:rPr>
        <w:t>019</w:t>
      </w:r>
      <w:r>
        <w:rPr/>
        <w:t>年</w:t>
      </w:r>
      <w:r>
        <w:rPr>
          <w:rFonts w:ascii="Times New Roman" w:hAnsi="Times New Roman" w:cs="Times New Roman" w:eastAsia="Times New Roman" w:hint="default"/>
        </w:rPr>
        <w:t>1 </w:t>
      </w:r>
      <w:r>
        <w:rPr/>
        <w:t>月</w:t>
      </w:r>
      <w:r>
        <w:rPr>
          <w:rFonts w:ascii="Times New Roman" w:hAnsi="Times New Roman" w:cs="Times New Roman" w:eastAsia="Times New Roman" w:hint="default"/>
        </w:rPr>
        <w:t>3</w:t>
      </w:r>
      <w:r>
        <w:rPr/>
        <w:t>日，公司发布了《关于部分限制性股票回购注销完成的公告》，本次回购的限制性股票涉及股权激励 </w:t>
      </w:r>
      <w:r>
        <w:rPr>
          <w:spacing w:val="-2"/>
        </w:rPr>
        <w:t>对象</w:t>
      </w:r>
      <w:r>
        <w:rPr>
          <w:rFonts w:ascii="Times New Roman" w:hAnsi="Times New Roman" w:cs="Times New Roman" w:eastAsia="Times New Roman" w:hint="default"/>
          <w:spacing w:val="-2"/>
        </w:rPr>
        <w:t>7</w:t>
      </w:r>
      <w:r>
        <w:rPr>
          <w:spacing w:val="-2"/>
        </w:rPr>
        <w:t>人，回购注销的股票数量</w:t>
      </w:r>
      <w:r>
        <w:rPr>
          <w:rFonts w:ascii="Times New Roman" w:hAnsi="Times New Roman" w:cs="Times New Roman" w:eastAsia="Times New Roman" w:hint="default"/>
          <w:spacing w:val="-2"/>
        </w:rPr>
        <w:t>53,568</w:t>
      </w:r>
      <w:r>
        <w:rPr>
          <w:spacing w:val="-2"/>
        </w:rPr>
        <w:t>股。该部分限制性股票于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w:t>
      </w:r>
      <w:r>
        <w:rPr>
          <w:spacing w:val="-2"/>
        </w:rPr>
        <w:t>日在中国证券登记结算有限责任</w:t>
      </w:r>
      <w:r>
        <w:rPr>
          <w:spacing w:val="-86"/>
        </w:rPr>
        <w:t> </w:t>
      </w:r>
      <w:r>
        <w:rPr>
          <w:spacing w:val="-86"/>
        </w:rPr>
      </w:r>
      <w:r>
        <w:rPr>
          <w:spacing w:val="-3"/>
        </w:rPr>
        <w:t>公司深圳分公司完成回购注销手续。本次回购注销完成后，公司总股本由</w:t>
      </w:r>
      <w:r>
        <w:rPr>
          <w:rFonts w:ascii="Times New Roman" w:hAnsi="Times New Roman" w:cs="Times New Roman" w:eastAsia="Times New Roman" w:hint="default"/>
          <w:spacing w:val="-3"/>
        </w:rPr>
        <w:t>794,886,377</w:t>
      </w:r>
      <w:r>
        <w:rPr>
          <w:spacing w:val="-3"/>
        </w:rPr>
        <w:t>股减至</w:t>
      </w:r>
      <w:r>
        <w:rPr>
          <w:rFonts w:ascii="Times New Roman" w:hAnsi="Times New Roman" w:cs="Times New Roman" w:eastAsia="Times New Roman" w:hint="default"/>
          <w:spacing w:val="-3"/>
        </w:rPr>
        <w:t>794,832,809</w:t>
      </w:r>
      <w:r>
        <w:rPr>
          <w:spacing w:val="-3"/>
        </w:rPr>
        <w:t>股。</w:t>
      </w:r>
      <w:r>
        <w:rPr/>
      </w:r>
    </w:p>
    <w:p>
      <w:pPr>
        <w:spacing w:line="240" w:lineRule="auto" w:before="9"/>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6"/>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三、股东和实际控制人情况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34"/>
        <w:gridCol w:w="509"/>
        <w:gridCol w:w="287"/>
        <w:gridCol w:w="750"/>
        <w:gridCol w:w="750"/>
        <w:gridCol w:w="1048"/>
        <w:gridCol w:w="109"/>
        <w:gridCol w:w="883"/>
        <w:gridCol w:w="446"/>
        <w:gridCol w:w="688"/>
        <w:gridCol w:w="376"/>
        <w:gridCol w:w="618"/>
        <w:gridCol w:w="850"/>
        <w:gridCol w:w="284"/>
        <w:gridCol w:w="639"/>
      </w:tblGrid>
      <w:tr>
        <w:trPr>
          <w:trHeight w:val="1338" w:hRule="exact"/>
        </w:trPr>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39"/>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7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9" w:right="0"/>
              <w:jc w:val="left"/>
              <w:rPr>
                <w:rFonts w:ascii="Times New Roman" w:hAnsi="Times New Roman" w:cs="Times New Roman" w:eastAsia="Times New Roman" w:hint="default"/>
                <w:sz w:val="18"/>
                <w:szCs w:val="18"/>
              </w:rPr>
            </w:pPr>
            <w:r>
              <w:rPr>
                <w:rFonts w:ascii="Times New Roman"/>
                <w:sz w:val="18"/>
              </w:rPr>
              <w:t>33,624</w:t>
            </w:r>
          </w:p>
        </w:tc>
        <w:tc>
          <w:tcPr>
            <w:tcW w:w="150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05"/>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30" w:right="0"/>
              <w:jc w:val="left"/>
              <w:rPr>
                <w:rFonts w:ascii="Times New Roman" w:hAnsi="Times New Roman" w:cs="Times New Roman" w:eastAsia="Times New Roman" w:hint="default"/>
                <w:sz w:val="18"/>
                <w:szCs w:val="18"/>
              </w:rPr>
            </w:pPr>
            <w:r>
              <w:rPr>
                <w:rFonts w:ascii="Times New Roman"/>
                <w:sz w:val="18"/>
              </w:rPr>
              <w:t>29,635</w:t>
            </w:r>
          </w:p>
        </w:tc>
        <w:tc>
          <w:tcPr>
            <w:tcW w:w="13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75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98"/>
              <w:jc w:val="both"/>
              <w:rPr>
                <w:rFonts w:ascii="宋体" w:hAnsi="宋体" w:cs="宋体" w:eastAsia="宋体" w:hint="default"/>
                <w:sz w:val="18"/>
                <w:szCs w:val="18"/>
              </w:rPr>
            </w:pPr>
            <w:r>
              <w:rPr>
                <w:rFonts w:ascii="宋体" w:hAnsi="宋体" w:cs="宋体" w:eastAsia="宋体" w:hint="default"/>
                <w:sz w:val="18"/>
                <w:szCs w:val="18"/>
              </w:rPr>
              <w:t>年度报告披露日前上 一月末表决权恢复的 优先股股东总数（如 </w:t>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70" w:type="dxa"/>
            <w:gridSpan w:val="1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84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5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3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5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9"/>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4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7" w:right="48"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1" w:right="38"/>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13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11" w:right="110"/>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40" w:right="41"/>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77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843" w:type="dxa"/>
            <w:gridSpan w:val="2"/>
            <w:vMerge/>
            <w:tcBorders>
              <w:left w:val="single" w:sz="4" w:space="0" w:color="000000"/>
              <w:bottom w:val="single" w:sz="4" w:space="0" w:color="000000"/>
              <w:right w:val="single" w:sz="4" w:space="0" w:color="000000"/>
            </w:tcBorders>
            <w:shd w:val="clear" w:color="auto" w:fill="D3D3D3"/>
          </w:tcPr>
          <w:p>
            <w:pPr/>
          </w:p>
        </w:tc>
        <w:tc>
          <w:tcPr>
            <w:tcW w:w="1037" w:type="dxa"/>
            <w:gridSpan w:val="2"/>
            <w:vMerge/>
            <w:tcBorders>
              <w:left w:val="single" w:sz="4" w:space="0" w:color="000000"/>
              <w:bottom w:val="single" w:sz="4" w:space="0" w:color="000000"/>
              <w:right w:val="single" w:sz="4" w:space="0" w:color="000000"/>
            </w:tcBorders>
            <w:shd w:val="clear" w:color="auto" w:fill="D3D3D3"/>
          </w:tcPr>
          <w:p>
            <w:pPr/>
          </w:p>
        </w:tc>
        <w:tc>
          <w:tcPr>
            <w:tcW w:w="750" w:type="dxa"/>
            <w:vMerge/>
            <w:tcBorders>
              <w:left w:val="single" w:sz="4" w:space="0" w:color="000000"/>
              <w:bottom w:val="single" w:sz="4" w:space="0" w:color="000000"/>
              <w:right w:val="single" w:sz="4" w:space="0" w:color="000000"/>
            </w:tcBorders>
            <w:shd w:val="clear" w:color="auto" w:fill="D3D3D3"/>
          </w:tcPr>
          <w:p>
            <w:pPr/>
          </w:p>
        </w:tc>
        <w:tc>
          <w:tcPr>
            <w:tcW w:w="1048" w:type="dxa"/>
            <w:vMerge/>
            <w:tcBorders>
              <w:left w:val="single" w:sz="4" w:space="0" w:color="000000"/>
              <w:bottom w:val="single" w:sz="4" w:space="0" w:color="000000"/>
              <w:right w:val="single" w:sz="4" w:space="0" w:color="000000"/>
            </w:tcBorders>
            <w:shd w:val="clear" w:color="auto" w:fill="D3D3D3"/>
          </w:tcPr>
          <w:p>
            <w:pPr/>
          </w:p>
        </w:tc>
        <w:tc>
          <w:tcPr>
            <w:tcW w:w="992" w:type="dxa"/>
            <w:gridSpan w:val="2"/>
            <w:vMerge/>
            <w:tcBorders>
              <w:left w:val="single" w:sz="4" w:space="0" w:color="000000"/>
              <w:bottom w:val="single" w:sz="4" w:space="0" w:color="000000"/>
              <w:right w:val="single" w:sz="4" w:space="0" w:color="000000"/>
            </w:tcBorders>
            <w:shd w:val="clear" w:color="auto" w:fill="D3D3D3"/>
          </w:tcPr>
          <w:p>
            <w:pPr/>
          </w:p>
        </w:tc>
        <w:tc>
          <w:tcPr>
            <w:tcW w:w="1134" w:type="dxa"/>
            <w:gridSpan w:val="2"/>
            <w:vMerge/>
            <w:tcBorders>
              <w:left w:val="single" w:sz="4" w:space="0" w:color="000000"/>
              <w:bottom w:val="single" w:sz="4" w:space="0" w:color="000000"/>
              <w:right w:val="single" w:sz="4" w:space="0" w:color="000000"/>
            </w:tcBorders>
            <w:shd w:val="clear" w:color="auto" w:fill="D3D3D3"/>
          </w:tcPr>
          <w:p>
            <w:pPr/>
          </w:p>
        </w:tc>
        <w:tc>
          <w:tcPr>
            <w:tcW w:w="994" w:type="dxa"/>
            <w:gridSpan w:val="2"/>
            <w:vMerge/>
            <w:tcBorders>
              <w:left w:val="single" w:sz="4" w:space="0" w:color="000000"/>
              <w:bottom w:val="single" w:sz="4" w:space="0" w:color="000000"/>
              <w:right w:val="single" w:sz="4" w:space="0" w:color="000000"/>
            </w:tcBorders>
            <w:shd w:val="clear" w:color="auto" w:fill="D3D3D3"/>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股份状态</w:t>
            </w:r>
          </w:p>
        </w:tc>
        <w:tc>
          <w:tcPr>
            <w:tcW w:w="92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27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郭永芳</w:t>
            </w: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22.50%</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178,859,133</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9" w:right="0"/>
              <w:jc w:val="left"/>
              <w:rPr>
                <w:rFonts w:ascii="Times New Roman" w:hAnsi="Times New Roman" w:cs="Times New Roman" w:eastAsia="Times New Roman" w:hint="default"/>
                <w:sz w:val="18"/>
                <w:szCs w:val="18"/>
              </w:rPr>
            </w:pPr>
            <w:r>
              <w:rPr>
                <w:rFonts w:ascii="Times New Roman"/>
                <w:sz w:val="18"/>
              </w:rPr>
              <w:t>63,947,175</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 w:right="0"/>
              <w:jc w:val="left"/>
              <w:rPr>
                <w:rFonts w:ascii="Times New Roman" w:hAnsi="Times New Roman" w:cs="Times New Roman" w:eastAsia="Times New Roman" w:hint="default"/>
                <w:sz w:val="18"/>
                <w:szCs w:val="18"/>
              </w:rPr>
            </w:pPr>
            <w:r>
              <w:rPr>
                <w:rFonts w:ascii="Times New Roman"/>
                <w:sz w:val="18"/>
              </w:rPr>
              <w:t>137,894,349</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40,964,784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9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22,180,000</w:t>
            </w:r>
          </w:p>
        </w:tc>
      </w:tr>
      <w:tr>
        <w:trPr>
          <w:trHeight w:val="402" w:hRule="exact"/>
        </w:trPr>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李国林</w:t>
            </w: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2"/>
                <w:sz w:val="18"/>
              </w:rPr>
              <w:t>11.94%</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3" w:right="0"/>
              <w:jc w:val="center"/>
              <w:rPr>
                <w:rFonts w:ascii="Times New Roman" w:hAnsi="Times New Roman" w:cs="Times New Roman" w:eastAsia="Times New Roman" w:hint="default"/>
                <w:sz w:val="18"/>
                <w:szCs w:val="18"/>
              </w:rPr>
            </w:pPr>
            <w:r>
              <w:rPr>
                <w:rFonts w:ascii="Times New Roman"/>
                <w:sz w:val="18"/>
              </w:rPr>
              <w:t>94,923,360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9" w:right="0"/>
              <w:jc w:val="left"/>
              <w:rPr>
                <w:rFonts w:ascii="Times New Roman" w:hAnsi="Times New Roman" w:cs="Times New Roman" w:eastAsia="Times New Roman" w:hint="default"/>
                <w:sz w:val="18"/>
                <w:szCs w:val="18"/>
              </w:rPr>
            </w:pPr>
            <w:r>
              <w:rPr>
                <w:rFonts w:ascii="Times New Roman"/>
                <w:sz w:val="18"/>
              </w:rPr>
              <w:t>35,596,260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71,192,520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9" w:right="0"/>
              <w:jc w:val="left"/>
              <w:rPr>
                <w:rFonts w:ascii="Times New Roman" w:hAnsi="Times New Roman" w:cs="Times New Roman" w:eastAsia="Times New Roman" w:hint="default"/>
                <w:sz w:val="18"/>
                <w:szCs w:val="18"/>
              </w:rPr>
            </w:pPr>
            <w:r>
              <w:rPr>
                <w:rFonts w:ascii="Times New Roman"/>
                <w:sz w:val="18"/>
              </w:rPr>
              <w:t>23,730,840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9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17,870,000</w:t>
            </w:r>
          </w:p>
        </w:tc>
      </w:tr>
      <w:tr>
        <w:trPr>
          <w:trHeight w:val="402" w:hRule="exact"/>
        </w:trPr>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刘冬颖</w:t>
            </w: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5.15%</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3" w:right="0"/>
              <w:jc w:val="center"/>
              <w:rPr>
                <w:rFonts w:ascii="Times New Roman" w:hAnsi="Times New Roman" w:cs="Times New Roman" w:eastAsia="Times New Roman" w:hint="default"/>
                <w:sz w:val="18"/>
                <w:szCs w:val="18"/>
              </w:rPr>
            </w:pPr>
            <w:r>
              <w:rPr>
                <w:rFonts w:ascii="Times New Roman"/>
                <w:sz w:val="18"/>
              </w:rPr>
              <w:t>40,960,000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9" w:right="0"/>
              <w:jc w:val="left"/>
              <w:rPr>
                <w:rFonts w:ascii="Times New Roman" w:hAnsi="Times New Roman" w:cs="Times New Roman" w:eastAsia="Times New Roman" w:hint="default"/>
                <w:sz w:val="18"/>
                <w:szCs w:val="18"/>
              </w:rPr>
            </w:pPr>
            <w:r>
              <w:rPr>
                <w:rFonts w:ascii="Times New Roman"/>
                <w:sz w:val="18"/>
              </w:rPr>
              <w:t>15,360,000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30,720,000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9" w:right="0"/>
              <w:jc w:val="left"/>
              <w:rPr>
                <w:rFonts w:ascii="Times New Roman" w:hAnsi="Times New Roman" w:cs="Times New Roman" w:eastAsia="Times New Roman" w:hint="default"/>
                <w:sz w:val="18"/>
                <w:szCs w:val="18"/>
              </w:rPr>
            </w:pPr>
            <w:r>
              <w:rPr>
                <w:rFonts w:ascii="Times New Roman"/>
                <w:sz w:val="18"/>
              </w:rPr>
              <w:t>10,240,000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3"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卓桂英</w:t>
            </w: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5.15%</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3" w:right="0"/>
              <w:jc w:val="center"/>
              <w:rPr>
                <w:rFonts w:ascii="Times New Roman" w:hAnsi="Times New Roman" w:cs="Times New Roman" w:eastAsia="Times New Roman" w:hint="default"/>
                <w:sz w:val="18"/>
                <w:szCs w:val="18"/>
              </w:rPr>
            </w:pPr>
            <w:r>
              <w:rPr>
                <w:rFonts w:ascii="Times New Roman"/>
                <w:sz w:val="18"/>
              </w:rPr>
              <w:t>40,960,000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9" w:right="0"/>
              <w:jc w:val="left"/>
              <w:rPr>
                <w:rFonts w:ascii="Times New Roman" w:hAnsi="Times New Roman" w:cs="Times New Roman" w:eastAsia="Times New Roman" w:hint="default"/>
                <w:sz w:val="18"/>
                <w:szCs w:val="18"/>
              </w:rPr>
            </w:pPr>
            <w:r>
              <w:rPr>
                <w:rFonts w:ascii="Times New Roman"/>
                <w:sz w:val="18"/>
              </w:rPr>
              <w:t>15,360,000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9" w:right="0"/>
              <w:jc w:val="left"/>
              <w:rPr>
                <w:rFonts w:ascii="Times New Roman" w:hAnsi="Times New Roman" w:cs="Times New Roman" w:eastAsia="Times New Roman" w:hint="default"/>
                <w:sz w:val="18"/>
                <w:szCs w:val="18"/>
              </w:rPr>
            </w:pPr>
            <w:r>
              <w:rPr>
                <w:rFonts w:ascii="Times New Roman"/>
                <w:sz w:val="18"/>
              </w:rPr>
              <w:t>40,960,000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3" w:type="dxa"/>
            <w:gridSpan w:val="2"/>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中国建设银行股份有 限公司－交银施罗德 阿尔法核心混合型证 券投资基金</w:t>
            </w: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2.08%</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16,544,116</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16,544,116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16,544,116</w:t>
            </w:r>
          </w:p>
        </w:tc>
        <w:tc>
          <w:tcPr>
            <w:tcW w:w="850" w:type="dxa"/>
            <w:tcBorders>
              <w:top w:val="single" w:sz="4" w:space="0" w:color="000000"/>
              <w:left w:val="single" w:sz="4" w:space="0" w:color="000000"/>
              <w:bottom w:val="single" w:sz="4" w:space="0" w:color="000000"/>
              <w:right w:val="single" w:sz="4" w:space="0" w:color="000000"/>
            </w:tcBorders>
          </w:tcPr>
          <w:p>
            <w:pPr/>
          </w:p>
        </w:tc>
        <w:tc>
          <w:tcPr>
            <w:tcW w:w="923"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苏学武</w:t>
            </w: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2.06%</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3" w:right="0"/>
              <w:jc w:val="center"/>
              <w:rPr>
                <w:rFonts w:ascii="Times New Roman" w:hAnsi="Times New Roman" w:cs="Times New Roman" w:eastAsia="Times New Roman" w:hint="default"/>
                <w:sz w:val="18"/>
                <w:szCs w:val="18"/>
              </w:rPr>
            </w:pPr>
            <w:r>
              <w:rPr>
                <w:rFonts w:ascii="Times New Roman"/>
                <w:sz w:val="18"/>
              </w:rPr>
              <w:t>16,400,236</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2,738,876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16,393,632</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5" w:right="0"/>
              <w:jc w:val="left"/>
              <w:rPr>
                <w:rFonts w:ascii="Times New Roman" w:hAnsi="Times New Roman" w:cs="Times New Roman" w:eastAsia="Times New Roman" w:hint="default"/>
                <w:sz w:val="18"/>
                <w:szCs w:val="18"/>
              </w:rPr>
            </w:pPr>
            <w:r>
              <w:rPr>
                <w:rFonts w:ascii="Times New Roman"/>
                <w:sz w:val="18"/>
              </w:rPr>
              <w:t>6,604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9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3,536,000</w:t>
            </w:r>
          </w:p>
        </w:tc>
      </w:tr>
      <w:tr>
        <w:trPr>
          <w:trHeight w:val="1338" w:hRule="exact"/>
        </w:trPr>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中信银行股份有限公 司－交银施罗德新生 活力灵活配置混合型 证券投资基金</w:t>
            </w: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2.06%</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83" w:right="0"/>
              <w:jc w:val="center"/>
              <w:rPr>
                <w:rFonts w:ascii="Times New Roman" w:hAnsi="Times New Roman" w:cs="Times New Roman" w:eastAsia="Times New Roman" w:hint="default"/>
                <w:sz w:val="18"/>
                <w:szCs w:val="18"/>
              </w:rPr>
            </w:pPr>
            <w:r>
              <w:rPr>
                <w:rFonts w:ascii="Times New Roman"/>
                <w:sz w:val="18"/>
              </w:rPr>
              <w:t>16,351,730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16,351,730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16,351,730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3"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57.259995pt;margin-top:273.179993pt;width:377.7pt;height:50.85pt;mso-position-horizontal-relative:page;mso-position-vertical-relative:page;z-index:-12982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163.440002pt;margin-top:308.399994pt;width:371.55pt;height:15.6pt;mso-position-horizontal-relative:page;mso-position-vertical-relative:page;z-index:-1298224" coordorigin="3269,6168" coordsize="7431,312">
            <v:shape style="position:absolute;left:3269;top:6168;width:7431;height:312" coordorigin="3269,6168" coordsize="7431,312" path="m3269,6480l10699,6480,10699,6168,3269,6168,3269,648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3"/>
        <w:gridCol w:w="287"/>
        <w:gridCol w:w="750"/>
        <w:gridCol w:w="788"/>
        <w:gridCol w:w="1009"/>
        <w:gridCol w:w="992"/>
        <w:gridCol w:w="709"/>
        <w:gridCol w:w="425"/>
        <w:gridCol w:w="568"/>
        <w:gridCol w:w="426"/>
        <w:gridCol w:w="850"/>
        <w:gridCol w:w="923"/>
      </w:tblGrid>
      <w:tr>
        <w:trPr>
          <w:trHeight w:val="133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中国工商银行股份有 限公司－交银施罗德 优势行业灵活配置混 合型证券投资基金</w:t>
            </w: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33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2.04%</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16,213,632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16,213,632</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49" w:right="0"/>
              <w:jc w:val="left"/>
              <w:rPr>
                <w:rFonts w:ascii="Times New Roman" w:hAnsi="Times New Roman" w:cs="Times New Roman" w:eastAsia="Times New Roman" w:hint="default"/>
                <w:sz w:val="18"/>
                <w:szCs w:val="18"/>
              </w:rPr>
            </w:pPr>
            <w:r>
              <w:rPr>
                <w:rFonts w:ascii="Times New Roman"/>
                <w:sz w:val="18"/>
              </w:rPr>
              <w:t>16,213,632</w:t>
            </w:r>
          </w:p>
        </w:tc>
        <w:tc>
          <w:tcPr>
            <w:tcW w:w="850"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中国工商银行股份有 限公司－交银施罗德 持续成长主题混合型 证券投资基金</w:t>
            </w: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33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1.31%</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10,442,717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10,442,717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49" w:right="0"/>
              <w:jc w:val="left"/>
              <w:rPr>
                <w:rFonts w:ascii="Times New Roman" w:hAnsi="Times New Roman" w:cs="Times New Roman" w:eastAsia="Times New Roman" w:hint="default"/>
                <w:sz w:val="18"/>
                <w:szCs w:val="18"/>
              </w:rPr>
            </w:pPr>
            <w:r>
              <w:rPr>
                <w:rFonts w:ascii="Times New Roman"/>
                <w:sz w:val="18"/>
              </w:rPr>
              <w:t>10,442,717</w:t>
            </w:r>
          </w:p>
        </w:tc>
        <w:tc>
          <w:tcPr>
            <w:tcW w:w="850"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8"/>
              <w:jc w:val="both"/>
              <w:rPr>
                <w:rFonts w:ascii="Times New Roman" w:hAnsi="Times New Roman" w:cs="Times New Roman" w:eastAsia="Times New Roman" w:hint="default"/>
                <w:sz w:val="18"/>
                <w:szCs w:val="18"/>
              </w:rPr>
            </w:pPr>
            <w:r>
              <w:rPr>
                <w:rFonts w:ascii="宋体" w:hAnsi="宋体" w:cs="宋体" w:eastAsia="宋体" w:hint="default"/>
                <w:sz w:val="18"/>
                <w:szCs w:val="18"/>
              </w:rPr>
              <w:t>中国邮政储蓄银行股 份有限公司－中欧中 小盘股票型证券投资 基金</w:t>
            </w:r>
            <w:r>
              <w:rPr>
                <w:rFonts w:ascii="Times New Roman" w:hAnsi="Times New Roman" w:cs="Times New Roman" w:eastAsia="Times New Roman" w:hint="default"/>
                <w:sz w:val="18"/>
                <w:szCs w:val="18"/>
              </w:rPr>
              <w:t>(LOF)</w:t>
            </w: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33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1.10%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8,756,768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8,756,768</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9" w:right="0"/>
              <w:jc w:val="left"/>
              <w:rPr>
                <w:rFonts w:ascii="Times New Roman" w:hAnsi="Times New Roman" w:cs="Times New Roman" w:eastAsia="Times New Roman" w:hint="default"/>
                <w:sz w:val="18"/>
                <w:szCs w:val="18"/>
              </w:rPr>
            </w:pPr>
            <w:r>
              <w:rPr>
                <w:rFonts w:ascii="Times New Roman"/>
                <w:sz w:val="18"/>
              </w:rPr>
              <w:t>8,756,768</w:t>
            </w:r>
          </w:p>
        </w:tc>
        <w:tc>
          <w:tcPr>
            <w:tcW w:w="850"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1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6"/>
              <w:jc w:val="left"/>
              <w:rPr>
                <w:rFonts w:ascii="宋体" w:hAnsi="宋体" w:cs="宋体" w:eastAsia="宋体" w:hint="default"/>
                <w:sz w:val="18"/>
                <w:szCs w:val="18"/>
              </w:rPr>
            </w:pPr>
            <w:r>
              <w:rPr>
                <w:rFonts w:ascii="宋体" w:hAnsi="宋体" w:cs="宋体" w:eastAsia="宋体" w:hint="default"/>
                <w:sz w:val="18"/>
                <w:szCs w:val="18"/>
              </w:rPr>
              <w:t>战略投资者或一般法人因 配售新股成为前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w:t>
            </w: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的情</w:t>
            </w:r>
            <w:r>
              <w:rPr>
                <w:rFonts w:ascii="宋体" w:hAnsi="宋体" w:cs="宋体" w:eastAsia="宋体" w:hint="default"/>
                <w:spacing w:val="-21"/>
                <w:sz w:val="18"/>
                <w:szCs w:val="18"/>
              </w:rPr>
              <w:t>况</w:t>
            </w:r>
            <w:r>
              <w:rPr>
                <w:rFonts w:ascii="宋体" w:hAnsi="宋体" w:cs="宋体" w:eastAsia="宋体" w:hint="default"/>
                <w:sz w:val="18"/>
                <w:szCs w:val="18"/>
              </w:rPr>
              <w:t>（如有</w:t>
            </w:r>
            <w:r>
              <w:rPr>
                <w:rFonts w:ascii="宋体" w:hAnsi="宋体" w:cs="宋体" w:eastAsia="宋体" w:hint="default"/>
                <w:spacing w:val="-111"/>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7440" w:type="dxa"/>
            <w:gridSpan w:val="10"/>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371.55pt;height:15.6pt;mso-position-horizontal-relative:char;mso-position-vertical-relative:line" coordorigin="0,0" coordsize="7431,312">
                  <v:group style="position:absolute;left:0;top:0;width:7431;height:312" coordorigin="0,0" coordsize="7431,312">
                    <v:shape style="position:absolute;left:0;top:0;width:7431;height:312" coordorigin="0,0" coordsize="7431,312" path="m0,312l7430,312,7430,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962" w:hRule="exact"/>
        </w:trPr>
        <w:tc>
          <w:tcPr>
            <w:tcW w:w="21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上述股东关联关系或一致 行动的说明</w:t>
            </w:r>
          </w:p>
        </w:tc>
        <w:tc>
          <w:tcPr>
            <w:tcW w:w="7440" w:type="dxa"/>
            <w:gridSpan w:val="10"/>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上述股东中，</w:t>
            </w:r>
            <w:r>
              <w:rPr>
                <w:rFonts w:ascii="Times New Roman" w:hAnsi="Times New Roman" w:cs="Times New Roman" w:eastAsia="Times New Roman" w:hint="default"/>
                <w:sz w:val="18"/>
                <w:szCs w:val="18"/>
              </w:rPr>
              <w:t>1</w:t>
            </w:r>
            <w:r>
              <w:rPr>
                <w:rFonts w:ascii="宋体" w:hAnsi="宋体" w:cs="宋体" w:eastAsia="宋体" w:hint="default"/>
                <w:sz w:val="18"/>
                <w:szCs w:val="18"/>
              </w:rPr>
              <w:t>、刘冬颖与卓桂英为母女关系；</w:t>
            </w:r>
            <w:r>
              <w:rPr>
                <w:rFonts w:ascii="Times New Roman" w:hAnsi="Times New Roman" w:cs="Times New Roman" w:eastAsia="Times New Roman" w:hint="default"/>
                <w:sz w:val="18"/>
                <w:szCs w:val="18"/>
              </w:rPr>
              <w:t>2</w:t>
            </w:r>
            <w:r>
              <w:rPr>
                <w:rFonts w:ascii="宋体" w:hAnsi="宋体" w:cs="宋体" w:eastAsia="宋体" w:hint="default"/>
                <w:sz w:val="18"/>
                <w:szCs w:val="18"/>
              </w:rPr>
              <w:t>、中国建设银行股份有限公司－交银施罗德阿 尔法核心混合型证券投资基金、中信银行股份有限公司－交银施罗德新生活力灵活配置混合型 证券投资基金、中国工商银行股份有限公司－交银施罗德优势行业灵活配置混合型证券投资基 金、中国工商银行股份有限公司－交银施罗德持续成长主题混合型证券投资基金同属于交银施 </w:t>
            </w:r>
            <w:r>
              <w:rPr>
                <w:rFonts w:ascii="宋体" w:hAnsi="宋体" w:cs="宋体" w:eastAsia="宋体" w:hint="default"/>
                <w:spacing w:val="-3"/>
                <w:sz w:val="18"/>
                <w:szCs w:val="18"/>
              </w:rPr>
              <w:t>罗德基金管理公司。</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、其他股东之间，未知是否存在关联关系，或属于《上述公司股东持股变</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动信息披露管理办法》中规定的一致行动人。</w:t>
            </w:r>
          </w:p>
        </w:tc>
      </w:tr>
      <w:tr>
        <w:trPr>
          <w:trHeight w:val="402" w:hRule="exact"/>
        </w:trPr>
        <w:tc>
          <w:tcPr>
            <w:tcW w:w="9570"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359" w:hRule="exact"/>
        </w:trPr>
        <w:tc>
          <w:tcPr>
            <w:tcW w:w="6379" w:type="dxa"/>
            <w:gridSpan w:val="7"/>
            <w:tcBorders>
              <w:top w:val="single" w:sz="4" w:space="0" w:color="000000"/>
              <w:left w:val="single" w:sz="4" w:space="0" w:color="000000"/>
              <w:bottom w:val="nil" w:sz="6" w:space="0" w:color="auto"/>
              <w:right w:val="single" w:sz="4" w:space="0" w:color="000000"/>
            </w:tcBorders>
            <w:shd w:val="clear" w:color="auto" w:fill="D3D3D3"/>
          </w:tcPr>
          <w:p>
            <w:pPr/>
          </w:p>
        </w:tc>
        <w:tc>
          <w:tcPr>
            <w:tcW w:w="99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40" w:right="41"/>
              <w:jc w:val="both"/>
              <w:rPr>
                <w:rFonts w:ascii="宋体" w:hAnsi="宋体" w:cs="宋体" w:eastAsia="宋体" w:hint="default"/>
                <w:sz w:val="18"/>
                <w:szCs w:val="18"/>
              </w:rPr>
            </w:pPr>
            <w:r>
              <w:rPr>
                <w:rFonts w:ascii="宋体" w:hAnsi="宋体" w:cs="宋体" w:eastAsia="宋体" w:hint="default"/>
                <w:sz w:val="18"/>
                <w:szCs w:val="18"/>
              </w:rPr>
              <w:t>报告期末持 有无限售条 件股份数量</w:t>
            </w:r>
          </w:p>
        </w:tc>
        <w:tc>
          <w:tcPr>
            <w:tcW w:w="219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50" w:hRule="exact"/>
        </w:trPr>
        <w:tc>
          <w:tcPr>
            <w:tcW w:w="6379" w:type="dxa"/>
            <w:gridSpan w:val="7"/>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992" w:type="dxa"/>
            <w:gridSpan w:val="2"/>
            <w:vMerge/>
            <w:tcBorders>
              <w:left w:val="single" w:sz="4" w:space="0" w:color="000000"/>
              <w:right w:val="single" w:sz="4" w:space="0" w:color="000000"/>
            </w:tcBorders>
            <w:shd w:val="clear" w:color="auto" w:fill="D3D3D3"/>
          </w:tcPr>
          <w:p>
            <w:pPr/>
          </w:p>
        </w:tc>
        <w:tc>
          <w:tcPr>
            <w:tcW w:w="127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92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317" w:hRule="exact"/>
        </w:trPr>
        <w:tc>
          <w:tcPr>
            <w:tcW w:w="6379" w:type="dxa"/>
            <w:gridSpan w:val="7"/>
            <w:tcBorders>
              <w:top w:val="nil" w:sz="6" w:space="0" w:color="auto"/>
              <w:left w:val="single" w:sz="4" w:space="0" w:color="000000"/>
              <w:bottom w:val="single" w:sz="4" w:space="0" w:color="000000"/>
              <w:right w:val="single" w:sz="4" w:space="0" w:color="000000"/>
            </w:tcBorders>
            <w:shd w:val="clear" w:color="auto" w:fill="D3D3D3"/>
          </w:tcPr>
          <w:p>
            <w:pPr/>
          </w:p>
        </w:tc>
        <w:tc>
          <w:tcPr>
            <w:tcW w:w="992" w:type="dxa"/>
            <w:gridSpan w:val="2"/>
            <w:vMerge/>
            <w:tcBorders>
              <w:left w:val="single" w:sz="4" w:space="0" w:color="000000"/>
              <w:bottom w:val="single" w:sz="4" w:space="0" w:color="000000"/>
              <w:right w:val="single" w:sz="4" w:space="0" w:color="000000"/>
            </w:tcBorders>
            <w:shd w:val="clear" w:color="auto" w:fill="D3D3D3"/>
          </w:tcPr>
          <w:p>
            <w:pPr/>
          </w:p>
        </w:tc>
        <w:tc>
          <w:tcPr>
            <w:tcW w:w="1276" w:type="dxa"/>
            <w:gridSpan w:val="2"/>
            <w:vMerge/>
            <w:tcBorders>
              <w:left w:val="single" w:sz="4" w:space="0" w:color="000000"/>
              <w:bottom w:val="single" w:sz="4" w:space="0" w:color="000000"/>
              <w:right w:val="single" w:sz="4" w:space="0" w:color="000000"/>
            </w:tcBorders>
            <w:shd w:val="clear" w:color="auto" w:fill="D3D3D3"/>
          </w:tcPr>
          <w:p>
            <w:pPr/>
          </w:p>
        </w:tc>
        <w:tc>
          <w:tcPr>
            <w:tcW w:w="92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637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郭永芳</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40,964,784</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40,964,784</w:t>
            </w:r>
          </w:p>
        </w:tc>
      </w:tr>
      <w:tr>
        <w:trPr>
          <w:trHeight w:val="402" w:hRule="exact"/>
        </w:trPr>
        <w:tc>
          <w:tcPr>
            <w:tcW w:w="637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卓桂英</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40,960,000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40,960,000</w:t>
            </w:r>
          </w:p>
        </w:tc>
      </w:tr>
      <w:tr>
        <w:trPr>
          <w:trHeight w:val="402" w:hRule="exact"/>
        </w:trPr>
        <w:tc>
          <w:tcPr>
            <w:tcW w:w="637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李国林</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23,730,840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23,730,840</w:t>
            </w:r>
          </w:p>
        </w:tc>
      </w:tr>
      <w:tr>
        <w:trPr>
          <w:trHeight w:val="402" w:hRule="exact"/>
        </w:trPr>
        <w:tc>
          <w:tcPr>
            <w:tcW w:w="637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中国建设银行股份有限公司－交银施罗德阿尔法核心混合型证券投资基金</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6" w:right="0"/>
              <w:jc w:val="left"/>
              <w:rPr>
                <w:rFonts w:ascii="Times New Roman" w:hAnsi="Times New Roman" w:cs="Times New Roman" w:eastAsia="Times New Roman" w:hint="default"/>
                <w:sz w:val="18"/>
                <w:szCs w:val="18"/>
              </w:rPr>
            </w:pPr>
            <w:r>
              <w:rPr>
                <w:rFonts w:ascii="Times New Roman"/>
                <w:sz w:val="18"/>
              </w:rPr>
              <w:t>16,544,116</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16,544,116</w:t>
            </w:r>
          </w:p>
        </w:tc>
      </w:tr>
      <w:tr>
        <w:trPr>
          <w:trHeight w:val="402" w:hRule="exact"/>
        </w:trPr>
        <w:tc>
          <w:tcPr>
            <w:tcW w:w="637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中信银行股份有限公司－交银施罗德新生活力灵活配置混合型证券投资基金</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16,351,730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16,351,730</w:t>
            </w:r>
          </w:p>
        </w:tc>
      </w:tr>
      <w:tr>
        <w:trPr>
          <w:trHeight w:val="402" w:hRule="exact"/>
        </w:trPr>
        <w:tc>
          <w:tcPr>
            <w:tcW w:w="637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中国工商银行股份有限公司－交银施罗德优势行业灵活配置混合型证券投资基金</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16,213,632</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16,213,632</w:t>
            </w:r>
          </w:p>
        </w:tc>
      </w:tr>
      <w:tr>
        <w:trPr>
          <w:trHeight w:val="402" w:hRule="exact"/>
        </w:trPr>
        <w:tc>
          <w:tcPr>
            <w:tcW w:w="637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中国工商银行股份有限公司－交银施罗德持续成长主题混合型证券投资基金</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10,442,717</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10,442,717</w:t>
            </w:r>
          </w:p>
        </w:tc>
      </w:tr>
      <w:tr>
        <w:trPr>
          <w:trHeight w:val="402" w:hRule="exact"/>
        </w:trPr>
        <w:tc>
          <w:tcPr>
            <w:tcW w:w="637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刘冬颖</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10,240,000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10,240,000</w:t>
            </w:r>
          </w:p>
        </w:tc>
      </w:tr>
      <w:tr>
        <w:trPr>
          <w:trHeight w:val="402" w:hRule="exact"/>
        </w:trPr>
        <w:tc>
          <w:tcPr>
            <w:tcW w:w="637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中国邮政储蓄银行股份有限公司－中欧中小盘股票型证券投资基金</w:t>
            </w:r>
            <w:r>
              <w:rPr>
                <w:rFonts w:ascii="Times New Roman" w:hAnsi="Times New Roman" w:cs="Times New Roman" w:eastAsia="Times New Roman" w:hint="default"/>
                <w:sz w:val="18"/>
                <w:szCs w:val="18"/>
              </w:rPr>
              <w:t>(LOF)</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8,756,768</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center"/>
              <w:rPr>
                <w:rFonts w:ascii="Times New Roman" w:hAnsi="Times New Roman" w:cs="Times New Roman" w:eastAsia="Times New Roman" w:hint="default"/>
                <w:sz w:val="18"/>
                <w:szCs w:val="18"/>
              </w:rPr>
            </w:pPr>
            <w:r>
              <w:rPr>
                <w:rFonts w:ascii="Times New Roman"/>
                <w:sz w:val="18"/>
              </w:rPr>
              <w:t>8,756,768</w:t>
            </w:r>
          </w:p>
        </w:tc>
      </w:tr>
      <w:tr>
        <w:trPr>
          <w:trHeight w:val="402" w:hRule="exact"/>
        </w:trPr>
        <w:tc>
          <w:tcPr>
            <w:tcW w:w="637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中国工商银行股份有限公司－易方达创业板交易型开放式指数证券投资基金</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8,426,538</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center"/>
              <w:rPr>
                <w:rFonts w:ascii="Times New Roman" w:hAnsi="Times New Roman" w:cs="Times New Roman" w:eastAsia="Times New Roman" w:hint="default"/>
                <w:sz w:val="18"/>
                <w:szCs w:val="18"/>
              </w:rPr>
            </w:pPr>
            <w:r>
              <w:rPr>
                <w:rFonts w:ascii="Times New Roman"/>
                <w:sz w:val="18"/>
              </w:rPr>
              <w:t>8,426,538</w:t>
            </w:r>
          </w:p>
        </w:tc>
      </w:tr>
      <w:tr>
        <w:trPr>
          <w:trHeight w:val="1338" w:hRule="exact"/>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90" w:type="dxa"/>
            <w:gridSpan w:val="9"/>
            <w:tcBorders>
              <w:top w:val="single" w:sz="4" w:space="0" w:color="000000"/>
              <w:left w:val="single" w:sz="4" w:space="0" w:color="000000"/>
              <w:bottom w:val="single" w:sz="4" w:space="0" w:color="000000"/>
              <w:right w:val="single" w:sz="4" w:space="0" w:color="000000"/>
            </w:tcBorders>
          </w:tcPr>
          <w:p>
            <w:pPr>
              <w:pStyle w:val="TableParagraph"/>
              <w:spacing w:line="312" w:lineRule="auto" w:before="71"/>
              <w:ind w:left="22" w:right="20"/>
              <w:jc w:val="both"/>
              <w:rPr>
                <w:rFonts w:ascii="宋体" w:hAnsi="宋体" w:cs="宋体" w:eastAsia="宋体" w:hint="default"/>
                <w:sz w:val="18"/>
                <w:szCs w:val="18"/>
              </w:rPr>
            </w:pPr>
            <w:r>
              <w:rPr>
                <w:rFonts w:ascii="宋体" w:hAnsi="宋体" w:cs="宋体" w:eastAsia="宋体" w:hint="default"/>
                <w:spacing w:val="-1"/>
                <w:sz w:val="18"/>
                <w:szCs w:val="18"/>
              </w:rPr>
              <w:t>上述股东中，</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、刘冬颖与卓桂英为母女关系；</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、中国建设银行股份有限公司－交银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
                <w:sz w:val="18"/>
                <w:szCs w:val="18"/>
              </w:rPr>
              <w:t>施罗德阿尔法核心混合型证券投资基金、中信银行股份有限公司－交银施罗德新生活</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力灵活配置混合型证券投资基金、中国工商银行股份有限公司－交银施罗德优势行业</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灵活配置混合型证券投资基金、中国工商银行股份有限公司－交银施罗德持续成长主</w:t>
            </w:r>
          </w:p>
        </w:tc>
      </w:tr>
    </w:tbl>
    <w:p>
      <w:pPr>
        <w:spacing w:after="0" w:line="312" w:lineRule="auto"/>
        <w:jc w:val="both"/>
        <w:rPr>
          <w:rFonts w:ascii="宋体" w:hAnsi="宋体" w:cs="宋体" w:eastAsia="宋体"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80"/>
        <w:gridCol w:w="6690"/>
      </w:tblGrid>
      <w:tr>
        <w:trPr>
          <w:trHeight w:val="986" w:hRule="exact"/>
        </w:trPr>
        <w:tc>
          <w:tcPr>
            <w:tcW w:w="288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69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题混合型证券投资基金同属于交银施罗德基金管理公司。</w:t>
            </w:r>
            <w:r>
              <w:rPr>
                <w:rFonts w:ascii="Times New Roman" w:hAnsi="Times New Roman" w:cs="Times New Roman" w:eastAsia="Times New Roman" w:hint="default"/>
                <w:sz w:val="18"/>
                <w:szCs w:val="18"/>
              </w:rPr>
              <w:t>3</w:t>
            </w:r>
            <w:r>
              <w:rPr>
                <w:rFonts w:ascii="宋体" w:hAnsi="宋体" w:cs="宋体" w:eastAsia="宋体" w:hint="default"/>
                <w:sz w:val="18"/>
                <w:szCs w:val="18"/>
              </w:rPr>
              <w:t>、其他股东之间，未知是 </w:t>
            </w:r>
            <w:r>
              <w:rPr>
                <w:rFonts w:ascii="宋体" w:hAnsi="宋体" w:cs="宋体" w:eastAsia="宋体" w:hint="default"/>
                <w:spacing w:val="-1"/>
                <w:sz w:val="18"/>
                <w:szCs w:val="18"/>
              </w:rPr>
              <w:t>否存在关联关系，或属于《上述公司股东持股变动信息披露管理办法》中规定的一致</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行动人。</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spacing w:line="357" w:lineRule="auto" w:before="0"/>
        <w:ind w:left="153" w:right="8591"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029"/>
        <w:gridCol w:w="4121"/>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郭永芳</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日起至今任公司董事会副董事长</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68"/>
        <w:ind w:left="15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54" w:right="67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8"/>
        <w:rPr>
          <w:rFonts w:ascii="宋体" w:hAnsi="宋体" w:cs="宋体" w:eastAsia="宋体" w:hint="default"/>
          <w:b/>
          <w:bCs/>
          <w:sz w:val="26"/>
          <w:szCs w:val="26"/>
        </w:rPr>
      </w:pPr>
    </w:p>
    <w:p>
      <w:pPr>
        <w:spacing w:line="357" w:lineRule="auto" w:before="0"/>
        <w:ind w:left="153" w:right="8411" w:firstLine="0"/>
        <w:jc w:val="left"/>
        <w:rPr>
          <w:rFonts w:ascii="宋体" w:hAnsi="宋体" w:cs="宋体" w:eastAsia="宋体" w:hint="default"/>
          <w:sz w:val="18"/>
          <w:szCs w:val="18"/>
        </w:rPr>
      </w:pPr>
      <w:r>
        <w:rPr/>
        <w:pict>
          <v:shape style="position:absolute;margin-left:326.6409pt;margin-top:90.912018pt;width:126.75pt;height:19.650pt;mso-position-horizontal-relative:page;mso-position-vertical-relative:paragraph;z-index:-1298200"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同一控制）</w:t>
                  </w:r>
                </w:p>
              </w:txbxContent>
            </v:textbox>
            <w10:wrap type="none"/>
          </v:shape>
        </w:pict>
      </w:r>
      <w:r>
        <w:rPr>
          <w:rFonts w:ascii="宋体" w:hAnsi="宋体" w:cs="宋体" w:eastAsia="宋体" w:hint="default"/>
          <w:sz w:val="18"/>
          <w:szCs w:val="18"/>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262"/>
        <w:gridCol w:w="2976"/>
        <w:gridCol w:w="1700"/>
        <w:gridCol w:w="1630"/>
      </w:tblGrid>
      <w:tr>
        <w:trPr>
          <w:trHeight w:val="714" w:hRule="exact"/>
        </w:trPr>
        <w:tc>
          <w:tcPr>
            <w:tcW w:w="3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9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61"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65"/>
              <w:jc w:val="right"/>
              <w:rPr>
                <w:rFonts w:ascii="宋体" w:hAnsi="宋体" w:cs="宋体" w:eastAsia="宋体" w:hint="default"/>
                <w:sz w:val="18"/>
                <w:szCs w:val="18"/>
              </w:rPr>
            </w:pPr>
            <w:r>
              <w:rPr>
                <w:rFonts w:ascii="宋体" w:hAnsi="宋体" w:cs="宋体" w:eastAsia="宋体" w:hint="default"/>
                <w:sz w:val="18"/>
                <w:szCs w:val="18"/>
              </w:rPr>
              <w:t>国籍</w:t>
            </w:r>
          </w:p>
        </w:tc>
        <w:tc>
          <w:tcPr>
            <w:tcW w:w="1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0" w:right="89" w:hanging="180"/>
              <w:jc w:val="left"/>
              <w:rPr>
                <w:rFonts w:ascii="宋体" w:hAnsi="宋体" w:cs="宋体" w:eastAsia="宋体" w:hint="default"/>
                <w:sz w:val="18"/>
                <w:szCs w:val="18"/>
              </w:rPr>
            </w:pPr>
            <w:r>
              <w:rPr>
                <w:rFonts w:ascii="宋体" w:hAnsi="宋体" w:cs="宋体" w:eastAsia="宋体" w:hint="default"/>
                <w:sz w:val="18"/>
                <w:szCs w:val="18"/>
              </w:rPr>
              <w:t>是否取得其他国家 或地区居留权</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滕达</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65"/>
              <w:jc w:val="right"/>
              <w:rPr>
                <w:rFonts w:ascii="宋体" w:hAnsi="宋体" w:cs="宋体" w:eastAsia="宋体" w:hint="default"/>
                <w:sz w:val="18"/>
                <w:szCs w:val="18"/>
              </w:rPr>
            </w:pPr>
            <w:r>
              <w:rPr>
                <w:rFonts w:ascii="宋体" w:hAnsi="宋体" w:cs="宋体" w:eastAsia="宋体" w:hint="default"/>
                <w:sz w:val="18"/>
                <w:szCs w:val="18"/>
              </w:rPr>
              <w:t>中国</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郭永芳</w:t>
            </w:r>
          </w:p>
        </w:tc>
        <w:tc>
          <w:tcPr>
            <w:tcW w:w="2976"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一致行动（含协议、亲属、</w:t>
            </w:r>
          </w:p>
        </w:tc>
        <w:tc>
          <w:tcPr>
            <w:tcW w:w="1700" w:type="dxa"/>
            <w:tcBorders>
              <w:top w:val="single" w:sz="4" w:space="0" w:color="000000"/>
              <w:left w:val="single" w:sz="9" w:space="0" w:color="FFFFFF"/>
              <w:bottom w:val="single" w:sz="4" w:space="0" w:color="000000"/>
              <w:right w:val="single" w:sz="13" w:space="0" w:color="FFFFFF"/>
            </w:tcBorders>
          </w:tcPr>
          <w:p>
            <w:pPr>
              <w:pStyle w:val="TableParagraph"/>
              <w:spacing w:line="240" w:lineRule="auto" w:before="51"/>
              <w:ind w:right="652"/>
              <w:jc w:val="right"/>
              <w:rPr>
                <w:rFonts w:ascii="宋体" w:hAnsi="宋体" w:cs="宋体" w:eastAsia="宋体" w:hint="default"/>
                <w:sz w:val="18"/>
                <w:szCs w:val="18"/>
              </w:rPr>
            </w:pPr>
            <w:r>
              <w:rPr>
                <w:rFonts w:ascii="宋体" w:hAnsi="宋体" w:cs="宋体" w:eastAsia="宋体" w:hint="default"/>
                <w:sz w:val="18"/>
                <w:szCs w:val="18"/>
              </w:rPr>
              <w:t>中国</w:t>
            </w:r>
          </w:p>
        </w:tc>
        <w:tc>
          <w:tcPr>
            <w:tcW w:w="163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66" w:hRule="exact"/>
        </w:trPr>
        <w:tc>
          <w:tcPr>
            <w:tcW w:w="3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306" w:type="dxa"/>
            <w:gridSpan w:val="3"/>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滕达：</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日任公司董事、总经理，现任公司董 事长；</w:t>
            </w:r>
          </w:p>
          <w:p>
            <w:pPr>
              <w:pStyle w:val="TableParagraph"/>
              <w:spacing w:line="240" w:lineRule="auto" w:before="72"/>
              <w:ind w:left="22" w:right="0"/>
              <w:jc w:val="left"/>
              <w:rPr>
                <w:rFonts w:ascii="宋体" w:hAnsi="宋体" w:cs="宋体" w:eastAsia="宋体" w:hint="default"/>
                <w:sz w:val="18"/>
                <w:szCs w:val="18"/>
              </w:rPr>
            </w:pPr>
            <w:r>
              <w:rPr>
                <w:rFonts w:ascii="宋体" w:hAnsi="宋体" w:cs="宋体" w:eastAsia="宋体" w:hint="default"/>
                <w:sz w:val="18"/>
                <w:szCs w:val="18"/>
              </w:rPr>
              <w:t>郭永芳：</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日起至今任公司副董事长。</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3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68"/>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54" w:right="67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after="0" w:line="348"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line="2281" w:lineRule="exact"/>
        <w:ind w:left="2152" w:right="0" w:firstLine="0"/>
        <w:rPr>
          <w:rFonts w:ascii="宋体" w:hAnsi="宋体" w:cs="宋体" w:eastAsia="宋体" w:hint="default"/>
          <w:sz w:val="20"/>
          <w:szCs w:val="20"/>
        </w:rPr>
      </w:pPr>
      <w:r>
        <w:rPr>
          <w:rFonts w:ascii="宋体" w:hAnsi="宋体" w:cs="宋体" w:eastAsia="宋体" w:hint="default"/>
          <w:position w:val="-45"/>
          <w:sz w:val="20"/>
          <w:szCs w:val="20"/>
        </w:rPr>
        <w:drawing>
          <wp:inline distT="0" distB="0" distL="0" distR="0">
            <wp:extent cx="3582633" cy="1448752"/>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6" cstate="print"/>
                    <a:stretch>
                      <a:fillRect/>
                    </a:stretch>
                  </pic:blipFill>
                  <pic:spPr>
                    <a:xfrm>
                      <a:off x="0" y="0"/>
                      <a:ext cx="3582633" cy="1448752"/>
                    </a:xfrm>
                    <a:prstGeom prst="rect">
                      <a:avLst/>
                    </a:prstGeom>
                  </pic:spPr>
                </pic:pic>
              </a:graphicData>
            </a:graphic>
          </wp:inline>
        </w:drawing>
      </w:r>
      <w:r>
        <w:rPr>
          <w:rFonts w:ascii="宋体" w:hAnsi="宋体" w:cs="宋体" w:eastAsia="宋体" w:hint="default"/>
          <w:position w:val="-45"/>
          <w:sz w:val="20"/>
          <w:szCs w:val="20"/>
        </w:rPr>
      </w:r>
    </w:p>
    <w:p>
      <w:pPr>
        <w:spacing w:line="240" w:lineRule="auto" w:before="8"/>
        <w:rPr>
          <w:rFonts w:ascii="宋体" w:hAnsi="宋体" w:cs="宋体" w:eastAsia="宋体" w:hint="default"/>
          <w:sz w:val="18"/>
          <w:szCs w:val="18"/>
        </w:rPr>
      </w:pPr>
    </w:p>
    <w:p>
      <w:pPr>
        <w:spacing w:before="26"/>
        <w:ind w:left="154" w:right="0" w:firstLine="0"/>
        <w:jc w:val="both"/>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2"/>
        <w:rPr>
          <w:rFonts w:ascii="宋体" w:hAnsi="宋体" w:cs="宋体" w:eastAsia="宋体" w:hint="default"/>
          <w:sz w:val="18"/>
          <w:szCs w:val="18"/>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4</w:t>
      </w:r>
      <w:r>
        <w:rPr/>
        <w:t>、其他持股在</w:t>
      </w:r>
      <w:r>
        <w:rPr>
          <w:spacing w:val="-58"/>
        </w:rPr>
        <w:t> </w:t>
      </w:r>
      <w:r>
        <w:rPr>
          <w:rFonts w:ascii="Times New Roman" w:hAnsi="Times New Roman" w:cs="Times New Roman" w:eastAsia="Times New Roman" w:hint="default"/>
        </w:rPr>
        <w:t>10%</w:t>
      </w:r>
      <w:r>
        <w:rPr/>
        <w:t>以上的法人股东</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5"/>
        <w:ind w:left="679" w:right="1195" w:hanging="1"/>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、实际控制人、董事长滕达先生关于增持股份的承诺 公司实际控制人、董事长滕达先生基于对公司未来发展的信心和长期价值的认可，计划自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p>
    <w:p>
      <w:pPr>
        <w:pStyle w:val="BodyText"/>
        <w:spacing w:line="386" w:lineRule="auto" w:before="35"/>
        <w:ind w:right="1129"/>
        <w:jc w:val="both"/>
      </w:pPr>
      <w:r>
        <w:rPr>
          <w:spacing w:val="-4"/>
        </w:rPr>
        <w:t>月</w:t>
      </w:r>
      <w:r>
        <w:rPr>
          <w:rFonts w:ascii="Times New Roman" w:hAnsi="Times New Roman" w:cs="Times New Roman" w:eastAsia="Times New Roman" w:hint="default"/>
          <w:spacing w:val="-4"/>
        </w:rPr>
        <w:t>1</w:t>
      </w:r>
      <w:r>
        <w:rPr>
          <w:spacing w:val="-4"/>
        </w:rPr>
        <w:t>日起六个月内择机通过法律法规允许的方式增持公司股票，增持金额不低于人民币</w:t>
      </w:r>
      <w:r>
        <w:rPr>
          <w:rFonts w:ascii="Times New Roman" w:hAnsi="Times New Roman" w:cs="Times New Roman" w:eastAsia="Times New Roman" w:hint="default"/>
          <w:spacing w:val="-4"/>
        </w:rPr>
        <w:t>3,000</w:t>
      </w:r>
      <w:r>
        <w:rPr>
          <w:spacing w:val="-4"/>
        </w:rPr>
        <w:t>万元。截至</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31"/>
        </w:rPr>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29</w:t>
      </w:r>
      <w:r>
        <w:rPr/>
        <w:t>日，上述增持计划已执行完毕，滕达先生共计增持金额</w:t>
      </w:r>
      <w:r>
        <w:rPr>
          <w:rFonts w:ascii="Times New Roman" w:hAnsi="Times New Roman" w:cs="Times New Roman" w:eastAsia="Times New Roman" w:hint="default"/>
        </w:rPr>
        <w:t>30,011,226.41</w:t>
      </w:r>
      <w:r>
        <w:rPr/>
        <w:t>元。滕达先生承诺：在增持 完成后六个月内不转让本次所增持的美亚柏科股份。</w:t>
      </w:r>
    </w:p>
    <w:p>
      <w:pPr>
        <w:pStyle w:val="BodyText"/>
        <w:spacing w:line="240" w:lineRule="auto" w:before="65"/>
        <w:ind w:left="679" w:right="0"/>
        <w:jc w:val="left"/>
      </w:pPr>
      <w:r>
        <w:rPr>
          <w:rFonts w:ascii="Times New Roman" w:hAnsi="Times New Roman" w:cs="Times New Roman" w:eastAsia="Times New Roman" w:hint="default"/>
        </w:rPr>
        <w:t>2</w:t>
      </w:r>
      <w:r>
        <w:rPr/>
        <w:t>、重组方江苏税软交易对方的锁定期安排</w:t>
      </w:r>
    </w:p>
    <w:p>
      <w:pPr>
        <w:pStyle w:val="BodyText"/>
        <w:spacing w:line="386" w:lineRule="auto" w:before="177"/>
        <w:ind w:right="1129" w:firstLine="315"/>
        <w:jc w:val="both"/>
      </w:pPr>
      <w:r>
        <w:rPr>
          <w:spacing w:val="-1"/>
        </w:rPr>
        <w:t>（</w:t>
      </w:r>
      <w:r>
        <w:rPr>
          <w:rFonts w:ascii="Times New Roman" w:hAnsi="Times New Roman" w:cs="Times New Roman" w:eastAsia="Times New Roman" w:hint="default"/>
          <w:spacing w:val="-1"/>
        </w:rPr>
        <w:t>1</w:t>
      </w:r>
      <w:r>
        <w:rPr>
          <w:spacing w:val="-1"/>
        </w:rPr>
        <w:t>）江苏税软交易对方通过本次交易获得的美亚柏科股份自上市公司向江苏税软交易对方发行股份完</w:t>
      </w:r>
      <w:r>
        <w:rPr/>
        <w:t> 成之日起</w:t>
      </w:r>
      <w:r>
        <w:rPr>
          <w:rFonts w:ascii="Times New Roman" w:hAnsi="Times New Roman" w:cs="Times New Roman" w:eastAsia="Times New Roman" w:hint="default"/>
        </w:rPr>
        <w:t>12</w:t>
      </w:r>
      <w:r>
        <w:rPr/>
        <w:t>个月内不得转让；自该等法定限售期届满之日起，应当按照如下方式进行股份解锁：</w:t>
      </w:r>
    </w:p>
    <w:p>
      <w:pPr>
        <w:pStyle w:val="BodyText"/>
        <w:spacing w:line="386" w:lineRule="auto" w:before="35"/>
        <w:ind w:right="1207" w:firstLine="420"/>
        <w:jc w:val="left"/>
      </w:pPr>
      <w:r>
        <w:rPr>
          <w:rFonts w:ascii="Times New Roman" w:hAnsi="Times New Roman" w:cs="Times New Roman" w:eastAsia="Times New Roman" w:hint="default"/>
        </w:rPr>
        <w:t>a</w:t>
      </w:r>
      <w:r>
        <w:rPr/>
        <w:t>）自上市公司向江苏税软交易对方发行股份完成之日起</w:t>
      </w:r>
      <w:r>
        <w:rPr>
          <w:rFonts w:ascii="Times New Roman" w:hAnsi="Times New Roman" w:cs="Times New Roman" w:eastAsia="Times New Roman" w:hint="default"/>
        </w:rPr>
        <w:t>12</w:t>
      </w:r>
      <w:r>
        <w:rPr/>
        <w:t>个月后至</w:t>
      </w:r>
      <w:r>
        <w:rPr>
          <w:rFonts w:ascii="Times New Roman" w:hAnsi="Times New Roman" w:cs="Times New Roman" w:eastAsia="Times New Roman" w:hint="default"/>
        </w:rPr>
        <w:t>24</w:t>
      </w:r>
      <w:r>
        <w:rPr/>
        <w:t>个月内，累计可转让股票数量 不超过其在本次发行中所认购股份总数的</w:t>
      </w:r>
      <w:r>
        <w:rPr>
          <w:rFonts w:ascii="Times New Roman" w:hAnsi="Times New Roman" w:cs="Times New Roman" w:eastAsia="Times New Roman" w:hint="default"/>
        </w:rPr>
        <w:t>25%</w:t>
      </w:r>
      <w:r>
        <w:rPr/>
        <w:t>；</w:t>
      </w:r>
    </w:p>
    <w:p>
      <w:pPr>
        <w:pStyle w:val="BodyText"/>
        <w:spacing w:line="386" w:lineRule="auto" w:before="35"/>
        <w:ind w:right="1196" w:firstLine="419"/>
        <w:jc w:val="left"/>
      </w:pPr>
      <w:r>
        <w:rPr>
          <w:rFonts w:ascii="Times New Roman" w:hAnsi="Times New Roman" w:cs="Times New Roman" w:eastAsia="Times New Roman" w:hint="default"/>
        </w:rPr>
        <w:t>b</w:t>
      </w:r>
      <w:r>
        <w:rPr/>
        <w:t>）自上市公司向江苏税软交易对方发行股份完成之日起</w:t>
      </w:r>
      <w:r>
        <w:rPr>
          <w:rFonts w:ascii="Times New Roman" w:hAnsi="Times New Roman" w:cs="Times New Roman" w:eastAsia="Times New Roman" w:hint="default"/>
        </w:rPr>
        <w:t>12</w:t>
      </w:r>
      <w:r>
        <w:rPr/>
        <w:t>个月后至</w:t>
      </w:r>
      <w:r>
        <w:rPr>
          <w:rFonts w:ascii="Times New Roman" w:hAnsi="Times New Roman" w:cs="Times New Roman" w:eastAsia="Times New Roman" w:hint="default"/>
        </w:rPr>
        <w:t>36</w:t>
      </w:r>
      <w:r>
        <w:rPr/>
        <w:t>个月内，累计可转让股票数量 不超过其在本次发行中所认购股份总数的</w:t>
      </w:r>
      <w:r>
        <w:rPr>
          <w:rFonts w:ascii="Times New Roman" w:hAnsi="Times New Roman" w:cs="Times New Roman" w:eastAsia="Times New Roman" w:hint="default"/>
        </w:rPr>
        <w:t>50%</w:t>
      </w:r>
      <w:r>
        <w:rPr/>
        <w:t>；</w:t>
      </w:r>
    </w:p>
    <w:p>
      <w:pPr>
        <w:pStyle w:val="BodyText"/>
        <w:spacing w:line="386" w:lineRule="auto" w:before="35"/>
        <w:ind w:right="1207" w:firstLine="420"/>
        <w:jc w:val="left"/>
      </w:pPr>
      <w:r>
        <w:rPr>
          <w:rFonts w:ascii="Times New Roman" w:hAnsi="Times New Roman" w:cs="Times New Roman" w:eastAsia="Times New Roman" w:hint="default"/>
        </w:rPr>
        <w:t>c</w:t>
      </w:r>
      <w:r>
        <w:rPr/>
        <w:t>）自上市公司向江苏税软交易对方发行股份完成之日起</w:t>
      </w:r>
      <w:r>
        <w:rPr>
          <w:rFonts w:ascii="Times New Roman" w:hAnsi="Times New Roman" w:cs="Times New Roman" w:eastAsia="Times New Roman" w:hint="default"/>
        </w:rPr>
        <w:t>36</w:t>
      </w:r>
      <w:r>
        <w:rPr/>
        <w:t>个月后，可自由转让其在本次发行中所认 购的全部股份。</w:t>
      </w:r>
    </w:p>
    <w:p>
      <w:pPr>
        <w:pStyle w:val="BodyText"/>
        <w:spacing w:line="398" w:lineRule="auto" w:before="65"/>
        <w:ind w:right="1129" w:firstLine="315"/>
        <w:jc w:val="both"/>
      </w:pPr>
      <w:r>
        <w:rPr>
          <w:spacing w:val="-1"/>
        </w:rPr>
        <w:t>（</w:t>
      </w:r>
      <w:r>
        <w:rPr>
          <w:rFonts w:ascii="Times New Roman" w:hAnsi="Times New Roman" w:cs="Times New Roman" w:eastAsia="Times New Roman" w:hint="default"/>
          <w:spacing w:val="-1"/>
        </w:rPr>
        <w:t>2</w:t>
      </w:r>
      <w:r>
        <w:rPr>
          <w:spacing w:val="-1"/>
        </w:rPr>
        <w:t>）实际解锁股份数须扣除因盈利预测补偿而需由美亚柏科回购的股份数（若有）。本次交易实施完</w:t>
      </w:r>
      <w:r>
        <w:rPr/>
        <w:t> </w:t>
      </w:r>
      <w:r>
        <w:rPr>
          <w:spacing w:val="-1"/>
        </w:rPr>
        <w:t>成后，江苏税软交易对方由于美亚柏科配股、转增股本等原因增持的美亚柏科股份，亦应遵守上述股份锁</w:t>
      </w:r>
      <w:r>
        <w:rPr>
          <w:spacing w:val="-83"/>
        </w:rPr>
        <w:t> </w:t>
      </w:r>
      <w:r>
        <w:rPr>
          <w:spacing w:val="-83"/>
        </w:rPr>
      </w:r>
      <w:r>
        <w:rPr/>
        <w:t>定的规定。</w:t>
      </w:r>
    </w:p>
    <w:p>
      <w:pPr>
        <w:spacing w:after="0" w:line="398" w:lineRule="auto"/>
        <w:jc w:val="both"/>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400" w:lineRule="auto" w:before="174"/>
        <w:ind w:right="1129" w:firstLine="315"/>
        <w:jc w:val="both"/>
      </w:pPr>
      <w:r>
        <w:rPr>
          <w:spacing w:val="-1"/>
        </w:rPr>
        <w:t>（</w:t>
      </w:r>
      <w:r>
        <w:rPr>
          <w:rFonts w:ascii="Times New Roman" w:hAnsi="Times New Roman" w:cs="Times New Roman" w:eastAsia="Times New Roman" w:hint="default"/>
          <w:spacing w:val="-1"/>
        </w:rPr>
        <w:t>3</w:t>
      </w:r>
      <w:r>
        <w:rPr>
          <w:spacing w:val="-1"/>
        </w:rPr>
        <w:t>）任一江苏税软交易对方如在本次交易完成后担任美亚柏科董事、监事或高级管理人员的，还需遵</w:t>
      </w:r>
      <w:r>
        <w:rPr/>
        <w:t> </w:t>
      </w:r>
      <w:r>
        <w:rPr>
          <w:spacing w:val="-1"/>
        </w:rPr>
        <w:t>守上市公司章程以及《中华人民共和国公司法》、《中华人民共和国证券法》、《深圳证券交易所创业板</w:t>
      </w:r>
      <w:r>
        <w:rPr>
          <w:spacing w:val="-84"/>
        </w:rPr>
        <w:t> </w:t>
      </w:r>
      <w:r>
        <w:rPr>
          <w:spacing w:val="-84"/>
        </w:rPr>
      </w:r>
      <w:r>
        <w:rPr>
          <w:spacing w:val="-1"/>
        </w:rPr>
        <w:t>股票上市规则》等法律、法规、规章、规范性文件有关股份有限公司及上市公司董事、监事、高级管理人</w:t>
      </w:r>
      <w:r>
        <w:rPr>
          <w:spacing w:val="-83"/>
        </w:rPr>
        <w:t> </w:t>
      </w:r>
      <w:r>
        <w:rPr>
          <w:spacing w:val="-83"/>
        </w:rPr>
      </w:r>
      <w:r>
        <w:rPr/>
        <w:t>员买卖公司股票的限制性规定。</w:t>
      </w:r>
    </w:p>
    <w:p>
      <w:pPr>
        <w:pStyle w:val="BodyText"/>
        <w:spacing w:line="391" w:lineRule="auto" w:before="52"/>
        <w:ind w:right="1114" w:firstLine="315"/>
        <w:jc w:val="left"/>
      </w:pPr>
      <w:r>
        <w:rPr>
          <w:spacing w:val="-1"/>
        </w:rPr>
        <w:t>（</w:t>
      </w:r>
      <w:r>
        <w:rPr>
          <w:rFonts w:ascii="Times New Roman" w:hAnsi="Times New Roman" w:cs="Times New Roman" w:eastAsia="Times New Roman" w:hint="default"/>
          <w:spacing w:val="-1"/>
        </w:rPr>
        <w:t>4</w:t>
      </w:r>
      <w:r>
        <w:rPr>
          <w:spacing w:val="-1"/>
        </w:rPr>
        <w:t>）任一江苏税软交易对方，如其取得本次发行中所认购股份时，对其用于认购公司股份的资产持续</w:t>
      </w:r>
      <w:r>
        <w:rPr/>
        <w:t> 拥有权益的时间不足</w:t>
      </w:r>
      <w:r>
        <w:rPr>
          <w:rFonts w:ascii="Times New Roman" w:hAnsi="Times New Roman" w:cs="Times New Roman" w:eastAsia="Times New Roman" w:hint="default"/>
        </w:rPr>
        <w:t>12</w:t>
      </w:r>
      <w:r>
        <w:rPr/>
        <w:t>个月，则其因本次交易获得的上市公司股份从本次发行完成日起</w:t>
      </w:r>
      <w:r>
        <w:rPr>
          <w:rFonts w:ascii="Times New Roman" w:hAnsi="Times New Roman" w:cs="Times New Roman" w:eastAsia="Times New Roman" w:hint="default"/>
        </w:rPr>
        <w:t>36</w:t>
      </w:r>
      <w:r>
        <w:rPr/>
        <w:t>个月内不得转 让。上述所谓</w:t>
      </w:r>
      <w:r>
        <w:rPr>
          <w:rFonts w:ascii="Times New Roman" w:hAnsi="Times New Roman" w:cs="Times New Roman" w:eastAsia="Times New Roman" w:hint="default"/>
        </w:rPr>
        <w:t>“</w:t>
      </w:r>
      <w:r>
        <w:rPr/>
        <w:t>持续拥有权益的时间</w:t>
      </w:r>
      <w:r>
        <w:rPr>
          <w:rFonts w:ascii="Times New Roman" w:hAnsi="Times New Roman" w:cs="Times New Roman" w:eastAsia="Times New Roman" w:hint="default"/>
        </w:rPr>
        <w:t>”</w:t>
      </w:r>
      <w:r>
        <w:rPr/>
        <w:t>应为自该江苏税软交易对方取得该等江苏税软股权之日（以江苏税软 </w:t>
      </w:r>
      <w:r>
        <w:rPr>
          <w:spacing w:val="-1"/>
        </w:rPr>
        <w:t>就该等交易办理完毕工商变更登记之日为准）起，至股份登记机构将本次交易中所发行的对价股份登记于</w:t>
      </w:r>
      <w:r>
        <w:rPr>
          <w:spacing w:val="-81"/>
        </w:rPr>
        <w:t> </w:t>
      </w:r>
      <w:r>
        <w:rPr>
          <w:spacing w:val="-81"/>
        </w:rPr>
      </w:r>
      <w:r>
        <w:rPr/>
        <w:t>该江苏税软交易对方名下之日止的期间。</w:t>
      </w:r>
    </w:p>
    <w:p>
      <w:pPr>
        <w:pStyle w:val="BodyText"/>
        <w:spacing w:line="386" w:lineRule="auto" w:before="61"/>
        <w:ind w:right="1129" w:firstLine="315"/>
        <w:jc w:val="both"/>
      </w:pPr>
      <w:r>
        <w:rPr>
          <w:spacing w:val="-1"/>
        </w:rPr>
        <w:t>（</w:t>
      </w:r>
      <w:r>
        <w:rPr>
          <w:rFonts w:ascii="Times New Roman" w:hAnsi="Times New Roman" w:cs="Times New Roman" w:eastAsia="Times New Roman" w:hint="default"/>
          <w:spacing w:val="-1"/>
        </w:rPr>
        <w:t>5</w:t>
      </w:r>
      <w:r>
        <w:rPr>
          <w:spacing w:val="-1"/>
        </w:rPr>
        <w:t>）锁定期届满后，交易对方在本次发行中认购的美亚柏科股份的转让将按照届时有效的相关法律法</w:t>
      </w:r>
      <w:r>
        <w:rPr/>
        <w:t> 规、规章和深交所的规则办理。</w:t>
      </w:r>
    </w:p>
    <w:p>
      <w:pPr>
        <w:pStyle w:val="BodyText"/>
        <w:spacing w:line="240" w:lineRule="auto" w:before="65"/>
        <w:ind w:left="679" w:right="0"/>
        <w:jc w:val="left"/>
      </w:pPr>
      <w:r>
        <w:rPr>
          <w:rFonts w:ascii="Times New Roman" w:hAnsi="Times New Roman" w:cs="Times New Roman" w:eastAsia="Times New Roman" w:hint="default"/>
        </w:rPr>
        <w:t>3</w:t>
      </w:r>
      <w:r>
        <w:rPr/>
        <w:t>、重组方新德汇交易对方的锁定期安排</w:t>
      </w:r>
    </w:p>
    <w:p>
      <w:pPr>
        <w:pStyle w:val="BodyText"/>
        <w:spacing w:line="386" w:lineRule="auto" w:before="177"/>
        <w:ind w:right="1129" w:firstLine="315"/>
        <w:jc w:val="both"/>
      </w:pPr>
      <w:r>
        <w:rPr>
          <w:spacing w:val="-1"/>
        </w:rPr>
        <w:t>（</w:t>
      </w:r>
      <w:r>
        <w:rPr>
          <w:rFonts w:ascii="Times New Roman" w:hAnsi="Times New Roman" w:cs="Times New Roman" w:eastAsia="Times New Roman" w:hint="default"/>
          <w:spacing w:val="-1"/>
        </w:rPr>
        <w:t>1</w:t>
      </w:r>
      <w:r>
        <w:rPr>
          <w:spacing w:val="-1"/>
        </w:rPr>
        <w:t>）新德汇交易对方通过本次交易获得的美亚柏科股份自上市公司向新德汇交易对方发行股份完成之</w:t>
      </w:r>
      <w:r>
        <w:rPr/>
        <w:t> 日起</w:t>
      </w:r>
      <w:r>
        <w:rPr>
          <w:rFonts w:ascii="Times New Roman" w:hAnsi="Times New Roman" w:cs="Times New Roman" w:eastAsia="Times New Roman" w:hint="default"/>
        </w:rPr>
        <w:t>12</w:t>
      </w:r>
      <w:r>
        <w:rPr/>
        <w:t>个月内不得转让；自该等法定限售期届满之日起，应当按照如下方式进行股份解锁：</w:t>
      </w:r>
    </w:p>
    <w:p>
      <w:pPr>
        <w:pStyle w:val="BodyText"/>
        <w:spacing w:line="386" w:lineRule="auto" w:before="35"/>
        <w:ind w:right="1207" w:firstLine="420"/>
        <w:jc w:val="left"/>
      </w:pPr>
      <w:r>
        <w:rPr>
          <w:rFonts w:ascii="Times New Roman" w:hAnsi="Times New Roman" w:cs="Times New Roman" w:eastAsia="Times New Roman" w:hint="default"/>
        </w:rPr>
        <w:t>a</w:t>
      </w:r>
      <w:r>
        <w:rPr/>
        <w:t>）自上市公司向新德汇交易对方发行股份完成之日起</w:t>
      </w:r>
      <w:r>
        <w:rPr>
          <w:rFonts w:ascii="Times New Roman" w:hAnsi="Times New Roman" w:cs="Times New Roman" w:eastAsia="Times New Roman" w:hint="default"/>
        </w:rPr>
        <w:t>12</w:t>
      </w:r>
      <w:r>
        <w:rPr/>
        <w:t>个月后至</w:t>
      </w:r>
      <w:r>
        <w:rPr>
          <w:rFonts w:ascii="Times New Roman" w:hAnsi="Times New Roman" w:cs="Times New Roman" w:eastAsia="Times New Roman" w:hint="default"/>
        </w:rPr>
        <w:t>24</w:t>
      </w:r>
      <w:r>
        <w:rPr/>
        <w:t>个月内，累计可转让股票数量不 超过其在本次发行中所认购股份总数的</w:t>
      </w:r>
      <w:r>
        <w:rPr>
          <w:rFonts w:ascii="Times New Roman" w:hAnsi="Times New Roman" w:cs="Times New Roman" w:eastAsia="Times New Roman" w:hint="default"/>
        </w:rPr>
        <w:t>30%</w:t>
      </w:r>
      <w:r>
        <w:rPr/>
        <w:t>；</w:t>
      </w:r>
    </w:p>
    <w:p>
      <w:pPr>
        <w:pStyle w:val="BodyText"/>
        <w:spacing w:line="386" w:lineRule="auto" w:before="35"/>
        <w:ind w:right="1195" w:firstLine="420"/>
        <w:jc w:val="left"/>
      </w:pPr>
      <w:r>
        <w:rPr>
          <w:rFonts w:ascii="Times New Roman" w:hAnsi="Times New Roman" w:cs="Times New Roman" w:eastAsia="Times New Roman" w:hint="default"/>
        </w:rPr>
        <w:t>b</w:t>
      </w:r>
      <w:r>
        <w:rPr/>
        <w:t>）自上市公司向新德汇交易对方发行股份完成之日起</w:t>
      </w:r>
      <w:r>
        <w:rPr>
          <w:rFonts w:ascii="Times New Roman" w:hAnsi="Times New Roman" w:cs="Times New Roman" w:eastAsia="Times New Roman" w:hint="default"/>
        </w:rPr>
        <w:t>12</w:t>
      </w:r>
      <w:r>
        <w:rPr/>
        <w:t>个月后至</w:t>
      </w:r>
      <w:r>
        <w:rPr>
          <w:rFonts w:ascii="Times New Roman" w:hAnsi="Times New Roman" w:cs="Times New Roman" w:eastAsia="Times New Roman" w:hint="default"/>
        </w:rPr>
        <w:t>36</w:t>
      </w:r>
      <w:r>
        <w:rPr/>
        <w:t>个月内，累计可转让股票数量不 超过其在本次发行中所认购股份总数的</w:t>
      </w:r>
      <w:r>
        <w:rPr>
          <w:rFonts w:ascii="Times New Roman" w:hAnsi="Times New Roman" w:cs="Times New Roman" w:eastAsia="Times New Roman" w:hint="default"/>
        </w:rPr>
        <w:t>60%</w:t>
      </w:r>
      <w:r>
        <w:rPr/>
        <w:t>；</w:t>
      </w:r>
    </w:p>
    <w:p>
      <w:pPr>
        <w:pStyle w:val="BodyText"/>
        <w:spacing w:line="386" w:lineRule="auto" w:before="35"/>
        <w:ind w:right="1207" w:firstLine="420"/>
        <w:jc w:val="left"/>
      </w:pPr>
      <w:r>
        <w:rPr>
          <w:rFonts w:ascii="Times New Roman" w:hAnsi="Times New Roman" w:cs="Times New Roman" w:eastAsia="Times New Roman" w:hint="default"/>
        </w:rPr>
        <w:t>c</w:t>
      </w:r>
      <w:r>
        <w:rPr/>
        <w:t>）自上市公司向新德汇交易对方发行股份完成之日起</w:t>
      </w:r>
      <w:r>
        <w:rPr>
          <w:rFonts w:ascii="Times New Roman" w:hAnsi="Times New Roman" w:cs="Times New Roman" w:eastAsia="Times New Roman" w:hint="default"/>
        </w:rPr>
        <w:t>36</w:t>
      </w:r>
      <w:r>
        <w:rPr/>
        <w:t>个月后，可自由转让其在本次发行中所认购 的全部股份。</w:t>
      </w:r>
    </w:p>
    <w:p>
      <w:pPr>
        <w:pStyle w:val="BodyText"/>
        <w:spacing w:line="398" w:lineRule="auto" w:before="65"/>
        <w:ind w:right="1129" w:firstLine="315"/>
        <w:jc w:val="both"/>
      </w:pPr>
      <w:r>
        <w:rPr>
          <w:spacing w:val="-1"/>
        </w:rPr>
        <w:t>（</w:t>
      </w:r>
      <w:r>
        <w:rPr>
          <w:rFonts w:ascii="Times New Roman" w:hAnsi="Times New Roman" w:cs="Times New Roman" w:eastAsia="Times New Roman" w:hint="default"/>
          <w:spacing w:val="-1"/>
        </w:rPr>
        <w:t>2</w:t>
      </w:r>
      <w:r>
        <w:rPr>
          <w:spacing w:val="-1"/>
        </w:rPr>
        <w:t>）实际解锁股份数须扣除因盈利预测补偿而需由美亚柏科回购的股份数（若有）。本次发行实施完</w:t>
      </w:r>
      <w:r>
        <w:rPr/>
        <w:t> </w:t>
      </w:r>
      <w:r>
        <w:rPr>
          <w:spacing w:val="-1"/>
        </w:rPr>
        <w:t>成后，新德汇交易对方由于美亚柏科配股、转增股本等原因增持的美亚柏科股份，亦应遵守上述股份锁定</w:t>
      </w:r>
      <w:r>
        <w:rPr>
          <w:spacing w:val="-83"/>
        </w:rPr>
        <w:t> </w:t>
      </w:r>
      <w:r>
        <w:rPr>
          <w:spacing w:val="-83"/>
        </w:rPr>
      </w:r>
      <w:r>
        <w:rPr/>
        <w:t>的规定。</w:t>
      </w:r>
    </w:p>
    <w:p>
      <w:pPr>
        <w:pStyle w:val="BodyText"/>
        <w:spacing w:line="400" w:lineRule="auto" w:before="54"/>
        <w:ind w:right="1129" w:firstLine="315"/>
        <w:jc w:val="both"/>
      </w:pPr>
      <w:r>
        <w:rPr>
          <w:spacing w:val="-1"/>
        </w:rPr>
        <w:t>（</w:t>
      </w:r>
      <w:r>
        <w:rPr>
          <w:rFonts w:ascii="Times New Roman" w:hAnsi="Times New Roman" w:cs="Times New Roman" w:eastAsia="Times New Roman" w:hint="default"/>
          <w:spacing w:val="-1"/>
        </w:rPr>
        <w:t>3</w:t>
      </w:r>
      <w:r>
        <w:rPr>
          <w:spacing w:val="-1"/>
        </w:rPr>
        <w:t>）任一新德汇交易对方如在本次交易完成后担任美亚柏科董事、监事或高级管理人员的，还需遵守</w:t>
      </w:r>
      <w:r>
        <w:rPr/>
        <w:t> </w:t>
      </w:r>
      <w:r>
        <w:rPr>
          <w:spacing w:val="-1"/>
        </w:rPr>
        <w:t>上市公司章程以及《中华人民共和国公司法》、《中华人民共和国证券法》、《深圳证券交易所创业板股</w:t>
      </w:r>
      <w:r>
        <w:rPr>
          <w:spacing w:val="-85"/>
        </w:rPr>
        <w:t> </w:t>
      </w:r>
      <w:r>
        <w:rPr>
          <w:spacing w:val="-85"/>
        </w:rPr>
      </w:r>
      <w:r>
        <w:rPr>
          <w:spacing w:val="-1"/>
        </w:rPr>
        <w:t>票上市规则》等法律、法规、规章、规范性文件有关股份有限公司及上市公司董事、监事、高级管理人员</w:t>
      </w:r>
      <w:r>
        <w:rPr>
          <w:spacing w:val="-83"/>
        </w:rPr>
        <w:t> </w:t>
      </w:r>
      <w:r>
        <w:rPr>
          <w:spacing w:val="-83"/>
        </w:rPr>
      </w:r>
      <w:r>
        <w:rPr/>
        <w:t>买卖公司股票的限制性规定。</w:t>
      </w:r>
    </w:p>
    <w:p>
      <w:pPr>
        <w:pStyle w:val="BodyText"/>
        <w:spacing w:line="386" w:lineRule="auto" w:before="52"/>
        <w:ind w:right="1129" w:firstLine="315"/>
        <w:jc w:val="both"/>
      </w:pPr>
      <w:r>
        <w:rPr>
          <w:spacing w:val="-1"/>
        </w:rPr>
        <w:t>（</w:t>
      </w:r>
      <w:r>
        <w:rPr>
          <w:rFonts w:ascii="Times New Roman" w:hAnsi="Times New Roman" w:cs="Times New Roman" w:eastAsia="Times New Roman" w:hint="default"/>
          <w:spacing w:val="-1"/>
        </w:rPr>
        <w:t>4</w:t>
      </w:r>
      <w:r>
        <w:rPr>
          <w:spacing w:val="-1"/>
        </w:rPr>
        <w:t>）锁定期届满后，交易对方在本次发行中认购的美亚柏科股份的转让将按照届时有效的相关法律法</w:t>
      </w:r>
      <w:r>
        <w:rPr/>
        <w:t> 规、规章和深交所的规则办理。</w:t>
      </w:r>
    </w:p>
    <w:p>
      <w:pPr>
        <w:spacing w:after="0" w:line="386" w:lineRule="auto"/>
        <w:jc w:val="both"/>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3286" w:right="0"/>
        <w:jc w:val="left"/>
        <w:rPr>
          <w:b w:val="0"/>
          <w:bCs w:val="0"/>
        </w:rPr>
      </w:pPr>
      <w:bookmarkStart w:name="_TOC_250005" w:id="7"/>
      <w:r>
        <w:rPr/>
        <w:t>第七节</w:t>
      </w:r>
      <w:r>
        <w:rPr>
          <w:spacing w:val="-8"/>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spacing w:line="340" w:lineRule="auto" w:before="44"/>
        <w:ind w:left="154" w:right="85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80" w:right="0"/>
        <w:jc w:val="left"/>
        <w:rPr>
          <w:b w:val="0"/>
          <w:bCs w:val="0"/>
        </w:rPr>
      </w:pPr>
      <w:bookmarkStart w:name="_TOC_250004" w:id="8"/>
      <w:r>
        <w:rPr/>
        <w:t>第八节</w:t>
      </w:r>
      <w:r>
        <w:rPr>
          <w:spacing w:val="-17"/>
        </w:rPr>
        <w:t> </w:t>
      </w:r>
      <w:r>
        <w:rPr/>
        <w:t>董事、监事、高级管理人员和员工情况</w:t>
      </w:r>
      <w:bookmarkEnd w:id="8"/>
      <w:r>
        <w:rPr>
          <w:b w:val="0"/>
          <w:bCs w:val="0"/>
        </w:rPr>
      </w:r>
    </w:p>
    <w:p>
      <w:pPr>
        <w:spacing w:line="240" w:lineRule="auto" w:before="9"/>
        <w:rPr>
          <w:rFonts w:ascii="宋体" w:hAnsi="宋体" w:cs="宋体" w:eastAsia="宋体" w:hint="default"/>
          <w:b/>
          <w:bCs/>
          <w:sz w:val="38"/>
          <w:szCs w:val="38"/>
        </w:rPr>
      </w:pPr>
    </w:p>
    <w:p>
      <w:pPr>
        <w:pStyle w:val="Heading2"/>
        <w:spacing w:line="240" w:lineRule="auto"/>
        <w:ind w:right="0"/>
        <w:jc w:val="left"/>
        <w:rPr>
          <w:b w:val="0"/>
          <w:bCs w:val="0"/>
        </w:rPr>
      </w:pPr>
      <w:r>
        <w:rPr/>
        <w:pict>
          <v:shape style="position:absolute;margin-left:415.559998pt;margin-top:33.035931pt;width:73.3pt;height:66.45pt;mso-position-horizontal-relative:page;mso-position-vertical-relative:paragraph;z-index:-129817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w:pict>
      </w:r>
      <w:r>
        <w:rPr/>
        <w:t>一、董事、监事和高级管理人员持股变动</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09"/>
        <w:gridCol w:w="851"/>
        <w:gridCol w:w="425"/>
        <w:gridCol w:w="425"/>
        <w:gridCol w:w="426"/>
        <w:gridCol w:w="1700"/>
        <w:gridCol w:w="426"/>
        <w:gridCol w:w="992"/>
        <w:gridCol w:w="709"/>
        <w:gridCol w:w="991"/>
        <w:gridCol w:w="992"/>
        <w:gridCol w:w="992"/>
      </w:tblGrid>
      <w:tr>
        <w:trPr>
          <w:trHeight w:val="1338" w:hRule="exact"/>
        </w:trPr>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6" w:right="2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7" w:right="26"/>
              <w:jc w:val="both"/>
              <w:rPr>
                <w:rFonts w:ascii="宋体" w:hAnsi="宋体" w:cs="宋体" w:eastAsia="宋体" w:hint="default"/>
                <w:sz w:val="18"/>
                <w:szCs w:val="18"/>
              </w:rPr>
            </w:pPr>
            <w:r>
              <w:rPr>
                <w:rFonts w:ascii="宋体" w:hAnsi="宋体" w:cs="宋体" w:eastAsia="宋体" w:hint="default"/>
                <w:sz w:val="18"/>
                <w:szCs w:val="18"/>
              </w:rPr>
              <w:t>任期 终止 日期</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9" w:right="78"/>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20"/>
              <w:ind w:left="79" w:right="0"/>
              <w:jc w:val="both"/>
              <w:rPr>
                <w:rFonts w:ascii="宋体" w:hAnsi="宋体" w:cs="宋体" w:eastAsia="宋体" w:hint="default"/>
                <w:sz w:val="18"/>
                <w:szCs w:val="18"/>
              </w:rPr>
            </w:pPr>
            <w:r>
              <w:rPr>
                <w:rFonts w:ascii="宋体" w:hAnsi="宋体" w:cs="宋体" w:eastAsia="宋体" w:hint="default"/>
                <w:sz w:val="18"/>
                <w:szCs w:val="18"/>
              </w:rPr>
              <w:t>（股）</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2" w:right="38" w:firstLine="18"/>
              <w:jc w:val="left"/>
              <w:rPr>
                <w:rFonts w:ascii="宋体" w:hAnsi="宋体" w:cs="宋体" w:eastAsia="宋体" w:hint="default"/>
                <w:sz w:val="18"/>
                <w:szCs w:val="18"/>
              </w:rPr>
            </w:pPr>
            <w:r>
              <w:rPr>
                <w:rFonts w:ascii="宋体" w:hAnsi="宋体" w:cs="宋体" w:eastAsia="宋体" w:hint="default"/>
                <w:sz w:val="18"/>
                <w:szCs w:val="18"/>
              </w:rPr>
              <w:t>本期减持股 份数量</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130" w:right="41" w:hanging="90"/>
              <w:jc w:val="left"/>
              <w:rPr>
                <w:rFonts w:ascii="宋体" w:hAnsi="宋体" w:cs="宋体" w:eastAsia="宋体" w:hint="default"/>
                <w:sz w:val="18"/>
                <w:szCs w:val="18"/>
              </w:rPr>
            </w:pPr>
            <w:r>
              <w:rPr>
                <w:rFonts w:ascii="宋体" w:hAnsi="宋体" w:cs="宋体" w:eastAsia="宋体" w:hint="default"/>
                <w:sz w:val="18"/>
                <w:szCs w:val="18"/>
              </w:rPr>
              <w:t>其他增减变 动（股）</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滕达</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1,617,451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970,471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2,587,922</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郭永芳</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114,911,958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68,947,175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178,859,133</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申强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1,039,000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623,400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1,662,400</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李国林</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59,327,100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35,596,260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94,923,360</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韦玉荣</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4,652,750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2,791,650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7,444,400</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苏学武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13,661,360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5,457,940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8,196,816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16,400,236</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蔡志平</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卢永华</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曲晓辉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仲丽华</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30" w:right="59" w:hanging="270"/>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屈文洲</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刘冬颖</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15,360,000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40,960,000</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吴鸿伟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1,055,800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633,480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1,689,280</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张雪峰</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784,500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470,700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1,055,200</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赵庸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942,000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565,200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1,507,200</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栾江霞</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日</w:t>
            </w: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534,000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320,400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854,400</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张乃军</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1,200,000</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葛鹏</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128,000</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周成祖</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112,000</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蔡志评</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30" w:right="59" w:hanging="270"/>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128,800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77,280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206,080</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225,154,719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10,657,940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135,092,832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349,589,611</w:t>
            </w:r>
          </w:p>
        </w:tc>
      </w:tr>
    </w:tbl>
    <w:p>
      <w:pPr>
        <w:spacing w:line="240" w:lineRule="auto" w:before="12"/>
        <w:rPr>
          <w:rFonts w:ascii="宋体" w:hAnsi="宋体" w:cs="宋体" w:eastAsia="宋体" w:hint="default"/>
          <w:b/>
          <w:bCs/>
          <w:sz w:val="17"/>
          <w:szCs w:val="17"/>
        </w:rPr>
      </w:pPr>
    </w:p>
    <w:p>
      <w:pPr>
        <w:pStyle w:val="Heading2"/>
        <w:spacing w:line="240" w:lineRule="auto" w:before="26"/>
        <w:ind w:right="0"/>
        <w:jc w:val="left"/>
        <w:rPr>
          <w:b w:val="0"/>
          <w:bCs w:val="0"/>
        </w:rPr>
      </w:pPr>
      <w:r>
        <w:rPr/>
        <w:t>二、公司董事、监事、高级管理人员变动情况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7"/>
        <w:rPr>
          <w:rFonts w:ascii="宋体" w:hAnsi="宋体" w:cs="宋体" w:eastAsia="宋体" w:hint="default"/>
          <w:sz w:val="23"/>
          <w:szCs w:val="23"/>
        </w:rPr>
      </w:pPr>
    </w:p>
    <w:p>
      <w:pPr>
        <w:pStyle w:val="Heading2"/>
        <w:spacing w:line="240" w:lineRule="auto" w:before="26"/>
        <w:ind w:right="0"/>
        <w:jc w:val="left"/>
        <w:rPr>
          <w:b w:val="0"/>
          <w:bCs w:val="0"/>
        </w:rPr>
      </w:pPr>
      <w:r>
        <w:rPr/>
        <w:t>三、任职情况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10"/>
        <w:rPr>
          <w:rFonts w:ascii="宋体" w:hAnsi="宋体" w:cs="宋体" w:eastAsia="宋体" w:hint="default"/>
          <w:sz w:val="12"/>
          <w:szCs w:val="12"/>
        </w:rPr>
      </w:pPr>
    </w:p>
    <w:p>
      <w:pPr>
        <w:pStyle w:val="BodyText"/>
        <w:spacing w:line="386" w:lineRule="auto"/>
        <w:ind w:right="1213" w:firstLine="419"/>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日，公司董事会完成了董事会和监事会换届，公司第四届董事会、监事会成员与第三届 董事会、监事会成员不变。第四届董事会共由</w:t>
      </w:r>
      <w:r>
        <w:rPr>
          <w:rFonts w:ascii="Times New Roman" w:hAnsi="Times New Roman" w:cs="Times New Roman" w:eastAsia="Times New Roman" w:hint="default"/>
        </w:rPr>
        <w:t>9</w:t>
      </w:r>
      <w:r>
        <w:rPr/>
        <w:t>名董事组成，其中独立董事</w:t>
      </w:r>
      <w:r>
        <w:rPr>
          <w:rFonts w:ascii="Times New Roman" w:hAnsi="Times New Roman" w:cs="Times New Roman" w:eastAsia="Times New Roman" w:hint="default"/>
        </w:rPr>
        <w:t>3</w:t>
      </w:r>
      <w:r>
        <w:rPr/>
        <w:t>名。第四届监事会由</w:t>
      </w:r>
      <w:r>
        <w:rPr>
          <w:rFonts w:ascii="Times New Roman" w:hAnsi="Times New Roman" w:cs="Times New Roman" w:eastAsia="Times New Roman" w:hint="default"/>
        </w:rPr>
        <w:t>3</w:t>
      </w:r>
      <w:r>
        <w:rPr/>
        <w:t>名监事 组成。</w:t>
      </w:r>
    </w:p>
    <w:p>
      <w:pPr>
        <w:spacing w:line="240" w:lineRule="auto" w:before="2"/>
        <w:rPr>
          <w:rFonts w:ascii="宋体" w:hAnsi="宋体" w:cs="宋体" w:eastAsia="宋体" w:hint="default"/>
          <w:sz w:val="14"/>
          <w:szCs w:val="14"/>
        </w:rPr>
      </w:pPr>
    </w:p>
    <w:p>
      <w:pPr>
        <w:pStyle w:val="Heading3"/>
        <w:spacing w:line="240" w:lineRule="auto"/>
        <w:ind w:left="576" w:right="0"/>
        <w:jc w:val="left"/>
        <w:rPr>
          <w:b w:val="0"/>
          <w:bCs w:val="0"/>
        </w:rPr>
      </w:pPr>
      <w:r>
        <w:rPr>
          <w:rFonts w:ascii="Times New Roman" w:hAnsi="Times New Roman" w:cs="Times New Roman" w:eastAsia="Times New Roman" w:hint="default"/>
        </w:rPr>
        <w:t>1</w:t>
      </w:r>
      <w:r>
        <w:rPr/>
        <w:t>、董事</w:t>
      </w:r>
      <w:r>
        <w:rPr>
          <w:b w:val="0"/>
          <w:bCs w:val="0"/>
        </w:rPr>
      </w:r>
    </w:p>
    <w:p>
      <w:pPr>
        <w:spacing w:line="240" w:lineRule="auto" w:before="5"/>
        <w:rPr>
          <w:rFonts w:ascii="宋体" w:hAnsi="宋体" w:cs="宋体" w:eastAsia="宋体" w:hint="default"/>
          <w:b/>
          <w:bCs/>
          <w:sz w:val="25"/>
          <w:szCs w:val="25"/>
        </w:rPr>
      </w:pPr>
    </w:p>
    <w:p>
      <w:pPr>
        <w:pStyle w:val="BodyText"/>
        <w:spacing w:line="391" w:lineRule="auto"/>
        <w:ind w:right="1108" w:firstLine="420"/>
        <w:jc w:val="both"/>
      </w:pPr>
      <w:r>
        <w:rPr>
          <w:rFonts w:ascii="宋体" w:hAnsi="宋体" w:cs="宋体" w:eastAsia="宋体" w:hint="default"/>
          <w:b/>
          <w:bCs/>
          <w:spacing w:val="-1"/>
        </w:rPr>
        <w:t>滕达</w:t>
      </w:r>
      <w:r>
        <w:rPr>
          <w:spacing w:val="-1"/>
        </w:rPr>
        <w:t>，男，</w:t>
      </w:r>
      <w:r>
        <w:rPr>
          <w:rFonts w:ascii="Times New Roman" w:hAnsi="Times New Roman" w:cs="Times New Roman" w:eastAsia="Times New Roman" w:hint="default"/>
          <w:spacing w:val="-1"/>
        </w:rPr>
        <w:t>1970</w:t>
      </w:r>
      <w:r>
        <w:rPr>
          <w:spacing w:val="-1"/>
        </w:rPr>
        <w:t>年</w:t>
      </w:r>
      <w:r>
        <w:rPr>
          <w:rFonts w:ascii="Times New Roman" w:hAnsi="Times New Roman" w:cs="Times New Roman" w:eastAsia="Times New Roman" w:hint="default"/>
          <w:spacing w:val="-1"/>
        </w:rPr>
        <w:t>10</w:t>
      </w:r>
      <w:r>
        <w:rPr>
          <w:spacing w:val="-1"/>
        </w:rPr>
        <w:t>月出生，中国国籍，硕士研究生学历，高级工程师，无永久境外居留权。厦门大</w:t>
      </w:r>
      <w:r>
        <w:rPr/>
        <w:t> 学信息科学与技术学院兼职教授，致公党厦门市委副主委，第十二届福建省政协委员，厦门市政协常委， 科技部创业导师。</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7</w:t>
      </w:r>
      <w:r>
        <w:rPr/>
        <w:t>月毕业于厦门大学电子工程系，</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8</w:t>
      </w:r>
      <w:r>
        <w:rPr/>
        <w:t>月任厦门必可电子有限公</w:t>
      </w:r>
      <w:r>
        <w:rPr>
          <w:spacing w:val="-42"/>
        </w:rPr>
        <w:t> </w:t>
      </w:r>
      <w:r>
        <w:rPr>
          <w:spacing w:val="-42"/>
        </w:rPr>
      </w:r>
      <w:r>
        <w:rPr>
          <w:spacing w:val="-1"/>
        </w:rPr>
        <w:t>司工程师；</w:t>
      </w:r>
      <w:r>
        <w:rPr>
          <w:rFonts w:ascii="Times New Roman" w:hAnsi="Times New Roman" w:cs="Times New Roman" w:eastAsia="Times New Roman" w:hint="default"/>
          <w:spacing w:val="-1"/>
        </w:rPr>
        <w:t>1999</w:t>
      </w:r>
      <w:r>
        <w:rPr>
          <w:spacing w:val="-1"/>
        </w:rPr>
        <w:t>年</w:t>
      </w:r>
      <w:r>
        <w:rPr>
          <w:rFonts w:ascii="Times New Roman" w:hAnsi="Times New Roman" w:cs="Times New Roman" w:eastAsia="Times New Roman" w:hint="default"/>
          <w:spacing w:val="-1"/>
        </w:rPr>
        <w:t>9</w:t>
      </w:r>
      <w:r>
        <w:rPr>
          <w:spacing w:val="-1"/>
        </w:rPr>
        <w:t>月至</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9</w:t>
      </w:r>
      <w:r>
        <w:rPr>
          <w:spacing w:val="-1"/>
        </w:rPr>
        <w:t>月任厦门市美亚柏科资讯科技有限公司总经理；</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9</w:t>
      </w:r>
      <w:r>
        <w:rPr>
          <w:spacing w:val="-1"/>
        </w:rPr>
        <w:t>月至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8</w:t>
      </w:r>
      <w:r>
        <w:rPr>
          <w:spacing w:val="-1"/>
        </w:rPr>
        <w:t>月任</w:t>
      </w:r>
      <w:r>
        <w:rPr>
          <w:spacing w:val="-83"/>
        </w:rPr>
        <w:t> </w:t>
      </w:r>
      <w:r>
        <w:rPr/>
        <w:t>公司董事、总经理；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月至今任公司董事长。</w:t>
      </w:r>
    </w:p>
    <w:p>
      <w:pPr>
        <w:pStyle w:val="BodyText"/>
        <w:spacing w:line="386" w:lineRule="auto" w:before="186"/>
        <w:ind w:right="1127" w:firstLine="420"/>
        <w:jc w:val="both"/>
      </w:pPr>
      <w:r>
        <w:rPr>
          <w:rFonts w:ascii="宋体" w:hAnsi="宋体" w:cs="宋体" w:eastAsia="宋体" w:hint="default"/>
          <w:b/>
          <w:bCs/>
        </w:rPr>
        <w:t>郭永芳</w:t>
      </w:r>
      <w:r>
        <w:rPr/>
        <w:t>，女，</w:t>
      </w:r>
      <w:r>
        <w:rPr>
          <w:rFonts w:ascii="Times New Roman" w:hAnsi="Times New Roman" w:cs="Times New Roman" w:eastAsia="Times New Roman" w:hint="default"/>
        </w:rPr>
        <w:t>1945</w:t>
      </w:r>
      <w:r>
        <w:rPr/>
        <w:t>年</w:t>
      </w:r>
      <w:r>
        <w:rPr>
          <w:rFonts w:ascii="Times New Roman" w:hAnsi="Times New Roman" w:cs="Times New Roman" w:eastAsia="Times New Roman" w:hint="default"/>
        </w:rPr>
        <w:t>5</w:t>
      </w:r>
      <w:r>
        <w:rPr/>
        <w:t>月出生，中国国籍，本科学历，无永久境外居留权。</w:t>
      </w:r>
      <w:r>
        <w:rPr>
          <w:rFonts w:ascii="Times New Roman" w:hAnsi="Times New Roman" w:cs="Times New Roman" w:eastAsia="Times New Roman" w:hint="default"/>
        </w:rPr>
        <w:t>1968</w:t>
      </w:r>
      <w:r>
        <w:rPr/>
        <w:t>年毕业于福建师范大</w:t>
      </w:r>
      <w:r>
        <w:rPr>
          <w:spacing w:val="2"/>
        </w:rPr>
        <w:t> </w:t>
      </w:r>
      <w:r>
        <w:rPr>
          <w:spacing w:val="-1"/>
        </w:rPr>
        <w:t>学数学系，</w:t>
      </w:r>
      <w:r>
        <w:rPr>
          <w:rFonts w:ascii="Times New Roman" w:hAnsi="Times New Roman" w:cs="Times New Roman" w:eastAsia="Times New Roman" w:hint="default"/>
          <w:spacing w:val="-1"/>
        </w:rPr>
        <w:t>1968</w:t>
      </w:r>
      <w:r>
        <w:rPr>
          <w:spacing w:val="-1"/>
        </w:rPr>
        <w:t>年到</w:t>
      </w:r>
      <w:r>
        <w:rPr>
          <w:rFonts w:ascii="Times New Roman" w:hAnsi="Times New Roman" w:cs="Times New Roman" w:eastAsia="Times New Roman" w:hint="default"/>
          <w:spacing w:val="-1"/>
        </w:rPr>
        <w:t>1975</w:t>
      </w:r>
      <w:r>
        <w:rPr>
          <w:spacing w:val="-1"/>
        </w:rPr>
        <w:t>年在福建漳浦赤湖中学任教；</w:t>
      </w:r>
      <w:r>
        <w:rPr>
          <w:rFonts w:ascii="Times New Roman" w:hAnsi="Times New Roman" w:cs="Times New Roman" w:eastAsia="Times New Roman" w:hint="default"/>
          <w:spacing w:val="-1"/>
        </w:rPr>
        <w:t>1975</w:t>
      </w:r>
      <w:r>
        <w:rPr>
          <w:spacing w:val="-1"/>
        </w:rPr>
        <w:t>年到</w:t>
      </w:r>
      <w:r>
        <w:rPr>
          <w:rFonts w:ascii="Times New Roman" w:hAnsi="Times New Roman" w:cs="Times New Roman" w:eastAsia="Times New Roman" w:hint="default"/>
          <w:spacing w:val="-1"/>
        </w:rPr>
        <w:t>2000</w:t>
      </w:r>
      <w:r>
        <w:rPr>
          <w:spacing w:val="-1"/>
        </w:rPr>
        <w:t>年间在厦门一中任教；</w:t>
      </w:r>
      <w:r>
        <w:rPr>
          <w:rFonts w:ascii="Times New Roman" w:hAnsi="Times New Roman" w:cs="Times New Roman" w:eastAsia="Times New Roman" w:hint="default"/>
          <w:spacing w:val="-1"/>
        </w:rPr>
        <w:t>2001</w:t>
      </w:r>
      <w:r>
        <w:rPr>
          <w:spacing w:val="-1"/>
        </w:rPr>
        <w:t>年至</w:t>
      </w: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32"/>
        </w:rPr>
        <w:t> </w:t>
      </w:r>
      <w:r>
        <w:rPr>
          <w:rFonts w:ascii="Times New Roman" w:hAnsi="Times New Roman" w:cs="Times New Roman" w:eastAsia="Times New Roman" w:hint="default"/>
          <w:spacing w:val="-32"/>
        </w:rPr>
      </w:r>
      <w:r>
        <w:rPr/>
        <w:t>年任厦门市美亚柏科资讯科技有限公司执行董事；</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月起至今任公司副董事长。</w:t>
      </w:r>
    </w:p>
    <w:p>
      <w:pPr>
        <w:pStyle w:val="BodyText"/>
        <w:spacing w:line="386" w:lineRule="auto" w:before="191"/>
        <w:ind w:right="1025" w:firstLine="420"/>
        <w:jc w:val="both"/>
      </w:pPr>
      <w:r>
        <w:rPr>
          <w:rFonts w:ascii="宋体" w:hAnsi="宋体" w:cs="宋体" w:eastAsia="宋体" w:hint="default"/>
          <w:b/>
          <w:bCs/>
          <w:spacing w:val="-1"/>
        </w:rPr>
        <w:t>李国林</w:t>
      </w:r>
      <w:r>
        <w:rPr>
          <w:spacing w:val="-1"/>
        </w:rPr>
        <w:t>，男，</w:t>
      </w:r>
      <w:r>
        <w:rPr>
          <w:rFonts w:ascii="Times New Roman" w:hAnsi="Times New Roman" w:cs="Times New Roman" w:eastAsia="Times New Roman" w:hint="default"/>
          <w:spacing w:val="-1"/>
        </w:rPr>
        <w:t>1968</w:t>
      </w:r>
      <w:r>
        <w:rPr>
          <w:spacing w:val="-1"/>
        </w:rPr>
        <w:t>年</w:t>
      </w:r>
      <w:r>
        <w:rPr>
          <w:rFonts w:ascii="Times New Roman" w:hAnsi="Times New Roman" w:cs="Times New Roman" w:eastAsia="Times New Roman" w:hint="default"/>
          <w:spacing w:val="-1"/>
        </w:rPr>
        <w:t>7</w:t>
      </w:r>
      <w:r>
        <w:rPr>
          <w:spacing w:val="-1"/>
        </w:rPr>
        <w:t>月出生，中国国籍，无永久境外居留权。</w:t>
      </w:r>
      <w:r>
        <w:rPr>
          <w:rFonts w:ascii="Times New Roman" w:hAnsi="Times New Roman" w:cs="Times New Roman" w:eastAsia="Times New Roman" w:hint="default"/>
          <w:spacing w:val="-1"/>
        </w:rPr>
        <w:t>2000</w:t>
      </w:r>
      <w:r>
        <w:rPr>
          <w:spacing w:val="-1"/>
        </w:rPr>
        <w:t>年至今，任美亚长城传媒（北京）</w:t>
      </w:r>
      <w:r>
        <w:rPr/>
        <w:t> 有限公司执行董事，</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月起至今任公司董事。</w:t>
      </w:r>
    </w:p>
    <w:p>
      <w:pPr>
        <w:pStyle w:val="BodyText"/>
        <w:spacing w:line="386" w:lineRule="auto" w:before="191"/>
        <w:ind w:left="153" w:right="1127" w:firstLine="420"/>
        <w:jc w:val="both"/>
      </w:pPr>
      <w:r>
        <w:rPr>
          <w:rFonts w:ascii="宋体" w:hAnsi="宋体" w:cs="宋体" w:eastAsia="宋体" w:hint="default"/>
          <w:b/>
          <w:bCs/>
          <w:spacing w:val="-5"/>
        </w:rPr>
        <w:t>申强</w:t>
      </w:r>
      <w:r>
        <w:rPr>
          <w:spacing w:val="-5"/>
        </w:rPr>
        <w:t>，男，</w:t>
      </w:r>
      <w:r>
        <w:rPr>
          <w:rFonts w:ascii="Times New Roman" w:hAnsi="Times New Roman" w:cs="Times New Roman" w:eastAsia="Times New Roman" w:hint="default"/>
          <w:spacing w:val="-5"/>
        </w:rPr>
        <w:t>1969</w:t>
      </w:r>
      <w:r>
        <w:rPr>
          <w:spacing w:val="-5"/>
        </w:rPr>
        <w:t>年</w:t>
      </w:r>
      <w:r>
        <w:rPr>
          <w:rFonts w:ascii="Times New Roman" w:hAnsi="Times New Roman" w:cs="Times New Roman" w:eastAsia="Times New Roman" w:hint="default"/>
          <w:spacing w:val="-5"/>
        </w:rPr>
        <w:t>11</w:t>
      </w:r>
      <w:r>
        <w:rPr>
          <w:spacing w:val="-5"/>
        </w:rPr>
        <w:t>月出生，中国国籍，无永久境外居留权。</w:t>
      </w:r>
      <w:r>
        <w:rPr>
          <w:rFonts w:ascii="Times New Roman" w:hAnsi="Times New Roman" w:cs="Times New Roman" w:eastAsia="Times New Roman" w:hint="default"/>
          <w:spacing w:val="-5"/>
        </w:rPr>
        <w:t>1992</w:t>
      </w:r>
      <w:r>
        <w:rPr>
          <w:spacing w:val="-5"/>
        </w:rPr>
        <w:t>年毕业于西北师范大学外语系；</w:t>
      </w:r>
      <w:r>
        <w:rPr>
          <w:rFonts w:ascii="Times New Roman" w:hAnsi="Times New Roman" w:cs="Times New Roman" w:eastAsia="Times New Roman" w:hint="default"/>
          <w:spacing w:val="-5"/>
        </w:rPr>
        <w:t>1992</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4</w:t>
      </w:r>
      <w:r>
        <w:rPr>
          <w:rFonts w:ascii="Times New Roman" w:hAnsi="Times New Roman" w:cs="Times New Roman" w:eastAsia="Times New Roman" w:hint="default"/>
          <w:spacing w:val="20"/>
        </w:rPr>
        <w:t> </w:t>
      </w:r>
      <w:r>
        <w:rPr/>
        <w:t>月在西北师大外事办任助理翻译；</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8</w:t>
      </w:r>
      <w:r>
        <w:rPr/>
        <w:t>月任厦门市佳思科技有限公司总 经理；</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月，历任公司营销中心总监、副总经理、常务副总经理。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月至今任公</w:t>
      </w:r>
      <w:r>
        <w:rPr>
          <w:spacing w:val="-41"/>
        </w:rPr>
        <w:t> </w:t>
      </w:r>
      <w:r>
        <w:rPr>
          <w:spacing w:val="-41"/>
        </w:rPr>
      </w:r>
      <w:r>
        <w:rPr/>
        <w:t>司董事、总经理。</w:t>
      </w:r>
    </w:p>
    <w:p>
      <w:pPr>
        <w:spacing w:line="240" w:lineRule="auto" w:before="12"/>
        <w:rPr>
          <w:rFonts w:ascii="宋体" w:hAnsi="宋体" w:cs="宋体" w:eastAsia="宋体" w:hint="default"/>
          <w:sz w:val="16"/>
          <w:szCs w:val="16"/>
        </w:rPr>
      </w:pPr>
    </w:p>
    <w:p>
      <w:pPr>
        <w:pStyle w:val="BodyText"/>
        <w:spacing w:line="386" w:lineRule="auto"/>
        <w:ind w:right="1025" w:firstLine="420"/>
        <w:jc w:val="both"/>
      </w:pPr>
      <w:r>
        <w:rPr>
          <w:rFonts w:ascii="宋体" w:hAnsi="宋体" w:cs="宋体" w:eastAsia="宋体" w:hint="default"/>
          <w:b/>
          <w:bCs/>
        </w:rPr>
        <w:t>苏学武</w:t>
      </w:r>
      <w:r>
        <w:rPr/>
        <w:t>，男，</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4</w:t>
      </w:r>
      <w:r>
        <w:rPr/>
        <w:t>月出生，中国国籍，无永久境外居留权。</w:t>
      </w:r>
      <w:r>
        <w:rPr>
          <w:rFonts w:ascii="Times New Roman" w:hAnsi="Times New Roman" w:cs="Times New Roman" w:eastAsia="Times New Roman" w:hint="default"/>
        </w:rPr>
        <w:t>1992</w:t>
      </w:r>
      <w:r>
        <w:rPr/>
        <w:t>年毕业于贵州大学数学系，</w:t>
      </w:r>
      <w:r>
        <w:rPr>
          <w:rFonts w:ascii="Times New Roman" w:hAnsi="Times New Roman" w:cs="Times New Roman" w:eastAsia="Times New Roman" w:hint="default"/>
        </w:rPr>
        <w:t>1992 </w:t>
      </w:r>
      <w:r>
        <w:rPr/>
        <w:t>年至</w:t>
      </w:r>
      <w:r>
        <w:rPr>
          <w:rFonts w:ascii="Times New Roman" w:hAnsi="Times New Roman" w:cs="Times New Roman" w:eastAsia="Times New Roman" w:hint="default"/>
        </w:rPr>
        <w:t>1995</w:t>
      </w:r>
      <w:r>
        <w:rPr/>
        <w:t>年任中国建筑第四工程局公司工程师，</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9</w:t>
      </w:r>
      <w:r>
        <w:rPr/>
        <w:t>月任珠海市经济特区新德汇企业有限 公司市场经理，</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月，任珠海市新德汇信息技术有限公司董事长兼总经理。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spacing w:val="-41"/>
        </w:rPr>
        <w:t> </w:t>
      </w:r>
      <w:r>
        <w:rPr>
          <w:spacing w:val="-1"/>
        </w:rPr>
        <w:t>至今，任公司全资子公司珠海市新德汇信息技术有限公司副董事长兼总经理。</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5</w:t>
      </w:r>
      <w:r>
        <w:rPr>
          <w:spacing w:val="-1"/>
        </w:rPr>
        <w:t>月至今任公司董事。</w:t>
      </w:r>
    </w:p>
    <w:p>
      <w:pPr>
        <w:pStyle w:val="BodyText"/>
        <w:spacing w:line="386" w:lineRule="auto" w:before="191"/>
        <w:ind w:right="1127" w:firstLine="420"/>
        <w:jc w:val="both"/>
        <w:rPr>
          <w:rFonts w:ascii="Times New Roman" w:hAnsi="Times New Roman" w:cs="Times New Roman" w:eastAsia="Times New Roman" w:hint="default"/>
        </w:rPr>
      </w:pPr>
      <w:r>
        <w:rPr>
          <w:rFonts w:ascii="宋体" w:hAnsi="宋体" w:cs="宋体" w:eastAsia="宋体" w:hint="default"/>
          <w:b/>
          <w:bCs/>
        </w:rPr>
        <w:t>韦玉荣</w:t>
      </w:r>
      <w:r>
        <w:rPr/>
        <w:t>，男，</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6</w:t>
      </w:r>
      <w:r>
        <w:rPr/>
        <w:t>月出生，中国国籍，无永久境外居留权。</w:t>
      </w:r>
      <w:r>
        <w:rPr>
          <w:rFonts w:ascii="Times New Roman" w:hAnsi="Times New Roman" w:cs="Times New Roman" w:eastAsia="Times New Roman" w:hint="default"/>
        </w:rPr>
        <w:t>1994</w:t>
      </w:r>
      <w:r>
        <w:rPr/>
        <w:t>年毕业于哈尔滨理工大学电算化</w:t>
      </w:r>
      <w:r>
        <w:rPr>
          <w:spacing w:val="2"/>
        </w:rPr>
        <w:t> </w:t>
      </w:r>
      <w:r>
        <w:rPr>
          <w:spacing w:val="-1"/>
        </w:rPr>
        <w:t>专业。</w:t>
      </w:r>
      <w:r>
        <w:rPr>
          <w:rFonts w:ascii="Times New Roman" w:hAnsi="Times New Roman" w:cs="Times New Roman" w:eastAsia="Times New Roman" w:hint="default"/>
          <w:spacing w:val="-1"/>
        </w:rPr>
        <w:t>1994</w:t>
      </w:r>
      <w:r>
        <w:rPr>
          <w:spacing w:val="-1"/>
        </w:rPr>
        <w:t>年</w:t>
      </w:r>
      <w:r>
        <w:rPr>
          <w:rFonts w:ascii="Times New Roman" w:hAnsi="Times New Roman" w:cs="Times New Roman" w:eastAsia="Times New Roman" w:hint="default"/>
          <w:spacing w:val="-1"/>
        </w:rPr>
        <w:t>9</w:t>
      </w:r>
      <w:r>
        <w:rPr>
          <w:spacing w:val="-1"/>
        </w:rPr>
        <w:t>月至</w:t>
      </w:r>
      <w:r>
        <w:rPr>
          <w:rFonts w:ascii="Times New Roman" w:hAnsi="Times New Roman" w:cs="Times New Roman" w:eastAsia="Times New Roman" w:hint="default"/>
          <w:spacing w:val="-1"/>
        </w:rPr>
        <w:t>1996</w:t>
      </w:r>
      <w:r>
        <w:rPr>
          <w:spacing w:val="-1"/>
        </w:rPr>
        <w:t>年</w:t>
      </w:r>
      <w:r>
        <w:rPr>
          <w:rFonts w:ascii="Times New Roman" w:hAnsi="Times New Roman" w:cs="Times New Roman" w:eastAsia="Times New Roman" w:hint="default"/>
          <w:spacing w:val="-1"/>
        </w:rPr>
        <w:t>10</w:t>
      </w:r>
      <w:r>
        <w:rPr>
          <w:spacing w:val="-1"/>
        </w:rPr>
        <w:t>月任无锡二橡胶股份有限公司会计；</w:t>
      </w:r>
      <w:r>
        <w:rPr>
          <w:rFonts w:ascii="Times New Roman" w:hAnsi="Times New Roman" w:cs="Times New Roman" w:eastAsia="Times New Roman" w:hint="default"/>
          <w:spacing w:val="-1"/>
        </w:rPr>
        <w:t>1996</w:t>
      </w:r>
      <w:r>
        <w:rPr>
          <w:spacing w:val="-1"/>
        </w:rPr>
        <w:t>年</w:t>
      </w:r>
      <w:r>
        <w:rPr>
          <w:rFonts w:ascii="Times New Roman" w:hAnsi="Times New Roman" w:cs="Times New Roman" w:eastAsia="Times New Roman" w:hint="default"/>
          <w:spacing w:val="-1"/>
        </w:rPr>
        <w:t>11</w:t>
      </w:r>
      <w:r>
        <w:rPr>
          <w:spacing w:val="-1"/>
        </w:rPr>
        <w:t>月至</w:t>
      </w:r>
      <w:r>
        <w:rPr>
          <w:rFonts w:ascii="Times New Roman" w:hAnsi="Times New Roman" w:cs="Times New Roman" w:eastAsia="Times New Roman" w:hint="default"/>
          <w:spacing w:val="-1"/>
        </w:rPr>
        <w:t>1999</w:t>
      </w:r>
      <w:r>
        <w:rPr>
          <w:spacing w:val="-1"/>
        </w:rPr>
        <w:t>年</w:t>
      </w:r>
      <w:r>
        <w:rPr>
          <w:rFonts w:ascii="Times New Roman" w:hAnsi="Times New Roman" w:cs="Times New Roman" w:eastAsia="Times New Roman" w:hint="default"/>
          <w:spacing w:val="-1"/>
        </w:rPr>
        <w:t>4</w:t>
      </w:r>
      <w:r>
        <w:rPr>
          <w:spacing w:val="-1"/>
        </w:rPr>
        <w:t>月任无锡市旭日科</w:t>
      </w:r>
      <w:r>
        <w:rPr>
          <w:spacing w:val="-85"/>
        </w:rPr>
        <w:t> </w:t>
      </w:r>
      <w:r>
        <w:rPr>
          <w:spacing w:val="-85"/>
        </w:rPr>
      </w:r>
      <w:r>
        <w:rPr>
          <w:spacing w:val="-1"/>
        </w:rPr>
        <w:t>技有限公司总经理；</w:t>
      </w:r>
      <w:r>
        <w:rPr>
          <w:rFonts w:ascii="Times New Roman" w:hAnsi="Times New Roman" w:cs="Times New Roman" w:eastAsia="Times New Roman" w:hint="default"/>
          <w:spacing w:val="-1"/>
        </w:rPr>
        <w:t>1999</w:t>
      </w:r>
      <w:r>
        <w:rPr>
          <w:spacing w:val="-1"/>
        </w:rPr>
        <w:t>年</w:t>
      </w:r>
      <w:r>
        <w:rPr>
          <w:rFonts w:ascii="Times New Roman" w:hAnsi="Times New Roman" w:cs="Times New Roman" w:eastAsia="Times New Roman" w:hint="default"/>
          <w:spacing w:val="-1"/>
        </w:rPr>
        <w:t>7</w:t>
      </w:r>
      <w:r>
        <w:rPr>
          <w:spacing w:val="-1"/>
        </w:rPr>
        <w:t>月至</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10</w:t>
      </w:r>
      <w:r>
        <w:rPr>
          <w:spacing w:val="-1"/>
        </w:rPr>
        <w:t>月任金蝶国际软件集团有限公司无锡分公司市场经理；</w:t>
      </w: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1</w:t>
      </w:r>
    </w:p>
    <w:p>
      <w:pPr>
        <w:spacing w:after="0" w:line="386" w:lineRule="auto"/>
        <w:jc w:val="both"/>
        <w:rPr>
          <w:rFonts w:ascii="Times New Roman" w:hAnsi="Times New Roman" w:cs="Times New Roman" w:eastAsia="Times New Roman" w:hint="default"/>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p>
      <w:pPr>
        <w:pStyle w:val="BodyText"/>
        <w:spacing w:line="386" w:lineRule="auto"/>
        <w:ind w:left="153" w:right="1126"/>
        <w:jc w:val="both"/>
      </w:pPr>
      <w:r>
        <w:rPr>
          <w:spacing w:val="-1"/>
        </w:rPr>
        <w:t>月至</w:t>
      </w: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2</w:t>
      </w:r>
      <w:r>
        <w:rPr>
          <w:spacing w:val="-1"/>
        </w:rPr>
        <w:t>月任无锡市启元科技有限公司市场经理；</w:t>
      </w: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4</w:t>
      </w:r>
      <w:r>
        <w:rPr>
          <w:spacing w:val="-1"/>
        </w:rPr>
        <w:t>月至</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12</w:t>
      </w:r>
      <w:r>
        <w:rPr>
          <w:spacing w:val="-1"/>
        </w:rPr>
        <w:t>月任无锡市奇星软件科技有限</w:t>
      </w:r>
      <w:r>
        <w:rPr>
          <w:spacing w:val="-84"/>
        </w:rPr>
        <w:t> </w:t>
      </w:r>
      <w:r>
        <w:rPr>
          <w:spacing w:val="-84"/>
        </w:rPr>
      </w:r>
      <w:r>
        <w:rPr/>
        <w:t>公司总经理；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月至今任公司全资子公司江苏税软软件科技有限公司董事、总经理。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月至</w:t>
      </w:r>
      <w:r>
        <w:rPr>
          <w:spacing w:val="-37"/>
        </w:rPr>
        <w:t> </w:t>
      </w:r>
      <w:r>
        <w:rPr/>
        <w:t>今任公司董事。</w:t>
      </w:r>
    </w:p>
    <w:p>
      <w:pPr>
        <w:spacing w:line="240" w:lineRule="auto" w:before="12"/>
        <w:rPr>
          <w:rFonts w:ascii="宋体" w:hAnsi="宋体" w:cs="宋体" w:eastAsia="宋体" w:hint="default"/>
          <w:sz w:val="16"/>
          <w:szCs w:val="16"/>
        </w:rPr>
      </w:pPr>
    </w:p>
    <w:p>
      <w:pPr>
        <w:pStyle w:val="BodyText"/>
        <w:spacing w:line="403" w:lineRule="auto"/>
        <w:ind w:left="153" w:right="1022" w:firstLine="482"/>
        <w:jc w:val="left"/>
      </w:pPr>
      <w:r>
        <w:rPr>
          <w:rFonts w:ascii="宋体" w:hAnsi="宋体" w:cs="宋体" w:eastAsia="宋体" w:hint="default"/>
          <w:b/>
          <w:bCs/>
          <w:spacing w:val="-2"/>
        </w:rPr>
        <w:t>曲晓辉，</w:t>
      </w:r>
      <w:r>
        <w:rPr>
          <w:spacing w:val="-2"/>
        </w:rPr>
        <w:t>女，</w:t>
      </w:r>
      <w:r>
        <w:rPr>
          <w:rFonts w:ascii="Times New Roman" w:hAnsi="Times New Roman" w:cs="Times New Roman" w:eastAsia="Times New Roman" w:hint="default"/>
          <w:spacing w:val="-2"/>
        </w:rPr>
        <w:t>1954</w:t>
      </w:r>
      <w:r>
        <w:rPr>
          <w:spacing w:val="-2"/>
        </w:rPr>
        <w:t>年</w:t>
      </w:r>
      <w:r>
        <w:rPr>
          <w:rFonts w:ascii="Times New Roman" w:hAnsi="Times New Roman" w:cs="Times New Roman" w:eastAsia="Times New Roman" w:hint="default"/>
          <w:spacing w:val="-2"/>
        </w:rPr>
        <w:t>11</w:t>
      </w:r>
      <w:r>
        <w:rPr>
          <w:spacing w:val="-2"/>
        </w:rPr>
        <w:t>月出生，中国国籍，经济学博士，会计学教授，博士生导师，无永久境外居留</w:t>
      </w:r>
      <w:r>
        <w:rPr/>
        <w:t> 权。中国第一位会计学女博士和第一位会计学博士生女导师，全国会计硕士专业学位（</w:t>
      </w:r>
      <w:r>
        <w:rPr>
          <w:rFonts w:ascii="Times New Roman" w:hAnsi="Times New Roman" w:cs="Times New Roman" w:eastAsia="Times New Roman" w:hint="default"/>
        </w:rPr>
        <w:t>MPAcc</w:t>
      </w:r>
      <w:r>
        <w:rPr/>
        <w:t>）论证发起 人。厦门大学社会科学学部委员、教授、博导；全国会计专业学位教育指导委员会顾问、教育部社会科学 委员会管理学部委员；国家社科基金项目评委。曾任厦门大学会计发展研究中心主任、厦门大学财务管理 </w:t>
      </w:r>
      <w:r>
        <w:rPr>
          <w:spacing w:val="-3"/>
        </w:rPr>
        <w:t>与会计研究院院长、中兴通讯股份有限公司、泰康人寿保险股份有限公司、民太安保险公估股份有限公司、</w:t>
      </w:r>
      <w:r>
        <w:rPr>
          <w:spacing w:val="-90"/>
        </w:rPr>
        <w:t> </w:t>
      </w:r>
      <w:r>
        <w:rPr>
          <w:spacing w:val="-90"/>
        </w:rPr>
      </w:r>
      <w:r>
        <w:rPr/>
        <w:t>云南白药集团股份有限公司、广州白云电器设备股份有限公司独立董事。现任哈尔滨工业大学（深圳）经</w:t>
      </w:r>
      <w:r>
        <w:rPr/>
        <w:t> 济管理学院会计学科带头人、教授、博导，兼任国投资本股份有限公司、三棵树涂料股份有限公司、中国 人民财产保险股份有限公司独立董事。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月至今任公司独立董事。</w:t>
      </w:r>
    </w:p>
    <w:p>
      <w:pPr>
        <w:pStyle w:val="BodyText"/>
        <w:spacing w:line="393" w:lineRule="auto" w:before="175"/>
        <w:ind w:left="153" w:right="1130" w:firstLine="482"/>
        <w:jc w:val="both"/>
      </w:pPr>
      <w:r>
        <w:rPr>
          <w:rFonts w:ascii="宋体" w:hAnsi="宋体" w:cs="宋体" w:eastAsia="宋体" w:hint="default"/>
          <w:b/>
          <w:bCs/>
        </w:rPr>
        <w:t>卢永华，</w:t>
      </w:r>
      <w:r>
        <w:rPr/>
        <w:t>男，</w:t>
      </w:r>
      <w:r>
        <w:rPr>
          <w:rFonts w:ascii="Times New Roman" w:hAnsi="Times New Roman" w:cs="Times New Roman" w:eastAsia="Times New Roman" w:hint="default"/>
        </w:rPr>
        <w:t>1954</w:t>
      </w:r>
      <w:r>
        <w:rPr/>
        <w:t>年出生，中国国籍，会计学博士，会计学教授，无永久境外居留权。</w:t>
      </w:r>
      <w:r>
        <w:rPr>
          <w:rFonts w:ascii="Times New Roman" w:hAnsi="Times New Roman" w:cs="Times New Roman" w:eastAsia="Times New Roman" w:hint="default"/>
        </w:rPr>
        <w:t>1980</w:t>
      </w:r>
      <w:r>
        <w:rPr/>
        <w:t>年</w:t>
      </w:r>
      <w:r>
        <w:rPr>
          <w:rFonts w:ascii="Times New Roman" w:hAnsi="Times New Roman" w:cs="Times New Roman" w:eastAsia="Times New Roman" w:hint="default"/>
        </w:rPr>
        <w:t>9</w:t>
      </w:r>
      <w:r>
        <w:rPr/>
        <w:t>月至 </w:t>
      </w:r>
      <w:r>
        <w:rPr>
          <w:rFonts w:ascii="Times New Roman" w:hAnsi="Times New Roman" w:cs="Times New Roman" w:eastAsia="Times New Roman" w:hint="default"/>
          <w:spacing w:val="-1"/>
        </w:rPr>
        <w:t>1984</w:t>
      </w:r>
      <w:r>
        <w:rPr>
          <w:spacing w:val="-1"/>
        </w:rPr>
        <w:t>年</w:t>
      </w:r>
      <w:r>
        <w:rPr>
          <w:rFonts w:ascii="Times New Roman" w:hAnsi="Times New Roman" w:cs="Times New Roman" w:eastAsia="Times New Roman" w:hint="default"/>
          <w:spacing w:val="-1"/>
        </w:rPr>
        <w:t>7</w:t>
      </w:r>
      <w:r>
        <w:rPr>
          <w:spacing w:val="-1"/>
        </w:rPr>
        <w:t>月，在厦门大学会计学专业就读，获学士学位；</w:t>
      </w:r>
      <w:r>
        <w:rPr>
          <w:rFonts w:ascii="Times New Roman" w:hAnsi="Times New Roman" w:cs="Times New Roman" w:eastAsia="Times New Roman" w:hint="default"/>
          <w:spacing w:val="-1"/>
        </w:rPr>
        <w:t>1984</w:t>
      </w:r>
      <w:r>
        <w:rPr>
          <w:spacing w:val="-1"/>
        </w:rPr>
        <w:t>年</w:t>
      </w:r>
      <w:r>
        <w:rPr>
          <w:rFonts w:ascii="Times New Roman" w:hAnsi="Times New Roman" w:cs="Times New Roman" w:eastAsia="Times New Roman" w:hint="default"/>
          <w:spacing w:val="-1"/>
        </w:rPr>
        <w:t>7</w:t>
      </w:r>
      <w:r>
        <w:rPr>
          <w:spacing w:val="-1"/>
        </w:rPr>
        <w:t>月厦门大学会计系毕业留校后一直从事会</w:t>
      </w:r>
      <w:r>
        <w:rPr>
          <w:spacing w:val="-86"/>
        </w:rPr>
        <w:t> </w:t>
      </w:r>
      <w:r>
        <w:rPr>
          <w:spacing w:val="-86"/>
        </w:rPr>
      </w:r>
      <w:r>
        <w:rPr>
          <w:spacing w:val="-1"/>
        </w:rPr>
        <w:t>计教学、科研工作；期间于</w:t>
      </w:r>
      <w:r>
        <w:rPr>
          <w:rFonts w:ascii="Times New Roman" w:hAnsi="Times New Roman" w:cs="Times New Roman" w:eastAsia="Times New Roman" w:hint="default"/>
          <w:spacing w:val="-1"/>
        </w:rPr>
        <w:t>1992</w:t>
      </w:r>
      <w:r>
        <w:rPr>
          <w:spacing w:val="-1"/>
        </w:rPr>
        <w:t>年</w:t>
      </w:r>
      <w:r>
        <w:rPr>
          <w:rFonts w:ascii="Times New Roman" w:hAnsi="Times New Roman" w:cs="Times New Roman" w:eastAsia="Times New Roman" w:hint="default"/>
          <w:spacing w:val="-1"/>
        </w:rPr>
        <w:t>7</w:t>
      </w:r>
      <w:r>
        <w:rPr>
          <w:spacing w:val="-1"/>
        </w:rPr>
        <w:t>月获得厦门大学会计系硕士学位；</w:t>
      </w: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6</w:t>
      </w:r>
      <w:r>
        <w:rPr>
          <w:spacing w:val="-1"/>
        </w:rPr>
        <w:t>月获厦门大学管理学（会计</w:t>
      </w:r>
      <w:r>
        <w:rPr>
          <w:spacing w:val="-84"/>
        </w:rPr>
        <w:t> </w:t>
      </w:r>
      <w:r>
        <w:rPr>
          <w:spacing w:val="-84"/>
        </w:rPr>
      </w:r>
      <w:r>
        <w:rPr>
          <w:spacing w:val="-1"/>
        </w:rPr>
        <w:t>学）博士学位。历任厦门大学会计系助教、厦门大学会计系讲师、厦门大学会计系副教授、厦门大学会计</w:t>
      </w:r>
      <w:r>
        <w:rPr>
          <w:spacing w:val="-83"/>
        </w:rPr>
        <w:t> </w:t>
      </w:r>
      <w:r>
        <w:rPr>
          <w:spacing w:val="-83"/>
        </w:rPr>
      </w:r>
      <w:r>
        <w:rPr>
          <w:spacing w:val="-1"/>
        </w:rPr>
        <w:t>系党总支副书记、厦门大学会计系副主任。卢永华先生现兼任厦门合兴包装印刷股份有限公司和福建龙溪</w:t>
      </w:r>
      <w:r>
        <w:rPr>
          <w:spacing w:val="-81"/>
        </w:rPr>
        <w:t> </w:t>
      </w:r>
      <w:r>
        <w:rPr>
          <w:spacing w:val="-81"/>
        </w:rPr>
      </w:r>
      <w:r>
        <w:rPr>
          <w:spacing w:val="2"/>
        </w:rPr>
        <w:t>轴承</w:t>
      </w:r>
      <w:r>
        <w:rPr>
          <w:rFonts w:ascii="Times New Roman" w:hAnsi="Times New Roman" w:cs="Times New Roman" w:eastAsia="Times New Roman" w:hint="default"/>
          <w:spacing w:val="2"/>
        </w:rPr>
        <w:t>(</w:t>
      </w:r>
      <w:r>
        <w:rPr>
          <w:spacing w:val="2"/>
        </w:rPr>
        <w:t>集团</w:t>
      </w:r>
      <w:r>
        <w:rPr>
          <w:rFonts w:ascii="Times New Roman" w:hAnsi="Times New Roman" w:cs="Times New Roman" w:eastAsia="Times New Roman" w:hint="default"/>
          <w:spacing w:val="2"/>
        </w:rPr>
        <w:t>)</w:t>
      </w:r>
      <w:r>
        <w:rPr>
          <w:spacing w:val="2"/>
        </w:rPr>
        <w:t>股份有限公司、舒华股份有限公司、吉比特网络技术股份有限公司的独立董事。</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27</w:t>
      </w:r>
      <w:r>
        <w:rPr>
          <w:rFonts w:ascii="Times New Roman" w:hAnsi="Times New Roman" w:cs="Times New Roman" w:eastAsia="Times New Roman" w:hint="default"/>
          <w:spacing w:val="-26"/>
        </w:rPr>
        <w:t> </w:t>
      </w:r>
      <w:r>
        <w:rPr/>
        <w:t>日起至今任公司独立董事。</w:t>
      </w:r>
    </w:p>
    <w:p>
      <w:pPr>
        <w:spacing w:line="240" w:lineRule="auto" w:before="5"/>
        <w:rPr>
          <w:rFonts w:ascii="宋体" w:hAnsi="宋体" w:cs="宋体" w:eastAsia="宋体" w:hint="default"/>
          <w:sz w:val="16"/>
          <w:szCs w:val="16"/>
        </w:rPr>
      </w:pPr>
    </w:p>
    <w:p>
      <w:pPr>
        <w:pStyle w:val="BodyText"/>
        <w:spacing w:line="391" w:lineRule="auto"/>
        <w:ind w:left="153" w:right="1130" w:firstLine="482"/>
        <w:jc w:val="both"/>
      </w:pPr>
      <w:r>
        <w:rPr>
          <w:rFonts w:ascii="宋体" w:hAnsi="宋体" w:cs="宋体" w:eastAsia="宋体" w:hint="default"/>
          <w:b/>
          <w:bCs/>
        </w:rPr>
        <w:t>蔡志平，</w:t>
      </w:r>
      <w:r>
        <w:rPr/>
        <w:t>男，</w:t>
      </w:r>
      <w:r>
        <w:rPr>
          <w:rFonts w:ascii="Times New Roman" w:hAnsi="Times New Roman" w:cs="Times New Roman" w:eastAsia="Times New Roman" w:hint="default"/>
        </w:rPr>
        <w:t>1965 </w:t>
      </w:r>
      <w:r>
        <w:rPr/>
        <w:t>年 </w:t>
      </w:r>
      <w:r>
        <w:rPr>
          <w:rFonts w:ascii="Times New Roman" w:hAnsi="Times New Roman" w:cs="Times New Roman" w:eastAsia="Times New Roman" w:hint="default"/>
        </w:rPr>
        <w:t>2 </w:t>
      </w:r>
      <w:r>
        <w:rPr/>
        <w:t>月出生，中国国籍，博士，教授，无永久境外居留权。</w:t>
      </w:r>
      <w:r>
        <w:rPr>
          <w:rFonts w:ascii="Times New Roman" w:hAnsi="Times New Roman" w:cs="Times New Roman" w:eastAsia="Times New Roman" w:hint="default"/>
        </w:rPr>
        <w:t>1985</w:t>
      </w:r>
      <w:r>
        <w:rPr>
          <w:rFonts w:ascii="Times New Roman" w:hAnsi="Times New Roman" w:cs="Times New Roman" w:eastAsia="Times New Roman" w:hint="default"/>
          <w:spacing w:val="43"/>
        </w:rPr>
        <w:t> </w:t>
      </w:r>
      <w:r>
        <w:rPr/>
        <w:t>年毕业于厦门 </w:t>
      </w:r>
      <w:r>
        <w:rPr>
          <w:spacing w:val="-1"/>
        </w:rPr>
        <w:t>大学物理系半导体物理与器件专业，先后于</w:t>
      </w:r>
      <w:r>
        <w:rPr>
          <w:rFonts w:ascii="Times New Roman" w:hAnsi="Times New Roman" w:cs="Times New Roman" w:eastAsia="Times New Roman" w:hint="default"/>
          <w:spacing w:val="-1"/>
        </w:rPr>
        <w:t>1987</w:t>
      </w:r>
      <w:r>
        <w:rPr>
          <w:spacing w:val="-1"/>
        </w:rPr>
        <w:t>年和</w:t>
      </w:r>
      <w:r>
        <w:rPr>
          <w:rFonts w:ascii="Times New Roman" w:hAnsi="Times New Roman" w:cs="Times New Roman" w:eastAsia="Times New Roman" w:hint="default"/>
          <w:spacing w:val="-1"/>
        </w:rPr>
        <w:t>1989</w:t>
      </w:r>
      <w:r>
        <w:rPr>
          <w:spacing w:val="-1"/>
        </w:rPr>
        <w:t>年在法国尼斯大学物理系获硕士、博士学位，从</w:t>
      </w:r>
      <w:r>
        <w:rPr>
          <w:spacing w:val="-85"/>
        </w:rPr>
        <w:t> </w:t>
      </w:r>
      <w:r>
        <w:rPr>
          <w:spacing w:val="-85"/>
        </w:rPr>
      </w:r>
      <w:r>
        <w:rPr/>
        <w:t>事稀土掺杂光纤线性与非线性光学性质研究。</w:t>
      </w:r>
      <w:r>
        <w:rPr>
          <w:rFonts w:ascii="Times New Roman" w:hAnsi="Times New Roman" w:cs="Times New Roman" w:eastAsia="Times New Roman" w:hint="default"/>
        </w:rPr>
        <w:t>1989</w:t>
      </w:r>
      <w:r>
        <w:rPr/>
        <w:t>年回厦门大学物理系任教，</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5</w:t>
      </w:r>
      <w:r>
        <w:rPr/>
        <w:t>月起至今任厦门大</w:t>
      </w:r>
      <w:r>
        <w:rPr>
          <w:spacing w:val="-40"/>
        </w:rPr>
        <w:t> </w:t>
      </w:r>
      <w:r>
        <w:rPr>
          <w:spacing w:val="-40"/>
        </w:rPr>
      </w:r>
      <w:r>
        <w:rPr>
          <w:spacing w:val="-1"/>
        </w:rPr>
        <w:t>学计算机与信息工程学院电子工程系主任、学院教授委员会副主任、电子工程系教授委员会主任。现兼任</w:t>
      </w:r>
      <w:r>
        <w:rPr>
          <w:spacing w:val="-83"/>
        </w:rPr>
        <w:t> </w:t>
      </w:r>
      <w:r>
        <w:rPr>
          <w:spacing w:val="-83"/>
        </w:rPr>
      </w:r>
      <w:r>
        <w:rPr>
          <w:spacing w:val="-1"/>
        </w:rPr>
        <w:t>中国光学学会纤维光学与集成光学专业委员会委员，教育部电子科学与技术教学指导分委会委员。</w:t>
      </w:r>
      <w:r>
        <w:rPr>
          <w:rFonts w:ascii="Times New Roman" w:hAnsi="Times New Roman" w:cs="Times New Roman" w:eastAsia="Times New Roman" w:hint="default"/>
          <w:spacing w:val="-1"/>
        </w:rPr>
        <w:t>2016</w:t>
      </w:r>
      <w:r>
        <w:rPr>
          <w:spacing w:val="-1"/>
        </w:rPr>
        <w:t>年</w:t>
      </w:r>
      <w:r>
        <w:rPr>
          <w:spacing w:val="-81"/>
        </w:rPr>
        <w:t> </w:t>
      </w:r>
      <w:r>
        <w:rPr>
          <w:rFonts w:ascii="Times New Roman" w:hAnsi="Times New Roman" w:cs="Times New Roman" w:eastAsia="Times New Roman" w:hint="default"/>
        </w:rPr>
        <w:t>3</w:t>
      </w:r>
      <w:r>
        <w:rPr/>
        <w:t>月至今任公司独立董事。</w:t>
      </w:r>
    </w:p>
    <w:p>
      <w:pPr>
        <w:pStyle w:val="Heading3"/>
        <w:spacing w:line="240" w:lineRule="auto" w:before="150"/>
        <w:ind w:left="576" w:right="0"/>
        <w:jc w:val="left"/>
        <w:rPr>
          <w:b w:val="0"/>
          <w:bCs w:val="0"/>
        </w:rPr>
      </w:pPr>
      <w:r>
        <w:rPr>
          <w:rFonts w:ascii="Times New Roman" w:hAnsi="Times New Roman" w:cs="Times New Roman" w:eastAsia="Times New Roman" w:hint="default"/>
        </w:rPr>
        <w:t>2</w:t>
      </w:r>
      <w:r>
        <w:rPr/>
        <w:t>、监事</w:t>
      </w:r>
      <w:r>
        <w:rPr>
          <w:b w:val="0"/>
          <w:bCs w:val="0"/>
        </w:rPr>
      </w:r>
    </w:p>
    <w:p>
      <w:pPr>
        <w:spacing w:line="240" w:lineRule="auto" w:before="9"/>
        <w:rPr>
          <w:rFonts w:ascii="宋体" w:hAnsi="宋体" w:cs="宋体" w:eastAsia="宋体" w:hint="default"/>
          <w:b/>
          <w:bCs/>
          <w:sz w:val="22"/>
          <w:szCs w:val="22"/>
        </w:rPr>
      </w:pPr>
    </w:p>
    <w:p>
      <w:pPr>
        <w:pStyle w:val="BodyText"/>
        <w:spacing w:line="386" w:lineRule="auto"/>
        <w:ind w:left="153" w:right="1127" w:firstLine="422"/>
        <w:jc w:val="both"/>
      </w:pPr>
      <w:r>
        <w:rPr>
          <w:rFonts w:ascii="宋体" w:hAnsi="宋体" w:cs="宋体" w:eastAsia="宋体" w:hint="default"/>
          <w:b/>
          <w:bCs/>
          <w:spacing w:val="-1"/>
        </w:rPr>
        <w:t>仲丽华，</w:t>
      </w:r>
      <w:r>
        <w:rPr>
          <w:spacing w:val="-1"/>
        </w:rPr>
        <w:t>女，</w:t>
      </w:r>
      <w:r>
        <w:rPr>
          <w:rFonts w:ascii="Times New Roman" w:hAnsi="Times New Roman" w:cs="Times New Roman" w:eastAsia="Times New Roman" w:hint="default"/>
          <w:spacing w:val="-1"/>
        </w:rPr>
        <w:t>1976</w:t>
      </w:r>
      <w:r>
        <w:rPr>
          <w:spacing w:val="-1"/>
        </w:rPr>
        <w:t>年出生，中国国籍，硕士研究生学历，毕业于厦门大学，无永久境外居留权。</w:t>
      </w:r>
      <w:r>
        <w:rPr>
          <w:rFonts w:ascii="Times New Roman" w:hAnsi="Times New Roman" w:cs="Times New Roman" w:eastAsia="Times New Roman" w:hint="default"/>
          <w:spacing w:val="-1"/>
        </w:rPr>
        <w:t>2007</w:t>
      </w:r>
      <w:r>
        <w:rPr>
          <w:rFonts w:ascii="Times New Roman" w:hAnsi="Times New Roman" w:cs="Times New Roman" w:eastAsia="Times New Roman" w:hint="default"/>
        </w:rPr>
        <w:t> </w:t>
      </w:r>
      <w:r>
        <w:rPr>
          <w:spacing w:val="-1"/>
        </w:rPr>
        <w:t>年</w:t>
      </w:r>
      <w:r>
        <w:rPr>
          <w:rFonts w:ascii="Times New Roman" w:hAnsi="Times New Roman" w:cs="Times New Roman" w:eastAsia="Times New Roman" w:hint="default"/>
          <w:spacing w:val="-1"/>
        </w:rPr>
        <w:t>4</w:t>
      </w:r>
      <w:r>
        <w:rPr>
          <w:spacing w:val="-1"/>
        </w:rPr>
        <w:t>月至今，历任公司中证研究所网络维权部副经理、经理、数字法律服务中心副总监，总监。</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4</w:t>
      </w:r>
      <w:r>
        <w:rPr>
          <w:spacing w:val="-1"/>
        </w:rPr>
        <w:t>月</w:t>
      </w:r>
      <w:r>
        <w:rPr>
          <w:spacing w:val="-82"/>
        </w:rPr>
        <w:t> </w:t>
      </w:r>
      <w:r>
        <w:rPr>
          <w:rFonts w:ascii="Times New Roman" w:hAnsi="Times New Roman" w:cs="Times New Roman" w:eastAsia="Times New Roman" w:hint="default"/>
        </w:rPr>
        <w:t>25</w:t>
      </w:r>
      <w:r>
        <w:rPr/>
        <w:t>日起至今任公司监事会职工代表监事、监事会主席。</w:t>
      </w:r>
    </w:p>
    <w:p>
      <w:pPr>
        <w:spacing w:after="0" w:line="386" w:lineRule="auto"/>
        <w:jc w:val="both"/>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386" w:lineRule="auto" w:before="174"/>
        <w:ind w:left="153" w:right="0" w:firstLine="482"/>
        <w:jc w:val="left"/>
      </w:pPr>
      <w:r>
        <w:rPr>
          <w:rFonts w:ascii="宋体" w:hAnsi="宋体" w:cs="宋体" w:eastAsia="宋体" w:hint="default"/>
          <w:b/>
          <w:bCs/>
        </w:rPr>
        <w:t>屈文洲</w:t>
      </w:r>
      <w:r>
        <w:rPr/>
        <w:t>，男，</w:t>
      </w:r>
      <w:r>
        <w:rPr>
          <w:rFonts w:ascii="Times New Roman" w:hAnsi="Times New Roman" w:cs="Times New Roman" w:eastAsia="Times New Roman" w:hint="default"/>
        </w:rPr>
        <w:t>1972</w:t>
      </w:r>
      <w:r>
        <w:rPr/>
        <w:t>年出生。经济学</w:t>
      </w:r>
      <w:r>
        <w:rPr>
          <w:rFonts w:ascii="Times New Roman" w:hAnsi="Times New Roman" w:cs="Times New Roman" w:eastAsia="Times New Roman" w:hint="default"/>
        </w:rPr>
        <w:t>(</w:t>
      </w:r>
      <w:r>
        <w:rPr/>
        <w:t>金融学</w:t>
      </w:r>
      <w:r>
        <w:rPr>
          <w:rFonts w:ascii="Times New Roman" w:hAnsi="Times New Roman" w:cs="Times New Roman" w:eastAsia="Times New Roman" w:hint="default"/>
        </w:rPr>
        <w:t>)</w:t>
      </w:r>
      <w:r>
        <w:rPr/>
        <w:t>博士、工商管理博士后、教授、博士生导师、美国特许金 </w:t>
      </w:r>
      <w:r>
        <w:rPr>
          <w:spacing w:val="-4"/>
        </w:rPr>
        <w:t>融分析师</w:t>
      </w:r>
      <w:r>
        <w:rPr>
          <w:rFonts w:ascii="Times New Roman" w:hAnsi="Times New Roman" w:cs="Times New Roman" w:eastAsia="Times New Roman" w:hint="default"/>
          <w:spacing w:val="-4"/>
        </w:rPr>
        <w:t>(CFA)</w:t>
      </w:r>
      <w:r>
        <w:rPr>
          <w:spacing w:val="-4"/>
        </w:rPr>
        <w:t>、中国注册会计师</w:t>
      </w:r>
      <w:r>
        <w:rPr>
          <w:rFonts w:ascii="Times New Roman" w:hAnsi="Times New Roman" w:cs="Times New Roman" w:eastAsia="Times New Roman" w:hint="default"/>
          <w:spacing w:val="-4"/>
        </w:rPr>
        <w:t>(CPA)</w:t>
      </w:r>
      <w:r>
        <w:rPr>
          <w:spacing w:val="-4"/>
        </w:rPr>
        <w:t>。曾任职于厦门建发信托投资公司。现任厦门大学金圆研究院院长、</w:t>
      </w:r>
      <w:r>
        <w:rPr>
          <w:spacing w:val="-80"/>
        </w:rPr>
        <w:t> </w:t>
      </w:r>
      <w:r>
        <w:rPr>
          <w:spacing w:val="-80"/>
        </w:rPr>
      </w:r>
      <w:r>
        <w:rPr>
          <w:spacing w:val="-6"/>
        </w:rPr>
        <w:t>管理学院</w:t>
      </w:r>
      <w:r>
        <w:rPr>
          <w:rFonts w:ascii="Times New Roman" w:hAnsi="Times New Roman" w:cs="Times New Roman" w:eastAsia="Times New Roman" w:hint="default"/>
          <w:spacing w:val="-6"/>
        </w:rPr>
        <w:t>MBA</w:t>
      </w:r>
      <w:r>
        <w:rPr>
          <w:spacing w:val="-6"/>
        </w:rPr>
        <w:t>教育中心主任，中国资本市场研究中心主任，兼任七匹狼独立董事、洲际油气独立董事。2014</w:t>
      </w:r>
      <w:r>
        <w:rPr>
          <w:spacing w:val="-102"/>
        </w:rPr>
        <w:t> </w:t>
      </w:r>
      <w:r>
        <w:rPr>
          <w:spacing w:val="-102"/>
        </w:rPr>
      </w:r>
      <w:r>
        <w:rPr/>
        <w:t>年10月10日起至今任公司监事会非职工代表监事。</w:t>
      </w:r>
    </w:p>
    <w:p>
      <w:pPr>
        <w:spacing w:line="240" w:lineRule="auto" w:before="12"/>
        <w:rPr>
          <w:rFonts w:ascii="宋体" w:hAnsi="宋体" w:cs="宋体" w:eastAsia="宋体" w:hint="default"/>
          <w:sz w:val="16"/>
          <w:szCs w:val="16"/>
        </w:rPr>
      </w:pPr>
    </w:p>
    <w:p>
      <w:pPr>
        <w:pStyle w:val="BodyText"/>
        <w:spacing w:line="386" w:lineRule="auto"/>
        <w:ind w:left="153" w:right="1130" w:firstLine="482"/>
        <w:jc w:val="both"/>
      </w:pPr>
      <w:r>
        <w:rPr>
          <w:rFonts w:ascii="宋体" w:hAnsi="宋体" w:cs="宋体" w:eastAsia="宋体" w:hint="default"/>
          <w:b/>
          <w:bCs/>
          <w:spacing w:val="-2"/>
        </w:rPr>
        <w:t>刘冬颖，</w:t>
      </w:r>
      <w:r>
        <w:rPr>
          <w:spacing w:val="-2"/>
        </w:rPr>
        <w:t>女，</w:t>
      </w:r>
      <w:r>
        <w:rPr>
          <w:rFonts w:ascii="Times New Roman" w:hAnsi="Times New Roman" w:cs="Times New Roman" w:eastAsia="Times New Roman" w:hint="default"/>
          <w:spacing w:val="-2"/>
        </w:rPr>
        <w:t>1976</w:t>
      </w:r>
      <w:r>
        <w:rPr>
          <w:spacing w:val="-2"/>
        </w:rPr>
        <w:t>年</w:t>
      </w:r>
      <w:r>
        <w:rPr>
          <w:rFonts w:ascii="Times New Roman" w:hAnsi="Times New Roman" w:cs="Times New Roman" w:eastAsia="Times New Roman" w:hint="default"/>
          <w:spacing w:val="-2"/>
        </w:rPr>
        <w:t>11</w:t>
      </w:r>
      <w:r>
        <w:rPr>
          <w:spacing w:val="-2"/>
        </w:rPr>
        <w:t>出生，中国国籍，硕士学历，无永久境外居留权。</w:t>
      </w:r>
      <w:r>
        <w:rPr>
          <w:rFonts w:ascii="Times New Roman" w:hAnsi="Times New Roman" w:cs="Times New Roman" w:eastAsia="Times New Roman" w:hint="default"/>
          <w:spacing w:val="-2"/>
        </w:rPr>
        <w:t>2000</w:t>
      </w:r>
      <w:r>
        <w:rPr>
          <w:spacing w:val="-2"/>
        </w:rPr>
        <w:t>年至</w:t>
      </w:r>
      <w:r>
        <w:rPr>
          <w:rFonts w:ascii="Times New Roman" w:hAnsi="Times New Roman" w:cs="Times New Roman" w:eastAsia="Times New Roman" w:hint="default"/>
          <w:spacing w:val="-2"/>
        </w:rPr>
        <w:t>2001</w:t>
      </w:r>
      <w:r>
        <w:rPr>
          <w:spacing w:val="-2"/>
        </w:rPr>
        <w:t>年就职于厦门</w:t>
      </w:r>
      <w:r>
        <w:rPr/>
        <w:t> </w:t>
      </w:r>
      <w:r>
        <w:rPr>
          <w:spacing w:val="-1"/>
        </w:rPr>
        <w:t>天健会计师事务所有限公司从事审计工作；</w:t>
      </w:r>
      <w:r>
        <w:rPr>
          <w:rFonts w:ascii="Times New Roman" w:hAnsi="Times New Roman" w:cs="Times New Roman" w:eastAsia="Times New Roman" w:hint="default"/>
          <w:spacing w:val="-1"/>
        </w:rPr>
        <w:t>2001</w:t>
      </w:r>
      <w:r>
        <w:rPr>
          <w:spacing w:val="-1"/>
        </w:rPr>
        <w:t>年至</w:t>
      </w:r>
      <w:r>
        <w:rPr>
          <w:rFonts w:ascii="Times New Roman" w:hAnsi="Times New Roman" w:cs="Times New Roman" w:eastAsia="Times New Roman" w:hint="default"/>
          <w:spacing w:val="-1"/>
        </w:rPr>
        <w:t>2007</w:t>
      </w:r>
      <w:r>
        <w:rPr>
          <w:spacing w:val="-1"/>
        </w:rPr>
        <w:t>年就职于厦门</w:t>
      </w:r>
      <w:r>
        <w:rPr>
          <w:rFonts w:ascii="Times New Roman" w:hAnsi="Times New Roman" w:cs="Times New Roman" w:eastAsia="Times New Roman" w:hint="default"/>
          <w:spacing w:val="-1"/>
        </w:rPr>
        <w:t>ABB</w:t>
      </w:r>
      <w:r>
        <w:rPr>
          <w:spacing w:val="-1"/>
        </w:rPr>
        <w:t>低压电器设备有限公司财务部</w:t>
      </w:r>
      <w:r>
        <w:rPr>
          <w:spacing w:val="-97"/>
        </w:rPr>
        <w:t> </w:t>
      </w:r>
      <w:r>
        <w:rPr>
          <w:spacing w:val="-97"/>
        </w:rPr>
      </w:r>
      <w:r>
        <w:rPr>
          <w:spacing w:val="-1"/>
        </w:rPr>
        <w:t>从事财务管理工作；</w:t>
      </w:r>
      <w:r>
        <w:rPr>
          <w:rFonts w:ascii="Times New Roman" w:hAnsi="Times New Roman" w:cs="Times New Roman" w:eastAsia="Times New Roman" w:hint="default"/>
          <w:spacing w:val="-1"/>
        </w:rPr>
        <w:t>2007</w:t>
      </w:r>
      <w:r>
        <w:rPr>
          <w:spacing w:val="-1"/>
        </w:rPr>
        <w:t>年至</w:t>
      </w:r>
      <w:r>
        <w:rPr>
          <w:rFonts w:ascii="Times New Roman" w:hAnsi="Times New Roman" w:cs="Times New Roman" w:eastAsia="Times New Roman" w:hint="default"/>
          <w:spacing w:val="-1"/>
        </w:rPr>
        <w:t>2010</w:t>
      </w:r>
      <w:r>
        <w:rPr>
          <w:spacing w:val="-1"/>
        </w:rPr>
        <w:t>年就职于厦门稻香村贸易有限公司任职财务总监；</w:t>
      </w:r>
      <w:r>
        <w:rPr>
          <w:rFonts w:ascii="Times New Roman" w:hAnsi="Times New Roman" w:cs="Times New Roman" w:eastAsia="Times New Roman" w:hint="default"/>
          <w:spacing w:val="-1"/>
        </w:rPr>
        <w:t>2010</w:t>
      </w:r>
      <w:r>
        <w:rPr>
          <w:spacing w:val="-1"/>
        </w:rPr>
        <w:t>年至</w:t>
      </w:r>
      <w:r>
        <w:rPr>
          <w:rFonts w:ascii="Times New Roman" w:hAnsi="Times New Roman" w:cs="Times New Roman" w:eastAsia="Times New Roman" w:hint="default"/>
          <w:spacing w:val="-1"/>
        </w:rPr>
        <w:t>2015</w:t>
      </w:r>
      <w:r>
        <w:rPr>
          <w:spacing w:val="-1"/>
        </w:rPr>
        <w:t>年就职</w:t>
      </w:r>
      <w:r>
        <w:rPr>
          <w:spacing w:val="-83"/>
        </w:rPr>
        <w:t> </w:t>
      </w:r>
      <w:r>
        <w:rPr>
          <w:spacing w:val="-83"/>
        </w:rPr>
      </w:r>
      <w:r>
        <w:rPr>
          <w:spacing w:val="-1"/>
        </w:rPr>
        <w:t>于厦门美亚绿化研究所任职财务总监；</w:t>
      </w:r>
      <w:r>
        <w:rPr>
          <w:rFonts w:ascii="Times New Roman" w:hAnsi="Times New Roman" w:cs="Times New Roman" w:eastAsia="Times New Roman" w:hint="default"/>
          <w:spacing w:val="-1"/>
        </w:rPr>
        <w:t>2013</w:t>
      </w:r>
      <w:r>
        <w:rPr>
          <w:spacing w:val="-1"/>
        </w:rPr>
        <w:t>年至</w:t>
      </w:r>
      <w:r>
        <w:rPr>
          <w:rFonts w:ascii="Times New Roman" w:hAnsi="Times New Roman" w:cs="Times New Roman" w:eastAsia="Times New Roman" w:hint="default"/>
          <w:spacing w:val="-1"/>
        </w:rPr>
        <w:t>2015</w:t>
      </w:r>
      <w:r>
        <w:rPr>
          <w:spacing w:val="-1"/>
        </w:rPr>
        <w:t>年就职于厦门刘老师空中花果园有限公司任职财务总</w:t>
      </w:r>
      <w:r>
        <w:rPr>
          <w:spacing w:val="-83"/>
        </w:rPr>
        <w:t> </w:t>
      </w:r>
      <w:r>
        <w:rPr>
          <w:spacing w:val="-83"/>
        </w:rPr>
      </w:r>
      <w:r>
        <w:rPr/>
        <w:t>监。2015年8月27日起至今任公司监事会非职工代表监事。</w:t>
      </w:r>
    </w:p>
    <w:p>
      <w:pPr>
        <w:spacing w:line="240" w:lineRule="auto" w:before="12"/>
        <w:rPr>
          <w:rFonts w:ascii="宋体" w:hAnsi="宋体" w:cs="宋体" w:eastAsia="宋体" w:hint="default"/>
          <w:sz w:val="16"/>
          <w:szCs w:val="16"/>
        </w:rPr>
      </w:pPr>
    </w:p>
    <w:p>
      <w:pPr>
        <w:spacing w:line="484" w:lineRule="auto" w:before="0"/>
        <w:ind w:left="576" w:right="7386" w:hanging="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、高级管理人员</w:t>
      </w:r>
      <w:r>
        <w:rPr>
          <w:rFonts w:ascii="宋体" w:hAnsi="宋体" w:cs="宋体" w:eastAsia="宋体" w:hint="default"/>
          <w:b/>
          <w:bCs/>
          <w:spacing w:val="1"/>
          <w:w w:val="99"/>
          <w:sz w:val="21"/>
          <w:szCs w:val="21"/>
        </w:rPr>
        <w:t> </w:t>
      </w:r>
      <w:r>
        <w:rPr>
          <w:rFonts w:ascii="宋体" w:hAnsi="宋体" w:cs="宋体" w:eastAsia="宋体" w:hint="default"/>
          <w:b/>
          <w:bCs/>
          <w:sz w:val="21"/>
          <w:szCs w:val="21"/>
        </w:rPr>
        <w:t>申强</w:t>
      </w:r>
      <w:r>
        <w:rPr>
          <w:rFonts w:ascii="宋体" w:hAnsi="宋体" w:cs="宋体" w:eastAsia="宋体" w:hint="default"/>
          <w:sz w:val="21"/>
          <w:szCs w:val="21"/>
        </w:rPr>
        <w:t>，详见“董事任职情况”。</w:t>
      </w:r>
    </w:p>
    <w:p>
      <w:pPr>
        <w:pStyle w:val="BodyText"/>
        <w:spacing w:line="386" w:lineRule="auto" w:before="99"/>
        <w:ind w:left="153" w:right="1130" w:firstLine="420"/>
        <w:jc w:val="both"/>
      </w:pPr>
      <w:r>
        <w:rPr>
          <w:rFonts w:ascii="宋体" w:hAnsi="宋体" w:cs="宋体" w:eastAsia="宋体" w:hint="default"/>
          <w:b/>
          <w:bCs/>
          <w:spacing w:val="-1"/>
        </w:rPr>
        <w:t>吴鸿伟</w:t>
      </w:r>
      <w:r>
        <w:rPr>
          <w:spacing w:val="-1"/>
        </w:rPr>
        <w:t>，男，</w:t>
      </w:r>
      <w:r>
        <w:rPr>
          <w:rFonts w:ascii="Times New Roman" w:hAnsi="Times New Roman" w:cs="Times New Roman" w:eastAsia="Times New Roman" w:hint="default"/>
          <w:spacing w:val="-1"/>
        </w:rPr>
        <w:t>1976</w:t>
      </w:r>
      <w:r>
        <w:rPr>
          <w:spacing w:val="-1"/>
        </w:rPr>
        <w:t>年</w:t>
      </w:r>
      <w:r>
        <w:rPr>
          <w:rFonts w:ascii="Times New Roman" w:hAnsi="Times New Roman" w:cs="Times New Roman" w:eastAsia="Times New Roman" w:hint="default"/>
          <w:spacing w:val="-1"/>
        </w:rPr>
        <w:t>11</w:t>
      </w:r>
      <w:r>
        <w:rPr>
          <w:spacing w:val="-1"/>
        </w:rPr>
        <w:t>月出生，中国国籍，研究生学历、系统分析员，无永久境外居留权。</w:t>
      </w:r>
      <w:r>
        <w:rPr>
          <w:rFonts w:ascii="Times New Roman" w:hAnsi="Times New Roman" w:cs="Times New Roman" w:eastAsia="Times New Roman" w:hint="default"/>
          <w:spacing w:val="-1"/>
        </w:rPr>
        <w:t>2004</w:t>
      </w:r>
      <w:r>
        <w:rPr>
          <w:spacing w:val="-1"/>
        </w:rPr>
        <w:t>年毕</w:t>
      </w:r>
      <w:r>
        <w:rPr/>
        <w:t> </w:t>
      </w:r>
      <w:r>
        <w:rPr>
          <w:spacing w:val="-1"/>
        </w:rPr>
        <w:t>业于厦门大学系统工程专业。</w:t>
      </w:r>
      <w:r>
        <w:rPr>
          <w:rFonts w:ascii="Times New Roman" w:hAnsi="Times New Roman" w:cs="Times New Roman" w:eastAsia="Times New Roman" w:hint="default"/>
          <w:spacing w:val="-1"/>
        </w:rPr>
        <w:t>2004</w:t>
      </w:r>
      <w:r>
        <w:rPr>
          <w:spacing w:val="-1"/>
        </w:rPr>
        <w:t>至今，历任公司技术总监、副总经理。现任公司副总经理、第一研究院</w:t>
      </w:r>
      <w:r>
        <w:rPr>
          <w:spacing w:val="-83"/>
        </w:rPr>
        <w:t> </w:t>
      </w:r>
      <w:r>
        <w:rPr>
          <w:spacing w:val="-83"/>
        </w:rPr>
      </w:r>
      <w:r>
        <w:rPr/>
        <w:t>院长。</w:t>
      </w:r>
    </w:p>
    <w:p>
      <w:pPr>
        <w:spacing w:line="240" w:lineRule="auto" w:before="2"/>
        <w:rPr>
          <w:rFonts w:ascii="宋体" w:hAnsi="宋体" w:cs="宋体" w:eastAsia="宋体" w:hint="default"/>
          <w:sz w:val="14"/>
          <w:szCs w:val="14"/>
        </w:rPr>
      </w:pPr>
    </w:p>
    <w:p>
      <w:pPr>
        <w:pStyle w:val="BodyText"/>
        <w:spacing w:line="391" w:lineRule="auto"/>
        <w:ind w:left="153" w:right="0" w:firstLine="419"/>
        <w:jc w:val="left"/>
      </w:pPr>
      <w:r>
        <w:rPr>
          <w:rFonts w:ascii="宋体" w:hAnsi="宋体" w:cs="宋体" w:eastAsia="宋体" w:hint="default"/>
          <w:b/>
          <w:bCs/>
          <w:spacing w:val="-1"/>
        </w:rPr>
        <w:t>赵庸</w:t>
      </w:r>
      <w:r>
        <w:rPr>
          <w:spacing w:val="-1"/>
        </w:rPr>
        <w:t>，男，</w:t>
      </w:r>
      <w:r>
        <w:rPr>
          <w:rFonts w:ascii="Times New Roman" w:hAnsi="Times New Roman" w:cs="Times New Roman" w:eastAsia="Times New Roman" w:hint="default"/>
          <w:spacing w:val="-1"/>
        </w:rPr>
        <w:t>1968</w:t>
      </w:r>
      <w:r>
        <w:rPr>
          <w:spacing w:val="-1"/>
        </w:rPr>
        <w:t>年</w:t>
      </w:r>
      <w:r>
        <w:rPr>
          <w:rFonts w:ascii="Times New Roman" w:hAnsi="Times New Roman" w:cs="Times New Roman" w:eastAsia="Times New Roman" w:hint="default"/>
          <w:spacing w:val="-1"/>
        </w:rPr>
        <w:t>9</w:t>
      </w:r>
      <w:r>
        <w:rPr>
          <w:spacing w:val="-1"/>
        </w:rPr>
        <w:t>月出生，中国国籍，研究生学历、工程师，无永久境外居留权。</w:t>
      </w:r>
      <w:r>
        <w:rPr>
          <w:rFonts w:ascii="Times New Roman" w:hAnsi="Times New Roman" w:cs="Times New Roman" w:eastAsia="Times New Roman" w:hint="default"/>
          <w:spacing w:val="-1"/>
        </w:rPr>
        <w:t>1990</w:t>
      </w:r>
      <w:r>
        <w:rPr>
          <w:spacing w:val="-1"/>
        </w:rPr>
        <w:t>年</w:t>
      </w:r>
      <w:r>
        <w:rPr>
          <w:rFonts w:ascii="Times New Roman" w:hAnsi="Times New Roman" w:cs="Times New Roman" w:eastAsia="Times New Roman" w:hint="default"/>
          <w:spacing w:val="-1"/>
        </w:rPr>
        <w:t>7</w:t>
      </w:r>
      <w:r>
        <w:rPr>
          <w:spacing w:val="-1"/>
        </w:rPr>
        <w:t>月至</w:t>
      </w:r>
      <w:r>
        <w:rPr>
          <w:rFonts w:ascii="Times New Roman" w:hAnsi="Times New Roman" w:cs="Times New Roman" w:eastAsia="Times New Roman" w:hint="default"/>
          <w:spacing w:val="-1"/>
        </w:rPr>
        <w:t>2000</w:t>
      </w:r>
      <w:r>
        <w:rPr>
          <w:rFonts w:ascii="Times New Roman" w:hAnsi="Times New Roman" w:cs="Times New Roman" w:eastAsia="Times New Roman" w:hint="default"/>
        </w:rPr>
        <w:t> </w:t>
      </w:r>
      <w:r>
        <w:rPr>
          <w:spacing w:val="-1"/>
        </w:rPr>
        <w:t>年</w:t>
      </w:r>
      <w:r>
        <w:rPr>
          <w:rFonts w:ascii="Times New Roman" w:hAnsi="Times New Roman" w:cs="Times New Roman" w:eastAsia="Times New Roman" w:hint="default"/>
          <w:spacing w:val="-1"/>
        </w:rPr>
        <w:t>8</w:t>
      </w:r>
      <w:r>
        <w:rPr>
          <w:spacing w:val="-1"/>
        </w:rPr>
        <w:t>月，中国人民解放军青海省军区服役；</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9</w:t>
      </w:r>
      <w:r>
        <w:rPr>
          <w:spacing w:val="-1"/>
        </w:rPr>
        <w:t>月至</w:t>
      </w:r>
      <w:r>
        <w:rPr>
          <w:rFonts w:ascii="Times New Roman" w:hAnsi="Times New Roman" w:cs="Times New Roman" w:eastAsia="Times New Roman" w:hint="default"/>
          <w:spacing w:val="-1"/>
        </w:rPr>
        <w:t>2003</w:t>
      </w:r>
      <w:r>
        <w:rPr>
          <w:spacing w:val="-1"/>
        </w:rPr>
        <w:t>年</w:t>
      </w:r>
      <w:r>
        <w:rPr>
          <w:rFonts w:ascii="Times New Roman" w:hAnsi="Times New Roman" w:cs="Times New Roman" w:eastAsia="Times New Roman" w:hint="default"/>
          <w:spacing w:val="-1"/>
        </w:rPr>
        <w:t>12</w:t>
      </w:r>
      <w:r>
        <w:rPr>
          <w:spacing w:val="-1"/>
        </w:rPr>
        <w:t>月，就读解放军信息工程大学，获硕士学</w:t>
      </w:r>
      <w:r>
        <w:rPr>
          <w:spacing w:val="-83"/>
        </w:rPr>
        <w:t> </w:t>
      </w:r>
      <w:r>
        <w:rPr>
          <w:spacing w:val="-83"/>
        </w:rPr>
      </w:r>
      <w:r>
        <w:rPr/>
        <w:t>位；</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3</w:t>
      </w:r>
      <w:r>
        <w:rPr/>
        <w:t>月至今，历任公司培训讲师、电子数据取证鉴定员、中证司法鉴定中心主任、副总经理。兼 </w:t>
      </w:r>
      <w:r>
        <w:rPr>
          <w:spacing w:val="-1"/>
        </w:rPr>
        <w:t>任中国电子学会高级会员、中国电子学会计算机取证专家委员会专家委员、福建警察学院客座教授。现任</w:t>
      </w:r>
      <w:r>
        <w:rPr>
          <w:spacing w:val="-83"/>
        </w:rPr>
        <w:t> </w:t>
      </w:r>
      <w:r>
        <w:rPr>
          <w:spacing w:val="-83"/>
        </w:rPr>
      </w:r>
      <w:r>
        <w:rPr/>
        <w:t>公司副总经理。</w:t>
      </w:r>
    </w:p>
    <w:p>
      <w:pPr>
        <w:spacing w:line="240" w:lineRule="auto" w:before="11"/>
        <w:rPr>
          <w:rFonts w:ascii="宋体" w:hAnsi="宋体" w:cs="宋体" w:eastAsia="宋体" w:hint="default"/>
          <w:sz w:val="13"/>
          <w:szCs w:val="13"/>
        </w:rPr>
      </w:pPr>
    </w:p>
    <w:p>
      <w:pPr>
        <w:pStyle w:val="BodyText"/>
        <w:spacing w:line="386" w:lineRule="auto"/>
        <w:ind w:right="0" w:firstLine="420"/>
        <w:jc w:val="left"/>
      </w:pPr>
      <w:r>
        <w:rPr>
          <w:rFonts w:ascii="宋体" w:hAnsi="宋体" w:cs="宋体" w:eastAsia="宋体" w:hint="default"/>
          <w:b/>
          <w:bCs/>
        </w:rPr>
        <w:t>张雪峰</w:t>
      </w:r>
      <w:r>
        <w:rPr/>
        <w:t>，男，</w:t>
      </w:r>
      <w:r>
        <w:rPr>
          <w:rFonts w:ascii="Times New Roman" w:hAnsi="Times New Roman" w:cs="Times New Roman" w:eastAsia="Times New Roman" w:hint="default"/>
        </w:rPr>
        <w:t>1974</w:t>
      </w:r>
      <w:r>
        <w:rPr/>
        <w:t>年</w:t>
      </w:r>
      <w:r>
        <w:rPr>
          <w:rFonts w:ascii="Times New Roman" w:hAnsi="Times New Roman" w:cs="Times New Roman" w:eastAsia="Times New Roman" w:hint="default"/>
        </w:rPr>
        <w:t>3</w:t>
      </w:r>
      <w:r>
        <w:rPr/>
        <w:t>月出生，中国国籍，本科学历，无永久境外居留权。</w:t>
      </w:r>
      <w:r>
        <w:rPr>
          <w:rFonts w:ascii="Times New Roman" w:hAnsi="Times New Roman" w:cs="Times New Roman" w:eastAsia="Times New Roman" w:hint="default"/>
        </w:rPr>
        <w:t>1997</w:t>
      </w:r>
      <w:r>
        <w:rPr/>
        <w:t>年至</w:t>
      </w:r>
      <w:r>
        <w:rPr>
          <w:rFonts w:ascii="Times New Roman" w:hAnsi="Times New Roman" w:cs="Times New Roman" w:eastAsia="Times New Roman" w:hint="default"/>
        </w:rPr>
        <w:t>2002</w:t>
      </w:r>
      <w:r>
        <w:rPr/>
        <w:t>年，历任厦 </w:t>
      </w:r>
      <w:r>
        <w:rPr>
          <w:spacing w:val="-1"/>
        </w:rPr>
        <w:t>门智业软件公司项目经理与销售副总经理；</w:t>
      </w:r>
      <w:r>
        <w:rPr>
          <w:rFonts w:ascii="Times New Roman" w:hAnsi="Times New Roman" w:cs="Times New Roman" w:eastAsia="Times New Roman" w:hint="default"/>
          <w:spacing w:val="-1"/>
        </w:rPr>
        <w:t>2002</w:t>
      </w:r>
      <w:r>
        <w:rPr>
          <w:spacing w:val="-1"/>
        </w:rPr>
        <w:t>年至今，历任公司硬件研制中心总监、副总经理。现任公</w:t>
      </w:r>
      <w:r>
        <w:rPr>
          <w:spacing w:val="-82"/>
        </w:rPr>
        <w:t> </w:t>
      </w:r>
      <w:r>
        <w:rPr>
          <w:spacing w:val="-82"/>
        </w:rPr>
      </w:r>
      <w:r>
        <w:rPr/>
        <w:t>司副总经理。</w:t>
      </w:r>
    </w:p>
    <w:p>
      <w:pPr>
        <w:spacing w:line="240" w:lineRule="auto" w:before="2"/>
        <w:rPr>
          <w:rFonts w:ascii="宋体" w:hAnsi="宋体" w:cs="宋体" w:eastAsia="宋体" w:hint="default"/>
          <w:sz w:val="14"/>
          <w:szCs w:val="14"/>
        </w:rPr>
      </w:pPr>
    </w:p>
    <w:p>
      <w:pPr>
        <w:pStyle w:val="BodyText"/>
        <w:spacing w:line="386" w:lineRule="auto"/>
        <w:ind w:left="153" w:right="0" w:firstLine="420"/>
        <w:jc w:val="left"/>
      </w:pPr>
      <w:r>
        <w:rPr>
          <w:rFonts w:ascii="宋体" w:hAnsi="宋体" w:cs="宋体" w:eastAsia="宋体" w:hint="default"/>
          <w:b/>
          <w:bCs/>
        </w:rPr>
        <w:t>栾江霞</w:t>
      </w:r>
      <w:r>
        <w:rPr/>
        <w:t>，女，</w:t>
      </w:r>
      <w:r>
        <w:rPr>
          <w:rFonts w:ascii="Times New Roman" w:hAnsi="Times New Roman" w:cs="Times New Roman" w:eastAsia="Times New Roman" w:hint="default"/>
        </w:rPr>
        <w:t>1974</w:t>
      </w:r>
      <w:r>
        <w:rPr/>
        <w:t>年</w:t>
      </w:r>
      <w:r>
        <w:rPr>
          <w:rFonts w:ascii="Times New Roman" w:hAnsi="Times New Roman" w:cs="Times New Roman" w:eastAsia="Times New Roman" w:hint="default"/>
        </w:rPr>
        <w:t>1</w:t>
      </w:r>
      <w:r>
        <w:rPr/>
        <w:t>月出生，中国国籍、工程师、研究生学历、毕业于浙江大学，无永久境外居留 </w:t>
      </w:r>
      <w:r>
        <w:rPr>
          <w:spacing w:val="-1"/>
        </w:rPr>
        <w:t>权。</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4</w:t>
      </w:r>
      <w:r>
        <w:rPr>
          <w:spacing w:val="-1"/>
        </w:rPr>
        <w:t>月至</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10</w:t>
      </w:r>
      <w:r>
        <w:rPr>
          <w:spacing w:val="-1"/>
        </w:rPr>
        <w:t>月，任厦门雅迅网络股份有限公司技管办主任；</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11</w:t>
      </w:r>
      <w:r>
        <w:rPr>
          <w:spacing w:val="-1"/>
        </w:rPr>
        <w:t>月至</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4</w:t>
      </w:r>
      <w:r>
        <w:rPr>
          <w:spacing w:val="-1"/>
        </w:rPr>
        <w:t>月，任公</w:t>
      </w:r>
      <w:r>
        <w:rPr>
          <w:spacing w:val="-84"/>
        </w:rPr>
        <w:t> </w:t>
      </w:r>
      <w:r>
        <w:rPr>
          <w:spacing w:val="-84"/>
        </w:rPr>
      </w:r>
      <w:r>
        <w:rPr/>
        <w:t>司拓展中心总监。现任公司副总经理、第三研究院院长。</w:t>
      </w:r>
    </w:p>
    <w:p>
      <w:pPr>
        <w:spacing w:line="240" w:lineRule="auto" w:before="2"/>
        <w:rPr>
          <w:rFonts w:ascii="宋体" w:hAnsi="宋体" w:cs="宋体" w:eastAsia="宋体" w:hint="default"/>
          <w:sz w:val="14"/>
          <w:szCs w:val="14"/>
        </w:rPr>
      </w:pPr>
    </w:p>
    <w:p>
      <w:pPr>
        <w:pStyle w:val="BodyText"/>
        <w:spacing w:line="386" w:lineRule="auto"/>
        <w:ind w:left="153" w:right="0" w:firstLine="420"/>
        <w:jc w:val="left"/>
      </w:pPr>
      <w:r>
        <w:rPr>
          <w:rFonts w:ascii="宋体" w:hAnsi="宋体" w:cs="宋体" w:eastAsia="宋体" w:hint="default"/>
          <w:b/>
          <w:bCs/>
        </w:rPr>
        <w:t>葛鹏</w:t>
      </w:r>
      <w:r>
        <w:rPr/>
        <w:t>，男，</w:t>
      </w:r>
      <w:r>
        <w:rPr>
          <w:rFonts w:ascii="Times New Roman" w:hAnsi="Times New Roman" w:cs="Times New Roman" w:eastAsia="Times New Roman" w:hint="default"/>
        </w:rPr>
        <w:t>1968</w:t>
      </w:r>
      <w:r>
        <w:rPr/>
        <w:t>年</w:t>
      </w:r>
      <w:r>
        <w:rPr>
          <w:rFonts w:ascii="Times New Roman" w:hAnsi="Times New Roman" w:cs="Times New Roman" w:eastAsia="Times New Roman" w:hint="default"/>
        </w:rPr>
        <w:t>7</w:t>
      </w:r>
      <w:r>
        <w:rPr/>
        <w:t>月出生，中国国籍，大专学历，无永久境外居留权。</w:t>
      </w:r>
      <w:r>
        <w:rPr>
          <w:rFonts w:ascii="Times New Roman" w:hAnsi="Times New Roman" w:cs="Times New Roman" w:eastAsia="Times New Roman" w:hint="default"/>
        </w:rPr>
        <w:t>1991</w:t>
      </w:r>
      <w:r>
        <w:rPr/>
        <w:t>年毕业于北京邮电大学 </w:t>
      </w:r>
      <w:r>
        <w:rPr>
          <w:spacing w:val="-1"/>
        </w:rPr>
        <w:t>无线电工程系；</w:t>
      </w:r>
      <w:r>
        <w:rPr>
          <w:rFonts w:ascii="Times New Roman" w:hAnsi="Times New Roman" w:cs="Times New Roman" w:eastAsia="Times New Roman" w:hint="default"/>
          <w:spacing w:val="-1"/>
        </w:rPr>
        <w:t>1991</w:t>
      </w:r>
      <w:r>
        <w:rPr>
          <w:spacing w:val="-1"/>
        </w:rPr>
        <w:t>年</w:t>
      </w:r>
      <w:r>
        <w:rPr>
          <w:rFonts w:ascii="Times New Roman" w:hAnsi="Times New Roman" w:cs="Times New Roman" w:eastAsia="Times New Roman" w:hint="default"/>
          <w:spacing w:val="-1"/>
        </w:rPr>
        <w:t>7</w:t>
      </w:r>
      <w:r>
        <w:rPr>
          <w:spacing w:val="-1"/>
        </w:rPr>
        <w:t>月至</w:t>
      </w:r>
      <w:r>
        <w:rPr>
          <w:rFonts w:ascii="Times New Roman" w:hAnsi="Times New Roman" w:cs="Times New Roman" w:eastAsia="Times New Roman" w:hint="default"/>
          <w:spacing w:val="-1"/>
        </w:rPr>
        <w:t>1998</w:t>
      </w:r>
      <w:r>
        <w:rPr>
          <w:spacing w:val="-1"/>
        </w:rPr>
        <w:t>年</w:t>
      </w:r>
      <w:r>
        <w:rPr>
          <w:rFonts w:ascii="Times New Roman" w:hAnsi="Times New Roman" w:cs="Times New Roman" w:eastAsia="Times New Roman" w:hint="default"/>
          <w:spacing w:val="-1"/>
        </w:rPr>
        <w:t>7</w:t>
      </w:r>
      <w:r>
        <w:rPr>
          <w:spacing w:val="-1"/>
        </w:rPr>
        <w:t>月任中国民用航空局工程师；</w:t>
      </w:r>
      <w:r>
        <w:rPr>
          <w:rFonts w:ascii="Times New Roman" w:hAnsi="Times New Roman" w:cs="Times New Roman" w:eastAsia="Times New Roman" w:hint="default"/>
          <w:spacing w:val="-1"/>
        </w:rPr>
        <w:t>1998</w:t>
      </w:r>
      <w:r>
        <w:rPr>
          <w:spacing w:val="-1"/>
        </w:rPr>
        <w:t>年</w:t>
      </w:r>
      <w:r>
        <w:rPr>
          <w:rFonts w:ascii="Times New Roman" w:hAnsi="Times New Roman" w:cs="Times New Roman" w:eastAsia="Times New Roman" w:hint="default"/>
          <w:spacing w:val="-1"/>
        </w:rPr>
        <w:t>8</w:t>
      </w:r>
      <w:r>
        <w:rPr>
          <w:spacing w:val="-1"/>
        </w:rPr>
        <w:t>月至</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6</w:t>
      </w:r>
      <w:r>
        <w:rPr>
          <w:spacing w:val="-1"/>
        </w:rPr>
        <w:t>月，任北京鼎永泰</w:t>
      </w:r>
    </w:p>
    <w:p>
      <w:pPr>
        <w:spacing w:after="0" w:line="386"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386" w:lineRule="auto" w:before="174"/>
        <w:ind w:right="1196" w:hanging="1"/>
        <w:jc w:val="left"/>
      </w:pPr>
      <w:r>
        <w:rPr/>
        <w:t>克科技有限公司总经理；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月至今任香港鼎永泰克科技有限公司总经理；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月任 公司刑检事业部总经理；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月至今任公司副总经理。</w:t>
      </w:r>
    </w:p>
    <w:p>
      <w:pPr>
        <w:pStyle w:val="BodyText"/>
        <w:spacing w:line="386" w:lineRule="auto" w:before="155"/>
        <w:ind w:right="1128" w:firstLine="420"/>
        <w:jc w:val="both"/>
      </w:pPr>
      <w:r>
        <w:rPr>
          <w:rFonts w:ascii="宋体" w:hAnsi="宋体" w:cs="宋体" w:eastAsia="宋体" w:hint="default"/>
          <w:b/>
          <w:bCs/>
          <w:spacing w:val="-1"/>
        </w:rPr>
        <w:t>周成祖</w:t>
      </w:r>
      <w:r>
        <w:rPr>
          <w:spacing w:val="-1"/>
        </w:rPr>
        <w:t>，男，</w:t>
      </w:r>
      <w:r>
        <w:rPr>
          <w:rFonts w:ascii="Times New Roman" w:hAnsi="Times New Roman" w:cs="Times New Roman" w:eastAsia="Times New Roman" w:hint="default"/>
          <w:spacing w:val="-1"/>
        </w:rPr>
        <w:t>1983</w:t>
      </w:r>
      <w:r>
        <w:rPr>
          <w:spacing w:val="-1"/>
        </w:rPr>
        <w:t>年</w:t>
      </w:r>
      <w:r>
        <w:rPr>
          <w:rFonts w:ascii="Times New Roman" w:hAnsi="Times New Roman" w:cs="Times New Roman" w:eastAsia="Times New Roman" w:hint="default"/>
          <w:spacing w:val="-1"/>
        </w:rPr>
        <w:t>11</w:t>
      </w:r>
      <w:r>
        <w:rPr>
          <w:spacing w:val="-1"/>
        </w:rPr>
        <w:t>月出生，中国国籍，研究生学历，无永久境外居留权。</w:t>
      </w:r>
      <w:r>
        <w:rPr>
          <w:rFonts w:ascii="Times New Roman" w:hAnsi="Times New Roman" w:cs="Times New Roman" w:eastAsia="Times New Roman" w:hint="default"/>
          <w:spacing w:val="-1"/>
        </w:rPr>
        <w:t>2008</w:t>
      </w:r>
      <w:r>
        <w:rPr>
          <w:spacing w:val="-1"/>
        </w:rPr>
        <w:t>年毕业于比利时鲁</w:t>
      </w:r>
      <w:r>
        <w:rPr/>
        <w:t> 汶理工学院（现比利时鲁汶大学</w:t>
      </w:r>
      <w:r>
        <w:rPr>
          <w:rFonts w:ascii="Times New Roman" w:hAnsi="Times New Roman" w:cs="Times New Roman" w:eastAsia="Times New Roman" w:hint="default"/>
        </w:rPr>
        <w:t>GroupT</w:t>
      </w:r>
      <w:r>
        <w:rPr/>
        <w:t>学院）</w:t>
      </w:r>
      <w:r>
        <w:rPr>
          <w:rFonts w:ascii="Times New Roman" w:hAnsi="Times New Roman" w:cs="Times New Roman" w:eastAsia="Times New Roman" w:hint="default"/>
        </w:rPr>
        <w:t>E-Media</w:t>
      </w:r>
      <w:r>
        <w:rPr/>
        <w:t>专业和北京交通大学软件工程专业。</w:t>
      </w:r>
      <w:r>
        <w:rPr>
          <w:rFonts w:ascii="Times New Roman" w:hAnsi="Times New Roman" w:cs="Times New Roman" w:eastAsia="Times New Roman" w:hint="default"/>
        </w:rPr>
        <w:t>2010</w:t>
      </w:r>
      <w:r>
        <w:rPr/>
        <w:t>年至今， 历任公司项目管理部经理、总监、第一研究院副院长；现任公司副总经理、第一研究院副院长。</w:t>
      </w:r>
    </w:p>
    <w:p>
      <w:pPr>
        <w:spacing w:line="240" w:lineRule="auto" w:before="2"/>
        <w:rPr>
          <w:rFonts w:ascii="宋体" w:hAnsi="宋体" w:cs="宋体" w:eastAsia="宋体" w:hint="default"/>
          <w:sz w:val="14"/>
          <w:szCs w:val="14"/>
        </w:rPr>
      </w:pPr>
    </w:p>
    <w:p>
      <w:pPr>
        <w:pStyle w:val="BodyText"/>
        <w:spacing w:line="386" w:lineRule="auto"/>
        <w:ind w:right="0" w:firstLine="420"/>
        <w:jc w:val="left"/>
      </w:pPr>
      <w:r>
        <w:rPr>
          <w:rFonts w:ascii="宋体" w:hAnsi="宋体" w:cs="宋体" w:eastAsia="宋体" w:hint="default"/>
          <w:b/>
          <w:bCs/>
        </w:rPr>
        <w:t>蔡志评</w:t>
      </w:r>
      <w:r>
        <w:rPr/>
        <w:t>，男，</w:t>
      </w:r>
      <w:r>
        <w:rPr>
          <w:rFonts w:ascii="Times New Roman" w:hAnsi="Times New Roman" w:cs="Times New Roman" w:eastAsia="Times New Roman" w:hint="default"/>
        </w:rPr>
        <w:t>1974</w:t>
      </w:r>
      <w:r>
        <w:rPr/>
        <w:t>年</w:t>
      </w:r>
      <w:r>
        <w:rPr>
          <w:rFonts w:ascii="Times New Roman" w:hAnsi="Times New Roman" w:cs="Times New Roman" w:eastAsia="Times New Roman" w:hint="default"/>
        </w:rPr>
        <w:t>4</w:t>
      </w:r>
      <w:r>
        <w:rPr/>
        <w:t>月出生，中国国籍，毕业于武汉大学电子学与信息系统专业，目前为厦门大学 </w:t>
      </w:r>
      <w:r>
        <w:rPr>
          <w:rFonts w:ascii="Times New Roman" w:hAnsi="Times New Roman" w:cs="Times New Roman" w:eastAsia="Times New Roman" w:hint="default"/>
          <w:spacing w:val="-2"/>
        </w:rPr>
        <w:t>MBA</w:t>
      </w:r>
      <w:r>
        <w:rPr>
          <w:spacing w:val="-2"/>
        </w:rPr>
        <w:t>和资本运营总裁班学员，无永久境外居留权。</w:t>
      </w:r>
      <w:r>
        <w:rPr>
          <w:rFonts w:ascii="Times New Roman" w:hAnsi="Times New Roman" w:cs="Times New Roman" w:eastAsia="Times New Roman" w:hint="default"/>
          <w:spacing w:val="-2"/>
        </w:rPr>
        <w:t>1997</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5</w:t>
      </w:r>
      <w:r>
        <w:rPr>
          <w:spacing w:val="-2"/>
        </w:rPr>
        <w:t>月在厦门邮电纵横和移动分公司担</w:t>
      </w:r>
      <w:r>
        <w:rPr>
          <w:spacing w:val="-93"/>
        </w:rPr>
        <w:t> </w:t>
      </w:r>
      <w:r>
        <w:rPr>
          <w:spacing w:val="-93"/>
        </w:rPr>
      </w:r>
      <w:r>
        <w:rPr>
          <w:spacing w:val="-1"/>
        </w:rPr>
        <w:t>任工程师；</w:t>
      </w:r>
      <w:r>
        <w:rPr>
          <w:rFonts w:ascii="Times New Roman" w:hAnsi="Times New Roman" w:cs="Times New Roman" w:eastAsia="Times New Roman" w:hint="default"/>
          <w:spacing w:val="-1"/>
        </w:rPr>
        <w:t>1999</w:t>
      </w:r>
      <w:r>
        <w:rPr>
          <w:spacing w:val="-1"/>
        </w:rPr>
        <w:t>年</w:t>
      </w:r>
      <w:r>
        <w:rPr>
          <w:rFonts w:ascii="Times New Roman" w:hAnsi="Times New Roman" w:cs="Times New Roman" w:eastAsia="Times New Roman" w:hint="default"/>
          <w:spacing w:val="-1"/>
        </w:rPr>
        <w:t>5</w:t>
      </w:r>
      <w:r>
        <w:rPr>
          <w:spacing w:val="-1"/>
        </w:rPr>
        <w:t>月至</w:t>
      </w:r>
      <w:r>
        <w:rPr>
          <w:rFonts w:ascii="Times New Roman" w:hAnsi="Times New Roman" w:cs="Times New Roman" w:eastAsia="Times New Roman" w:hint="default"/>
          <w:spacing w:val="-1"/>
        </w:rPr>
        <w:t>2003</w:t>
      </w:r>
      <w:r>
        <w:rPr>
          <w:spacing w:val="-1"/>
        </w:rPr>
        <w:t>年</w:t>
      </w:r>
      <w:r>
        <w:rPr>
          <w:rFonts w:ascii="Times New Roman" w:hAnsi="Times New Roman" w:cs="Times New Roman" w:eastAsia="Times New Roman" w:hint="default"/>
          <w:spacing w:val="-1"/>
        </w:rPr>
        <w:t>3</w:t>
      </w:r>
      <w:r>
        <w:rPr>
          <w:spacing w:val="-1"/>
        </w:rPr>
        <w:t>月在华为技术有限公司担任高级工程师；</w:t>
      </w:r>
      <w:r>
        <w:rPr>
          <w:rFonts w:ascii="Times New Roman" w:hAnsi="Times New Roman" w:cs="Times New Roman" w:eastAsia="Times New Roman" w:hint="default"/>
          <w:spacing w:val="-1"/>
        </w:rPr>
        <w:t>2003</w:t>
      </w:r>
      <w:r>
        <w:rPr>
          <w:spacing w:val="-1"/>
        </w:rPr>
        <w:t>年</w:t>
      </w:r>
      <w:r>
        <w:rPr>
          <w:rFonts w:ascii="Times New Roman" w:hAnsi="Times New Roman" w:cs="Times New Roman" w:eastAsia="Times New Roman" w:hint="default"/>
          <w:spacing w:val="-1"/>
        </w:rPr>
        <w:t>3</w:t>
      </w:r>
      <w:r>
        <w:rPr>
          <w:spacing w:val="-1"/>
        </w:rPr>
        <w:t>月至</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9</w:t>
      </w:r>
      <w:r>
        <w:rPr>
          <w:spacing w:val="-1"/>
        </w:rPr>
        <w:t>月在东南融</w:t>
      </w:r>
      <w:r>
        <w:rPr>
          <w:spacing w:val="-88"/>
        </w:rPr>
        <w:t> </w:t>
      </w:r>
      <w:r>
        <w:rPr>
          <w:spacing w:val="-88"/>
        </w:rPr>
      </w:r>
      <w:r>
        <w:rPr>
          <w:spacing w:val="-1"/>
        </w:rPr>
        <w:t>通（中国）系统工程有限公司先后担任质量管理部经理和并购整合高级经理等职务；</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9</w:t>
      </w:r>
      <w:r>
        <w:rPr>
          <w:spacing w:val="-1"/>
        </w:rPr>
        <w:t>月至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33"/>
        </w:rPr>
        <w:t> </w:t>
      </w:r>
      <w:r>
        <w:rPr/>
        <w:t>月历任公司投资部经理、投资中心总监；</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月至今任公司副总经理、董事会秘书，兼任投资中心总 监。已于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月取得深交所颁发的董事会秘书资格证，</w:t>
      </w:r>
    </w:p>
    <w:p>
      <w:pPr>
        <w:pStyle w:val="BodyText"/>
        <w:spacing w:line="386" w:lineRule="auto" w:before="155"/>
        <w:ind w:left="153" w:right="0" w:firstLine="420"/>
        <w:jc w:val="left"/>
      </w:pPr>
      <w:r>
        <w:rPr>
          <w:rFonts w:ascii="宋体" w:hAnsi="宋体" w:cs="宋体" w:eastAsia="宋体" w:hint="default"/>
          <w:b/>
          <w:bCs/>
        </w:rPr>
        <w:t>张乃军</w:t>
      </w:r>
      <w:r>
        <w:rPr/>
        <w:t>，男，</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4</w:t>
      </w:r>
      <w:r>
        <w:rPr/>
        <w:t>月出生，中国国籍，研究生学历，高级会计师，无永久境外居留权。</w:t>
      </w:r>
      <w:r>
        <w:rPr>
          <w:rFonts w:ascii="Times New Roman" w:hAnsi="Times New Roman" w:cs="Times New Roman" w:eastAsia="Times New Roman" w:hint="default"/>
        </w:rPr>
        <w:t>1993</w:t>
      </w:r>
      <w:r>
        <w:rPr/>
        <w:t>年至 </w:t>
      </w:r>
      <w:r>
        <w:rPr>
          <w:rFonts w:ascii="Times New Roman" w:hAnsi="Times New Roman" w:cs="Times New Roman" w:eastAsia="Times New Roman" w:hint="default"/>
        </w:rPr>
        <w:t>2000</w:t>
      </w:r>
      <w:r>
        <w:rPr/>
        <w:t>年任厦门物资集团公司出纳、会计、主办会计；</w:t>
      </w:r>
      <w:r>
        <w:rPr>
          <w:rFonts w:ascii="Times New Roman" w:hAnsi="Times New Roman" w:cs="Times New Roman" w:eastAsia="Times New Roman" w:hint="default"/>
        </w:rPr>
        <w:t>2000</w:t>
      </w:r>
      <w:r>
        <w:rPr/>
        <w:t>年至</w:t>
      </w:r>
      <w:r>
        <w:rPr>
          <w:rFonts w:ascii="Times New Roman" w:hAnsi="Times New Roman" w:cs="Times New Roman" w:eastAsia="Times New Roman" w:hint="default"/>
        </w:rPr>
        <w:t>2003</w:t>
      </w:r>
      <w:r>
        <w:rPr/>
        <w:t>年任厦门外商投资企业物资公司财务经 </w:t>
      </w:r>
      <w:r>
        <w:rPr>
          <w:spacing w:val="-3"/>
        </w:rPr>
        <w:t>理；</w:t>
      </w:r>
      <w:r>
        <w:rPr>
          <w:rFonts w:ascii="Times New Roman" w:hAnsi="Times New Roman" w:cs="Times New Roman" w:eastAsia="Times New Roman" w:hint="default"/>
          <w:spacing w:val="-3"/>
        </w:rPr>
        <w:t>2003</w:t>
      </w:r>
      <w:r>
        <w:rPr>
          <w:spacing w:val="-3"/>
        </w:rPr>
        <w:t>年至</w:t>
      </w:r>
      <w:r>
        <w:rPr>
          <w:rFonts w:ascii="Times New Roman" w:hAnsi="Times New Roman" w:cs="Times New Roman" w:eastAsia="Times New Roman" w:hint="default"/>
          <w:spacing w:val="-3"/>
        </w:rPr>
        <w:t>2005</w:t>
      </w:r>
      <w:r>
        <w:rPr>
          <w:spacing w:val="-3"/>
        </w:rPr>
        <w:t>年任厦门银池资产管理有限公司财务经理；</w:t>
      </w:r>
      <w:r>
        <w:rPr>
          <w:rFonts w:ascii="Times New Roman" w:hAnsi="Times New Roman" w:cs="Times New Roman" w:eastAsia="Times New Roman" w:hint="default"/>
          <w:spacing w:val="-3"/>
        </w:rPr>
        <w:t>2005</w:t>
      </w:r>
      <w:r>
        <w:rPr>
          <w:spacing w:val="-3"/>
        </w:rPr>
        <w:t>年至</w:t>
      </w:r>
      <w:r>
        <w:rPr>
          <w:rFonts w:ascii="Times New Roman" w:hAnsi="Times New Roman" w:cs="Times New Roman" w:eastAsia="Times New Roman" w:hint="default"/>
          <w:spacing w:val="-3"/>
        </w:rPr>
        <w:t>2007</w:t>
      </w:r>
      <w:r>
        <w:rPr>
          <w:spacing w:val="-3"/>
        </w:rPr>
        <w:t>年任厦门新世基集团财务经理；</w:t>
      </w:r>
      <w:r>
        <w:rPr>
          <w:spacing w:val="-80"/>
        </w:rPr>
        <w:t> </w:t>
      </w:r>
      <w:r>
        <w:rPr>
          <w:spacing w:val="-80"/>
        </w:rPr>
      </w:r>
      <w:r>
        <w:rPr>
          <w:rFonts w:ascii="Times New Roman" w:hAnsi="Times New Roman" w:cs="Times New Roman" w:eastAsia="Times New Roman" w:hint="default"/>
        </w:rPr>
        <w:t>2007</w:t>
      </w:r>
      <w:r>
        <w:rPr/>
        <w:t>年至今任公司财务总监。</w:t>
      </w:r>
    </w:p>
    <w:p>
      <w:pPr>
        <w:spacing w:before="23"/>
        <w:ind w:left="154"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38" w:lineRule="auto" w:before="117"/>
        <w:ind w:left="154" w:right="91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在其他单位任职情况</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34"/>
        <w:gridCol w:w="2977"/>
        <w:gridCol w:w="1843"/>
        <w:gridCol w:w="1559"/>
        <w:gridCol w:w="709"/>
        <w:gridCol w:w="1345"/>
      </w:tblGrid>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71" w:right="110" w:hanging="360"/>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4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25" w:right="107" w:hanging="720"/>
              <w:jc w:val="left"/>
              <w:rPr>
                <w:rFonts w:ascii="宋体" w:hAnsi="宋体" w:cs="宋体" w:eastAsia="宋体" w:hint="default"/>
                <w:sz w:val="18"/>
                <w:szCs w:val="18"/>
              </w:rPr>
            </w:pPr>
            <w:r>
              <w:rPr>
                <w:rFonts w:ascii="宋体" w:hAnsi="宋体" w:cs="宋体" w:eastAsia="宋体" w:hint="default"/>
                <w:sz w:val="18"/>
                <w:szCs w:val="18"/>
              </w:rPr>
              <w:t>在其他单位担任的职 务</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9" w:right="78"/>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27" w:right="36"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郭永芳</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厦门锴通汽车配件有限公司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滕达</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厦门美亚中敏科技有限公司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滕达</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珠海新德汇信息技术有限公司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滕达</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厦门服云信息科技有限公司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滕达</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厦门市美亚梧桐投资管理有限公司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滕达</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北京美亚智讯信息技术有限公司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滕达</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北京国信宏数科技有限责任公司</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滕达</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北京万方智讯信息技术有限公司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滕达</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北京美亚京安科技有限公司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滕达</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厦门美亚亿安信息科技有限公司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2977"/>
        <w:gridCol w:w="1843"/>
        <w:gridCol w:w="1559"/>
        <w:gridCol w:w="709"/>
        <w:gridCol w:w="1345"/>
      </w:tblGrid>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李国林</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美亚长城传媒（北京）有限公司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申强</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厦门市美亚柏科信息安全研究所有限 公司</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申强</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北京美亚京安科技有限公司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申强</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福建美亚榕安科技有限公司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申强</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厦门市巨龙信息科技有限公司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申强</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珠海新德汇信息技术有限公司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申强</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香港鼎永泰克科技有限公司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申强</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厦门服云信息科技有限公司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申强</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江苏税软软件科技有限公司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申强</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北京美亚智讯信息技术有限公司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申强</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厦门美亚商鼎信息科技有限公司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申强</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北京万方智讯信息技术有限公司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苏学武</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珠海市新德汇信息技术有限公司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副董事长兼总经理</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苏学武</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珠海市汇智德辰数据科技有限公司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执行董事兼经理</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苏学武</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常熟柏科特种车辆有限公司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苏学武</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珠海众寻科技信息交流中心</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韦玉荣</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江苏税软软件科技有限公司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韦玉荣</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无锡奇星资产管理有限公司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蔡志平</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厦门大学电子工程系</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卢永华</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厦门大学会计系</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卢永华</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厦门合兴包装印刷股份有限公司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卢永华</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福建龙溪轴承（集团）股份有限公司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卢永华</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舒华股份有限公司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卢永华</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吉比特网络技术股份有限公司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曲晓辉</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厦门大学会计系</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曲晓辉</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国投资本股份有限公司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曲晓辉</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中国人民财产保险股份有限公司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曲晓辉</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三棵树涂料股份有限公司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仲丽华</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海峡国家版权交易中心有限公司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屈文洲</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厦门大学管理学院</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教授、博导</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屈文洲</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福建七匹狼实业股份有限公司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屈文洲</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洲际油气股份有限公司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屈文洲</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广东宝丽华新能源股份有限公司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2977"/>
        <w:gridCol w:w="1843"/>
        <w:gridCol w:w="1559"/>
        <w:gridCol w:w="709"/>
        <w:gridCol w:w="1345"/>
      </w:tblGrid>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葛鹏</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武汉大千信息技术有限公司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葛鹏</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香港鼎永泰克科技有限公司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葛鹏</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厦门美亚商鼎信息科技有限公司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葛鹏</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常熟柏科特种车辆有限公司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葛鹏</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北京鼎永泰克科技有限公司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执行董事、经理</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葛鹏</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云南美亚信安信息技术有限公司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副董事长兼总经理</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栾江霞</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厦门服云信息科技有限公司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法定代表人及董事长</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栾江霞</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北京国信宏数科技有限公司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吴鸿伟</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厦门安胜网络科技有限公司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张雪峰</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福建宏创科技信息有限公司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赵庸</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海峡国家版权交易中心有限公司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赵庸</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厦门市美亚柏科信息安全研究所有限 公司</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赵庸</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北京万诚信用评价有限公司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蔡志评</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厦门美亚天信会议服务有限公司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蔡志评</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北京万诚信用评价有限公司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蔡志评</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厦门正信世纪信息科技有限公司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周成祖</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沈阳城市公共安全科技有限公司</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3"/>
          <w:szCs w:val="23"/>
        </w:rPr>
      </w:pPr>
    </w:p>
    <w:p>
      <w:pPr>
        <w:pStyle w:val="Heading2"/>
        <w:spacing w:line="240" w:lineRule="auto"/>
        <w:ind w:right="0"/>
        <w:jc w:val="left"/>
        <w:rPr>
          <w:b w:val="0"/>
          <w:bCs w:val="0"/>
        </w:rPr>
      </w:pPr>
      <w:r>
        <w:rPr/>
        <w:t>四、董事、监事、高级管理人员报酬情况</w:t>
      </w:r>
      <w:r>
        <w:rPr>
          <w:b w:val="0"/>
          <w:bCs w:val="0"/>
        </w:rPr>
      </w:r>
    </w:p>
    <w:p>
      <w:pPr>
        <w:spacing w:line="240" w:lineRule="auto" w:before="9"/>
        <w:rPr>
          <w:rFonts w:ascii="宋体" w:hAnsi="宋体" w:cs="宋体" w:eastAsia="宋体" w:hint="default"/>
          <w:b/>
          <w:bCs/>
          <w:sz w:val="30"/>
          <w:szCs w:val="30"/>
        </w:rPr>
      </w:pPr>
    </w:p>
    <w:p>
      <w:pPr>
        <w:pStyle w:val="BodyText"/>
        <w:spacing w:line="424" w:lineRule="auto"/>
        <w:ind w:left="153" w:right="0"/>
        <w:jc w:val="left"/>
      </w:pPr>
      <w:r>
        <w:rPr/>
        <w:t>董事、监事、高级管理人员报酬的决策程序、确定依据、实际支付情况 董事、监事、高级管理人员报酬的决策程序：公司独立董事、外部董事和非职工监事依据公司《董事、监 事津贴制度》领取津贴，津贴额度由股东大会审批决定；公司内部董事和职工监事依据公司《董事、监事</w:t>
      </w:r>
    </w:p>
    <w:p>
      <w:pPr>
        <w:pStyle w:val="BodyText"/>
        <w:spacing w:line="405" w:lineRule="auto" w:before="31"/>
        <w:ind w:left="153" w:right="1022"/>
        <w:jc w:val="left"/>
      </w:pPr>
      <w:r>
        <w:rPr>
          <w:spacing w:val="-3"/>
        </w:rPr>
        <w:t>薪酬管理制度》领取薪酬，该制度由股东大会审批决定；公司高级管理人员依据公司《高管薪酬管理制度》</w:t>
      </w:r>
      <w:r>
        <w:rPr>
          <w:spacing w:val="-96"/>
        </w:rPr>
        <w:t> </w:t>
      </w:r>
      <w:r>
        <w:rPr>
          <w:spacing w:val="-96"/>
        </w:rPr>
      </w:r>
      <w:r>
        <w:rPr/>
        <w:t>领取薪酬，该制度由董事会审批决定。 董事、监事、高级管理人员报酬确定依据：公司独立董事、外部董事和非职工监事领取津贴额度由股东大</w:t>
      </w:r>
      <w:r>
        <w:rPr/>
        <w:t> 会审批决定；公司内部董事、职工监事和高级管理人员薪酬包含基本薪酬和绩效薪酬两部分，基本薪酬依 据岗位级别按月发放，绩效薪酬依据年度目标完成情况由董事会薪酬与考核委员会进行考核评定。 </w:t>
      </w:r>
      <w:r>
        <w:rPr>
          <w:spacing w:val="-2"/>
        </w:rPr>
        <w:t>董事、监事和高级管理人员报酬的实际支付情况</w:t>
      </w:r>
      <w:r>
        <w:rPr>
          <w:rFonts w:ascii="Times New Roman" w:hAnsi="Times New Roman" w:cs="Times New Roman" w:eastAsia="Times New Roman" w:hint="default"/>
          <w:spacing w:val="-2"/>
        </w:rPr>
        <w:t>:</w:t>
      </w:r>
      <w:r>
        <w:rPr>
          <w:spacing w:val="-2"/>
        </w:rPr>
        <w:t>报告期内在公司领取报酬的董事、监事、高级管理人员共</w:t>
      </w:r>
      <w:r>
        <w:rPr>
          <w:spacing w:val="-94"/>
        </w:rPr>
        <w:t> </w:t>
      </w:r>
      <w:r>
        <w:rPr>
          <w:spacing w:val="-94"/>
        </w:rPr>
      </w:r>
      <w:r>
        <w:rPr>
          <w:rFonts w:ascii="Times New Roman" w:hAnsi="Times New Roman" w:cs="Times New Roman" w:eastAsia="Times New Roman" w:hint="default"/>
        </w:rPr>
        <w:t>20</w:t>
      </w:r>
      <w:r>
        <w:rPr/>
        <w:t>人，</w:t>
      </w:r>
      <w:r>
        <w:rPr>
          <w:rFonts w:ascii="Times New Roman" w:hAnsi="Times New Roman" w:cs="Times New Roman" w:eastAsia="Times New Roman" w:hint="default"/>
        </w:rPr>
        <w:t>2018</w:t>
      </w:r>
      <w:r>
        <w:rPr/>
        <w:t>年度实际支付</w:t>
      </w:r>
      <w:r>
        <w:rPr>
          <w:rFonts w:ascii="Times New Roman" w:hAnsi="Times New Roman" w:cs="Times New Roman" w:eastAsia="Times New Roman" w:hint="default"/>
        </w:rPr>
        <w:t>933.88</w:t>
      </w:r>
      <w:r>
        <w:rPr/>
        <w:t>万元。</w:t>
      </w:r>
    </w:p>
    <w:p>
      <w:pPr>
        <w:spacing w:after="0" w:line="405" w:lineRule="auto"/>
        <w:jc w:val="left"/>
        <w:sectPr>
          <w:pgSz w:w="11910" w:h="16840"/>
          <w:pgMar w:header="747" w:footer="982" w:top="1060" w:bottom="118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8"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滕达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62.59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郭永芳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申强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95.07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李国林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韦玉荣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29.09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苏学武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蔡志平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卢永华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曲晓辉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仲丽华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62.72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屈文洲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刘冬颖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吴鸿伟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83.45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张雪峰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54.21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赵庸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59.12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栾江霞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72.66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张乃军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72.72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葛鹏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70.95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周成祖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83.43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蔡志评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73.77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933.88</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footerReference w:type="default" r:id="rId17"/>
          <w:pgSz w:w="11910" w:h="16840"/>
          <w:pgMar w:footer="982" w:header="747" w:top="1060" w:bottom="118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7"/>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pict>
          <v:shape style="position:absolute;margin-left:247.3797pt;margin-top:17.532326pt;width:57.2pt;height:66.4pt;mso-position-horizontal-relative:page;mso-position-vertical-relative:paragraph;z-index:-129815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w:pict>
      </w: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060" w:bottom="1180" w:left="980" w:right="0"/>
          <w:cols w:num="2" w:equalWidth="0">
            <w:col w:w="4655" w:space="4264"/>
            <w:col w:w="201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5"/>
        <w:gridCol w:w="978"/>
        <w:gridCol w:w="709"/>
        <w:gridCol w:w="709"/>
        <w:gridCol w:w="850"/>
        <w:gridCol w:w="851"/>
        <w:gridCol w:w="1121"/>
        <w:gridCol w:w="870"/>
        <w:gridCol w:w="870"/>
        <w:gridCol w:w="870"/>
        <w:gridCol w:w="870"/>
      </w:tblGrid>
      <w:tr>
        <w:trPr>
          <w:trHeight w:val="1337" w:hRule="exact"/>
        </w:trPr>
        <w:tc>
          <w:tcPr>
            <w:tcW w:w="8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9" w:right="78"/>
              <w:jc w:val="both"/>
              <w:rPr>
                <w:rFonts w:ascii="宋体" w:hAnsi="宋体" w:cs="宋体" w:eastAsia="宋体" w:hint="default"/>
                <w:sz w:val="18"/>
                <w:szCs w:val="18"/>
              </w:rPr>
            </w:pPr>
            <w:r>
              <w:rPr>
                <w:rFonts w:ascii="宋体" w:hAnsi="宋体" w:cs="宋体" w:eastAsia="宋体" w:hint="default"/>
                <w:sz w:val="18"/>
                <w:szCs w:val="18"/>
              </w:rPr>
              <w:t>报告期 内可行 权股数</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9" w:right="78"/>
              <w:jc w:val="both"/>
              <w:rPr>
                <w:rFonts w:ascii="宋体" w:hAnsi="宋体" w:cs="宋体" w:eastAsia="宋体" w:hint="default"/>
                <w:sz w:val="18"/>
                <w:szCs w:val="18"/>
              </w:rPr>
            </w:pPr>
            <w:r>
              <w:rPr>
                <w:rFonts w:ascii="宋体" w:hAnsi="宋体" w:cs="宋体" w:eastAsia="宋体" w:hint="default"/>
                <w:sz w:val="18"/>
                <w:szCs w:val="18"/>
              </w:rPr>
              <w:t>报告期 内已行 权股数</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9" w:firstLine="37"/>
              <w:jc w:val="both"/>
              <w:rPr>
                <w:rFonts w:ascii="Times New Roman" w:hAnsi="Times New Roman" w:cs="Times New Roman" w:eastAsia="Times New Roman"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7"/>
                <w:sz w:val="18"/>
                <w:szCs w:val="18"/>
              </w:rPr>
              <w:t>格（元</w:t>
            </w:r>
            <w:r>
              <w:rPr>
                <w:rFonts w:ascii="Times New Roman" w:hAnsi="Times New Roman" w:cs="Times New Roman" w:eastAsia="Times New Roman" w:hint="default"/>
                <w:spacing w:val="-17"/>
                <w:sz w:val="18"/>
                <w:szCs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09" w:lineRule="auto"/>
              <w:ind w:left="34" w:right="34"/>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11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5" w:right="103"/>
              <w:jc w:val="center"/>
              <w:rPr>
                <w:rFonts w:ascii="宋体" w:hAnsi="宋体" w:cs="宋体" w:eastAsia="宋体" w:hint="default"/>
                <w:sz w:val="18"/>
                <w:szCs w:val="18"/>
              </w:rPr>
            </w:pPr>
            <w:r>
              <w:rPr>
                <w:rFonts w:ascii="宋体" w:hAnsi="宋体" w:cs="宋体" w:eastAsia="宋体" w:hint="default"/>
                <w:sz w:val="18"/>
                <w:szCs w:val="18"/>
              </w:rPr>
              <w:t>期初持有限 制性股票数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2"/>
              <w:ind w:left="44" w:right="45"/>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苏学武</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25,800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15,480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6" w:right="0"/>
              <w:jc w:val="left"/>
              <w:rPr>
                <w:rFonts w:ascii="Times New Roman" w:hAnsi="Times New Roman" w:cs="Times New Roman" w:eastAsia="Times New Roman" w:hint="default"/>
                <w:sz w:val="18"/>
                <w:szCs w:val="18"/>
              </w:rPr>
            </w:pPr>
            <w:r>
              <w:rPr>
                <w:rFonts w:ascii="Times New Roman"/>
                <w:sz w:val="18"/>
              </w:rPr>
              <w:t>12.19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2" w:right="0"/>
              <w:jc w:val="left"/>
              <w:rPr>
                <w:rFonts w:ascii="Times New Roman" w:hAnsi="Times New Roman" w:cs="Times New Roman" w:eastAsia="Times New Roman" w:hint="default"/>
                <w:sz w:val="18"/>
                <w:szCs w:val="18"/>
              </w:rPr>
            </w:pPr>
            <w:r>
              <w:rPr>
                <w:rFonts w:ascii="Times New Roman"/>
                <w:sz w:val="18"/>
              </w:rPr>
              <w:t>41,280</w:t>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吴鸿伟</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18,000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10,800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6" w:right="0"/>
              <w:jc w:val="left"/>
              <w:rPr>
                <w:rFonts w:ascii="Times New Roman" w:hAnsi="Times New Roman" w:cs="Times New Roman" w:eastAsia="Times New Roman" w:hint="default"/>
                <w:sz w:val="18"/>
                <w:szCs w:val="18"/>
              </w:rPr>
            </w:pPr>
            <w:r>
              <w:rPr>
                <w:rFonts w:ascii="Times New Roman"/>
                <w:sz w:val="18"/>
              </w:rPr>
              <w:t>12.19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2" w:right="0"/>
              <w:jc w:val="left"/>
              <w:rPr>
                <w:rFonts w:ascii="Times New Roman" w:hAnsi="Times New Roman" w:cs="Times New Roman" w:eastAsia="Times New Roman" w:hint="default"/>
                <w:sz w:val="18"/>
                <w:szCs w:val="18"/>
              </w:rPr>
            </w:pPr>
            <w:r>
              <w:rPr>
                <w:rFonts w:ascii="Times New Roman"/>
                <w:sz w:val="18"/>
              </w:rPr>
              <w:t>28,800</w:t>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张雪峰</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30,000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18,000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2" w:right="0"/>
              <w:jc w:val="left"/>
              <w:rPr>
                <w:rFonts w:ascii="Times New Roman" w:hAnsi="Times New Roman" w:cs="Times New Roman" w:eastAsia="Times New Roman" w:hint="default"/>
                <w:sz w:val="18"/>
                <w:szCs w:val="18"/>
              </w:rPr>
            </w:pPr>
            <w:r>
              <w:rPr>
                <w:rFonts w:ascii="Times New Roman"/>
                <w:sz w:val="18"/>
              </w:rPr>
              <w:t>9.78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2" w:right="0"/>
              <w:jc w:val="left"/>
              <w:rPr>
                <w:rFonts w:ascii="Times New Roman" w:hAnsi="Times New Roman" w:cs="Times New Roman" w:eastAsia="Times New Roman" w:hint="default"/>
                <w:sz w:val="18"/>
                <w:szCs w:val="18"/>
              </w:rPr>
            </w:pPr>
            <w:r>
              <w:rPr>
                <w:rFonts w:ascii="Times New Roman"/>
                <w:sz w:val="18"/>
              </w:rPr>
              <w:t>48,000</w:t>
            </w:r>
          </w:p>
        </w:tc>
      </w:tr>
      <w:tr>
        <w:trPr>
          <w:trHeight w:val="403"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赵庸</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18,000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10,800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6" w:right="0"/>
              <w:jc w:val="left"/>
              <w:rPr>
                <w:rFonts w:ascii="Times New Roman" w:hAnsi="Times New Roman" w:cs="Times New Roman" w:eastAsia="Times New Roman" w:hint="default"/>
                <w:sz w:val="18"/>
                <w:szCs w:val="18"/>
              </w:rPr>
            </w:pPr>
            <w:r>
              <w:rPr>
                <w:rFonts w:ascii="Times New Roman"/>
                <w:sz w:val="18"/>
              </w:rPr>
              <w:t>12.19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2" w:right="0"/>
              <w:jc w:val="left"/>
              <w:rPr>
                <w:rFonts w:ascii="Times New Roman" w:hAnsi="Times New Roman" w:cs="Times New Roman" w:eastAsia="Times New Roman" w:hint="default"/>
                <w:sz w:val="18"/>
                <w:szCs w:val="18"/>
              </w:rPr>
            </w:pPr>
            <w:r>
              <w:rPr>
                <w:rFonts w:ascii="Times New Roman"/>
                <w:sz w:val="18"/>
              </w:rPr>
              <w:t>28,800</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5"/>
        <w:gridCol w:w="978"/>
        <w:gridCol w:w="709"/>
        <w:gridCol w:w="709"/>
        <w:gridCol w:w="850"/>
        <w:gridCol w:w="851"/>
        <w:gridCol w:w="1121"/>
        <w:gridCol w:w="870"/>
        <w:gridCol w:w="870"/>
        <w:gridCol w:w="870"/>
        <w:gridCol w:w="870"/>
      </w:tblGrid>
      <w:tr>
        <w:trPr>
          <w:trHeight w:val="402"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栾江霞</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18,000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10,800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12.19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2" w:right="0"/>
              <w:jc w:val="left"/>
              <w:rPr>
                <w:rFonts w:ascii="Times New Roman" w:hAnsi="Times New Roman" w:cs="Times New Roman" w:eastAsia="Times New Roman" w:hint="default"/>
                <w:sz w:val="18"/>
                <w:szCs w:val="18"/>
              </w:rPr>
            </w:pPr>
            <w:r>
              <w:rPr>
                <w:rFonts w:ascii="Times New Roman"/>
                <w:sz w:val="18"/>
              </w:rPr>
              <w:t>28,800</w:t>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张乃军</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18,000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10,800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12.19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2" w:right="0"/>
              <w:jc w:val="left"/>
              <w:rPr>
                <w:rFonts w:ascii="Times New Roman" w:hAnsi="Times New Roman" w:cs="Times New Roman" w:eastAsia="Times New Roman" w:hint="default"/>
                <w:sz w:val="18"/>
                <w:szCs w:val="18"/>
              </w:rPr>
            </w:pPr>
            <w:r>
              <w:rPr>
                <w:rFonts w:ascii="Times New Roman"/>
                <w:sz w:val="18"/>
              </w:rPr>
              <w:t>28,800</w:t>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葛鹏</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48,000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28,800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12.19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2" w:right="0"/>
              <w:jc w:val="left"/>
              <w:rPr>
                <w:rFonts w:ascii="Times New Roman" w:hAnsi="Times New Roman" w:cs="Times New Roman" w:eastAsia="Times New Roman" w:hint="default"/>
                <w:sz w:val="18"/>
                <w:szCs w:val="18"/>
              </w:rPr>
            </w:pPr>
            <w:r>
              <w:rPr>
                <w:rFonts w:ascii="Times New Roman"/>
                <w:sz w:val="18"/>
              </w:rPr>
              <w:t>76,800</w:t>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周成祖</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42,000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25,200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12.19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2" w:right="0"/>
              <w:jc w:val="left"/>
              <w:rPr>
                <w:rFonts w:ascii="Times New Roman" w:hAnsi="Times New Roman" w:cs="Times New Roman" w:eastAsia="Times New Roman" w:hint="default"/>
                <w:sz w:val="18"/>
                <w:szCs w:val="18"/>
              </w:rPr>
            </w:pPr>
            <w:r>
              <w:rPr>
                <w:rFonts w:ascii="Times New Roman"/>
                <w:sz w:val="18"/>
              </w:rPr>
              <w:t>67,200</w:t>
            </w:r>
          </w:p>
        </w:tc>
      </w:tr>
      <w:tr>
        <w:trPr>
          <w:trHeight w:val="754"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蔡志评</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董事会秘书 副总经理</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12.19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48,000</w:t>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247,800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148,680</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6" w:right="0"/>
              <w:jc w:val="left"/>
              <w:rPr>
                <w:rFonts w:ascii="Times New Roman" w:hAnsi="Times New Roman" w:cs="Times New Roman" w:eastAsia="Times New Roman" w:hint="default"/>
                <w:sz w:val="18"/>
                <w:szCs w:val="18"/>
              </w:rPr>
            </w:pPr>
            <w:r>
              <w:rPr>
                <w:rFonts w:ascii="Times New Roman"/>
                <w:sz w:val="18"/>
              </w:rPr>
              <w:t>396,480</w:t>
            </w:r>
          </w:p>
        </w:tc>
      </w:tr>
      <w:tr>
        <w:trPr>
          <w:trHeight w:val="715" w:hRule="exact"/>
        </w:trPr>
        <w:tc>
          <w:tcPr>
            <w:tcW w:w="8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10"/>
              <w:jc w:val="left"/>
              <w:rPr>
                <w:rFonts w:ascii="宋体" w:hAnsi="宋体" w:cs="宋体" w:eastAsia="宋体" w:hint="default"/>
                <w:sz w:val="18"/>
                <w:szCs w:val="18"/>
              </w:rPr>
            </w:pPr>
            <w:r>
              <w:rPr>
                <w:rFonts w:ascii="宋体" w:hAnsi="宋体" w:cs="宋体" w:eastAsia="宋体" w:hint="default"/>
                <w:sz w:val="18"/>
                <w:szCs w:val="18"/>
              </w:rPr>
              <w:t>备注（如 有）</w:t>
            </w:r>
          </w:p>
        </w:tc>
        <w:tc>
          <w:tcPr>
            <w:tcW w:w="86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日公司实施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年年度权益分派，每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1"/>
                <w:sz w:val="18"/>
                <w:szCs w:val="18"/>
              </w:rPr>
              <w:t>转</w:t>
            </w:r>
            <w:r>
              <w:rPr>
                <w:rFonts w:ascii="宋体" w:hAnsi="宋体" w:cs="宋体" w:eastAsia="宋体" w:hint="default"/>
                <w:sz w:val="18"/>
                <w:szCs w:val="18"/>
              </w:rPr>
              <w:t>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w:t>
            </w:r>
            <w:r>
              <w:rPr>
                <w:rFonts w:ascii="宋体" w:hAnsi="宋体" w:cs="宋体" w:eastAsia="宋体" w:hint="default"/>
                <w:spacing w:val="1"/>
                <w:sz w:val="18"/>
                <w:szCs w:val="18"/>
              </w:rPr>
              <w:t>现</w:t>
            </w:r>
            <w:r>
              <w:rPr>
                <w:rFonts w:ascii="宋体" w:hAnsi="宋体" w:cs="宋体" w:eastAsia="宋体" w:hint="default"/>
                <w:sz w:val="18"/>
                <w:szCs w:val="18"/>
              </w:rPr>
              <w:t>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89"/>
                <w:sz w:val="18"/>
                <w:szCs w:val="18"/>
              </w:rPr>
              <w:t>）</w:t>
            </w:r>
            <w:r>
              <w:rPr>
                <w:rFonts w:ascii="宋体" w:hAnsi="宋体" w:cs="宋体" w:eastAsia="宋体" w:hint="default"/>
                <w:sz w:val="18"/>
                <w:szCs w:val="18"/>
              </w:rPr>
              <w:t>。实施权益分派</w:t>
            </w:r>
            <w:r>
              <w:rPr>
                <w:rFonts w:ascii="宋体" w:hAnsi="宋体" w:cs="宋体" w:eastAsia="宋体" w:hint="default"/>
                <w:spacing w:val="1"/>
                <w:sz w:val="18"/>
                <w:szCs w:val="18"/>
              </w:rPr>
              <w:t>后</w:t>
            </w:r>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董事及高管人员持有的已授予尚未解锁的限制性股票数量由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万股调整为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39.648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w:t>
            </w:r>
          </w:p>
        </w:tc>
      </w:tr>
    </w:tbl>
    <w:p>
      <w:pPr>
        <w:spacing w:line="240" w:lineRule="auto" w:before="12"/>
        <w:rPr>
          <w:rFonts w:ascii="宋体" w:hAnsi="宋体" w:cs="宋体" w:eastAsia="宋体" w:hint="default"/>
          <w:sz w:val="17"/>
          <w:szCs w:val="17"/>
        </w:rPr>
      </w:pPr>
    </w:p>
    <w:p>
      <w:pPr>
        <w:pStyle w:val="Heading2"/>
        <w:spacing w:line="240" w:lineRule="auto" w:before="26"/>
        <w:ind w:right="0"/>
        <w:jc w:val="left"/>
        <w:rPr>
          <w:b w:val="0"/>
          <w:bCs w:val="0"/>
        </w:rPr>
      </w:pPr>
      <w:r>
        <w:rPr/>
        <w:t>五、公司员工情况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2,996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2,996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2,996</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硕士及以上学历</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2,996</w:t>
            </w:r>
          </w:p>
        </w:tc>
      </w:tr>
    </w:tbl>
    <w:p>
      <w:pPr>
        <w:spacing w:after="0" w:line="240" w:lineRule="auto"/>
        <w:jc w:val="right"/>
        <w:rPr>
          <w:rFonts w:ascii="Times New Roman" w:hAnsi="Times New Roman" w:cs="Times New Roman" w:eastAsia="Times New Roman" w:hint="default"/>
          <w:sz w:val="18"/>
          <w:szCs w:val="18"/>
        </w:rPr>
        <w:sectPr>
          <w:footerReference w:type="default" r:id="rId18"/>
          <w:pgSz w:w="11910" w:h="16840"/>
          <w:pgMar w:footer="982" w:header="747" w:top="1060" w:bottom="1180" w:left="980" w:right="0"/>
          <w:pgNumType w:start="101"/>
        </w:sectPr>
      </w:pPr>
    </w:p>
    <w:p>
      <w:pPr>
        <w:spacing w:line="240" w:lineRule="auto" w:before="9"/>
        <w:rPr>
          <w:rFonts w:ascii="宋体" w:hAnsi="宋体" w:cs="宋体" w:eastAsia="宋体" w:hint="default"/>
          <w:b/>
          <w:bCs/>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30"/>
          <w:szCs w:val="30"/>
        </w:rPr>
      </w:pPr>
    </w:p>
    <w:p>
      <w:pPr>
        <w:spacing w:line="405" w:lineRule="auto" w:before="0"/>
        <w:ind w:left="153" w:right="1117" w:firstLine="420"/>
        <w:jc w:val="left"/>
        <w:rPr>
          <w:rFonts w:ascii="宋体" w:hAnsi="宋体" w:cs="宋体" w:eastAsia="宋体" w:hint="default"/>
          <w:sz w:val="18"/>
          <w:szCs w:val="18"/>
        </w:rPr>
      </w:pPr>
      <w:r>
        <w:rPr>
          <w:rFonts w:ascii="宋体" w:hAnsi="宋体" w:cs="宋体" w:eastAsia="宋体" w:hint="default"/>
          <w:spacing w:val="-1"/>
          <w:sz w:val="21"/>
          <w:szCs w:val="21"/>
        </w:rPr>
        <w:t>公司按照《中华人民共和国劳动合同法》和国家及地方其他有关劳动法律、法规的规定，与员工签订</w:t>
      </w:r>
      <w:r>
        <w:rPr>
          <w:rFonts w:ascii="宋体" w:hAnsi="宋体" w:cs="宋体" w:eastAsia="宋体" w:hint="default"/>
          <w:sz w:val="21"/>
          <w:szCs w:val="21"/>
        </w:rPr>
        <w:t> </w:t>
      </w:r>
      <w:r>
        <w:rPr>
          <w:rFonts w:ascii="宋体" w:hAnsi="宋体" w:cs="宋体" w:eastAsia="宋体" w:hint="default"/>
          <w:spacing w:val="-1"/>
          <w:sz w:val="21"/>
          <w:szCs w:val="21"/>
        </w:rPr>
        <w:t>劳动合同，公司严格执行国家相关劳动用工和社会保障规章制度，按照国家规定为员工缴纳社会保险和公</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积金，缴交企业年金、补偿商业保险。公司为保持良好的薪酬环境，参照市场行业水平，实施公平的绩效</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考核机制，每年调整员工薪资幅度，为员工提供有竞争力的薪资报酬。 </w:t>
      </w:r>
      <w:r>
        <w:rPr>
          <w:rFonts w:ascii="宋体" w:hAnsi="宋体" w:cs="宋体" w:eastAsia="宋体" w:hint="default"/>
          <w:sz w:val="18"/>
          <w:szCs w:val="18"/>
        </w:rPr>
        <w:t>公司需遵守《深圳证券交易所行业信息披露指引第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pStyle w:val="BodyText"/>
        <w:spacing w:line="240" w:lineRule="auto" w:before="18"/>
        <w:ind w:left="469" w:right="0"/>
        <w:jc w:val="left"/>
      </w:pPr>
      <w:r>
        <w:rPr/>
        <w:t>公司人员薪酬已计入相应的期间费用，未计入主营业务成本。</w:t>
      </w:r>
    </w:p>
    <w:p>
      <w:pPr>
        <w:spacing w:line="240" w:lineRule="auto" w:before="0"/>
        <w:rPr>
          <w:rFonts w:ascii="宋体" w:hAnsi="宋体" w:cs="宋体" w:eastAsia="宋体" w:hint="default"/>
          <w:sz w:val="20"/>
          <w:szCs w:val="20"/>
        </w:rPr>
      </w:pPr>
    </w:p>
    <w:p>
      <w:pPr>
        <w:pStyle w:val="Heading3"/>
        <w:spacing w:line="240" w:lineRule="auto" w:before="152"/>
        <w:ind w:left="153"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30"/>
          <w:szCs w:val="30"/>
        </w:rPr>
      </w:pPr>
    </w:p>
    <w:p>
      <w:pPr>
        <w:pStyle w:val="BodyText"/>
        <w:spacing w:line="400" w:lineRule="auto"/>
        <w:ind w:left="153" w:right="1108" w:firstLine="420"/>
        <w:jc w:val="both"/>
      </w:pPr>
      <w:r>
        <w:rPr>
          <w:spacing w:val="-1"/>
        </w:rPr>
        <w:t>公司十分注重员工培训和职业规划，针对不同的岗位、职能需求，制定了年度培训计划。针对入职新</w:t>
      </w:r>
      <w:r>
        <w:rPr/>
        <w:t> </w:t>
      </w:r>
      <w:r>
        <w:rPr>
          <w:spacing w:val="-1"/>
        </w:rPr>
        <w:t>人，开展新员工培训和拓展，培训内容包括企业文化培训、保密培训及公司产品讲解和工作环境参观等一</w:t>
      </w:r>
      <w:r>
        <w:rPr>
          <w:spacing w:val="-83"/>
        </w:rPr>
        <w:t> </w:t>
      </w:r>
      <w:r>
        <w:rPr>
          <w:spacing w:val="-83"/>
        </w:rPr>
      </w:r>
      <w:r>
        <w:rPr/>
        <w:t>系列全方位培训课程。针对应届毕业生，公司推出了</w:t>
      </w:r>
      <w:r>
        <w:rPr>
          <w:rFonts w:ascii="Times New Roman" w:hAnsi="Times New Roman" w:cs="Times New Roman" w:eastAsia="Times New Roman" w:hint="default"/>
        </w:rPr>
        <w:t>“</w:t>
      </w:r>
      <w:r>
        <w:rPr/>
        <w:t>金种子培训班</w:t>
      </w:r>
      <w:r>
        <w:rPr>
          <w:rFonts w:ascii="Times New Roman" w:hAnsi="Times New Roman" w:cs="Times New Roman" w:eastAsia="Times New Roman" w:hint="default"/>
        </w:rPr>
        <w:t>”</w:t>
      </w:r>
      <w:r>
        <w:rPr/>
        <w:t>计划，表现优秀的学员可以留在公司 任职。针对核心管理人员，公司与厦门大学联合举办了</w:t>
      </w:r>
      <w:r>
        <w:rPr>
          <w:rFonts w:ascii="Times New Roman" w:hAnsi="Times New Roman" w:cs="Times New Roman" w:eastAsia="Times New Roman" w:hint="default"/>
        </w:rPr>
        <w:t>EDP</w:t>
      </w:r>
      <w:r>
        <w:rPr/>
        <w:t>美亚柏科定制研修班，提高公司核心管理人员 </w:t>
      </w:r>
      <w:r>
        <w:rPr>
          <w:spacing w:val="-1"/>
        </w:rPr>
        <w:t>的管理意识、技巧和领导水平。针对技术岗位人员，公司不定期组织技术研讨培训，技术大比武，提升技</w:t>
      </w:r>
      <w:r>
        <w:rPr>
          <w:spacing w:val="-83"/>
        </w:rPr>
        <w:t> </w:t>
      </w:r>
      <w:r>
        <w:rPr>
          <w:spacing w:val="-83"/>
        </w:rPr>
      </w:r>
      <w:r>
        <w:rPr>
          <w:spacing w:val="-1"/>
        </w:rPr>
        <w:t>术人员专业技术能力。公司开展美亚柏科智慧大讲堂，邀请公司副总级领导担任每期主讲人，跟员工一起</w:t>
      </w:r>
      <w:r>
        <w:rPr>
          <w:spacing w:val="-83"/>
        </w:rPr>
        <w:t> </w:t>
      </w:r>
      <w:r>
        <w:rPr>
          <w:spacing w:val="-83"/>
        </w:rPr>
      </w:r>
      <w:r>
        <w:rPr/>
        <w:t>分享工作、生活，以及学习方面的经验和感悟，加强管理层与员工之间的沟通交流，受到员工一致好评。</w:t>
      </w:r>
    </w:p>
    <w:p>
      <w:pPr>
        <w:pStyle w:val="BodyText"/>
        <w:spacing w:line="240" w:lineRule="auto" w:before="52"/>
        <w:ind w:left="573" w:right="0"/>
        <w:jc w:val="left"/>
      </w:pPr>
      <w:r>
        <w:rPr/>
        <w:t>公司推出线上学习平台</w:t>
      </w:r>
      <w:r>
        <w:rPr>
          <w:rFonts w:ascii="Times New Roman" w:hAnsi="Times New Roman" w:cs="Times New Roman" w:eastAsia="Times New Roman" w:hint="default"/>
        </w:rPr>
        <w:t>“</w:t>
      </w:r>
      <w:r>
        <w:rPr/>
        <w:t>美课</w:t>
      </w:r>
      <w:r>
        <w:rPr>
          <w:rFonts w:ascii="Times New Roman" w:hAnsi="Times New Roman" w:cs="Times New Roman" w:eastAsia="Times New Roman" w:hint="default"/>
        </w:rPr>
        <w:t>”+</w:t>
      </w:r>
      <w:r>
        <w:rPr/>
        <w:t>线下实战实操培训，丰富培训模式，为培训提供信息化支撑。</w:t>
      </w:r>
    </w:p>
    <w:p>
      <w:pPr>
        <w:spacing w:line="240" w:lineRule="auto" w:before="7"/>
        <w:rPr>
          <w:rFonts w:ascii="宋体" w:hAnsi="宋体" w:cs="宋体" w:eastAsia="宋体" w:hint="default"/>
          <w:sz w:val="30"/>
          <w:szCs w:val="30"/>
        </w:rPr>
      </w:pPr>
    </w:p>
    <w:p>
      <w:pPr>
        <w:pStyle w:val="Heading3"/>
        <w:spacing w:line="240" w:lineRule="auto"/>
        <w:ind w:left="153"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219"/>
        <w:jc w:val="center"/>
        <w:rPr>
          <w:b w:val="0"/>
          <w:bCs w:val="0"/>
        </w:rPr>
      </w:pPr>
      <w:bookmarkStart w:name="_TOC_250003" w:id="9"/>
      <w:r>
        <w:rPr/>
        <w:t>第九节</w:t>
      </w:r>
      <w:r>
        <w:rPr>
          <w:spacing w:val="-5"/>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Heading2"/>
        <w:spacing w:line="240" w:lineRule="auto" w:before="26"/>
        <w:ind w:right="0"/>
        <w:jc w:val="both"/>
        <w:rPr>
          <w:b w:val="0"/>
          <w:bCs w:val="0"/>
        </w:rPr>
      </w:pPr>
      <w:r>
        <w:rPr/>
        <w:t>一、公司治理的基本状况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129" w:firstLine="420"/>
        <w:jc w:val="both"/>
      </w:pPr>
      <w:r>
        <w:rPr>
          <w:spacing w:val="-1"/>
        </w:rPr>
        <w:t>报告期内，公司严格按照《公司法》、《证券法》、《上市公司治理准则》、《深圳证券交易所创业</w:t>
      </w:r>
      <w:r>
        <w:rPr/>
        <w:t> </w:t>
      </w:r>
      <w:r>
        <w:rPr>
          <w:spacing w:val="-5"/>
        </w:rPr>
        <w:t>板股票上市规则》、《深圳证券交易所创业板上市公司规范运作指引》等相关法律法规、规范性文件和《公</w:t>
      </w:r>
      <w:r>
        <w:rPr/>
        <w:t> </w:t>
      </w:r>
      <w:r>
        <w:rPr>
          <w:spacing w:val="-1"/>
        </w:rPr>
        <w:t>司章程》的要求，不断完善公司法人治理结构，建立健全公司内部管理和内控制度，持续深入开展公司治</w:t>
      </w:r>
      <w:r>
        <w:rPr>
          <w:spacing w:val="-82"/>
        </w:rPr>
        <w:t> </w:t>
      </w:r>
      <w:r>
        <w:rPr>
          <w:spacing w:val="-82"/>
        </w:rPr>
      </w:r>
      <w:r>
        <w:rPr>
          <w:spacing w:val="-1"/>
        </w:rPr>
        <w:t>理活动，进一步提升公司治理水平。截至报告期末，公司治理状况符合《公司法》和中国证监会、深圳证</w:t>
      </w:r>
      <w:r>
        <w:rPr>
          <w:spacing w:val="-83"/>
        </w:rPr>
        <w:t> </w:t>
      </w:r>
      <w:r>
        <w:rPr>
          <w:spacing w:val="-83"/>
        </w:rPr>
      </w:r>
      <w:r>
        <w:rPr/>
        <w:t>券交易所等发布的法律法规和规范性文件的要求。</w:t>
      </w:r>
    </w:p>
    <w:p>
      <w:pPr>
        <w:pStyle w:val="BodyText"/>
        <w:spacing w:line="386" w:lineRule="auto" w:before="46"/>
        <w:ind w:left="574" w:right="0" w:hanging="1"/>
        <w:jc w:val="left"/>
      </w:pPr>
      <w:r>
        <w:rPr>
          <w:rFonts w:ascii="Times New Roman" w:hAnsi="Times New Roman" w:cs="Times New Roman" w:eastAsia="Times New Roman" w:hint="default"/>
        </w:rPr>
        <w:t>1</w:t>
      </w:r>
      <w:r>
        <w:rPr/>
        <w:t>、关于股东与股东大会 </w:t>
      </w:r>
      <w:r>
        <w:rPr>
          <w:spacing w:val="-1"/>
        </w:rPr>
        <w:t>报告期内，公司共召开三次次股东大会，其中一次年度股东大会，两次临时股东大会。各次会议公司</w:t>
      </w:r>
    </w:p>
    <w:p>
      <w:pPr>
        <w:pStyle w:val="BodyText"/>
        <w:spacing w:line="408" w:lineRule="auto" w:before="65"/>
        <w:ind w:right="1129"/>
        <w:jc w:val="both"/>
      </w:pPr>
      <w:r>
        <w:rPr>
          <w:spacing w:val="-1"/>
        </w:rPr>
        <w:t>均严格按照《公司法》、《上市公司股东大会规则》、《公司章程》、《股东大会议事规则》等规定和要</w:t>
      </w:r>
      <w:r>
        <w:rPr>
          <w:spacing w:val="-85"/>
        </w:rPr>
        <w:t> </w:t>
      </w:r>
      <w:r>
        <w:rPr>
          <w:spacing w:val="-85"/>
        </w:rPr>
      </w:r>
      <w:r>
        <w:rPr>
          <w:spacing w:val="-1"/>
        </w:rPr>
        <w:t>求，规范地召集、召开，平等对待所有股东，为股东参加股东大会提供便利，使其充分行使股东权利，不</w:t>
      </w:r>
      <w:r>
        <w:rPr>
          <w:spacing w:val="-83"/>
        </w:rPr>
        <w:t> </w:t>
      </w:r>
      <w:r>
        <w:rPr>
          <w:spacing w:val="-83"/>
        </w:rPr>
      </w:r>
      <w:r>
        <w:rPr/>
        <w:t>存在损害股东利益的情形。</w:t>
      </w:r>
    </w:p>
    <w:p>
      <w:pPr>
        <w:pStyle w:val="BodyText"/>
        <w:spacing w:line="386" w:lineRule="auto" w:before="46"/>
        <w:ind w:left="574" w:right="0" w:hanging="1"/>
        <w:jc w:val="left"/>
      </w:pPr>
      <w:r>
        <w:rPr>
          <w:rFonts w:ascii="Times New Roman" w:hAnsi="Times New Roman" w:cs="Times New Roman" w:eastAsia="Times New Roman" w:hint="default"/>
        </w:rPr>
        <w:t>2</w:t>
      </w:r>
      <w:r>
        <w:rPr/>
        <w:t>、关于公司与控股股东 </w:t>
      </w:r>
      <w:r>
        <w:rPr>
          <w:spacing w:val="-1"/>
        </w:rPr>
        <w:t>公司控股股东为郭永芳女士。郭永芳女士现任公司副董事长，与公司董事长滕达先生为母子关系，共</w:t>
      </w:r>
    </w:p>
    <w:p>
      <w:pPr>
        <w:pStyle w:val="BodyText"/>
        <w:spacing w:line="408" w:lineRule="auto" w:before="65"/>
        <w:ind w:right="1108"/>
        <w:jc w:val="both"/>
      </w:pPr>
      <w:r>
        <w:rPr>
          <w:spacing w:val="-1"/>
        </w:rPr>
        <w:t>同构成公司实际控制人。报告期内，公司控股股东严格按照《上市公司治理准则》、《深圳证券交易所创</w:t>
      </w:r>
      <w:r>
        <w:rPr>
          <w:spacing w:val="-83"/>
        </w:rPr>
        <w:t> </w:t>
      </w:r>
      <w:r>
        <w:rPr>
          <w:spacing w:val="-83"/>
        </w:rPr>
      </w:r>
      <w:r>
        <w:rPr>
          <w:spacing w:val="-1"/>
        </w:rPr>
        <w:t>业板股票上市规则》、《深圳证券交易所创业板上市公司规范运指引》、《公司章程》等规定和要求，依</w:t>
      </w:r>
      <w:r>
        <w:rPr>
          <w:spacing w:val="-84"/>
        </w:rPr>
        <w:t> </w:t>
      </w:r>
      <w:r>
        <w:rPr>
          <w:spacing w:val="-84"/>
        </w:rPr>
      </w:r>
      <w:r>
        <w:rPr>
          <w:spacing w:val="-1"/>
        </w:rPr>
        <w:t>法行使其权利并承担相应义务，不存在超越股东大会直接或间接干预公司决策和经营活动的行为。公司拥</w:t>
      </w:r>
      <w:r>
        <w:rPr>
          <w:spacing w:val="-81"/>
        </w:rPr>
        <w:t> </w:t>
      </w:r>
      <w:r>
        <w:rPr>
          <w:spacing w:val="-81"/>
        </w:rPr>
      </w:r>
      <w:r>
        <w:rPr/>
        <w:t>有独立完整的业务和自主经营能力，在业务、人员、资产、机构、财务上独立于控股股东，公司董事会、 监事会和内部机构独立运作。</w:t>
      </w:r>
    </w:p>
    <w:p>
      <w:pPr>
        <w:pStyle w:val="BodyText"/>
        <w:spacing w:line="386" w:lineRule="auto" w:before="46"/>
        <w:ind w:left="574" w:right="1090" w:hanging="1"/>
        <w:jc w:val="left"/>
      </w:pPr>
      <w:r>
        <w:rPr>
          <w:rFonts w:ascii="Times New Roman" w:hAnsi="Times New Roman" w:cs="Times New Roman" w:eastAsia="Times New Roman" w:hint="default"/>
        </w:rPr>
        <w:t>3</w:t>
      </w:r>
      <w:r>
        <w:rPr/>
        <w:t>、关于董事和董事会 公司董事会设董事</w:t>
      </w:r>
      <w:r>
        <w:rPr>
          <w:rFonts w:ascii="Times New Roman" w:hAnsi="Times New Roman" w:cs="Times New Roman" w:eastAsia="Times New Roman" w:hint="default"/>
        </w:rPr>
        <w:t>9</w:t>
      </w:r>
      <w:r>
        <w:rPr/>
        <w:t>名，其中独立董事</w:t>
      </w:r>
      <w:r>
        <w:rPr>
          <w:rFonts w:ascii="Times New Roman" w:hAnsi="Times New Roman" w:cs="Times New Roman" w:eastAsia="Times New Roman" w:hint="default"/>
        </w:rPr>
        <w:t>3</w:t>
      </w:r>
      <w:r>
        <w:rPr/>
        <w:t>名，董事会的人数及人员构成符合法律、法规和《公司章程》</w:t>
      </w:r>
    </w:p>
    <w:p>
      <w:pPr>
        <w:pStyle w:val="BodyText"/>
        <w:spacing w:line="400" w:lineRule="auto" w:before="35"/>
        <w:ind w:right="0"/>
        <w:jc w:val="left"/>
      </w:pPr>
      <w:r>
        <w:rPr/>
        <w:t>的要求。报告期内，公司共召开</w:t>
      </w:r>
      <w:r>
        <w:rPr>
          <w:rFonts w:ascii="Times New Roman" w:hAnsi="Times New Roman" w:cs="Times New Roman" w:eastAsia="Times New Roman" w:hint="default"/>
        </w:rPr>
        <w:t>8</w:t>
      </w:r>
      <w:r>
        <w:rPr/>
        <w:t>次董事会，会议的召集、召开、决议内容及签署合法、合规、真实、有 </w:t>
      </w:r>
      <w:r>
        <w:rPr>
          <w:spacing w:val="-1"/>
        </w:rPr>
        <w:t>效。各位董事能够依据《深圳证券交易所创业板上市公司规范运作指引》、《董事会议事规则》、《独立</w:t>
      </w:r>
      <w:r>
        <w:rPr>
          <w:spacing w:val="-85"/>
        </w:rPr>
        <w:t> </w:t>
      </w:r>
      <w:r>
        <w:rPr>
          <w:spacing w:val="-85"/>
        </w:rPr>
      </w:r>
      <w:r>
        <w:rPr>
          <w:spacing w:val="-1"/>
        </w:rPr>
        <w:t>董事制度》等规定开展工作，出席董事会和股东大会，勤勉尽责地履行职责和义务，同时积极参加相关培</w:t>
      </w:r>
      <w:r>
        <w:rPr>
          <w:spacing w:val="-82"/>
        </w:rPr>
        <w:t> </w:t>
      </w:r>
      <w:r>
        <w:rPr>
          <w:spacing w:val="-82"/>
        </w:rPr>
      </w:r>
      <w:r>
        <w:rPr/>
        <w:t>训，熟悉相关法律法规。</w:t>
      </w:r>
    </w:p>
    <w:p>
      <w:pPr>
        <w:pStyle w:val="BodyText"/>
        <w:spacing w:line="386" w:lineRule="auto" w:before="52"/>
        <w:ind w:right="1129" w:firstLine="420"/>
        <w:jc w:val="both"/>
      </w:pPr>
      <w:r>
        <w:rPr/>
        <w:t>公司董事会下设战略委员会、审计委员会、提名委员会及薪酬与考核委员会</w:t>
      </w:r>
      <w:r>
        <w:rPr>
          <w:rFonts w:ascii="Times New Roman" w:hAnsi="Times New Roman" w:cs="Times New Roman" w:eastAsia="Times New Roman" w:hint="default"/>
        </w:rPr>
        <w:t>4</w:t>
      </w:r>
      <w:r>
        <w:rPr/>
        <w:t>个专门委员会，除战略 </w:t>
      </w:r>
      <w:r>
        <w:rPr>
          <w:spacing w:val="-2"/>
        </w:rPr>
        <w:t>委员会外，其他委员会中独立董事占比均超过</w:t>
      </w:r>
      <w:r>
        <w:rPr>
          <w:rFonts w:ascii="Times New Roman" w:hAnsi="Times New Roman" w:cs="Times New Roman" w:eastAsia="Times New Roman" w:hint="default"/>
          <w:spacing w:val="-2"/>
        </w:rPr>
        <w:t>1/2</w:t>
      </w:r>
      <w:r>
        <w:rPr>
          <w:spacing w:val="-2"/>
        </w:rPr>
        <w:t>，为董事会的决策提供了科学和专业的意见和参考。各委</w:t>
      </w:r>
    </w:p>
    <w:p>
      <w:pPr>
        <w:spacing w:after="0" w:line="386" w:lineRule="auto"/>
        <w:jc w:val="both"/>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398" w:lineRule="auto" w:before="174"/>
        <w:ind w:left="573" w:right="0" w:hanging="420"/>
        <w:jc w:val="left"/>
      </w:pPr>
      <w:r>
        <w:rPr/>
        <w:t>员会依据《公司章程》和各委员会工作细则的规定履行职权，不受公司其他部门和个人的干预。 </w:t>
      </w:r>
      <w:r>
        <w:rPr>
          <w:rFonts w:ascii="Times New Roman" w:hAnsi="Times New Roman" w:cs="Times New Roman" w:eastAsia="Times New Roman" w:hint="default"/>
        </w:rPr>
        <w:t>4</w:t>
      </w:r>
      <w:r>
        <w:rPr/>
        <w:t>、关于监事和监事会 </w:t>
      </w:r>
      <w:r>
        <w:rPr>
          <w:spacing w:val="-1"/>
        </w:rPr>
        <w:t>公司监事会设监事</w:t>
      </w:r>
      <w:r>
        <w:rPr>
          <w:rFonts w:ascii="Times New Roman" w:hAnsi="Times New Roman" w:cs="Times New Roman" w:eastAsia="Times New Roman" w:hint="default"/>
          <w:spacing w:val="-1"/>
        </w:rPr>
        <w:t>3</w:t>
      </w:r>
      <w:r>
        <w:rPr>
          <w:spacing w:val="-1"/>
        </w:rPr>
        <w:t>名，其中职工代表监事</w:t>
      </w:r>
      <w:r>
        <w:rPr>
          <w:rFonts w:ascii="Times New Roman" w:hAnsi="Times New Roman" w:cs="Times New Roman" w:eastAsia="Times New Roman" w:hint="default"/>
          <w:spacing w:val="-1"/>
        </w:rPr>
        <w:t>1</w:t>
      </w:r>
      <w:r>
        <w:rPr>
          <w:spacing w:val="-1"/>
        </w:rPr>
        <w:t>名，监事会的人数及人员构成符合法律、法规和《公司章</w:t>
      </w:r>
    </w:p>
    <w:p>
      <w:pPr>
        <w:pStyle w:val="BodyText"/>
        <w:spacing w:line="398" w:lineRule="auto" w:before="24"/>
        <w:ind w:right="1021"/>
        <w:jc w:val="left"/>
      </w:pPr>
      <w:r>
        <w:rPr/>
        <w:t>程》的要求。报告期内，公司共召开</w:t>
      </w:r>
      <w:r>
        <w:rPr>
          <w:rFonts w:ascii="Times New Roman" w:hAnsi="Times New Roman" w:cs="Times New Roman" w:eastAsia="Times New Roman" w:hint="default"/>
        </w:rPr>
        <w:t>8</w:t>
      </w:r>
      <w:r>
        <w:rPr/>
        <w:t>次监事会会议，会议的召集、召开、决议内容及签署合法、合规、 </w:t>
      </w:r>
      <w:r>
        <w:rPr>
          <w:spacing w:val="-3"/>
        </w:rPr>
        <w:t>真实、有效。各位监事能够按照《公司章程》、《监事会议事规则》等规定的要求，认真履行自己的职责，</w:t>
      </w:r>
      <w:r>
        <w:rPr>
          <w:spacing w:val="-95"/>
        </w:rPr>
        <w:t> </w:t>
      </w:r>
      <w:r>
        <w:rPr>
          <w:spacing w:val="-95"/>
        </w:rPr>
      </w:r>
      <w:r>
        <w:rPr/>
        <w:t>对公司重大事项、关联交易、财务状况以及董事、高级管理人员履行职责的合法合规性进行监督。</w:t>
      </w:r>
    </w:p>
    <w:p>
      <w:pPr>
        <w:pStyle w:val="BodyText"/>
        <w:spacing w:line="386" w:lineRule="auto" w:before="54"/>
        <w:ind w:left="574" w:right="0" w:hanging="1"/>
        <w:jc w:val="left"/>
      </w:pPr>
      <w:r>
        <w:rPr>
          <w:rFonts w:ascii="Times New Roman" w:hAnsi="Times New Roman" w:cs="Times New Roman" w:eastAsia="Times New Roman" w:hint="default"/>
        </w:rPr>
        <w:t>5</w:t>
      </w:r>
      <w:r>
        <w:rPr/>
        <w:t>、关于绩效评价与激励约束机制 </w:t>
      </w:r>
      <w:r>
        <w:rPr>
          <w:spacing w:val="-1"/>
        </w:rPr>
        <w:t>公司董事会下设的薪酬与考核委员会负责对公司的董事、监事、高级管理人员进行绩效考核，建立并</w:t>
      </w:r>
    </w:p>
    <w:p>
      <w:pPr>
        <w:pStyle w:val="BodyText"/>
        <w:spacing w:line="408" w:lineRule="auto" w:before="65"/>
        <w:ind w:right="1129"/>
        <w:jc w:val="both"/>
      </w:pPr>
      <w:r>
        <w:rPr>
          <w:spacing w:val="-1"/>
        </w:rPr>
        <w:t>逐步完善公正透明的董事、监事和高级管理人员的绩效评价标准和激励约束机制。公司高级管理人员的聘</w:t>
      </w:r>
      <w:r>
        <w:rPr>
          <w:spacing w:val="-81"/>
        </w:rPr>
        <w:t> </w:t>
      </w:r>
      <w:r>
        <w:rPr>
          <w:spacing w:val="-81"/>
        </w:rPr>
      </w:r>
      <w:r>
        <w:rPr>
          <w:spacing w:val="-1"/>
        </w:rPr>
        <w:t>任公开、透明，符合法律、法规的规定，现有的考核及激励约束机制符合公司的发展情况。公司实施了第</w:t>
      </w:r>
      <w:r>
        <w:rPr>
          <w:spacing w:val="-83"/>
        </w:rPr>
        <w:t> </w:t>
      </w:r>
      <w:r>
        <w:rPr>
          <w:spacing w:val="-83"/>
        </w:rPr>
      </w:r>
      <w:r>
        <w:rPr/>
        <w:t>二期限制性股票激励计划，完善了公司长效激励机制。</w:t>
      </w:r>
    </w:p>
    <w:p>
      <w:pPr>
        <w:pStyle w:val="BodyText"/>
        <w:spacing w:line="386" w:lineRule="auto" w:before="46"/>
        <w:ind w:left="574" w:right="0" w:hanging="1"/>
        <w:jc w:val="left"/>
      </w:pPr>
      <w:r>
        <w:rPr>
          <w:rFonts w:ascii="Times New Roman" w:hAnsi="Times New Roman" w:cs="Times New Roman" w:eastAsia="Times New Roman" w:hint="default"/>
        </w:rPr>
        <w:t>6</w:t>
      </w:r>
      <w:r>
        <w:rPr/>
        <w:t>、关于相关利益者 </w:t>
      </w:r>
      <w:r>
        <w:rPr>
          <w:spacing w:val="-1"/>
        </w:rPr>
        <w:t>公司充分尊重和维护相关利益者的合法权益，积极与相关利益者合作，加强与各方的沟通和交流，实</w:t>
      </w:r>
    </w:p>
    <w:p>
      <w:pPr>
        <w:pStyle w:val="BodyText"/>
        <w:spacing w:line="398" w:lineRule="auto" w:before="65"/>
        <w:ind w:left="574" w:right="1090" w:hanging="420"/>
        <w:jc w:val="left"/>
      </w:pPr>
      <w:r>
        <w:rPr/>
        <w:t>现股东、员工、社会等各方利益的协调平衡，共同推动公司持续、健康的发展。 </w:t>
      </w:r>
      <w:r>
        <w:rPr>
          <w:rFonts w:ascii="Times New Roman" w:hAnsi="Times New Roman" w:cs="Times New Roman" w:eastAsia="Times New Roman" w:hint="default"/>
        </w:rPr>
        <w:t>7</w:t>
      </w:r>
      <w:r>
        <w:rPr/>
        <w:t>、关于信息披露与透明度 公司严格按照《上市公司信息披露管理办法》、《深圳证券交易所创业板上市公司规范运作指引》、</w:t>
      </w:r>
    </w:p>
    <w:p>
      <w:pPr>
        <w:pStyle w:val="BodyText"/>
        <w:spacing w:line="408" w:lineRule="auto" w:before="54"/>
        <w:ind w:right="1128"/>
        <w:jc w:val="both"/>
      </w:pPr>
      <w:r>
        <w:rPr>
          <w:spacing w:val="-1"/>
        </w:rPr>
        <w:t>公司的《信息披露管理制度》等相关法律、法规和规范性文件的要求，真实、准确、完整、及时、公平地</w:t>
      </w:r>
      <w:r>
        <w:rPr>
          <w:spacing w:val="-86"/>
        </w:rPr>
        <w:t> </w:t>
      </w:r>
      <w:r>
        <w:rPr>
          <w:spacing w:val="-86"/>
        </w:rPr>
      </w:r>
      <w:r>
        <w:rPr>
          <w:spacing w:val="-1"/>
        </w:rPr>
        <w:t>披露有关信息，指定公司董事会秘书负责信息披露工作，协调公司与投资者的关系，接待股东来访、机构</w:t>
      </w:r>
      <w:r>
        <w:rPr>
          <w:spacing w:val="-82"/>
        </w:rPr>
        <w:t> </w:t>
      </w:r>
      <w:r>
        <w:rPr>
          <w:spacing w:val="-82"/>
        </w:rPr>
      </w:r>
      <w:r>
        <w:rPr>
          <w:spacing w:val="-5"/>
        </w:rPr>
        <w:t>调研，回答投资者的咨询，向投资者提供公司已披露的资料；并指定《证券时报》、《中国证券报》、《证</w:t>
      </w:r>
      <w:r>
        <w:rPr>
          <w:spacing w:val="-103"/>
        </w:rPr>
        <w:t> </w:t>
      </w:r>
      <w:r>
        <w:rPr>
          <w:spacing w:val="-103"/>
        </w:rPr>
      </w:r>
      <w:r>
        <w:rPr>
          <w:spacing w:val="-2"/>
        </w:rPr>
        <w:t>券日报》、《上海证券报》和中国证监会创业板指定信息披露网站（巨潮资讯网</w:t>
      </w:r>
      <w:r>
        <w:rPr>
          <w:rFonts w:ascii="Times New Roman" w:hAnsi="Times New Roman" w:cs="Times New Roman" w:eastAsia="Times New Roman" w:hint="default"/>
          <w:color w:val="6C6C6C"/>
          <w:spacing w:val="-2"/>
        </w:rPr>
      </w:r>
      <w:hyperlink r:id="rId11">
        <w:r>
          <w:rPr>
            <w:rFonts w:ascii="Times New Roman" w:hAnsi="Times New Roman" w:cs="Times New Roman" w:eastAsia="Times New Roman" w:hint="default"/>
            <w:color w:val="6C6C6C"/>
            <w:spacing w:val="-2"/>
            <w:u w:val="single" w:color="6C6C6C"/>
          </w:rPr>
          <w:t>www.cninfo.com.cn</w:t>
        </w:r>
        <w:r>
          <w:rPr>
            <w:rFonts w:ascii="Times New Roman" w:hAnsi="Times New Roman" w:cs="Times New Roman" w:eastAsia="Times New Roman" w:hint="default"/>
            <w:color w:val="6C6C6C"/>
            <w:spacing w:val="-2"/>
          </w:rPr>
        </w:r>
      </w:hyperlink>
      <w:r>
        <w:rPr>
          <w:spacing w:val="-2"/>
        </w:rPr>
        <w:t>）为公</w:t>
      </w:r>
    </w:p>
    <w:p>
      <w:pPr>
        <w:pStyle w:val="BodyText"/>
        <w:spacing w:line="240" w:lineRule="auto" w:before="14"/>
        <w:ind w:right="0"/>
        <w:jc w:val="left"/>
      </w:pPr>
      <w:r>
        <w:rPr/>
        <w:t>司定期报告披露的指定报刊和网站，确保公司所有投资者能够平等地获得信息。</w:t>
      </w:r>
    </w:p>
    <w:p>
      <w:pPr>
        <w:spacing w:line="240" w:lineRule="auto" w:before="11"/>
        <w:rPr>
          <w:rFonts w:ascii="宋体" w:hAnsi="宋体" w:cs="宋体" w:eastAsia="宋体" w:hint="default"/>
          <w:sz w:val="13"/>
          <w:szCs w:val="13"/>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38" w:lineRule="auto" w:before="117"/>
        <w:ind w:left="154" w:right="35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0" w:firstLine="514"/>
        <w:jc w:val="left"/>
      </w:pPr>
      <w:r>
        <w:rPr/>
        <w:t>公司控股股东严格按照《公司法》、《上市公司治理准则》、《深圳证券交易所创业板股票上市规 </w:t>
      </w:r>
      <w:r>
        <w:rPr>
          <w:spacing w:val="-1"/>
        </w:rPr>
        <w:t>则》、《深圳证券交易所创业板上市公司规范运作指引》及《公司章程》等规定和要求，严格规范自身行</w:t>
      </w:r>
      <w:r>
        <w:rPr>
          <w:spacing w:val="-85"/>
        </w:rPr>
        <w:t> </w:t>
      </w:r>
      <w:r>
        <w:rPr>
          <w:spacing w:val="-85"/>
        </w:rPr>
      </w:r>
      <w:r>
        <w:rPr>
          <w:spacing w:val="-1"/>
        </w:rPr>
        <w:t>为，不存在超越公司股东大会直接或间接干预公司的决策和经营活动的行为，未损害公司及其他股东的利</w:t>
      </w:r>
      <w:r>
        <w:rPr>
          <w:spacing w:val="-81"/>
        </w:rPr>
        <w:t> </w:t>
      </w:r>
      <w:r>
        <w:rPr>
          <w:spacing w:val="-81"/>
        </w:rPr>
      </w:r>
      <w:r>
        <w:rPr>
          <w:spacing w:val="-1"/>
        </w:rPr>
        <w:t>益，不存在控股股东占用公司资金的现象，公司亦无为控股股东提供担保的情形。公司拥有独立完整的业</w:t>
      </w:r>
    </w:p>
    <w:p>
      <w:pPr>
        <w:spacing w:after="0" w:line="408"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务和自主经营能力，在业务、资产、人员、机构、财务上独立于控股股东。</w:t>
      </w:r>
    </w:p>
    <w:p>
      <w:pPr>
        <w:spacing w:line="240" w:lineRule="auto" w:before="11"/>
        <w:rPr>
          <w:rFonts w:ascii="宋体" w:hAnsi="宋体" w:cs="宋体" w:eastAsia="宋体" w:hint="default"/>
          <w:sz w:val="29"/>
          <w:szCs w:val="29"/>
        </w:rPr>
      </w:pPr>
    </w:p>
    <w:p>
      <w:pPr>
        <w:pStyle w:val="Heading2"/>
        <w:spacing w:line="240" w:lineRule="auto"/>
        <w:ind w:right="0"/>
        <w:jc w:val="left"/>
        <w:rPr>
          <w:b w:val="0"/>
          <w:bCs w:val="0"/>
        </w:rPr>
      </w:pPr>
      <w:r>
        <w:rPr/>
        <w:t>三、同业竞争情况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3"/>
          <w:szCs w:val="23"/>
        </w:rPr>
      </w:pPr>
    </w:p>
    <w:p>
      <w:pPr>
        <w:pStyle w:val="Heading2"/>
        <w:spacing w:line="240" w:lineRule="auto"/>
        <w:ind w:right="0"/>
        <w:jc w:val="left"/>
        <w:rPr>
          <w:b w:val="0"/>
          <w:bCs w:val="0"/>
        </w:rPr>
      </w:pPr>
      <w:r>
        <w:rPr/>
        <w:t>四、报告期内召开的年度股东大会和临时股东大会的有关情况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18"/>
        <w:gridCol w:w="1276"/>
        <w:gridCol w:w="850"/>
        <w:gridCol w:w="1560"/>
        <w:gridCol w:w="1560"/>
        <w:gridCol w:w="2903"/>
      </w:tblGrid>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50" w:right="59" w:hanging="90"/>
              <w:jc w:val="left"/>
              <w:rPr>
                <w:rFonts w:ascii="宋体" w:hAnsi="宋体" w:cs="宋体" w:eastAsia="宋体" w:hint="default"/>
                <w:sz w:val="18"/>
                <w:szCs w:val="18"/>
              </w:rPr>
            </w:pPr>
            <w:r>
              <w:rPr>
                <w:rFonts w:ascii="宋体" w:hAnsi="宋体" w:cs="宋体" w:eastAsia="宋体" w:hint="default"/>
                <w:sz w:val="18"/>
                <w:szCs w:val="18"/>
              </w:rPr>
              <w:t>投资者参 与比例</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523" w:right="50" w:hanging="4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 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39"/>
              <w:jc w:val="right"/>
              <w:rPr>
                <w:rFonts w:ascii="Times New Roman" w:hAnsi="Times New Roman" w:cs="Times New Roman" w:eastAsia="Times New Roman" w:hint="default"/>
                <w:sz w:val="18"/>
                <w:szCs w:val="18"/>
              </w:rPr>
            </w:pPr>
            <w:r>
              <w:rPr>
                <w:rFonts w:ascii="Times New Roman"/>
                <w:sz w:val="18"/>
              </w:rPr>
              <w:t>52.09%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01" w:right="23" w:hanging="179"/>
              <w:jc w:val="left"/>
              <w:rPr>
                <w:rFonts w:ascii="宋体" w:hAnsi="宋体" w:cs="宋体" w:eastAsia="宋体" w:hint="default"/>
                <w:sz w:val="18"/>
                <w:szCs w:val="18"/>
              </w:rPr>
            </w:pPr>
            <w:r>
              <w:rPr>
                <w:rFonts w:ascii="宋体" w:hAnsi="宋体" w:cs="宋体" w:eastAsia="宋体" w:hint="default"/>
                <w:sz w:val="18"/>
                <w:szCs w:val="18"/>
              </w:rPr>
              <w:t>巨潮资讯</w:t>
            </w:r>
            <w:r>
              <w:rPr>
                <w:rFonts w:ascii="宋体" w:hAnsi="宋体" w:cs="宋体" w:eastAsia="宋体" w:hint="default"/>
                <w:spacing w:val="-78"/>
                <w:sz w:val="18"/>
                <w:szCs w:val="18"/>
              </w:rPr>
              <w:t>网</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年年度股东大会决 议公告</w:t>
            </w:r>
            <w:r>
              <w:rPr>
                <w:rFonts w:ascii="宋体" w:hAnsi="宋体" w:cs="宋体" w:eastAsia="宋体" w:hint="default"/>
                <w:spacing w:val="-90"/>
                <w:sz w:val="18"/>
                <w:szCs w:val="18"/>
              </w:rPr>
              <w:t>》</w:t>
            </w: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2018-28</w:t>
            </w:r>
            <w:r>
              <w:rPr>
                <w:rFonts w:ascii="宋体" w:hAnsi="宋体" w:cs="宋体" w:eastAsia="宋体" w:hint="default"/>
                <w:sz w:val="18"/>
                <w:szCs w:val="18"/>
              </w:rPr>
              <w:t>）</w:t>
            </w: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253" w:right="50" w:hanging="20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39"/>
              <w:jc w:val="right"/>
              <w:rPr>
                <w:rFonts w:ascii="Times New Roman" w:hAnsi="Times New Roman" w:cs="Times New Roman" w:eastAsia="Times New Roman" w:hint="default"/>
                <w:sz w:val="18"/>
                <w:szCs w:val="18"/>
              </w:rPr>
            </w:pPr>
            <w:r>
              <w:rPr>
                <w:rFonts w:ascii="Times New Roman"/>
                <w:sz w:val="18"/>
              </w:rPr>
              <w:t>52.92%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巨潮资讯</w:t>
            </w:r>
            <w:r>
              <w:rPr>
                <w:rFonts w:ascii="宋体" w:hAnsi="宋体" w:cs="宋体" w:eastAsia="宋体" w:hint="default"/>
                <w:spacing w:val="-78"/>
                <w:sz w:val="18"/>
                <w:szCs w:val="18"/>
              </w:rPr>
              <w:t>网</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 大会决议的公告</w:t>
            </w:r>
            <w:r>
              <w:rPr>
                <w:rFonts w:ascii="宋体" w:hAnsi="宋体" w:cs="宋体" w:eastAsia="宋体" w:hint="default"/>
                <w:spacing w:val="-90"/>
                <w:sz w:val="18"/>
                <w:szCs w:val="18"/>
              </w:rPr>
              <w:t>》</w:t>
            </w:r>
            <w:r>
              <w:rPr>
                <w:rFonts w:ascii="宋体" w:hAnsi="宋体" w:cs="宋体" w:eastAsia="宋体" w:hint="default"/>
                <w:sz w:val="18"/>
                <w:szCs w:val="18"/>
              </w:rPr>
              <w:t>（公告编号：</w:t>
            </w:r>
          </w:p>
          <w:p>
            <w:pPr>
              <w:pStyle w:val="TableParagraph"/>
              <w:spacing w:line="240" w:lineRule="auto"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2018-59</w:t>
            </w:r>
            <w:r>
              <w:rPr>
                <w:rFonts w:ascii="宋体" w:hAnsi="宋体" w:cs="宋体" w:eastAsia="宋体" w:hint="default"/>
                <w:sz w:val="18"/>
                <w:szCs w:val="18"/>
              </w:rPr>
              <w:t>）</w:t>
            </w: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253" w:right="50" w:hanging="20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 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39"/>
              <w:jc w:val="right"/>
              <w:rPr>
                <w:rFonts w:ascii="Times New Roman" w:hAnsi="Times New Roman" w:cs="Times New Roman" w:eastAsia="Times New Roman" w:hint="default"/>
                <w:sz w:val="18"/>
                <w:szCs w:val="18"/>
              </w:rPr>
            </w:pPr>
            <w:r>
              <w:rPr>
                <w:rFonts w:ascii="Times New Roman"/>
                <w:sz w:val="18"/>
              </w:rPr>
              <w:t>54.74%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8" w:right="29"/>
              <w:jc w:val="center"/>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 </w:t>
            </w:r>
            <w:r>
              <w:rPr>
                <w:rFonts w:ascii="宋体" w:hAnsi="宋体" w:cs="宋体" w:eastAsia="宋体" w:hint="default"/>
                <w:spacing w:val="-7"/>
                <w:sz w:val="18"/>
                <w:szCs w:val="18"/>
              </w:rPr>
              <w:t>东大会决议公告》（公告编号：</w:t>
            </w:r>
          </w:p>
          <w:p>
            <w:pPr>
              <w:pStyle w:val="TableParagraph"/>
              <w:spacing w:line="240" w:lineRule="auto"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2018-97</w:t>
            </w:r>
            <w:r>
              <w:rPr>
                <w:rFonts w:ascii="宋体" w:hAnsi="宋体" w:cs="宋体" w:eastAsia="宋体" w:hint="default"/>
                <w:sz w:val="18"/>
                <w:szCs w:val="18"/>
              </w:rPr>
              <w:t>）</w:t>
            </w:r>
          </w:p>
        </w:tc>
      </w:tr>
    </w:tbl>
    <w:p>
      <w:pPr>
        <w:spacing w:line="240" w:lineRule="auto" w:before="1"/>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51"/>
        <w:gridCol w:w="1277"/>
        <w:gridCol w:w="1274"/>
        <w:gridCol w:w="1276"/>
        <w:gridCol w:w="992"/>
        <w:gridCol w:w="1134"/>
        <w:gridCol w:w="1603"/>
        <w:gridCol w:w="1163"/>
      </w:tblGrid>
      <w:tr>
        <w:trPr>
          <w:trHeight w:val="401"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39" w:right="59" w:hanging="180"/>
              <w:jc w:val="left"/>
              <w:rPr>
                <w:rFonts w:ascii="宋体" w:hAnsi="宋体" w:cs="宋体" w:eastAsia="宋体" w:hint="default"/>
                <w:sz w:val="18"/>
                <w:szCs w:val="18"/>
              </w:rPr>
            </w:pPr>
            <w:r>
              <w:rPr>
                <w:rFonts w:ascii="宋体" w:hAnsi="宋体" w:cs="宋体" w:eastAsia="宋体" w:hint="default"/>
                <w:sz w:val="18"/>
                <w:szCs w:val="18"/>
              </w:rPr>
              <w:t>独立董事 姓名</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2" w:right="92"/>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62" w:right="90"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2" w:right="91"/>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31" w:right="38" w:hanging="90"/>
              <w:jc w:val="left"/>
              <w:rPr>
                <w:rFonts w:ascii="宋体" w:hAnsi="宋体" w:cs="宋体" w:eastAsia="宋体" w:hint="default"/>
                <w:sz w:val="18"/>
                <w:szCs w:val="18"/>
              </w:rPr>
            </w:pPr>
            <w:r>
              <w:rPr>
                <w:rFonts w:ascii="宋体" w:hAnsi="宋体" w:cs="宋体" w:eastAsia="宋体" w:hint="default"/>
                <w:sz w:val="18"/>
                <w:szCs w:val="18"/>
              </w:rPr>
              <w:t>委托出席董 事会次数</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81" w:right="110" w:hanging="270"/>
              <w:jc w:val="left"/>
              <w:rPr>
                <w:rFonts w:ascii="宋体" w:hAnsi="宋体" w:cs="宋体" w:eastAsia="宋体" w:hint="default"/>
                <w:sz w:val="18"/>
                <w:szCs w:val="18"/>
              </w:rPr>
            </w:pPr>
            <w:r>
              <w:rPr>
                <w:rFonts w:ascii="宋体" w:hAnsi="宋体" w:cs="宋体" w:eastAsia="宋体" w:hint="default"/>
                <w:sz w:val="18"/>
                <w:szCs w:val="18"/>
              </w:rPr>
              <w:t>缺席董事会 次数</w:t>
            </w:r>
          </w:p>
        </w:tc>
        <w:tc>
          <w:tcPr>
            <w:tcW w:w="16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是否连续两次未亲 自参加董事会会议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曲晓辉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7" w:right="0"/>
              <w:jc w:val="left"/>
              <w:rPr>
                <w:rFonts w:ascii="Times New Roman" w:hAnsi="Times New Roman" w:cs="Times New Roman" w:eastAsia="Times New Roman" w:hint="default"/>
                <w:sz w:val="18"/>
                <w:szCs w:val="18"/>
              </w:rPr>
            </w:pPr>
            <w:r>
              <w:rPr>
                <w:rFonts w:ascii="Times New Roman"/>
                <w:sz w:val="18"/>
              </w:rPr>
              <w:t>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6" w:right="0"/>
              <w:jc w:val="left"/>
              <w:rPr>
                <w:rFonts w:ascii="Times New Roman" w:hAnsi="Times New Roman" w:cs="Times New Roman" w:eastAsia="Times New Roman" w:hint="default"/>
                <w:sz w:val="18"/>
                <w:szCs w:val="18"/>
              </w:rPr>
            </w:pPr>
            <w:r>
              <w:rPr>
                <w:rFonts w:ascii="Times New Roman"/>
                <w:sz w:val="18"/>
              </w:rPr>
              <w:t>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8" w:right="0"/>
              <w:jc w:val="left"/>
              <w:rPr>
                <w:rFonts w:ascii="Times New Roman" w:hAnsi="Times New Roman" w:cs="Times New Roman" w:eastAsia="Times New Roman" w:hint="default"/>
                <w:sz w:val="18"/>
                <w:szCs w:val="18"/>
              </w:rPr>
            </w:pPr>
            <w:r>
              <w:rPr>
                <w:rFonts w:ascii="Times New Roman"/>
                <w:sz w:val="18"/>
              </w:rPr>
              <w:t>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6" w:right="0"/>
              <w:jc w:val="lef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卢永华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7" w:right="0"/>
              <w:jc w:val="left"/>
              <w:rPr>
                <w:rFonts w:ascii="Times New Roman" w:hAnsi="Times New Roman" w:cs="Times New Roman" w:eastAsia="Times New Roman" w:hint="default"/>
                <w:sz w:val="18"/>
                <w:szCs w:val="18"/>
              </w:rPr>
            </w:pPr>
            <w:r>
              <w:rPr>
                <w:rFonts w:ascii="Times New Roman"/>
                <w:sz w:val="18"/>
              </w:rPr>
              <w:t>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6" w:right="0"/>
              <w:jc w:val="left"/>
              <w:rPr>
                <w:rFonts w:ascii="Times New Roman" w:hAnsi="Times New Roman" w:cs="Times New Roman" w:eastAsia="Times New Roman" w:hint="default"/>
                <w:sz w:val="18"/>
                <w:szCs w:val="18"/>
              </w:rPr>
            </w:pPr>
            <w:r>
              <w:rPr>
                <w:rFonts w:ascii="Times New Roman"/>
                <w:sz w:val="18"/>
              </w:rPr>
              <w:t>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8" w:right="0"/>
              <w:jc w:val="left"/>
              <w:rPr>
                <w:rFonts w:ascii="Times New Roman" w:hAnsi="Times New Roman" w:cs="Times New Roman" w:eastAsia="Times New Roman" w:hint="default"/>
                <w:sz w:val="18"/>
                <w:szCs w:val="18"/>
              </w:rPr>
            </w:pPr>
            <w:r>
              <w:rPr>
                <w:rFonts w:ascii="Times New Roman"/>
                <w:sz w:val="18"/>
              </w:rPr>
              <w:t>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6" w:right="0"/>
              <w:jc w:val="lef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蔡志平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7" w:right="0"/>
              <w:jc w:val="left"/>
              <w:rPr>
                <w:rFonts w:ascii="Times New Roman" w:hAnsi="Times New Roman" w:cs="Times New Roman" w:eastAsia="Times New Roman" w:hint="default"/>
                <w:sz w:val="18"/>
                <w:szCs w:val="18"/>
              </w:rPr>
            </w:pPr>
            <w:r>
              <w:rPr>
                <w:rFonts w:ascii="Times New Roman"/>
                <w:sz w:val="18"/>
              </w:rPr>
              <w:t>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6" w:right="0"/>
              <w:jc w:val="left"/>
              <w:rPr>
                <w:rFonts w:ascii="Times New Roman" w:hAnsi="Times New Roman" w:cs="Times New Roman" w:eastAsia="Times New Roman" w:hint="default"/>
                <w:sz w:val="18"/>
                <w:szCs w:val="18"/>
              </w:rPr>
            </w:pPr>
            <w:r>
              <w:rPr>
                <w:rFonts w:ascii="Times New Roman"/>
                <w:sz w:val="18"/>
              </w:rPr>
              <w:t>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8" w:right="0"/>
              <w:jc w:val="left"/>
              <w:rPr>
                <w:rFonts w:ascii="Times New Roman" w:hAnsi="Times New Roman" w:cs="Times New Roman" w:eastAsia="Times New Roman" w:hint="default"/>
                <w:sz w:val="18"/>
                <w:szCs w:val="18"/>
              </w:rPr>
            </w:pPr>
            <w:r>
              <w:rPr>
                <w:rFonts w:ascii="Times New Roman"/>
                <w:sz w:val="18"/>
              </w:rPr>
              <w:t>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6" w:right="0"/>
              <w:jc w:val="lef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w:t>
            </w:r>
          </w:p>
        </w:tc>
      </w:tr>
    </w:tbl>
    <w:p>
      <w:pPr>
        <w:spacing w:line="357" w:lineRule="auto" w:before="51"/>
        <w:ind w:left="153" w:right="8051"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不适用</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after="0"/>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13"/>
        <w:rPr>
          <w:rFonts w:ascii="宋体" w:hAnsi="宋体" w:cs="宋体" w:eastAsia="宋体" w:hint="default"/>
          <w:sz w:val="25"/>
          <w:szCs w:val="25"/>
        </w:rPr>
      </w:pPr>
    </w:p>
    <w:p>
      <w:pPr>
        <w:spacing w:line="338" w:lineRule="auto" w:before="44"/>
        <w:ind w:left="154" w:right="69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38" w:lineRule="auto" w:before="117"/>
        <w:ind w:left="154" w:right="67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pStyle w:val="BodyText"/>
        <w:spacing w:line="408" w:lineRule="auto" w:before="93"/>
        <w:ind w:left="153" w:right="1022" w:firstLine="420"/>
        <w:jc w:val="left"/>
      </w:pPr>
      <w:r>
        <w:rPr/>
        <w:t>报告期内，公司独立董事根据《公司法》、《证券法》、《深圳证券交易所创业板上市公司规范运作 指引》、《深圳证券交易所创业板股票上市规则》、《关于在上市公司建立独立董事制度的指导意见》等 有关法律法规及《公司章程》、《独立董事制度》的有关要求，勤勉尽责，积极利用参加股东大会、董事 </w:t>
      </w:r>
      <w:r>
        <w:rPr>
          <w:spacing w:val="-3"/>
        </w:rPr>
        <w:t>会的机会，结合自身的专业特长，对公司的制度完善和日常经营决策等方面提出了很多宝贵的专业性建议，</w:t>
      </w:r>
      <w:r>
        <w:rPr>
          <w:spacing w:val="-92"/>
        </w:rPr>
        <w:t> </w:t>
      </w:r>
      <w:r>
        <w:rPr>
          <w:spacing w:val="-92"/>
        </w:rPr>
      </w:r>
      <w:r>
        <w:rPr/>
        <w:t>对报告期内公司发生的利润分配、聘请年报财务审计机构、公司关联交易事项、对外投资等事项发表了独</w:t>
      </w:r>
      <w:r>
        <w:rPr/>
        <w:t> 立、公正的意见，为完善公司监督机制，维护公司和全体股东的合法权益起到了应有的作用。</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r>
        <w:rPr/>
        <w:t>六、董事会下设专门委员会在报告期内履行职责情况</w:t>
      </w:r>
      <w:r>
        <w:rPr>
          <w:b w:val="0"/>
          <w:bCs w:val="0"/>
        </w:rPr>
      </w:r>
    </w:p>
    <w:p>
      <w:pPr>
        <w:spacing w:line="240" w:lineRule="auto" w:before="8"/>
        <w:rPr>
          <w:rFonts w:ascii="宋体" w:hAnsi="宋体" w:cs="宋体" w:eastAsia="宋体" w:hint="default"/>
          <w:b/>
          <w:bCs/>
          <w:sz w:val="30"/>
          <w:szCs w:val="30"/>
        </w:rPr>
      </w:pPr>
    </w:p>
    <w:p>
      <w:pPr>
        <w:pStyle w:val="BodyText"/>
        <w:spacing w:line="386" w:lineRule="auto"/>
        <w:ind w:left="153" w:right="1196" w:firstLine="420"/>
        <w:jc w:val="left"/>
      </w:pPr>
      <w:r>
        <w:rPr/>
        <w:t>公司董事会下设审计委员会、战略委员会、薪酬与考核委员会及提名委员会。</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日，已完 成了各专门委员会换届工作。在报告期内的履职情况如下：</w:t>
      </w:r>
    </w:p>
    <w:p>
      <w:pPr>
        <w:pStyle w:val="BodyText"/>
        <w:spacing w:line="386" w:lineRule="auto" w:before="65"/>
        <w:ind w:left="573" w:right="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审计委员会的履职情况： </w:t>
      </w:r>
      <w:r>
        <w:rPr>
          <w:spacing w:val="-1"/>
        </w:rPr>
        <w:t>报告期内，董事会审计委员会严格按照《董事会审计委员会工作细则》的相关要求，共召开审计委员</w:t>
      </w:r>
    </w:p>
    <w:p>
      <w:pPr>
        <w:pStyle w:val="BodyText"/>
        <w:spacing w:line="398" w:lineRule="auto" w:before="65"/>
        <w:ind w:left="153" w:right="0"/>
        <w:jc w:val="left"/>
      </w:pPr>
      <w:r>
        <w:rPr/>
        <w:t>会会议</w:t>
      </w:r>
      <w:r>
        <w:rPr>
          <w:rFonts w:ascii="Times New Roman" w:hAnsi="Times New Roman" w:cs="Times New Roman" w:eastAsia="Times New Roman" w:hint="default"/>
        </w:rPr>
        <w:t>4</w:t>
      </w:r>
      <w:r>
        <w:rPr/>
        <w:t>次，对公司全年生产经营情况、内控制度体系建立情况、财务信息等进行了审核和监督，审议了 </w:t>
      </w:r>
      <w:r>
        <w:rPr>
          <w:spacing w:val="-1"/>
        </w:rPr>
        <w:t>定期报告、内部控制自我评价报告、会计政策变更等事项，并保持与年审会计师的沟通，切实履行了审计</w:t>
      </w:r>
      <w:r>
        <w:rPr>
          <w:spacing w:val="-82"/>
        </w:rPr>
        <w:t> </w:t>
      </w:r>
      <w:r>
        <w:rPr>
          <w:spacing w:val="-82"/>
        </w:rPr>
      </w:r>
      <w:r>
        <w:rPr/>
        <w:t>委员会工作职责；</w:t>
      </w:r>
      <w:r>
        <w:rPr>
          <w:spacing w:val="-21"/>
        </w:rPr>
        <w:t> </w:t>
      </w:r>
      <w:r>
        <w:rPr/>
        <w:t>选举第四届董事会审计委员会召集人。</w:t>
      </w:r>
    </w:p>
    <w:p>
      <w:pPr>
        <w:pStyle w:val="BodyText"/>
        <w:spacing w:line="386" w:lineRule="auto" w:before="54"/>
        <w:ind w:left="573"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战略委员会履职情况： </w:t>
      </w:r>
      <w:r>
        <w:rPr>
          <w:spacing w:val="-1"/>
        </w:rPr>
        <w:t>报告期内，董事会战略委员会严格按照《董事会战略委员会工作细则》的相关要求，共召开战略委员</w:t>
      </w:r>
    </w:p>
    <w:p>
      <w:pPr>
        <w:pStyle w:val="BodyText"/>
        <w:spacing w:line="386" w:lineRule="auto" w:before="65"/>
        <w:ind w:left="153" w:right="1196"/>
        <w:jc w:val="left"/>
      </w:pPr>
      <w:r>
        <w:rPr/>
        <w:t>会会议</w:t>
      </w:r>
      <w:r>
        <w:rPr>
          <w:rFonts w:ascii="Times New Roman" w:hAnsi="Times New Roman" w:cs="Times New Roman" w:eastAsia="Times New Roman" w:hint="default"/>
        </w:rPr>
        <w:t>2</w:t>
      </w:r>
      <w:r>
        <w:rPr/>
        <w:t>次，结合公司所处行业发展情况及公司自身发展状况，对公司长期发展战略和重大投资决策进行 审议并提出建议；</w:t>
      </w:r>
      <w:r>
        <w:rPr>
          <w:spacing w:val="-21"/>
        </w:rPr>
        <w:t> </w:t>
      </w:r>
      <w:r>
        <w:rPr/>
        <w:t>选举第四届董事会战略委员会召集人。</w:t>
      </w:r>
    </w:p>
    <w:p>
      <w:pPr>
        <w:pStyle w:val="BodyText"/>
        <w:spacing w:line="386" w:lineRule="auto" w:before="65"/>
        <w:ind w:left="573" w:right="0" w:firstLine="84"/>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薪酬与考核委员会履职情况： </w:t>
      </w:r>
      <w:r>
        <w:rPr>
          <w:spacing w:val="-1"/>
        </w:rPr>
        <w:t>报告期内，董事会薪酬与考核委员会严格按照《董事会薪酬与考核委员会工作细则》的相关要求，共</w:t>
      </w:r>
    </w:p>
    <w:p>
      <w:pPr>
        <w:pStyle w:val="BodyText"/>
        <w:spacing w:line="386" w:lineRule="auto" w:before="65"/>
        <w:ind w:left="153" w:right="1009"/>
        <w:jc w:val="left"/>
      </w:pPr>
      <w:r>
        <w:rPr/>
        <w:t>召开薪酬与考核委员会会议</w:t>
      </w:r>
      <w:r>
        <w:rPr>
          <w:rFonts w:ascii="Times New Roman" w:hAnsi="Times New Roman" w:cs="Times New Roman" w:eastAsia="Times New Roman" w:hint="default"/>
        </w:rPr>
        <w:t>4</w:t>
      </w:r>
      <w:r>
        <w:rPr/>
        <w:t>次，对公司</w:t>
      </w:r>
      <w:r>
        <w:rPr>
          <w:rFonts w:ascii="Times New Roman" w:hAnsi="Times New Roman" w:cs="Times New Roman" w:eastAsia="Times New Roman" w:hint="default"/>
        </w:rPr>
        <w:t>2017</w:t>
      </w:r>
      <w:r>
        <w:rPr/>
        <w:t>年度董监高的薪酬及第二期限制性股票激励计划等事项进行 了审议并提出建议，切实履行了薪酬与考核委员会的职能；</w:t>
      </w:r>
      <w:r>
        <w:rPr>
          <w:spacing w:val="-23"/>
        </w:rPr>
        <w:t> </w:t>
      </w:r>
      <w:r>
        <w:rPr/>
        <w:t>选举第四届董事会薪酬与考核委员会召集人。</w:t>
      </w:r>
    </w:p>
    <w:p>
      <w:pPr>
        <w:pStyle w:val="BodyText"/>
        <w:spacing w:line="240" w:lineRule="auto" w:before="65"/>
        <w:ind w:left="573" w:right="0"/>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提名委员会履职情况：</w:t>
      </w:r>
    </w:p>
    <w:p>
      <w:pPr>
        <w:spacing w:after="0" w:line="240"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r>
        <w:rPr/>
        <w:pict>
          <v:shape style="position:absolute;margin-left:277.619385pt;margin-top:690.900024pt;width:257.25pt;height:64.4pt;mso-position-horizontal-relative:page;mso-position-vertical-relative:page;z-index:-1298128" type="#_x0000_t202" filled="false" stroked="false">
            <v:textbox inset="0,0,0,0">
              <w:txbxContent>
                <w:p>
                  <w:pPr>
                    <w:spacing w:line="240" w:lineRule="auto" w:before="0"/>
                    <w:rPr>
                      <w:rFonts w:ascii="宋体" w:hAnsi="宋体" w:cs="宋体" w:eastAsia="宋体" w:hint="default"/>
                      <w:sz w:val="18"/>
                      <w:szCs w:val="18"/>
                    </w:rPr>
                  </w:pPr>
                </w:p>
                <w:p>
                  <w:pPr>
                    <w:spacing w:before="126"/>
                    <w:ind w:left="0" w:right="0" w:firstLine="0"/>
                    <w:jc w:val="left"/>
                    <w:rPr>
                      <w:rFonts w:ascii="宋体" w:hAnsi="宋体" w:cs="宋体" w:eastAsia="宋体" w:hint="default"/>
                      <w:sz w:val="18"/>
                      <w:szCs w:val="18"/>
                    </w:rPr>
                  </w:pPr>
                  <w:r>
                    <w:rPr>
                      <w:rFonts w:ascii="宋体" w:hAnsi="宋体" w:cs="宋体" w:eastAsia="宋体" w:hint="default"/>
                      <w:sz w:val="18"/>
                      <w:szCs w:val="18"/>
                    </w:rPr>
                    <w:t>监事和高级管理人员舞弊；</w:t>
                  </w:r>
                </w:p>
              </w:txbxContent>
            </v:textbox>
            <w10:wrap type="none"/>
          </v:shape>
        </w:pict>
      </w:r>
    </w:p>
    <w:p>
      <w:pPr>
        <w:pStyle w:val="BodyText"/>
        <w:spacing w:line="398" w:lineRule="auto" w:before="174"/>
        <w:ind w:right="0" w:firstLine="420"/>
        <w:jc w:val="left"/>
      </w:pPr>
      <w:r>
        <w:rPr>
          <w:spacing w:val="-1"/>
        </w:rPr>
        <w:t>报告期内，董事会提名委员会严格按照《董事会提名委员会工作细则》的相关要求召开专业委员会会</w:t>
      </w:r>
      <w:r>
        <w:rPr/>
        <w:t> 议</w:t>
      </w:r>
      <w:r>
        <w:rPr>
          <w:rFonts w:ascii="Times New Roman" w:hAnsi="Times New Roman" w:cs="Times New Roman" w:eastAsia="Times New Roman" w:hint="default"/>
        </w:rPr>
        <w:t>1</w:t>
      </w:r>
      <w:r>
        <w:rPr/>
        <w:t>次，对提名第四届董事会总经理及高级管理人员的任职资格进行了审查，切实履行了提名委员会的职 能；选举第四届董事会提名委员会召集人。</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七、监事会工作情况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6"/>
        <w:ind w:left="154" w:right="73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公司监事会对报告期内的监督事项无异议。</w:t>
      </w:r>
    </w:p>
    <w:p>
      <w:pPr>
        <w:spacing w:line="240" w:lineRule="auto" w:before="1"/>
        <w:rPr>
          <w:rFonts w:ascii="宋体" w:hAnsi="宋体" w:cs="宋体" w:eastAsia="宋体" w:hint="default"/>
          <w:sz w:val="19"/>
          <w:szCs w:val="19"/>
        </w:rPr>
      </w:pPr>
    </w:p>
    <w:p>
      <w:pPr>
        <w:pStyle w:val="Heading2"/>
        <w:spacing w:line="240" w:lineRule="auto"/>
        <w:ind w:right="0"/>
        <w:jc w:val="left"/>
        <w:rPr>
          <w:b w:val="0"/>
          <w:bCs w:val="0"/>
        </w:rPr>
      </w:pPr>
      <w:r>
        <w:rPr/>
        <w:t>八、高级管理人员的考评及激励情况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left="153" w:right="1016" w:firstLine="420"/>
        <w:jc w:val="left"/>
      </w:pPr>
      <w:r>
        <w:rPr>
          <w:spacing w:val="-3"/>
        </w:rPr>
        <w:t>公司按照《高级管理人员薪酬管理制度》建立了完善的高级管理人员绩效考评体系和激励约束制机制，</w:t>
      </w:r>
      <w:r>
        <w:rPr/>
        <w:t> 高级管理人员的工作绩效与其收入直接挂钩。高级管理人员的聘任公开、透明，符合法律、法规的规定。 公司董事会下设的薪酬和考核委员会负责对公司董事及高级管理人员进行绩效考核。高级管理人员的激励 情况详见“第八节</w:t>
      </w:r>
      <w:r>
        <w:rPr>
          <w:spacing w:val="-21"/>
        </w:rPr>
        <w:t> </w:t>
      </w:r>
      <w:r>
        <w:rPr/>
        <w:t>董事、监事、高级管理人员和员工情况”之“四、董事、监事、高级管理人员报酬情</w:t>
      </w:r>
      <w:r>
        <w:rPr/>
        <w:t> 况”相关内容。</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p>
      <w:pPr>
        <w:spacing w:before="44"/>
        <w:ind w:left="0" w:right="1162" w:firstLine="0"/>
        <w:jc w:val="right"/>
        <w:rPr>
          <w:rFonts w:ascii="宋体" w:hAnsi="宋体" w:cs="宋体" w:eastAsia="宋体" w:hint="default"/>
          <w:sz w:val="18"/>
          <w:szCs w:val="18"/>
        </w:rPr>
      </w:pPr>
      <w:r>
        <w:rPr/>
        <w:pict>
          <v:shape style="position:absolute;margin-left:56.459999pt;margin-top:-20.947985pt;width:479.8pt;height:217.2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88"/>
                    <w:gridCol w:w="3829"/>
                    <w:gridCol w:w="3050"/>
                  </w:tblGrid>
                  <w:tr>
                    <w:trPr>
                      <w:trHeight w:val="402" w:hRule="exact"/>
                    </w:trPr>
                    <w:tc>
                      <w:tcPr>
                        <w:tcW w:w="26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8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8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日在巨潮资讯网刊登的《</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年度内部控制自我评价报告</w:t>
                        </w:r>
                      </w:p>
                    </w:tc>
                  </w:tr>
                  <w:tr>
                    <w:trPr>
                      <w:trHeight w:val="714" w:hRule="exact"/>
                    </w:trPr>
                    <w:tc>
                      <w:tcPr>
                        <w:tcW w:w="26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 司合并财务报表资产总额的比例</w:t>
                        </w:r>
                      </w:p>
                    </w:tc>
                    <w:tc>
                      <w:tcPr>
                        <w:tcW w:w="6879" w:type="dxa"/>
                        <w:gridSpan w:val="2"/>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26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 司合并财务报表营业收入的比例</w:t>
                        </w:r>
                      </w:p>
                    </w:tc>
                    <w:tc>
                      <w:tcPr>
                        <w:tcW w:w="6879" w:type="dxa"/>
                        <w:gridSpan w:val="2"/>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26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52" w:hRule="exact"/>
                    </w:trPr>
                    <w:tc>
                      <w:tcPr>
                        <w:tcW w:w="2688" w:type="dxa"/>
                        <w:tcBorders>
                          <w:top w:val="single" w:sz="4" w:space="0" w:color="000000"/>
                          <w:left w:val="single" w:sz="4" w:space="0" w:color="000000"/>
                          <w:bottom w:val="nil" w:sz="6" w:space="0" w:color="auto"/>
                          <w:right w:val="single" w:sz="4" w:space="0" w:color="000000"/>
                        </w:tcBorders>
                        <w:shd w:val="clear" w:color="auto" w:fill="D3D3D3"/>
                      </w:tcPr>
                      <w:p>
                        <w:pPr/>
                      </w:p>
                    </w:tc>
                    <w:tc>
                      <w:tcPr>
                        <w:tcW w:w="3829" w:type="dxa"/>
                        <w:vMerge w:val="restart"/>
                        <w:tcBorders>
                          <w:top w:val="single" w:sz="4" w:space="0" w:color="000000"/>
                          <w:left w:val="single" w:sz="4" w:space="0" w:color="000000"/>
                          <w:right w:val="single" w:sz="9" w:space="0" w:color="FFFFFF"/>
                        </w:tcBorders>
                      </w:tcPr>
                      <w:p>
                        <w:pPr>
                          <w:pStyle w:val="TableParagraph"/>
                          <w:spacing w:line="316" w:lineRule="auto" w:before="51"/>
                          <w:ind w:left="28" w:right="15"/>
                          <w:jc w:val="left"/>
                          <w:rPr>
                            <w:rFonts w:ascii="宋体" w:hAnsi="宋体" w:cs="宋体" w:eastAsia="宋体" w:hint="default"/>
                            <w:sz w:val="18"/>
                            <w:szCs w:val="18"/>
                          </w:rPr>
                        </w:pPr>
                        <w:r>
                          <w:rPr>
                            <w:rFonts w:ascii="宋体" w:hAnsi="宋体" w:cs="宋体" w:eastAsia="宋体" w:hint="default"/>
                            <w:sz w:val="18"/>
                            <w:szCs w:val="18"/>
                          </w:rPr>
                          <w:t>①具有以下特征之一的缺陷，应认定为重大缺 </w:t>
                        </w:r>
                        <w:r>
                          <w:rPr>
                            <w:rFonts w:ascii="宋体" w:hAnsi="宋体" w:cs="宋体" w:eastAsia="宋体" w:hint="default"/>
                            <w:spacing w:val="-6"/>
                            <w:sz w:val="18"/>
                            <w:szCs w:val="18"/>
                          </w:rPr>
                          <w:t>陷：该缺陷涉及董事、</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控制环境无效；注册会计师发现当期财务报表存</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在重大错报，而内部控制在运行过程中未能发现</w:t>
                        </w:r>
                      </w:p>
                    </w:tc>
                    <w:tc>
                      <w:tcPr>
                        <w:tcW w:w="3050" w:type="dxa"/>
                        <w:vMerge w:val="restart"/>
                        <w:tcBorders>
                          <w:top w:val="single" w:sz="4" w:space="0" w:color="000000"/>
                          <w:left w:val="single" w:sz="9" w:space="0" w:color="FFFFFF"/>
                          <w:right w:val="single" w:sz="9" w:space="0" w:color="FFFFFF"/>
                        </w:tcBorders>
                      </w:tcPr>
                      <w:p>
                        <w:pPr>
                          <w:pStyle w:val="TableParagraph"/>
                          <w:spacing w:line="316" w:lineRule="auto" w:before="51"/>
                          <w:ind w:left="16" w:right="14"/>
                          <w:jc w:val="both"/>
                          <w:rPr>
                            <w:rFonts w:ascii="宋体" w:hAnsi="宋体" w:cs="宋体" w:eastAsia="宋体" w:hint="default"/>
                            <w:sz w:val="18"/>
                            <w:szCs w:val="18"/>
                          </w:rPr>
                        </w:pPr>
                        <w:r>
                          <w:rPr>
                            <w:rFonts w:ascii="宋体" w:hAnsi="宋体" w:cs="宋体" w:eastAsia="宋体" w:hint="default"/>
                            <w:spacing w:val="-4"/>
                            <w:sz w:val="18"/>
                            <w:szCs w:val="18"/>
                          </w:rPr>
                          <w:t>①重大缺陷：严重违犯国家法律、行政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法规和规范性文件；关键岗位管理人员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和技术人员流失严重；媒体负面报道频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现经查属实；涉及公司生产经营的重要</w:t>
                        </w:r>
                      </w:p>
                    </w:tc>
                  </w:tr>
                  <w:tr>
                    <w:trPr>
                      <w:trHeight w:val="392" w:hRule="exact"/>
                    </w:trPr>
                    <w:tc>
                      <w:tcPr>
                        <w:tcW w:w="268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829" w:type="dxa"/>
                        <w:vMerge/>
                        <w:tcBorders>
                          <w:left w:val="single" w:sz="4" w:space="0" w:color="000000"/>
                          <w:right w:val="single" w:sz="9" w:space="0" w:color="FFFFFF"/>
                        </w:tcBorders>
                      </w:tcPr>
                      <w:p>
                        <w:pPr/>
                      </w:p>
                    </w:tc>
                    <w:tc>
                      <w:tcPr>
                        <w:tcW w:w="3050" w:type="dxa"/>
                        <w:vMerge/>
                        <w:tcBorders>
                          <w:left w:val="single" w:sz="9" w:space="0" w:color="FFFFFF"/>
                          <w:right w:val="single" w:sz="9" w:space="0" w:color="FFFFFF"/>
                        </w:tcBorders>
                      </w:tcPr>
                      <w:p>
                        <w:pPr/>
                      </w:p>
                    </w:tc>
                  </w:tr>
                  <w:tr>
                    <w:trPr>
                      <w:trHeight w:val="454" w:hRule="exact"/>
                    </w:trPr>
                    <w:tc>
                      <w:tcPr>
                        <w:tcW w:w="2688" w:type="dxa"/>
                        <w:tcBorders>
                          <w:top w:val="nil" w:sz="6" w:space="0" w:color="auto"/>
                          <w:left w:val="single" w:sz="4" w:space="0" w:color="000000"/>
                          <w:bottom w:val="single" w:sz="4" w:space="0" w:color="000000"/>
                          <w:right w:val="single" w:sz="4" w:space="0" w:color="000000"/>
                        </w:tcBorders>
                        <w:shd w:val="clear" w:color="auto" w:fill="D3D3D3"/>
                      </w:tcPr>
                      <w:p>
                        <w:pPr/>
                      </w:p>
                    </w:tc>
                    <w:tc>
                      <w:tcPr>
                        <w:tcW w:w="3829" w:type="dxa"/>
                        <w:vMerge/>
                        <w:tcBorders>
                          <w:left w:val="single" w:sz="4" w:space="0" w:color="000000"/>
                          <w:bottom w:val="single" w:sz="4" w:space="0" w:color="000000"/>
                          <w:right w:val="single" w:sz="9" w:space="0" w:color="FFFFFF"/>
                        </w:tcBorders>
                      </w:tcPr>
                      <w:p>
                        <w:pPr/>
                      </w:p>
                    </w:tc>
                    <w:tc>
                      <w:tcPr>
                        <w:tcW w:w="3050" w:type="dxa"/>
                        <w:vMerge/>
                        <w:tcBorders>
                          <w:left w:val="single" w:sz="9" w:space="0" w:color="FFFFFF"/>
                          <w:bottom w:val="single" w:sz="4" w:space="0" w:color="000000"/>
                          <w:right w:val="single" w:sz="9" w:space="0" w:color="FFFFFF"/>
                        </w:tcBorders>
                      </w:tcPr>
                      <w:p>
                        <w:pP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before="44"/>
        <w:ind w:left="0" w:right="1163" w:firstLine="0"/>
        <w:jc w:val="right"/>
        <w:rPr>
          <w:rFonts w:ascii="宋体" w:hAnsi="宋体" w:cs="宋体" w:eastAsia="宋体" w:hint="default"/>
          <w:sz w:val="18"/>
          <w:szCs w:val="18"/>
        </w:rPr>
      </w:pPr>
      <w:r>
        <w:rPr/>
        <w:pict>
          <v:shape style="position:absolute;margin-left:56.459999pt;margin-top:-45.608025pt;width:479.1pt;height:571.5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94"/>
                    <w:gridCol w:w="3823"/>
                    <w:gridCol w:w="3050"/>
                  </w:tblGrid>
                  <w:tr>
                    <w:trPr>
                      <w:trHeight w:val="317" w:hRule="exact"/>
                    </w:trPr>
                    <w:tc>
                      <w:tcPr>
                        <w:tcW w:w="2694" w:type="dxa"/>
                        <w:vMerge w:val="restart"/>
                        <w:tcBorders>
                          <w:top w:val="single" w:sz="4" w:space="0" w:color="000000"/>
                          <w:left w:val="single" w:sz="4" w:space="0" w:color="000000"/>
                          <w:right w:val="single" w:sz="4" w:space="0" w:color="000000"/>
                        </w:tcBorders>
                        <w:shd w:val="clear" w:color="auto" w:fill="D3D3D3"/>
                      </w:tcPr>
                      <w:p>
                        <w:pPr/>
                      </w:p>
                    </w:tc>
                    <w:tc>
                      <w:tcPr>
                        <w:tcW w:w="38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该错报；公司审计委员会和内部审计机构对内部</w:t>
                        </w:r>
                      </w:p>
                    </w:tc>
                    <w:tc>
                      <w:tcPr>
                        <w:tcW w:w="30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业务缺乏制度控制或制度系统失效；信</w:t>
                        </w:r>
                      </w:p>
                    </w:tc>
                  </w:tr>
                  <w:tr>
                    <w:trPr>
                      <w:trHeight w:val="312" w:hRule="exact"/>
                    </w:trPr>
                    <w:tc>
                      <w:tcPr>
                        <w:tcW w:w="2694" w:type="dxa"/>
                        <w:vMerge/>
                        <w:tcBorders>
                          <w:left w:val="single" w:sz="4" w:space="0" w:color="000000"/>
                          <w:right w:val="single" w:sz="4" w:space="0" w:color="000000"/>
                        </w:tcBorders>
                        <w:shd w:val="clear" w:color="auto" w:fill="D3D3D3"/>
                      </w:tcPr>
                      <w:p>
                        <w:pPr/>
                      </w:p>
                    </w:tc>
                    <w:tc>
                      <w:tcPr>
                        <w:tcW w:w="38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控制的监督无效。 ②具有以下情况之一的，应</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息披露内部控制失效，导致公司被监管</w:t>
                        </w:r>
                      </w:p>
                    </w:tc>
                  </w:tr>
                  <w:tr>
                    <w:trPr>
                      <w:trHeight w:val="312" w:hRule="exact"/>
                    </w:trPr>
                    <w:tc>
                      <w:tcPr>
                        <w:tcW w:w="2694" w:type="dxa"/>
                        <w:vMerge/>
                        <w:tcBorders>
                          <w:left w:val="single" w:sz="4" w:space="0" w:color="000000"/>
                          <w:right w:val="single" w:sz="4" w:space="0" w:color="000000"/>
                        </w:tcBorders>
                        <w:shd w:val="clear" w:color="auto" w:fill="D3D3D3"/>
                      </w:tcPr>
                      <w:p>
                        <w:pPr/>
                      </w:p>
                    </w:tc>
                    <w:tc>
                      <w:tcPr>
                        <w:tcW w:w="38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认定为重要缺陷：沟通后的重要缺陷没有在合理</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部门公开谴责；内部控制评价的结果特</w:t>
                        </w:r>
                      </w:p>
                    </w:tc>
                  </w:tr>
                  <w:tr>
                    <w:trPr>
                      <w:trHeight w:val="312" w:hRule="exact"/>
                    </w:trPr>
                    <w:tc>
                      <w:tcPr>
                        <w:tcW w:w="2694" w:type="dxa"/>
                        <w:vMerge/>
                        <w:tcBorders>
                          <w:left w:val="single" w:sz="4" w:space="0" w:color="000000"/>
                          <w:right w:val="single" w:sz="4" w:space="0" w:color="000000"/>
                        </w:tcBorders>
                        <w:shd w:val="clear" w:color="auto" w:fill="D3D3D3"/>
                      </w:tcPr>
                      <w:p>
                        <w:pPr/>
                      </w:p>
                    </w:tc>
                    <w:tc>
                      <w:tcPr>
                        <w:tcW w:w="38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的期间得到纠正；更正已经公布的财务报表；公</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别是重大缺陷或重要缺陷未得到整改</w:t>
                        </w:r>
                      </w:p>
                    </w:tc>
                  </w:tr>
                  <w:tr>
                    <w:trPr>
                      <w:trHeight w:val="312" w:hRule="exact"/>
                    </w:trPr>
                    <w:tc>
                      <w:tcPr>
                        <w:tcW w:w="2694" w:type="dxa"/>
                        <w:vMerge/>
                        <w:tcBorders>
                          <w:left w:val="single" w:sz="4" w:space="0" w:color="000000"/>
                          <w:right w:val="single" w:sz="4" w:space="0" w:color="000000"/>
                        </w:tcBorders>
                        <w:shd w:val="clear" w:color="auto" w:fill="D3D3D3"/>
                      </w:tcPr>
                      <w:p>
                        <w:pPr/>
                      </w:p>
                    </w:tc>
                    <w:tc>
                      <w:tcPr>
                        <w:tcW w:w="38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司内部审计职能无效；对于是否根据一般公认会</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②重要缺陷：一个或多个缺陷组合，其</w:t>
                        </w:r>
                      </w:p>
                    </w:tc>
                  </w:tr>
                  <w:tr>
                    <w:trPr>
                      <w:trHeight w:val="312" w:hRule="exact"/>
                    </w:trPr>
                    <w:tc>
                      <w:tcPr>
                        <w:tcW w:w="2694" w:type="dxa"/>
                        <w:vMerge/>
                        <w:tcBorders>
                          <w:left w:val="single" w:sz="4" w:space="0" w:color="000000"/>
                          <w:right w:val="single" w:sz="4" w:space="0" w:color="000000"/>
                        </w:tcBorders>
                        <w:shd w:val="clear" w:color="auto" w:fill="D3D3D3"/>
                      </w:tcPr>
                      <w:p>
                        <w:pPr/>
                      </w:p>
                    </w:tc>
                    <w:tc>
                      <w:tcPr>
                        <w:tcW w:w="38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计原则对会计政策进行选择和应用的控制无效。</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严重程度和经济后果低于重大缺陷，但</w:t>
                        </w:r>
                      </w:p>
                    </w:tc>
                  </w:tr>
                  <w:tr>
                    <w:trPr>
                      <w:trHeight w:val="312" w:hRule="exact"/>
                    </w:trPr>
                    <w:tc>
                      <w:tcPr>
                        <w:tcW w:w="2694" w:type="dxa"/>
                        <w:vMerge/>
                        <w:tcBorders>
                          <w:left w:val="single" w:sz="4" w:space="0" w:color="000000"/>
                          <w:right w:val="single" w:sz="4" w:space="0" w:color="000000"/>
                        </w:tcBorders>
                        <w:shd w:val="clear" w:color="auto" w:fill="D3D3D3"/>
                      </w:tcPr>
                      <w:p>
                        <w:pPr/>
                      </w:p>
                    </w:tc>
                    <w:tc>
                      <w:tcPr>
                        <w:tcW w:w="38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③一般缺陷：除上述重大缺陷、重要缺陷外的其</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仍可能导致公司偏离控制目标的缺陷</w:t>
                        </w:r>
                      </w:p>
                    </w:tc>
                  </w:tr>
                  <w:tr>
                    <w:trPr>
                      <w:trHeight w:val="313" w:hRule="exact"/>
                    </w:trPr>
                    <w:tc>
                      <w:tcPr>
                        <w:tcW w:w="2694" w:type="dxa"/>
                        <w:vMerge/>
                        <w:tcBorders>
                          <w:left w:val="single" w:sz="4" w:space="0" w:color="000000"/>
                          <w:right w:val="single" w:sz="4" w:space="0" w:color="000000"/>
                        </w:tcBorders>
                        <w:shd w:val="clear" w:color="auto" w:fill="D3D3D3"/>
                      </w:tcPr>
                      <w:p>
                        <w:pPr/>
                      </w:p>
                    </w:tc>
                    <w:tc>
                      <w:tcPr>
                        <w:tcW w:w="382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他控制缺陷。</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③一般缺陷：不构成重大缺陷或重要缺</w:t>
                        </w:r>
                      </w:p>
                    </w:tc>
                  </w:tr>
                  <w:tr>
                    <w:trPr>
                      <w:trHeight w:val="356" w:hRule="exact"/>
                    </w:trPr>
                    <w:tc>
                      <w:tcPr>
                        <w:tcW w:w="2694" w:type="dxa"/>
                        <w:vMerge/>
                        <w:tcBorders>
                          <w:left w:val="single" w:sz="4" w:space="0" w:color="000000"/>
                          <w:bottom w:val="single" w:sz="4" w:space="0" w:color="000000"/>
                          <w:right w:val="single" w:sz="4" w:space="0" w:color="000000"/>
                        </w:tcBorders>
                        <w:shd w:val="clear" w:color="auto" w:fill="D3D3D3"/>
                      </w:tcPr>
                      <w:p>
                        <w:pPr/>
                      </w:p>
                    </w:tc>
                    <w:tc>
                      <w:tcPr>
                        <w:tcW w:w="3823" w:type="dxa"/>
                        <w:tcBorders>
                          <w:top w:val="nil" w:sz="6" w:space="0" w:color="auto"/>
                          <w:left w:val="single" w:sz="4" w:space="0" w:color="000000"/>
                          <w:bottom w:val="single" w:sz="4" w:space="0" w:color="000000"/>
                          <w:right w:val="single" w:sz="4" w:space="0" w:color="000000"/>
                        </w:tcBorders>
                      </w:tcPr>
                      <w:p>
                        <w:pPr/>
                      </w:p>
                    </w:tc>
                    <w:tc>
                      <w:tcPr>
                        <w:tcW w:w="30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陷的其他内部控制缺陷。</w:t>
                        </w:r>
                      </w:p>
                    </w:tc>
                  </w:tr>
                  <w:tr>
                    <w:trPr>
                      <w:trHeight w:val="362" w:hRule="exact"/>
                    </w:trPr>
                    <w:tc>
                      <w:tcPr>
                        <w:tcW w:w="2694" w:type="dxa"/>
                        <w:tcBorders>
                          <w:top w:val="single" w:sz="4" w:space="0" w:color="000000"/>
                          <w:left w:val="single" w:sz="4" w:space="0" w:color="000000"/>
                          <w:bottom w:val="nil" w:sz="6" w:space="0" w:color="auto"/>
                          <w:right w:val="single" w:sz="4" w:space="0" w:color="000000"/>
                        </w:tcBorders>
                        <w:shd w:val="clear" w:color="auto" w:fill="D3D3D3"/>
                      </w:tcPr>
                      <w:p>
                        <w:pPr/>
                      </w:p>
                    </w:tc>
                    <w:tc>
                      <w:tcPr>
                        <w:tcW w:w="38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、符合下列条件之一的，认定为重大缺陷：涉</w:t>
                        </w:r>
                      </w:p>
                    </w:tc>
                    <w:tc>
                      <w:tcPr>
                        <w:tcW w:w="305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694" w:type="dxa"/>
                        <w:tcBorders>
                          <w:top w:val="nil" w:sz="6" w:space="0" w:color="auto"/>
                          <w:left w:val="single" w:sz="4" w:space="0" w:color="000000"/>
                          <w:bottom w:val="nil" w:sz="6" w:space="0" w:color="auto"/>
                          <w:right w:val="single" w:sz="4" w:space="0" w:color="000000"/>
                        </w:tcBorders>
                        <w:shd w:val="clear" w:color="auto" w:fill="D3D3D3"/>
                      </w:tcPr>
                      <w:p>
                        <w:pPr/>
                      </w:p>
                    </w:tc>
                    <w:tc>
                      <w:tcPr>
                        <w:tcW w:w="38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及资产、负债的错报</w:t>
                        </w:r>
                        <w:r>
                          <w:rPr>
                            <w:rFonts w:ascii="宋体" w:hAnsi="宋体" w:cs="宋体" w:eastAsia="宋体" w:hint="default"/>
                            <w:spacing w:val="-24"/>
                            <w:sz w:val="18"/>
                            <w:szCs w:val="18"/>
                          </w:rPr>
                          <w:t> </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&gt;</w:t>
                        </w:r>
                        <w:r>
                          <w:rPr>
                            <w:rFonts w:ascii="宋体" w:hAnsi="宋体" w:cs="宋体" w:eastAsia="宋体" w:hint="default"/>
                            <w:sz w:val="18"/>
                            <w:szCs w:val="18"/>
                          </w:rPr>
                          <w:t>合并报表最近</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694" w:type="dxa"/>
                        <w:tcBorders>
                          <w:top w:val="nil" w:sz="6" w:space="0" w:color="auto"/>
                          <w:left w:val="single" w:sz="4" w:space="0" w:color="000000"/>
                          <w:bottom w:val="nil" w:sz="6" w:space="0" w:color="auto"/>
                          <w:right w:val="single" w:sz="4" w:space="0" w:color="000000"/>
                        </w:tcBorders>
                        <w:shd w:val="clear" w:color="auto" w:fill="D3D3D3"/>
                      </w:tcPr>
                      <w:p>
                        <w:pPr/>
                      </w:p>
                    </w:tc>
                    <w:tc>
                      <w:tcPr>
                        <w:tcW w:w="38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一个会计年度经审计资产总额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宋体" w:hAnsi="宋体" w:cs="宋体" w:eastAsia="宋体" w:hint="default"/>
                            <w:spacing w:val="-28"/>
                            <w:sz w:val="18"/>
                            <w:szCs w:val="18"/>
                          </w:rPr>
                          <w:t> </w:t>
                        </w:r>
                        <w:r>
                          <w:rPr>
                            <w:rFonts w:ascii="宋体" w:hAnsi="宋体" w:cs="宋体" w:eastAsia="宋体" w:hint="default"/>
                            <w:sz w:val="18"/>
                            <w:szCs w:val="18"/>
                          </w:rPr>
                          <w:t>涉及净资产</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694" w:type="dxa"/>
                        <w:tcBorders>
                          <w:top w:val="nil" w:sz="6" w:space="0" w:color="auto"/>
                          <w:left w:val="single" w:sz="4" w:space="0" w:color="000000"/>
                          <w:bottom w:val="nil" w:sz="6" w:space="0" w:color="auto"/>
                          <w:right w:val="single" w:sz="4" w:space="0" w:color="000000"/>
                        </w:tcBorders>
                        <w:shd w:val="clear" w:color="auto" w:fill="D3D3D3"/>
                      </w:tcPr>
                      <w:p>
                        <w:pPr/>
                      </w:p>
                    </w:tc>
                    <w:tc>
                      <w:tcPr>
                        <w:tcW w:w="38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的错报，错报金额</w:t>
                        </w:r>
                        <w:r>
                          <w:rPr>
                            <w:rFonts w:ascii="Times New Roman" w:hAnsi="Times New Roman" w:cs="Times New Roman" w:eastAsia="Times New Roman" w:hint="default"/>
                            <w:sz w:val="18"/>
                            <w:szCs w:val="18"/>
                          </w:rPr>
                          <w:t>&gt;</w:t>
                        </w:r>
                        <w:r>
                          <w:rPr>
                            <w:rFonts w:ascii="宋体" w:hAnsi="宋体" w:cs="宋体" w:eastAsia="宋体" w:hint="default"/>
                            <w:sz w:val="18"/>
                            <w:szCs w:val="18"/>
                          </w:rPr>
                          <w:t>合并报表最近一个会计年度</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694" w:type="dxa"/>
                        <w:tcBorders>
                          <w:top w:val="nil" w:sz="6" w:space="0" w:color="auto"/>
                          <w:left w:val="single" w:sz="4" w:space="0" w:color="000000"/>
                          <w:bottom w:val="nil" w:sz="6" w:space="0" w:color="auto"/>
                          <w:right w:val="single" w:sz="4" w:space="0" w:color="000000"/>
                        </w:tcBorders>
                        <w:shd w:val="clear" w:color="auto" w:fill="D3D3D3"/>
                      </w:tcPr>
                      <w:p>
                        <w:pPr/>
                      </w:p>
                    </w:tc>
                    <w:tc>
                      <w:tcPr>
                        <w:tcW w:w="38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经审计净资产总额 </w:t>
                        </w:r>
                        <w:r>
                          <w:rPr>
                            <w:rFonts w:ascii="Times New Roman" w:hAnsi="Times New Roman" w:cs="Times New Roman" w:eastAsia="Times New Roman" w:hint="default"/>
                            <w:sz w:val="18"/>
                            <w:szCs w:val="18"/>
                          </w:rPr>
                          <w:t>5%  </w:t>
                        </w:r>
                        <w:r>
                          <w:rPr>
                            <w:rFonts w:ascii="宋体" w:hAnsi="宋体" w:cs="宋体" w:eastAsia="宋体" w:hint="default"/>
                            <w:sz w:val="18"/>
                            <w:szCs w:val="18"/>
                          </w:rPr>
                          <w:t>；涉及损益的错报</w:t>
                        </w:r>
                        <w:r>
                          <w:rPr>
                            <w:rFonts w:ascii="宋体" w:hAnsi="宋体" w:cs="宋体" w:eastAsia="宋体" w:hint="default"/>
                            <w:spacing w:val="-46"/>
                            <w:sz w:val="18"/>
                            <w:szCs w:val="18"/>
                          </w:rPr>
                          <w:t> </w:t>
                        </w:r>
                        <w:r>
                          <w:rPr>
                            <w:rFonts w:ascii="宋体" w:hAnsi="宋体" w:cs="宋体" w:eastAsia="宋体" w:hint="default"/>
                            <w:sz w:val="18"/>
                            <w:szCs w:val="18"/>
                          </w:rPr>
                          <w:t>，错</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694" w:type="dxa"/>
                        <w:tcBorders>
                          <w:top w:val="nil" w:sz="6" w:space="0" w:color="auto"/>
                          <w:left w:val="single" w:sz="4" w:space="0" w:color="000000"/>
                          <w:bottom w:val="nil" w:sz="6" w:space="0" w:color="auto"/>
                          <w:right w:val="single" w:sz="4" w:space="0" w:color="000000"/>
                        </w:tcBorders>
                        <w:shd w:val="clear" w:color="auto" w:fill="D3D3D3"/>
                      </w:tcPr>
                      <w:p>
                        <w:pPr/>
                      </w:p>
                    </w:tc>
                    <w:tc>
                      <w:tcPr>
                        <w:tcW w:w="38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报金额</w:t>
                        </w:r>
                        <w:r>
                          <w:rPr>
                            <w:rFonts w:ascii="Times New Roman" w:hAnsi="Times New Roman" w:cs="Times New Roman" w:eastAsia="Times New Roman" w:hint="default"/>
                            <w:sz w:val="18"/>
                            <w:szCs w:val="18"/>
                          </w:rPr>
                          <w:t>&gt;</w:t>
                        </w:r>
                        <w:r>
                          <w:rPr>
                            <w:rFonts w:ascii="宋体" w:hAnsi="宋体" w:cs="宋体" w:eastAsia="宋体" w:hint="default"/>
                            <w:sz w:val="18"/>
                            <w:szCs w:val="18"/>
                          </w:rPr>
                          <w:t>合并报表最近一个会计年度经审计收入</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694" w:type="dxa"/>
                        <w:tcBorders>
                          <w:top w:val="nil" w:sz="6" w:space="0" w:color="auto"/>
                          <w:left w:val="single" w:sz="4" w:space="0" w:color="000000"/>
                          <w:bottom w:val="nil" w:sz="6" w:space="0" w:color="auto"/>
                          <w:right w:val="single" w:sz="4" w:space="0" w:color="000000"/>
                        </w:tcBorders>
                        <w:shd w:val="clear" w:color="auto" w:fill="D3D3D3"/>
                      </w:tcPr>
                      <w:p>
                        <w:pPr/>
                      </w:p>
                    </w:tc>
                    <w:tc>
                      <w:tcPr>
                        <w:tcW w:w="38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总额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、符合下列条件之一的，认定为重</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694" w:type="dxa"/>
                        <w:tcBorders>
                          <w:top w:val="nil" w:sz="6" w:space="0" w:color="auto"/>
                          <w:left w:val="single" w:sz="4" w:space="0" w:color="000000"/>
                          <w:bottom w:val="nil" w:sz="6" w:space="0" w:color="auto"/>
                          <w:right w:val="single" w:sz="4" w:space="0" w:color="000000"/>
                        </w:tcBorders>
                        <w:shd w:val="clear" w:color="auto" w:fill="D3D3D3"/>
                      </w:tcPr>
                      <w:p>
                        <w:pPr/>
                      </w:p>
                    </w:tc>
                    <w:tc>
                      <w:tcPr>
                        <w:tcW w:w="38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要缺陷：涉及资产、负债的错报 ，合并报表最</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、重大缺陷：缺陷导致的直接损失金</w:t>
                        </w:r>
                      </w:p>
                    </w:tc>
                  </w:tr>
                  <w:tr>
                    <w:trPr>
                      <w:trHeight w:val="311" w:hRule="exact"/>
                    </w:trPr>
                    <w:tc>
                      <w:tcPr>
                        <w:tcW w:w="2694" w:type="dxa"/>
                        <w:tcBorders>
                          <w:top w:val="nil" w:sz="6" w:space="0" w:color="auto"/>
                          <w:left w:val="single" w:sz="4" w:space="0" w:color="000000"/>
                          <w:bottom w:val="nil" w:sz="6" w:space="0" w:color="auto"/>
                          <w:right w:val="single" w:sz="4" w:space="0" w:color="000000"/>
                        </w:tcBorders>
                        <w:shd w:val="clear" w:color="auto" w:fill="D3D3D3"/>
                      </w:tcPr>
                      <w:p>
                        <w:pPr/>
                      </w:p>
                    </w:tc>
                    <w:tc>
                      <w:tcPr>
                        <w:tcW w:w="38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近一个会计年度经审计资产总额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3%&lt;</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&gt;</w:t>
                        </w:r>
                        <w:r>
                          <w:rPr>
                            <w:rFonts w:ascii="宋体" w:hAnsi="宋体" w:cs="宋体" w:eastAsia="宋体" w:hint="default"/>
                            <w:sz w:val="18"/>
                            <w:szCs w:val="18"/>
                          </w:rPr>
                          <w:t>合并报表最近一期经审计净资产的</w:t>
                        </w:r>
                      </w:p>
                    </w:tc>
                  </w:tr>
                  <w:tr>
                    <w:trPr>
                      <w:trHeight w:val="312" w:hRule="exact"/>
                    </w:trPr>
                    <w:tc>
                      <w:tcPr>
                        <w:tcW w:w="2694" w:type="dxa"/>
                        <w:tcBorders>
                          <w:top w:val="nil" w:sz="6" w:space="0" w:color="auto"/>
                          <w:left w:val="single" w:sz="4" w:space="0" w:color="000000"/>
                          <w:bottom w:val="nil" w:sz="6" w:space="0" w:color="auto"/>
                          <w:right w:val="single" w:sz="4" w:space="0" w:color="000000"/>
                        </w:tcBorders>
                        <w:shd w:val="clear" w:color="auto" w:fill="D3D3D3"/>
                      </w:tcPr>
                      <w:p>
                        <w:pPr/>
                      </w:p>
                    </w:tc>
                    <w:tc>
                      <w:tcPr>
                        <w:tcW w:w="38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合并报表最近一个会计年度经审计资产总额</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、重要缺陷：合并报表最近一</w:t>
                        </w:r>
                      </w:p>
                    </w:tc>
                  </w:tr>
                  <w:tr>
                    <w:trPr>
                      <w:trHeight w:val="624" w:hRule="exact"/>
                    </w:trPr>
                    <w:tc>
                      <w:tcPr>
                        <w:tcW w:w="26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823"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2"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；涉及净资产的错报，合并报表最近一个会 计年度经审计净资产总额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3%&lt;</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2" w:right="37"/>
                          <w:jc w:val="left"/>
                          <w:rPr>
                            <w:rFonts w:ascii="宋体" w:hAnsi="宋体" w:cs="宋体" w:eastAsia="宋体" w:hint="default"/>
                            <w:sz w:val="18"/>
                            <w:szCs w:val="18"/>
                          </w:rPr>
                        </w:pPr>
                        <w:r>
                          <w:rPr>
                            <w:rFonts w:ascii="宋体" w:hAnsi="宋体" w:cs="宋体" w:eastAsia="宋体" w:hint="default"/>
                            <w:sz w:val="18"/>
                            <w:szCs w:val="18"/>
                          </w:rPr>
                          <w:t>期经审计净资产的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5%&lt;</w:t>
                        </w:r>
                        <w:r>
                          <w:rPr>
                            <w:rFonts w:ascii="宋体" w:hAnsi="宋体" w:cs="宋体" w:eastAsia="宋体" w:hint="default"/>
                            <w:sz w:val="18"/>
                            <w:szCs w:val="18"/>
                          </w:rPr>
                          <w:t>缺陷导致的直 接损失金额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合并报表最近一期经审计</w:t>
                        </w:r>
                      </w:p>
                    </w:tc>
                  </w:tr>
                  <w:tr>
                    <w:trPr>
                      <w:trHeight w:val="312" w:hRule="exact"/>
                    </w:trPr>
                    <w:tc>
                      <w:tcPr>
                        <w:tcW w:w="2694" w:type="dxa"/>
                        <w:tcBorders>
                          <w:top w:val="nil" w:sz="6" w:space="0" w:color="auto"/>
                          <w:left w:val="single" w:sz="4" w:space="0" w:color="000000"/>
                          <w:bottom w:val="nil" w:sz="6" w:space="0" w:color="auto"/>
                          <w:right w:val="single" w:sz="4" w:space="0" w:color="000000"/>
                        </w:tcBorders>
                        <w:shd w:val="clear" w:color="auto" w:fill="D3D3D3"/>
                      </w:tcPr>
                      <w:p>
                        <w:pPr/>
                      </w:p>
                    </w:tc>
                    <w:tc>
                      <w:tcPr>
                        <w:tcW w:w="38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表最近一个会计年度经审计净资产总额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28"/>
                            <w:sz w:val="18"/>
                            <w:szCs w:val="18"/>
                          </w:rPr>
                          <w:t>；涉</w:t>
                        </w:r>
                        <w:r>
                          <w:rPr>
                            <w:rFonts w:ascii="宋体" w:hAnsi="宋体" w:cs="宋体" w:eastAsia="宋体" w:hint="default"/>
                            <w:sz w:val="18"/>
                            <w:szCs w:val="18"/>
                          </w:rPr>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净资产的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、一般缺陷：缺陷导</w:t>
                        </w:r>
                      </w:p>
                    </w:tc>
                  </w:tr>
                  <w:tr>
                    <w:trPr>
                      <w:trHeight w:val="312" w:hRule="exact"/>
                    </w:trPr>
                    <w:tc>
                      <w:tcPr>
                        <w:tcW w:w="2694" w:type="dxa"/>
                        <w:tcBorders>
                          <w:top w:val="nil" w:sz="6" w:space="0" w:color="auto"/>
                          <w:left w:val="single" w:sz="4" w:space="0" w:color="000000"/>
                          <w:bottom w:val="nil" w:sz="6" w:space="0" w:color="auto"/>
                          <w:right w:val="single" w:sz="4" w:space="0" w:color="000000"/>
                        </w:tcBorders>
                        <w:shd w:val="clear" w:color="auto" w:fill="D3D3D3"/>
                      </w:tcPr>
                      <w:p>
                        <w:pPr/>
                      </w:p>
                    </w:tc>
                    <w:tc>
                      <w:tcPr>
                        <w:tcW w:w="38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及损益的错报 ，合并报表最近一个会计年度经</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致的直接损失金额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合并报表最近一期</w:t>
                        </w:r>
                      </w:p>
                    </w:tc>
                  </w:tr>
                  <w:tr>
                    <w:trPr>
                      <w:trHeight w:val="313" w:hRule="exact"/>
                    </w:trPr>
                    <w:tc>
                      <w:tcPr>
                        <w:tcW w:w="2694" w:type="dxa"/>
                        <w:tcBorders>
                          <w:top w:val="nil" w:sz="6" w:space="0" w:color="auto"/>
                          <w:left w:val="single" w:sz="4" w:space="0" w:color="000000"/>
                          <w:bottom w:val="nil" w:sz="6" w:space="0" w:color="auto"/>
                          <w:right w:val="single" w:sz="4" w:space="0" w:color="000000"/>
                        </w:tcBorders>
                        <w:shd w:val="clear" w:color="auto" w:fill="D3D3D3"/>
                      </w:tcPr>
                      <w:p>
                        <w:pPr/>
                      </w:p>
                    </w:tc>
                    <w:tc>
                      <w:tcPr>
                        <w:tcW w:w="38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审计收入总额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3%&lt;</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合并报表最近一个</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经审计净资产的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r>
                  <w:tr>
                    <w:trPr>
                      <w:trHeight w:val="311" w:hRule="exact"/>
                    </w:trPr>
                    <w:tc>
                      <w:tcPr>
                        <w:tcW w:w="2694" w:type="dxa"/>
                        <w:tcBorders>
                          <w:top w:val="nil" w:sz="6" w:space="0" w:color="auto"/>
                          <w:left w:val="single" w:sz="4" w:space="0" w:color="000000"/>
                          <w:bottom w:val="nil" w:sz="6" w:space="0" w:color="auto"/>
                          <w:right w:val="single" w:sz="4" w:space="0" w:color="000000"/>
                        </w:tcBorders>
                        <w:shd w:val="clear" w:color="auto" w:fill="D3D3D3"/>
                      </w:tcPr>
                      <w:p>
                        <w:pPr/>
                      </w:p>
                    </w:tc>
                    <w:tc>
                      <w:tcPr>
                        <w:tcW w:w="38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会计年度经审计收入总额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、符合下列条</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694" w:type="dxa"/>
                        <w:tcBorders>
                          <w:top w:val="nil" w:sz="6" w:space="0" w:color="auto"/>
                          <w:left w:val="single" w:sz="4" w:space="0" w:color="000000"/>
                          <w:bottom w:val="nil" w:sz="6" w:space="0" w:color="auto"/>
                          <w:right w:val="single" w:sz="4" w:space="0" w:color="000000"/>
                        </w:tcBorders>
                        <w:shd w:val="clear" w:color="auto" w:fill="D3D3D3"/>
                      </w:tcPr>
                      <w:p>
                        <w:pPr/>
                      </w:p>
                    </w:tc>
                    <w:tc>
                      <w:tcPr>
                        <w:tcW w:w="38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件之一的，认定为一般缺陷：涉及资产、负债的</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694" w:type="dxa"/>
                        <w:tcBorders>
                          <w:top w:val="nil" w:sz="6" w:space="0" w:color="auto"/>
                          <w:left w:val="single" w:sz="4" w:space="0" w:color="000000"/>
                          <w:bottom w:val="nil" w:sz="6" w:space="0" w:color="auto"/>
                          <w:right w:val="single" w:sz="4" w:space="0" w:color="000000"/>
                        </w:tcBorders>
                        <w:shd w:val="clear" w:color="auto" w:fill="D3D3D3"/>
                      </w:tcPr>
                      <w:p>
                        <w:pPr/>
                      </w:p>
                    </w:tc>
                    <w:tc>
                      <w:tcPr>
                        <w:tcW w:w="38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错报</w:t>
                        </w:r>
                        <w:r>
                          <w:rPr>
                            <w:rFonts w:ascii="宋体" w:hAnsi="宋体" w:cs="宋体" w:eastAsia="宋体" w:hint="default"/>
                            <w:spacing w:val="-23"/>
                            <w:sz w:val="18"/>
                            <w:szCs w:val="18"/>
                          </w:rPr>
                          <w:t> </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合并报表最近一个会计年度经</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694" w:type="dxa"/>
                        <w:tcBorders>
                          <w:top w:val="nil" w:sz="6" w:space="0" w:color="auto"/>
                          <w:left w:val="single" w:sz="4" w:space="0" w:color="000000"/>
                          <w:bottom w:val="nil" w:sz="6" w:space="0" w:color="auto"/>
                          <w:right w:val="single" w:sz="4" w:space="0" w:color="000000"/>
                        </w:tcBorders>
                        <w:shd w:val="clear" w:color="auto" w:fill="D3D3D3"/>
                      </w:tcPr>
                      <w:p>
                        <w:pPr/>
                      </w:p>
                    </w:tc>
                    <w:tc>
                      <w:tcPr>
                        <w:tcW w:w="38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审计资产总额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；涉及净资产的错报，错报金</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694" w:type="dxa"/>
                        <w:tcBorders>
                          <w:top w:val="nil" w:sz="6" w:space="0" w:color="auto"/>
                          <w:left w:val="single" w:sz="4" w:space="0" w:color="000000"/>
                          <w:bottom w:val="nil" w:sz="6" w:space="0" w:color="auto"/>
                          <w:right w:val="single" w:sz="4" w:space="0" w:color="000000"/>
                        </w:tcBorders>
                        <w:shd w:val="clear" w:color="auto" w:fill="D3D3D3"/>
                      </w:tcPr>
                      <w:p>
                        <w:pPr/>
                      </w:p>
                    </w:tc>
                    <w:tc>
                      <w:tcPr>
                        <w:tcW w:w="38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合并报表最近一个会计年度经审计净资产总</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694" w:type="dxa"/>
                        <w:tcBorders>
                          <w:top w:val="nil" w:sz="6" w:space="0" w:color="auto"/>
                          <w:left w:val="single" w:sz="4" w:space="0" w:color="000000"/>
                          <w:bottom w:val="nil" w:sz="6" w:space="0" w:color="auto"/>
                          <w:right w:val="single" w:sz="4" w:space="0" w:color="000000"/>
                        </w:tcBorders>
                        <w:shd w:val="clear" w:color="auto" w:fill="D3D3D3"/>
                      </w:tcPr>
                      <w:p>
                        <w:pPr/>
                      </w:p>
                    </w:tc>
                    <w:tc>
                      <w:tcPr>
                        <w:tcW w:w="38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额 </w:t>
                        </w:r>
                        <w:r>
                          <w:rPr>
                            <w:rFonts w:ascii="Times New Roman" w:hAnsi="Times New Roman" w:cs="Times New Roman" w:eastAsia="Times New Roman" w:hint="default"/>
                            <w:sz w:val="18"/>
                            <w:szCs w:val="18"/>
                          </w:rPr>
                          <w:t>3%  </w:t>
                        </w:r>
                        <w:r>
                          <w:rPr>
                            <w:rFonts w:ascii="宋体" w:hAnsi="宋体" w:cs="宋体" w:eastAsia="宋体" w:hint="default"/>
                            <w:spacing w:val="-3"/>
                            <w:sz w:val="18"/>
                            <w:szCs w:val="18"/>
                          </w:rPr>
                          <w:t>；涉及损益的错报</w:t>
                        </w:r>
                        <w:r>
                          <w:rPr>
                            <w:rFonts w:ascii="宋体" w:hAnsi="宋体" w:cs="宋体" w:eastAsia="宋体" w:hint="default"/>
                            <w:spacing w:val="-59"/>
                            <w:sz w:val="18"/>
                            <w:szCs w:val="18"/>
                          </w:rPr>
                          <w:t> </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2694" w:type="dxa"/>
                        <w:tcBorders>
                          <w:top w:val="nil" w:sz="6" w:space="0" w:color="auto"/>
                          <w:left w:val="single" w:sz="4" w:space="0" w:color="000000"/>
                          <w:bottom w:val="single" w:sz="4" w:space="0" w:color="000000"/>
                          <w:right w:val="single" w:sz="4" w:space="0" w:color="000000"/>
                        </w:tcBorders>
                        <w:shd w:val="clear" w:color="auto" w:fill="D3D3D3"/>
                      </w:tcPr>
                      <w:p>
                        <w:pPr/>
                      </w:p>
                    </w:tc>
                    <w:tc>
                      <w:tcPr>
                        <w:tcW w:w="38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最近一个会计年度经审计收入总额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w:t>
                        </w:r>
                      </w:p>
                    </w:tc>
                    <w:tc>
                      <w:tcPr>
                        <w:tcW w:w="3050"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8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8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8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8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spacing w:before="0"/>
        <w:ind w:left="0" w:right="116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Heading2"/>
        <w:spacing w:line="240" w:lineRule="auto" w:before="26"/>
        <w:ind w:right="0"/>
        <w:jc w:val="left"/>
        <w:rPr>
          <w:b w:val="0"/>
          <w:bCs w:val="0"/>
        </w:rPr>
      </w:pPr>
      <w:r>
        <w:rPr/>
        <w:t>十、内部控制审计报告或鉴证报告</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126" w:right="0"/>
        <w:jc w:val="left"/>
        <w:rPr>
          <w:b w:val="0"/>
          <w:bCs w:val="0"/>
        </w:rPr>
      </w:pPr>
      <w:bookmarkStart w:name="_TOC_250002" w:id="10"/>
      <w:r>
        <w:rPr/>
        <w:t>第十节</w:t>
      </w:r>
      <w:r>
        <w:rPr>
          <w:spacing w:val="-9"/>
        </w:rPr>
        <w:t> </w:t>
      </w:r>
      <w:r>
        <w:rPr/>
        <w:t>公司债券相关情况</w:t>
      </w:r>
      <w:bookmarkEnd w:id="10"/>
      <w:r>
        <w:rPr>
          <w:b w:val="0"/>
          <w:bCs w:val="0"/>
        </w:rPr>
      </w:r>
    </w:p>
    <w:p>
      <w:pPr>
        <w:spacing w:line="240" w:lineRule="auto" w:before="8"/>
        <w:rPr>
          <w:rFonts w:ascii="宋体" w:hAnsi="宋体" w:cs="宋体" w:eastAsia="宋体" w:hint="default"/>
          <w:b/>
          <w:bCs/>
          <w:sz w:val="42"/>
          <w:szCs w:val="42"/>
        </w:rPr>
      </w:pPr>
    </w:p>
    <w:p>
      <w:pPr>
        <w:spacing w:line="357" w:lineRule="auto" w:before="0"/>
        <w:ind w:left="153" w:right="2111"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0"/>
        <w:jc w:val="left"/>
        <w:rPr>
          <w:b w:val="0"/>
          <w:bCs w:val="0"/>
        </w:rPr>
      </w:pPr>
      <w:bookmarkStart w:name="_TOC_250001" w:id="11"/>
      <w:r>
        <w:rPr/>
        <w:t>第十一节</w:t>
      </w:r>
      <w:r>
        <w:rPr>
          <w:spacing w:val="-7"/>
        </w:rPr>
        <w:t> </w:t>
      </w:r>
      <w:r>
        <w:rPr/>
        <w:t>财务报告</w:t>
      </w:r>
      <w:bookmarkEnd w:id="11"/>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Heading2"/>
        <w:spacing w:line="240" w:lineRule="auto" w:before="26"/>
        <w:ind w:right="0"/>
        <w:jc w:val="left"/>
        <w:rPr>
          <w:b w:val="0"/>
          <w:bCs w:val="0"/>
        </w:rPr>
      </w:pP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致同审字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350ZA0160 </w:t>
            </w:r>
            <w:r>
              <w:rPr>
                <w:rFonts w:ascii="宋体" w:hAnsi="宋体" w:cs="宋体" w:eastAsia="宋体" w:hint="default"/>
                <w:sz w:val="18"/>
                <w:szCs w:val="18"/>
              </w:rPr>
              <w:t>号</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周俊超、余道前</w:t>
            </w:r>
          </w:p>
        </w:tc>
      </w:tr>
    </w:tbl>
    <w:p>
      <w:pPr>
        <w:spacing w:before="51"/>
        <w:ind w:left="2243" w:right="3220"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before="157"/>
        <w:ind w:left="2243" w:right="3220" w:firstLine="0"/>
        <w:jc w:val="center"/>
        <w:rPr>
          <w:rFonts w:ascii="宋体" w:hAnsi="宋体" w:cs="宋体" w:eastAsia="宋体" w:hint="default"/>
          <w:sz w:val="32"/>
          <w:szCs w:val="32"/>
        </w:rPr>
      </w:pPr>
      <w:r>
        <w:rPr>
          <w:rFonts w:ascii="宋体" w:hAnsi="宋体" w:cs="宋体" w:eastAsia="宋体" w:hint="default"/>
          <w:b/>
          <w:bCs/>
          <w:sz w:val="32"/>
          <w:szCs w:val="32"/>
        </w:rPr>
        <w:t>审计报告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BodyText"/>
        <w:spacing w:line="240" w:lineRule="auto" w:before="35"/>
        <w:ind w:left="6956" w:right="0"/>
        <w:jc w:val="left"/>
      </w:pPr>
      <w:r>
        <w:rPr/>
        <w:t>致同审字</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350ZA0160</w:t>
      </w:r>
      <w:r>
        <w:rPr/>
        <w:t>号</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Heading3"/>
        <w:spacing w:line="376" w:lineRule="auto" w:before="35"/>
        <w:ind w:left="636" w:right="6535" w:hanging="483"/>
        <w:jc w:val="left"/>
        <w:rPr>
          <w:b w:val="0"/>
          <w:bCs w:val="0"/>
        </w:rPr>
      </w:pPr>
      <w:r>
        <w:rPr/>
        <w:t>厦门市美亚柏科信息股份有限公司全体股东：</w:t>
      </w:r>
      <w:r>
        <w:rPr>
          <w:w w:val="99"/>
        </w:rPr>
        <w:t> </w:t>
      </w:r>
      <w:r>
        <w:rPr/>
        <w:t>一、审计意见</w:t>
      </w:r>
      <w:r>
        <w:rPr>
          <w:b w:val="0"/>
          <w:bCs w:val="0"/>
        </w:rPr>
      </w:r>
    </w:p>
    <w:p>
      <w:pPr>
        <w:pStyle w:val="BodyText"/>
        <w:spacing w:line="256" w:lineRule="auto" w:before="37"/>
        <w:ind w:right="1128" w:firstLine="480"/>
        <w:jc w:val="both"/>
      </w:pPr>
      <w:r>
        <w:rPr>
          <w:spacing w:val="2"/>
        </w:rPr>
        <w:t>我们审计了厦门市美亚柏科信息股份有限公司（以下简称美亚柏科公司）财务报表，包括</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rFonts w:ascii="Times New Roman" w:hAnsi="Times New Roman" w:cs="Times New Roman" w:eastAsia="Times New Roman" w:hint="default"/>
        </w:rPr>
        <w:t> </w:t>
      </w:r>
      <w:r>
        <w:rPr>
          <w:spacing w:val="-1"/>
        </w:rPr>
        <w:t>月</w:t>
      </w:r>
      <w:r>
        <w:rPr>
          <w:rFonts w:ascii="Times New Roman" w:hAnsi="Times New Roman" w:cs="Times New Roman" w:eastAsia="Times New Roman" w:hint="default"/>
          <w:spacing w:val="-1"/>
        </w:rPr>
        <w:t>31</w:t>
      </w:r>
      <w:r>
        <w:rPr>
          <w:spacing w:val="-1"/>
        </w:rPr>
        <w:t>日的合并及公司资产负债表，</w:t>
      </w:r>
      <w:r>
        <w:rPr>
          <w:rFonts w:ascii="Times New Roman" w:hAnsi="Times New Roman" w:cs="Times New Roman" w:eastAsia="Times New Roman" w:hint="default"/>
          <w:spacing w:val="-1"/>
        </w:rPr>
        <w:t>2018</w:t>
      </w:r>
      <w:r>
        <w:rPr>
          <w:spacing w:val="-1"/>
        </w:rPr>
        <w:t>年度的合并及公司利润表、合并及公司现金流量表、合并及公司股</w:t>
      </w:r>
      <w:r>
        <w:rPr>
          <w:spacing w:val="-86"/>
        </w:rPr>
        <w:t> </w:t>
      </w:r>
      <w:r>
        <w:rPr>
          <w:spacing w:val="-86"/>
        </w:rPr>
      </w:r>
      <w:r>
        <w:rPr/>
        <w:t>东权益变动表以及相关财务报表附注。</w:t>
      </w:r>
    </w:p>
    <w:p>
      <w:pPr>
        <w:pStyle w:val="BodyText"/>
        <w:spacing w:line="240" w:lineRule="auto" w:before="142"/>
        <w:ind w:left="634" w:right="0"/>
        <w:jc w:val="left"/>
      </w:pPr>
      <w:r>
        <w:rPr/>
        <w:t>我们认为，后附的财务报表在所有重大方面按照企业会计准则的规定编制，公允反映了美亚柏科公司</w:t>
      </w:r>
    </w:p>
    <w:p>
      <w:pPr>
        <w:pStyle w:val="BodyText"/>
        <w:spacing w:line="240" w:lineRule="auto" w:before="37"/>
        <w:ind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日的合并及公司财务状况以及</w:t>
      </w:r>
      <w:r>
        <w:rPr>
          <w:rFonts w:ascii="Times New Roman" w:hAnsi="Times New Roman" w:cs="Times New Roman" w:eastAsia="Times New Roman" w:hint="default"/>
        </w:rPr>
        <w:t>2018</w:t>
      </w:r>
      <w:r>
        <w:rPr/>
        <w:t>年度的合并及公司的经营成果和现金流量。</w:t>
      </w:r>
    </w:p>
    <w:p>
      <w:pPr>
        <w:spacing w:line="432" w:lineRule="exact" w:before="41"/>
        <w:ind w:left="649" w:right="0" w:hanging="14"/>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w w:val="99"/>
          <w:sz w:val="21"/>
          <w:szCs w:val="21"/>
        </w:rPr>
        <w:t> </w:t>
      </w:r>
      <w:r>
        <w:rPr>
          <w:rFonts w:ascii="宋体" w:hAnsi="宋体" w:cs="宋体" w:eastAsia="宋体" w:hint="default"/>
          <w:sz w:val="21"/>
          <w:szCs w:val="21"/>
        </w:rPr>
        <w:t>我们按照中国注册会计师审计准则的规定执行了审计工作。审计报告的</w:t>
      </w:r>
      <w:r>
        <w:rPr>
          <w:rFonts w:ascii="Times New Roman" w:hAnsi="Times New Roman" w:cs="Times New Roman" w:eastAsia="Times New Roman" w:hint="default"/>
          <w:sz w:val="21"/>
          <w:szCs w:val="21"/>
        </w:rPr>
        <w:t>“</w:t>
      </w:r>
      <w:r>
        <w:rPr>
          <w:rFonts w:ascii="宋体" w:hAnsi="宋体" w:cs="宋体" w:eastAsia="宋体" w:hint="default"/>
          <w:sz w:val="21"/>
          <w:szCs w:val="21"/>
        </w:rPr>
        <w:t>注册会计师对财务报表审计</w:t>
      </w:r>
    </w:p>
    <w:p>
      <w:pPr>
        <w:pStyle w:val="BodyText"/>
        <w:spacing w:line="271" w:lineRule="exact"/>
        <w:ind w:right="0"/>
        <w:jc w:val="left"/>
      </w:pPr>
      <w:r>
        <w:rPr/>
        <w:t>的责任</w:t>
      </w:r>
      <w:r>
        <w:rPr>
          <w:rFonts w:ascii="Times New Roman" w:hAnsi="Times New Roman" w:cs="Times New Roman" w:eastAsia="Times New Roman" w:hint="default"/>
        </w:rPr>
        <w:t>”</w:t>
      </w:r>
      <w:r>
        <w:rPr/>
        <w:t>部分进一步阐述了我们在这些准则下的责任。按照中国注册会计师职业道德守则，我们独立于美</w:t>
      </w:r>
    </w:p>
    <w:p>
      <w:pPr>
        <w:pStyle w:val="BodyText"/>
        <w:spacing w:line="273" w:lineRule="auto" w:before="21"/>
        <w:ind w:right="0"/>
        <w:jc w:val="left"/>
      </w:pPr>
      <w:r>
        <w:rPr>
          <w:spacing w:val="-1"/>
        </w:rPr>
        <w:t>亚柏科公司，并履行了职业道德方面的其他责任。我们相信，我们获取的审计证据是充分、适当的，为发</w:t>
      </w:r>
      <w:r>
        <w:rPr>
          <w:spacing w:val="-83"/>
        </w:rPr>
        <w:t> </w:t>
      </w:r>
      <w:r>
        <w:rPr>
          <w:spacing w:val="-83"/>
        </w:rPr>
      </w:r>
      <w:r>
        <w:rPr/>
        <w:t>表审计意见提供了基础。</w:t>
      </w:r>
    </w:p>
    <w:p>
      <w:pPr>
        <w:pStyle w:val="BodyText"/>
        <w:spacing w:line="432" w:lineRule="exact" w:before="27"/>
        <w:ind w:left="649" w:right="0" w:hanging="14"/>
        <w:jc w:val="left"/>
      </w:pPr>
      <w:r>
        <w:rPr>
          <w:rFonts w:ascii="宋体" w:hAnsi="宋体" w:cs="宋体" w:eastAsia="宋体" w:hint="default"/>
          <w:b/>
          <w:bCs/>
        </w:rPr>
        <w:t>三、关键审计事项</w:t>
      </w:r>
      <w:r>
        <w:rPr>
          <w:rFonts w:ascii="宋体" w:hAnsi="宋体" w:cs="宋体" w:eastAsia="宋体" w:hint="default"/>
          <w:b/>
          <w:bCs/>
          <w:spacing w:val="1"/>
          <w:w w:val="99"/>
        </w:rPr>
        <w:t> </w:t>
      </w:r>
      <w:r>
        <w:rPr>
          <w:spacing w:val="-3"/>
        </w:rPr>
        <w:t>关键审计事项是我们根据职业判断，认为对本期财务报表审计最为重要的事项。这些事项的应对以对</w:t>
      </w:r>
    </w:p>
    <w:p>
      <w:pPr>
        <w:pStyle w:val="BodyText"/>
        <w:spacing w:line="255" w:lineRule="exact"/>
        <w:ind w:right="0"/>
        <w:jc w:val="left"/>
      </w:pPr>
      <w:r>
        <w:rPr/>
        <w:t>财务报表整体进行审计并形成审计意见为背景，我们不对这些事项单独发表意见。</w:t>
      </w:r>
    </w:p>
    <w:p>
      <w:pPr>
        <w:pStyle w:val="BodyText"/>
        <w:spacing w:line="367" w:lineRule="auto" w:before="157"/>
        <w:ind w:left="649" w:right="3220"/>
        <w:jc w:val="left"/>
      </w:pPr>
      <w:r>
        <w:rPr/>
        <w:t>（一）应收账款减值准备 相关信息披露详见财务报表附注五之</w:t>
      </w:r>
      <w:r>
        <w:rPr>
          <w:rFonts w:ascii="Times New Roman" w:hAnsi="Times New Roman" w:cs="Times New Roman" w:eastAsia="Times New Roman" w:hint="default"/>
        </w:rPr>
        <w:t>11</w:t>
      </w:r>
      <w:r>
        <w:rPr/>
        <w:t>应收账款政策、附注七之</w:t>
      </w:r>
      <w:r>
        <w:rPr>
          <w:rFonts w:ascii="Times New Roman" w:hAnsi="Times New Roman" w:cs="Times New Roman" w:eastAsia="Times New Roman" w:hint="default"/>
        </w:rPr>
        <w:t>4</w:t>
      </w:r>
      <w:r>
        <w:rPr/>
        <w:t>应收账款。 </w:t>
      </w:r>
      <w:r>
        <w:rPr>
          <w:rFonts w:ascii="Times New Roman" w:hAnsi="Times New Roman" w:cs="Times New Roman" w:eastAsia="Times New Roman" w:hint="default"/>
        </w:rPr>
        <w:t>1</w:t>
      </w:r>
      <w:r>
        <w:rPr/>
        <w:t>、事项描述</w:t>
      </w:r>
    </w:p>
    <w:p>
      <w:pPr>
        <w:spacing w:after="0" w:line="367" w:lineRule="auto"/>
        <w:jc w:val="left"/>
        <w:sectPr>
          <w:pgSz w:w="11910" w:h="16840"/>
          <w:pgMar w:header="747" w:footer="982" w:top="1060" w:bottom="1180" w:left="980" w:right="0"/>
        </w:sectPr>
      </w:pPr>
    </w:p>
    <w:p>
      <w:pPr>
        <w:spacing w:line="240" w:lineRule="auto" w:before="9"/>
        <w:rPr>
          <w:rFonts w:ascii="宋体" w:hAnsi="宋体" w:cs="宋体" w:eastAsia="宋体" w:hint="default"/>
          <w:sz w:val="24"/>
          <w:szCs w:val="24"/>
        </w:rPr>
      </w:pPr>
    </w:p>
    <w:p>
      <w:pPr>
        <w:pStyle w:val="BodyText"/>
        <w:spacing w:line="357" w:lineRule="auto" w:before="35"/>
        <w:ind w:left="649" w:right="0"/>
        <w:jc w:val="left"/>
      </w:pPr>
      <w:r>
        <w:rPr/>
        <w:t>美亚柏科公司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1日应收账款原值702,688,148.98元，坏账准备金额77,687,476.43元。 </w:t>
      </w:r>
      <w:r>
        <w:rPr>
          <w:spacing w:val="-3"/>
        </w:rPr>
        <w:t>当存在客观证据表明应收账款存在减值时，管理层根据预计未来现金流量现值低于账面价值的差额计</w:t>
      </w:r>
    </w:p>
    <w:p>
      <w:pPr>
        <w:pStyle w:val="BodyText"/>
        <w:spacing w:line="209" w:lineRule="exact"/>
        <w:ind w:right="0"/>
        <w:jc w:val="left"/>
      </w:pPr>
      <w:r>
        <w:rPr/>
        <w:t>提单项减值准备。对于不存在减值客观证据的应收账款，管理层根据信用风险特征将其按账龄组合进行评</w:t>
      </w:r>
    </w:p>
    <w:p>
      <w:pPr>
        <w:pStyle w:val="BodyText"/>
        <w:spacing w:line="273" w:lineRule="auto" w:before="37"/>
        <w:ind w:right="0"/>
        <w:jc w:val="left"/>
      </w:pPr>
      <w:r>
        <w:rPr>
          <w:spacing w:val="-1"/>
        </w:rPr>
        <w:t>估。管理层根据以前年度与之具有类似信用风险特征的应收账款组合的实际损失率及账龄分析为基础，结</w:t>
      </w:r>
      <w:r>
        <w:rPr>
          <w:spacing w:val="-81"/>
        </w:rPr>
        <w:t> </w:t>
      </w:r>
      <w:r>
        <w:rPr>
          <w:spacing w:val="-81"/>
        </w:rPr>
      </w:r>
      <w:r>
        <w:rPr/>
        <w:t>合现时情况确定应计提的坏账准备。</w:t>
      </w:r>
    </w:p>
    <w:p>
      <w:pPr>
        <w:pStyle w:val="BodyText"/>
        <w:spacing w:line="273" w:lineRule="auto" w:before="127"/>
        <w:ind w:right="0" w:firstLine="495"/>
        <w:jc w:val="left"/>
      </w:pPr>
      <w:r>
        <w:rPr>
          <w:spacing w:val="-3"/>
        </w:rPr>
        <w:t>由于应收账款金额重大，且管理层在确定应收账款减值时需作出重大判断，我们将应收账款的减值确</w:t>
      </w:r>
      <w:r>
        <w:rPr/>
        <w:t> 定为关键审计事项。</w:t>
      </w:r>
    </w:p>
    <w:p>
      <w:pPr>
        <w:pStyle w:val="BodyText"/>
        <w:spacing w:line="357" w:lineRule="auto" w:before="127"/>
        <w:ind w:left="649" w:right="6055" w:hanging="1"/>
        <w:jc w:val="left"/>
      </w:pPr>
      <w:r>
        <w:rPr>
          <w:rFonts w:ascii="Times New Roman" w:hAnsi="Times New Roman" w:cs="Times New Roman" w:eastAsia="Times New Roman" w:hint="default"/>
        </w:rPr>
        <w:t>2</w:t>
      </w:r>
      <w:r>
        <w:rPr/>
        <w:t>、审计应对 我们执行了下列程序以应对该关键审计事项：</w:t>
      </w:r>
    </w:p>
    <w:p>
      <w:pPr>
        <w:pStyle w:val="BodyText"/>
        <w:spacing w:line="273" w:lineRule="auto" w:before="54"/>
        <w:ind w:right="0" w:firstLine="495"/>
        <w:jc w:val="left"/>
      </w:pPr>
      <w:r>
        <w:rPr>
          <w:spacing w:val="-3"/>
        </w:rPr>
        <w:t>我们评价并测试了管理层复核、评估和确定应收账款减值的内部控制，包括有关识别减值客观证据和</w:t>
      </w:r>
      <w:r>
        <w:rPr/>
        <w:t> 计算减值准备的控制；</w:t>
      </w:r>
    </w:p>
    <w:p>
      <w:pPr>
        <w:pStyle w:val="BodyText"/>
        <w:spacing w:line="273" w:lineRule="auto" w:before="127"/>
        <w:ind w:right="1022" w:firstLine="495"/>
        <w:jc w:val="left"/>
      </w:pPr>
      <w:r>
        <w:rPr>
          <w:spacing w:val="-5"/>
        </w:rPr>
        <w:t>我们选取金额重大或高风险的应收账款，独立测试了其可收回性。我们在评估应收账款的可回收性时，</w:t>
      </w:r>
      <w:r>
        <w:rPr/>
        <w:t> 检查了相关的支持性证据，包括期后收款、客户的信用历史、经营情况和还款能力，以及外部律师询证函 回函；</w:t>
      </w:r>
    </w:p>
    <w:p>
      <w:pPr>
        <w:pStyle w:val="BodyText"/>
        <w:spacing w:line="273" w:lineRule="auto" w:before="127"/>
        <w:ind w:right="0" w:firstLine="495"/>
        <w:jc w:val="left"/>
      </w:pPr>
      <w:r>
        <w:rPr>
          <w:spacing w:val="2"/>
        </w:rPr>
        <w:t>我们通过考虑历史上同类应收账款组合的实际坏账发生金额及情况，结合客户信用和市场条件等因</w:t>
      </w:r>
      <w:r>
        <w:rPr/>
        <w:t> 素，评估了管理层将应收账款划分为若干组合进行减值评估的方法和计算是否适当；</w:t>
      </w:r>
    </w:p>
    <w:p>
      <w:pPr>
        <w:pStyle w:val="BodyText"/>
        <w:spacing w:line="240" w:lineRule="auto" w:before="127"/>
        <w:ind w:left="649" w:right="0"/>
        <w:jc w:val="left"/>
      </w:pPr>
      <w:r>
        <w:rPr/>
        <w:t>我们选取样本检查管理层编制的应收账款账龄分析表的准确性。</w:t>
      </w:r>
    </w:p>
    <w:p>
      <w:pPr>
        <w:pStyle w:val="BodyText"/>
        <w:spacing w:line="432" w:lineRule="exact" w:before="57"/>
        <w:ind w:left="649" w:right="1120"/>
        <w:jc w:val="left"/>
      </w:pPr>
      <w:r>
        <w:rPr/>
        <w:t>（二）商誉减值 相关信息披露详见财务报表附注五之</w:t>
      </w:r>
      <w:r>
        <w:rPr>
          <w:rFonts w:ascii="Times New Roman" w:hAnsi="Times New Roman" w:cs="Times New Roman" w:eastAsia="Times New Roman" w:hint="default"/>
        </w:rPr>
        <w:t>22</w:t>
      </w:r>
      <w:r>
        <w:rPr/>
        <w:t>资产减值、附注五之32（4）重大会计判断和估计、附注七之</w:t>
      </w:r>
    </w:p>
    <w:p>
      <w:pPr>
        <w:pStyle w:val="BodyText"/>
        <w:spacing w:line="255" w:lineRule="exact"/>
        <w:ind w:right="0"/>
        <w:jc w:val="left"/>
      </w:pPr>
      <w:r>
        <w:rPr/>
        <w:t>22商誉。</w:t>
      </w:r>
    </w:p>
    <w:p>
      <w:pPr>
        <w:spacing w:line="440" w:lineRule="atLeast" w:before="8"/>
        <w:ind w:left="649" w:right="1117" w:hanging="1"/>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、事项描述 美亚柏科公司</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日的商誉</w:t>
      </w:r>
      <w:r>
        <w:rPr>
          <w:rFonts w:ascii="仿宋" w:hAnsi="仿宋" w:cs="仿宋" w:eastAsia="仿宋" w:hint="default"/>
          <w:sz w:val="24"/>
          <w:szCs w:val="24"/>
        </w:rPr>
        <w:t>原值</w:t>
      </w:r>
      <w:r>
        <w:rPr>
          <w:rFonts w:ascii="Arial Narrow" w:hAnsi="Arial Narrow" w:cs="Arial Narrow" w:eastAsia="Arial Narrow" w:hint="default"/>
          <w:sz w:val="24"/>
          <w:szCs w:val="24"/>
        </w:rPr>
        <w:t>565,628,678.86</w:t>
      </w:r>
      <w:r>
        <w:rPr>
          <w:rFonts w:ascii="仿宋" w:hAnsi="仿宋" w:cs="仿宋" w:eastAsia="仿宋" w:hint="default"/>
          <w:sz w:val="24"/>
          <w:szCs w:val="24"/>
        </w:rPr>
        <w:t>元，账面</w:t>
      </w:r>
      <w:r>
        <w:rPr>
          <w:rFonts w:ascii="宋体" w:hAnsi="宋体" w:cs="宋体" w:eastAsia="宋体" w:hint="default"/>
          <w:sz w:val="21"/>
          <w:szCs w:val="21"/>
        </w:rPr>
        <w:t>金额</w:t>
      </w:r>
      <w:r>
        <w:rPr>
          <w:rFonts w:ascii="Times New Roman" w:hAnsi="Times New Roman" w:cs="Times New Roman" w:eastAsia="Times New Roman" w:hint="default"/>
          <w:sz w:val="21"/>
          <w:szCs w:val="21"/>
        </w:rPr>
        <w:t>542,202,213.88</w:t>
      </w:r>
      <w:r>
        <w:rPr>
          <w:rFonts w:ascii="宋体" w:hAnsi="宋体" w:cs="宋体" w:eastAsia="宋体" w:hint="default"/>
          <w:sz w:val="21"/>
          <w:szCs w:val="21"/>
        </w:rPr>
        <w:t>元，已计提</w:t>
      </w:r>
    </w:p>
    <w:p>
      <w:pPr>
        <w:pStyle w:val="BodyText"/>
        <w:spacing w:line="307" w:lineRule="exact"/>
        <w:ind w:left="153" w:right="0"/>
        <w:jc w:val="left"/>
      </w:pPr>
      <w:r>
        <w:rPr/>
        <w:t>商誉减值准备</w:t>
      </w:r>
      <w:r>
        <w:rPr>
          <w:rFonts w:ascii="Times New Roman" w:hAnsi="Times New Roman" w:cs="Times New Roman" w:eastAsia="Times New Roman" w:hint="default"/>
        </w:rPr>
        <w:t>23,426,464.98</w:t>
      </w:r>
      <w:r>
        <w:rPr/>
        <w:t>元，商誉</w:t>
      </w:r>
      <w:r>
        <w:rPr>
          <w:rFonts w:ascii="仿宋" w:hAnsi="仿宋" w:cs="仿宋" w:eastAsia="仿宋" w:hint="default"/>
          <w:sz w:val="24"/>
          <w:szCs w:val="24"/>
        </w:rPr>
        <w:t>账面</w:t>
      </w:r>
      <w:r>
        <w:rPr/>
        <w:t>金额占总资产金额</w:t>
      </w:r>
      <w:r>
        <w:rPr>
          <w:rFonts w:ascii="Times New Roman" w:hAnsi="Times New Roman" w:cs="Times New Roman" w:eastAsia="Times New Roman" w:hint="default"/>
        </w:rPr>
        <w:t>15.74%</w:t>
      </w:r>
      <w:r>
        <w:rPr/>
        <w:t>。</w:t>
      </w:r>
    </w:p>
    <w:p>
      <w:pPr>
        <w:pStyle w:val="BodyText"/>
        <w:spacing w:line="273" w:lineRule="auto" w:before="130"/>
        <w:ind w:left="153" w:right="1131" w:firstLine="495"/>
        <w:jc w:val="both"/>
      </w:pPr>
      <w:r>
        <w:rPr>
          <w:spacing w:val="-3"/>
        </w:rPr>
        <w:t>管理层聘请第三方评估机构对收购的珠海市新德汇信息技术有限公司、江苏税软软件科技有限公司的</w:t>
      </w:r>
      <w:r>
        <w:rPr/>
        <w:t> </w:t>
      </w:r>
      <w:r>
        <w:rPr>
          <w:spacing w:val="-1"/>
        </w:rPr>
        <w:t>股东权益价值进行评估，以协助管理层对公司商誉进行减值测试。管理层根据包含分摊的商誉的资产组或</w:t>
      </w:r>
      <w:r>
        <w:rPr>
          <w:spacing w:val="-81"/>
        </w:rPr>
        <w:t> </w:t>
      </w:r>
      <w:r>
        <w:rPr>
          <w:spacing w:val="-81"/>
        </w:rPr>
      </w:r>
      <w:r>
        <w:rPr>
          <w:spacing w:val="-1"/>
        </w:rPr>
        <w:t>资产组组合的可收回金额低于其账面价值的部分，确认相应的减值准备。商誉减值评估涉及的关键假设包</w:t>
      </w:r>
      <w:r>
        <w:rPr>
          <w:spacing w:val="-81"/>
        </w:rPr>
        <w:t> </w:t>
      </w:r>
      <w:r>
        <w:rPr>
          <w:spacing w:val="-81"/>
        </w:rPr>
      </w:r>
      <w:r>
        <w:rPr/>
        <w:t>括收入增长率、毛利率、费用率及折现率。</w:t>
      </w:r>
    </w:p>
    <w:p>
      <w:pPr>
        <w:pStyle w:val="BodyText"/>
        <w:spacing w:line="240" w:lineRule="auto" w:before="127"/>
        <w:ind w:left="649" w:right="0"/>
        <w:jc w:val="left"/>
      </w:pPr>
      <w:r>
        <w:rPr/>
        <w:t>由于上述商誉的减值测试涉及复杂及重大的判断，因此我们将商誉的减值认定为关键审计事项。</w:t>
      </w:r>
    </w:p>
    <w:p>
      <w:pPr>
        <w:pStyle w:val="BodyText"/>
        <w:spacing w:line="357" w:lineRule="auto" w:before="157"/>
        <w:ind w:left="649" w:right="6055" w:hanging="1"/>
        <w:jc w:val="left"/>
      </w:pPr>
      <w:r>
        <w:rPr>
          <w:rFonts w:ascii="Times New Roman" w:hAnsi="Times New Roman" w:cs="Times New Roman" w:eastAsia="Times New Roman" w:hint="default"/>
        </w:rPr>
        <w:t>2</w:t>
      </w:r>
      <w:r>
        <w:rPr/>
        <w:t>、审计应对 我们执行了下列程序以应对该关键审计事项：</w:t>
      </w:r>
    </w:p>
    <w:p>
      <w:pPr>
        <w:pStyle w:val="BodyText"/>
        <w:spacing w:line="240" w:lineRule="auto" w:before="54"/>
        <w:ind w:left="649" w:right="0"/>
        <w:jc w:val="left"/>
      </w:pPr>
      <w:r>
        <w:rPr>
          <w:spacing w:val="2"/>
        </w:rPr>
        <w:t>评估及测试了与商誉减值测试相关的内部控制的设计及执行有效性，包括减值计提金额的复核及审</w:t>
      </w:r>
    </w:p>
    <w:p>
      <w:pPr>
        <w:pStyle w:val="BodyText"/>
        <w:spacing w:line="240" w:lineRule="auto" w:before="37"/>
        <w:ind w:right="0"/>
        <w:jc w:val="left"/>
      </w:pPr>
      <w:r>
        <w:rPr/>
        <w:t>批。</w:t>
      </w:r>
    </w:p>
    <w:p>
      <w:pPr>
        <w:spacing w:line="240" w:lineRule="auto" w:before="4"/>
        <w:rPr>
          <w:rFonts w:ascii="宋体" w:hAnsi="宋体" w:cs="宋体" w:eastAsia="宋体" w:hint="default"/>
          <w:sz w:val="9"/>
          <w:szCs w:val="9"/>
        </w:rPr>
      </w:pPr>
    </w:p>
    <w:p>
      <w:pPr>
        <w:pStyle w:val="BodyText"/>
        <w:spacing w:line="240" w:lineRule="auto" w:before="35"/>
        <w:ind w:left="649" w:right="0"/>
        <w:jc w:val="left"/>
      </w:pPr>
      <w:r>
        <w:rPr/>
        <w:t>评价管理层委聘的外部估值专家的胜任能力、专业素质和客观性；</w:t>
      </w:r>
    </w:p>
    <w:p>
      <w:pPr>
        <w:pStyle w:val="BodyText"/>
        <w:spacing w:line="273" w:lineRule="auto" w:before="157"/>
        <w:ind w:right="1117" w:firstLine="495"/>
        <w:jc w:val="left"/>
      </w:pPr>
      <w:r>
        <w:rPr>
          <w:spacing w:val="-3"/>
        </w:rPr>
        <w:t>评价评估中采用的方法和关键假设；了解关键参数，包括预测收入、毛利率、增长率、折现率等的取</w:t>
      </w:r>
      <w:r>
        <w:rPr/>
        <w:t> 数来源；</w:t>
      </w:r>
    </w:p>
    <w:p>
      <w:pPr>
        <w:pStyle w:val="BodyText"/>
        <w:spacing w:line="256" w:lineRule="auto" w:before="127"/>
        <w:ind w:right="0" w:firstLine="495"/>
        <w:jc w:val="left"/>
      </w:pPr>
      <w:r>
        <w:rPr>
          <w:spacing w:val="-3"/>
        </w:rPr>
        <w:t>评价评估报告中的未来现金流量的合理性，将</w:t>
      </w:r>
      <w:r>
        <w:rPr>
          <w:rFonts w:ascii="Times New Roman" w:hAnsi="Times New Roman" w:cs="Times New Roman" w:eastAsia="Times New Roman" w:hint="default"/>
          <w:spacing w:val="-3"/>
        </w:rPr>
        <w:t>2018</w:t>
      </w:r>
      <w:r>
        <w:rPr>
          <w:spacing w:val="-3"/>
        </w:rPr>
        <w:t>年预测数据与实际情况进行对比，评价评估数据是</w:t>
      </w:r>
      <w:r>
        <w:rPr/>
        <w:t> 否存在管理层偏向的迹象。</w:t>
      </w:r>
    </w:p>
    <w:p>
      <w:pPr>
        <w:spacing w:after="0" w:line="256" w:lineRule="auto"/>
        <w:jc w:val="left"/>
        <w:sectPr>
          <w:pgSz w:w="11910" w:h="16840"/>
          <w:pgMar w:header="747" w:footer="982" w:top="1060" w:bottom="118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636" w:right="0"/>
        <w:jc w:val="left"/>
        <w:rPr>
          <w:b w:val="0"/>
          <w:bCs w:val="0"/>
        </w:rPr>
      </w:pPr>
      <w:r>
        <w:rPr/>
        <w:t>四、其他信息</w:t>
      </w:r>
      <w:r>
        <w:rPr>
          <w:b w:val="0"/>
          <w:bCs w:val="0"/>
        </w:rPr>
      </w:r>
    </w:p>
    <w:p>
      <w:pPr>
        <w:pStyle w:val="BodyText"/>
        <w:spacing w:line="256" w:lineRule="auto" w:before="157"/>
        <w:ind w:right="0" w:firstLine="495"/>
        <w:jc w:val="left"/>
      </w:pPr>
      <w:r>
        <w:rPr>
          <w:spacing w:val="-3"/>
        </w:rPr>
        <w:t>美亚柏科公司管理层（以下简称管理层）对其他信息负责。其他信息包括美亚柏科公司</w:t>
      </w:r>
      <w:r>
        <w:rPr>
          <w:rFonts w:ascii="Times New Roman" w:hAnsi="Times New Roman" w:cs="Times New Roman" w:eastAsia="Times New Roman" w:hint="default"/>
          <w:spacing w:val="-3"/>
        </w:rPr>
        <w:t>2018</w:t>
      </w:r>
      <w:r>
        <w:rPr>
          <w:spacing w:val="-3"/>
        </w:rPr>
        <w:t>年年度报</w:t>
      </w:r>
      <w:r>
        <w:rPr/>
        <w:t> 告中涵盖的信息，但不包括财务报表和我们的审计报告。</w:t>
      </w:r>
    </w:p>
    <w:p>
      <w:pPr>
        <w:pStyle w:val="BodyText"/>
        <w:spacing w:line="432" w:lineRule="exact" w:before="42"/>
        <w:ind w:left="649" w:right="0"/>
        <w:jc w:val="left"/>
      </w:pPr>
      <w:r>
        <w:rPr/>
        <w:t>我们对财务报表发表的审计意见不涵盖其他信息，我们也不对其他信息发表任何形式的鉴证结论。 </w:t>
      </w:r>
      <w:r>
        <w:rPr>
          <w:spacing w:val="-3"/>
        </w:rPr>
        <w:t>结合我们对财务报表的审计，我们的责任是阅读其他信息，在此过程中，考虑其他信息是否与财务报</w:t>
      </w:r>
    </w:p>
    <w:p>
      <w:pPr>
        <w:pStyle w:val="BodyText"/>
        <w:spacing w:line="255" w:lineRule="exact"/>
        <w:ind w:right="0"/>
        <w:jc w:val="left"/>
      </w:pPr>
      <w:r>
        <w:rPr/>
        <w:t>表或我们在审计过程中了解到的情况存在重大不一致或者似乎存在重大错报。</w:t>
      </w:r>
    </w:p>
    <w:p>
      <w:pPr>
        <w:pStyle w:val="BodyText"/>
        <w:spacing w:line="273" w:lineRule="auto" w:before="157"/>
        <w:ind w:right="0" w:firstLine="495"/>
        <w:jc w:val="left"/>
      </w:pPr>
      <w:r>
        <w:rPr>
          <w:spacing w:val="-3"/>
        </w:rPr>
        <w:t>基于我们已执行的工作，如果我们确定其他信息存在重大错报，我们应当报告该事实。在这方面，我</w:t>
      </w:r>
      <w:r>
        <w:rPr/>
        <w:t> 们无任何事项需要报告。</w:t>
      </w:r>
    </w:p>
    <w:p>
      <w:pPr>
        <w:spacing w:line="432" w:lineRule="exact" w:before="27"/>
        <w:ind w:left="649" w:right="0" w:hanging="14"/>
        <w:jc w:val="left"/>
        <w:rPr>
          <w:rFonts w:ascii="宋体" w:hAnsi="宋体" w:cs="宋体" w:eastAsia="宋体" w:hint="default"/>
          <w:sz w:val="21"/>
          <w:szCs w:val="21"/>
        </w:rPr>
      </w:pPr>
      <w:r>
        <w:rPr>
          <w:rFonts w:ascii="宋体" w:hAnsi="宋体" w:cs="宋体" w:eastAsia="宋体" w:hint="default"/>
          <w:b/>
          <w:bCs/>
          <w:sz w:val="21"/>
          <w:szCs w:val="21"/>
        </w:rPr>
        <w:t>五、管理层和治理层对财务报表的责任</w:t>
      </w:r>
      <w:r>
        <w:rPr>
          <w:rFonts w:ascii="宋体" w:hAnsi="宋体" w:cs="宋体" w:eastAsia="宋体" w:hint="default"/>
          <w:b/>
          <w:bCs/>
          <w:w w:val="99"/>
          <w:sz w:val="21"/>
          <w:szCs w:val="21"/>
        </w:rPr>
        <w:t> </w:t>
      </w:r>
      <w:r>
        <w:rPr>
          <w:rFonts w:ascii="宋体" w:hAnsi="宋体" w:cs="宋体" w:eastAsia="宋体" w:hint="default"/>
          <w:spacing w:val="-3"/>
          <w:sz w:val="21"/>
          <w:szCs w:val="21"/>
        </w:rPr>
        <w:t>美亚柏科公司管理层负责按照企业会计准则的规定编制财务报表，使其实现公允反映，并设计、执行</w:t>
      </w:r>
    </w:p>
    <w:p>
      <w:pPr>
        <w:pStyle w:val="BodyText"/>
        <w:spacing w:line="255" w:lineRule="exact"/>
        <w:ind w:left="153" w:right="0"/>
        <w:jc w:val="left"/>
      </w:pPr>
      <w:r>
        <w:rPr/>
        <w:t>和维护必要的内部控制，以使财务报表不存在由于舞弊或错误导致的重大错报。</w:t>
      </w:r>
    </w:p>
    <w:p>
      <w:pPr>
        <w:pStyle w:val="BodyText"/>
        <w:spacing w:line="273" w:lineRule="auto" w:before="157"/>
        <w:ind w:left="153" w:right="0" w:firstLine="495"/>
        <w:jc w:val="left"/>
      </w:pPr>
      <w:r>
        <w:rPr>
          <w:spacing w:val="-3"/>
        </w:rPr>
        <w:t>在编制财务报表时，管理层负责评估美亚柏科公司的持续经营能力，披露与持续经营相关的事项（如</w:t>
      </w:r>
      <w:r>
        <w:rPr/>
        <w:t> 适用），并运用持续经营假设，除非管理层计划清算美亚柏科公司、终止运营或别无其他现实的选择。</w:t>
      </w:r>
    </w:p>
    <w:p>
      <w:pPr>
        <w:spacing w:line="376" w:lineRule="auto" w:before="127"/>
        <w:ind w:left="636" w:right="5845" w:firstLine="13"/>
        <w:jc w:val="left"/>
        <w:rPr>
          <w:rFonts w:ascii="宋体" w:hAnsi="宋体" w:cs="宋体" w:eastAsia="宋体" w:hint="default"/>
          <w:sz w:val="21"/>
          <w:szCs w:val="21"/>
        </w:rPr>
      </w:pPr>
      <w:r>
        <w:rPr>
          <w:rFonts w:ascii="宋体" w:hAnsi="宋体" w:cs="宋体" w:eastAsia="宋体" w:hint="default"/>
          <w:sz w:val="21"/>
          <w:szCs w:val="21"/>
        </w:rPr>
        <w:t>治理层负责监督美亚柏科公司的财务报告过程。 </w:t>
      </w:r>
      <w:r>
        <w:rPr>
          <w:rFonts w:ascii="宋体" w:hAnsi="宋体" w:cs="宋体" w:eastAsia="宋体" w:hint="default"/>
          <w:b/>
          <w:bCs/>
          <w:sz w:val="21"/>
          <w:szCs w:val="21"/>
        </w:rPr>
        <w:t>六、注册会计师对财务报表审计的责任</w:t>
      </w:r>
      <w:r>
        <w:rPr>
          <w:rFonts w:ascii="宋体" w:hAnsi="宋体" w:cs="宋体" w:eastAsia="宋体" w:hint="default"/>
          <w:sz w:val="21"/>
          <w:szCs w:val="21"/>
        </w:rPr>
      </w:r>
    </w:p>
    <w:p>
      <w:pPr>
        <w:pStyle w:val="BodyText"/>
        <w:spacing w:line="273" w:lineRule="auto" w:before="37"/>
        <w:ind w:left="153" w:right="1130" w:firstLine="495"/>
        <w:jc w:val="both"/>
      </w:pPr>
      <w:r>
        <w:rPr>
          <w:spacing w:val="-3"/>
        </w:rPr>
        <w:t>我们的目标是对财务报表整体是否不存在由于舞弊或错误导致的重大错报获取合理保证，并出具包含</w:t>
      </w:r>
      <w:r>
        <w:rPr/>
        <w:t> </w:t>
      </w:r>
      <w:r>
        <w:rPr>
          <w:spacing w:val="-1"/>
        </w:rPr>
        <w:t>审计意见的审计报告。合理保证是高水平的保证，但并不能保证按照审计准则执行的审计在某一重大错报</w:t>
      </w:r>
      <w:r>
        <w:rPr>
          <w:spacing w:val="-81"/>
        </w:rPr>
        <w:t> </w:t>
      </w:r>
      <w:r>
        <w:rPr>
          <w:spacing w:val="-81"/>
        </w:rPr>
      </w:r>
      <w:r>
        <w:rPr>
          <w:spacing w:val="-1"/>
        </w:rPr>
        <w:t>存在时总能发现。错报可能由于舞弊或错误导致，如果合理预期错报单独或汇总起来可能影响财务报表使</w:t>
      </w:r>
      <w:r>
        <w:rPr>
          <w:spacing w:val="-81"/>
        </w:rPr>
        <w:t> </w:t>
      </w:r>
      <w:r>
        <w:rPr>
          <w:spacing w:val="-81"/>
        </w:rPr>
      </w:r>
      <w:r>
        <w:rPr/>
        <w:t>用者依据财务报表作出的经济决策，则通常认为错报是重大的。</w:t>
      </w:r>
    </w:p>
    <w:p>
      <w:pPr>
        <w:pStyle w:val="BodyText"/>
        <w:spacing w:line="273" w:lineRule="auto" w:before="127"/>
        <w:ind w:left="153" w:right="1117" w:firstLine="495"/>
        <w:jc w:val="left"/>
      </w:pPr>
      <w:r>
        <w:rPr>
          <w:spacing w:val="-3"/>
        </w:rPr>
        <w:t>在按照审计准则执行审计工作的过程中，我们运用职业判断，并保持职业怀疑。同时，我们也执行以</w:t>
      </w:r>
      <w:r>
        <w:rPr/>
        <w:t> 下工作：</w:t>
      </w:r>
    </w:p>
    <w:p>
      <w:pPr>
        <w:pStyle w:val="BodyText"/>
        <w:spacing w:line="266" w:lineRule="auto" w:before="127"/>
        <w:ind w:left="153" w:right="1022" w:firstLine="495"/>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 </w:t>
      </w:r>
      <w:r>
        <w:rPr>
          <w:spacing w:val="-3"/>
        </w:rPr>
        <w:t>险，并获取充分、适当的审计证据，作为发表审计意见的基础。由于舞弊可能涉及串通、伪造、故意遗漏、</w:t>
      </w:r>
      <w:r>
        <w:rPr>
          <w:spacing w:val="-94"/>
        </w:rPr>
        <w:t> </w:t>
      </w:r>
      <w:r>
        <w:rPr>
          <w:spacing w:val="-94"/>
        </w:rPr>
      </w:r>
      <w:r>
        <w:rPr/>
        <w:t>虚假陈述或凌驾于内部控制之上，未能发现由于舞弊导致的重大错报的风险高于未能发现由于错误导致的</w:t>
      </w:r>
      <w:r>
        <w:rPr/>
        <w:t> 重大错报的风险。</w:t>
      </w:r>
    </w:p>
    <w:p>
      <w:pPr>
        <w:pStyle w:val="BodyText"/>
        <w:spacing w:line="240" w:lineRule="auto" w:before="134"/>
        <w:ind w:left="649" w:right="0"/>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w:t>
      </w:r>
    </w:p>
    <w:p>
      <w:pPr>
        <w:pStyle w:val="BodyText"/>
        <w:spacing w:line="240" w:lineRule="auto" w:before="21"/>
        <w:ind w:left="153" w:right="0"/>
        <w:jc w:val="left"/>
      </w:pPr>
      <w:r>
        <w:rPr/>
        <w:t>见。</w:t>
      </w:r>
    </w:p>
    <w:p>
      <w:pPr>
        <w:spacing w:line="240" w:lineRule="auto" w:before="4"/>
        <w:rPr>
          <w:rFonts w:ascii="宋体" w:hAnsi="宋体" w:cs="宋体" w:eastAsia="宋体" w:hint="default"/>
          <w:sz w:val="9"/>
          <w:szCs w:val="9"/>
        </w:rPr>
      </w:pPr>
    </w:p>
    <w:p>
      <w:pPr>
        <w:pStyle w:val="BodyText"/>
        <w:spacing w:line="240" w:lineRule="auto" w:before="35"/>
        <w:ind w:left="649"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268" w:lineRule="auto" w:before="141"/>
        <w:ind w:left="153" w:right="1108" w:firstLine="495"/>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）对管理层使用持续经营假设的恰当性得出结论。同时，根据获取的审计证据，就可能导致对美 </w:t>
      </w:r>
      <w:r>
        <w:rPr>
          <w:spacing w:val="-1"/>
        </w:rPr>
        <w:t>亚柏科公司的持续经营能力产生重大疑虑的事项或情况是否存在重大不确定性得出结论。如果我们得出结</w:t>
      </w:r>
      <w:r>
        <w:rPr>
          <w:spacing w:val="-81"/>
        </w:rPr>
        <w:t> </w:t>
      </w:r>
      <w:r>
        <w:rPr>
          <w:spacing w:val="-81"/>
        </w:rPr>
      </w:r>
      <w:r>
        <w:rPr/>
        <w:t>论认为存在重大不确定性，审计准则要求我们在审计报告中提请报表使用者注意财务报表中的相关披露； </w:t>
      </w:r>
      <w:r>
        <w:rPr>
          <w:spacing w:val="-1"/>
        </w:rPr>
        <w:t>如果披露不充分，我们应当发表非无保留意见。我们的结论基于截至审计报告日可获得的信息。然而，未</w:t>
      </w:r>
      <w:r>
        <w:rPr>
          <w:spacing w:val="-82"/>
        </w:rPr>
        <w:t> </w:t>
      </w:r>
      <w:r>
        <w:rPr>
          <w:spacing w:val="-82"/>
        </w:rPr>
      </w:r>
      <w:r>
        <w:rPr/>
        <w:t>来的事项或情况可能导致美亚柏科公司不能持续经营。</w:t>
      </w:r>
    </w:p>
    <w:p>
      <w:pPr>
        <w:pStyle w:val="BodyText"/>
        <w:spacing w:line="256" w:lineRule="auto" w:before="132"/>
        <w:ind w:left="153" w:right="1128" w:firstLine="495"/>
        <w:jc w:val="both"/>
      </w:pPr>
      <w:r>
        <w:rPr/>
        <w:t>（</w:t>
      </w:r>
      <w:r>
        <w:rPr>
          <w:rFonts w:ascii="Times New Roman" w:hAnsi="Times New Roman" w:cs="Times New Roman" w:eastAsia="Times New Roman" w:hint="default"/>
        </w:rPr>
        <w:t>5</w:t>
      </w:r>
      <w:r>
        <w:rPr/>
        <w:t>）评价财务报表的总体列报、结构和内容（包括披露），并评价财务报表是否公允反映相关交易 和事项。</w:t>
      </w:r>
    </w:p>
    <w:p>
      <w:pPr>
        <w:pStyle w:val="BodyText"/>
        <w:spacing w:line="256" w:lineRule="auto" w:before="142"/>
        <w:ind w:left="153" w:right="1128" w:firstLine="495"/>
        <w:jc w:val="both"/>
      </w:pPr>
      <w:r>
        <w:rPr/>
        <w:t>（</w:t>
      </w:r>
      <w:r>
        <w:rPr>
          <w:rFonts w:ascii="Times New Roman" w:hAnsi="Times New Roman" w:cs="Times New Roman" w:eastAsia="Times New Roman" w:hint="default"/>
        </w:rPr>
        <w:t>6</w:t>
      </w:r>
      <w:r>
        <w:rPr/>
        <w:t>）就美亚柏科公司中实体或业务活动的财务信息获取充分、适当的审计证据，以对财务报表发表 意见。我们负责指导、监督和执行集团审计，并对审计意见承担全部责任。</w:t>
      </w:r>
    </w:p>
    <w:p>
      <w:pPr>
        <w:spacing w:after="0" w:line="256" w:lineRule="auto"/>
        <w:jc w:val="both"/>
        <w:sectPr>
          <w:pgSz w:w="11910" w:h="16840"/>
          <w:pgMar w:header="747" w:footer="982" w:top="1060" w:bottom="118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firstLine="495"/>
        <w:jc w:val="both"/>
      </w:pPr>
      <w:r>
        <w:rPr>
          <w:spacing w:val="-3"/>
        </w:rPr>
        <w:t>我们与治理层就计划的审计范围、时间安排和重大审计发现等事项进行沟通，包括沟通我们在审计中</w:t>
      </w:r>
      <w:r>
        <w:rPr/>
        <w:t> 识别出的值得关注的内部控制缺陷。</w:t>
      </w:r>
    </w:p>
    <w:p>
      <w:pPr>
        <w:pStyle w:val="BodyText"/>
        <w:spacing w:line="273" w:lineRule="auto" w:before="127"/>
        <w:ind w:left="153" w:right="1131" w:firstLine="495"/>
        <w:jc w:val="both"/>
      </w:pPr>
      <w:r>
        <w:rPr>
          <w:spacing w:val="-3"/>
        </w:rPr>
        <w:t>我们还就已遵守与独立性相关的职业道德要求向治理层提供声明，并与治理层沟通可能被合理认为影</w:t>
      </w:r>
      <w:r>
        <w:rPr/>
        <w:t> 响我们独立性的所有关系和其他事项，以及相关的防范措施（如适用）。</w:t>
      </w:r>
    </w:p>
    <w:p>
      <w:pPr>
        <w:pStyle w:val="BodyText"/>
        <w:spacing w:line="273" w:lineRule="auto" w:before="127"/>
        <w:ind w:left="153" w:right="1130" w:firstLine="495"/>
        <w:jc w:val="both"/>
      </w:pPr>
      <w:r>
        <w:rPr>
          <w:spacing w:val="-3"/>
        </w:rPr>
        <w:t>从与治理层沟通过的事项中，我们确定哪些事项对本期财务报表审计最为重要，因而构成关键审计事</w:t>
      </w:r>
      <w:r>
        <w:rPr/>
        <w:t> </w:t>
      </w:r>
      <w:r>
        <w:rPr>
          <w:spacing w:val="-1"/>
        </w:rPr>
        <w:t>项。我们在审计报告中描述这些事项，除非法律法规禁止公开披露这些事项，或在极少数情形下，如果合</w:t>
      </w:r>
      <w:r>
        <w:rPr>
          <w:spacing w:val="-82"/>
        </w:rPr>
        <w:t> </w:t>
      </w:r>
      <w:r>
        <w:rPr>
          <w:spacing w:val="-82"/>
        </w:rPr>
      </w:r>
      <w:r>
        <w:rPr>
          <w:spacing w:val="-1"/>
        </w:rPr>
        <w:t>理预期在审计报告中沟通某事项造成的负面后果超过在公众利益方面产生的益处，我们确定不应在审计报</w:t>
      </w:r>
      <w:r>
        <w:rPr>
          <w:spacing w:val="-81"/>
        </w:rPr>
        <w:t> </w:t>
      </w:r>
      <w:r>
        <w:rPr>
          <w:spacing w:val="-81"/>
        </w:rPr>
      </w:r>
      <w:r>
        <w:rPr/>
        <w:t>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47" w:footer="982" w:top="1060" w:bottom="1180" w:left="980" w:right="0"/>
        </w:sectPr>
      </w:pPr>
    </w:p>
    <w:p>
      <w:pPr>
        <w:pStyle w:val="BodyText"/>
        <w:spacing w:line="240" w:lineRule="auto" w:before="35"/>
        <w:ind w:left="163" w:right="-20"/>
        <w:jc w:val="left"/>
      </w:pPr>
      <w:r>
        <w:rPr/>
        <w:t>致同会计师事务所</w:t>
      </w:r>
    </w:p>
    <w:p>
      <w:pPr>
        <w:pStyle w:val="BodyText"/>
        <w:spacing w:line="240" w:lineRule="auto" w:before="37"/>
        <w:ind w:left="163" w:right="-20"/>
        <w:jc w:val="left"/>
      </w:pPr>
      <w:r>
        <w:rPr/>
        <w:t>（特殊普通合伙）</w:t>
      </w:r>
    </w:p>
    <w:p>
      <w:pPr>
        <w:pStyle w:val="BodyText"/>
        <w:spacing w:line="240" w:lineRule="auto" w:before="35"/>
        <w:ind w:left="163" w:right="0"/>
        <w:jc w:val="left"/>
      </w:pPr>
      <w:r>
        <w:rPr/>
        <w:br w:type="column"/>
      </w:r>
      <w:r>
        <w:rPr/>
        <w:t>中国注册会计师</w:t>
      </w:r>
    </w:p>
    <w:p>
      <w:pPr>
        <w:pStyle w:val="BodyText"/>
        <w:spacing w:line="240" w:lineRule="auto" w:before="37"/>
        <w:ind w:left="163" w:right="0"/>
        <w:jc w:val="left"/>
      </w:pPr>
      <w:r>
        <w:rPr/>
        <w:t>（项目合伙人）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left="163" w:right="0"/>
        <w:jc w:val="left"/>
      </w:pPr>
      <w:r>
        <w:rPr/>
        <w:t>中国注册会计师</w:t>
      </w:r>
    </w:p>
    <w:p>
      <w:pPr>
        <w:spacing w:after="0" w:line="240" w:lineRule="auto"/>
        <w:jc w:val="left"/>
        <w:sectPr>
          <w:type w:val="continuous"/>
          <w:pgSz w:w="11910" w:h="16840"/>
          <w:pgMar w:top="1060" w:bottom="1180" w:left="980" w:right="0"/>
          <w:cols w:num="2" w:equalWidth="0">
            <w:col w:w="1844" w:space="3011"/>
            <w:col w:w="6075"/>
          </w:cols>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tabs>
          <w:tab w:pos="4591" w:val="left" w:leader="none"/>
        </w:tabs>
        <w:spacing w:line="240" w:lineRule="auto" w:before="35"/>
        <w:ind w:left="163" w:right="0"/>
        <w:jc w:val="left"/>
      </w:pPr>
      <w:r>
        <w:rPr>
          <w:spacing w:val="-1"/>
        </w:rPr>
        <w:t>中国</w:t>
      </w:r>
      <w:r>
        <w:rPr>
          <w:rFonts w:ascii="Times New Roman" w:hAnsi="Times New Roman" w:cs="Times New Roman" w:eastAsia="Times New Roman" w:hint="default"/>
          <w:spacing w:val="-1"/>
        </w:rPr>
        <w:t>·</w:t>
      </w:r>
      <w:r>
        <w:rPr>
          <w:spacing w:val="-1"/>
        </w:rPr>
        <w:t>北京</w:t>
        <w:tab/>
      </w:r>
      <w:r>
        <w:rPr/>
        <w:t>二Ｏ一九年三</w:t>
      </w:r>
      <w:r>
        <w:rPr>
          <w:spacing w:val="-21"/>
        </w:rPr>
        <w:t> </w:t>
      </w:r>
      <w:r>
        <w:rPr/>
        <w:t>月二十二日</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二、财务报表</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80" w:left="980" w:right="0"/>
        </w:sectPr>
      </w:pPr>
    </w:p>
    <w:p>
      <w:pPr>
        <w:spacing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编制单位：厦门市美亚柏科信息股份有限公司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80" w:right="0"/>
          <w:cols w:num="3" w:equalWidth="0">
            <w:col w:w="3755" w:space="322"/>
            <w:col w:w="1639" w:space="3203"/>
            <w:col w:w="201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670"/>
        <w:gridCol w:w="1985"/>
        <w:gridCol w:w="1913"/>
      </w:tblGrid>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935,741,411.95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1,084,633,528.50</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625,000,672.55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340,266,410.76</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335,945.60</w:t>
            </w:r>
          </w:p>
        </w:tc>
      </w:tr>
      <w:tr>
        <w:trPr>
          <w:trHeight w:val="403"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0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625,000,672.55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339,930,465.16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670"/>
        <w:gridCol w:w="1985"/>
        <w:gridCol w:w="1913"/>
      </w:tblGrid>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93,038,560.47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36,847,711.88</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71,547,601.94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49,643,700.07</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1,581,027.56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2,902,673.90</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360,520,395.81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353,862,129.55</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25,456,376.09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18,924,521.13</w:t>
            </w:r>
          </w:p>
        </w:tc>
      </w:tr>
      <w:tr>
        <w:trPr>
          <w:trHeight w:val="407"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2,111,305,018.81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1,884,178,001.89</w:t>
            </w:r>
          </w:p>
        </w:tc>
      </w:tr>
      <w:tr>
        <w:trPr>
          <w:trHeight w:val="39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7"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241,452,268.01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290,305,000.00</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14,759,392.18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8,787,819.02</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295,290.17</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269,979,915.61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273,135,664.77</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1,415,526.94</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53,958,244.97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48,156,697.58</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29,428,986.40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11,206,152.76</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542,202,213.88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542,202,213.88</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15,766,831.63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13,993,392.51</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35,071,784.54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39,973,886.38</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128,505,056.03</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1,332,835,510.36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1,227,760,826.90</w:t>
            </w:r>
          </w:p>
        </w:tc>
      </w:tr>
      <w:tr>
        <w:trPr>
          <w:trHeight w:val="407"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3,444,140,529.17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3,111,938,828.79</w:t>
            </w:r>
          </w:p>
        </w:tc>
      </w:tr>
      <w:tr>
        <w:trPr>
          <w:trHeight w:val="39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7"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670"/>
        <w:gridCol w:w="1985"/>
        <w:gridCol w:w="1913"/>
      </w:tblGrid>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238,396,689.30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150,775,965.62</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324,121,092.84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318,267,807.88</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112,794,692.63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100,734,648.29</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72,928,822.67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65,178,834.98</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61,356,640.75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86,384,353.54</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27,714.26</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1,486,502.41</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811,084,440.60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721,341,610.31</w:t>
            </w:r>
          </w:p>
        </w:tc>
      </w:tr>
      <w:tr>
        <w:trPr>
          <w:trHeight w:val="39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7"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17,023,952.45</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28,099,101.81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21,669,515.04</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14,814,023.56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18,527,410.00</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59,937,077.82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40,196,925.04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670"/>
        <w:gridCol w:w="1985"/>
        <w:gridCol w:w="1913"/>
      </w:tblGrid>
      <w:tr>
        <w:trPr>
          <w:trHeight w:val="407"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871,021,518.42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761,538,535.35</w:t>
            </w:r>
          </w:p>
        </w:tc>
      </w:tr>
      <w:tr>
        <w:trPr>
          <w:trHeight w:val="39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7"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794,832,809.00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497,030,706.00</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582,325,767.41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867,218,308.83</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34,813,142.00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73,899,618.00</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131,692,509.57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163,479,285.00</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97,552,177.95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75,039,885.37</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979,094,436.87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797,752,846.82</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2,550,684,558.80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2,326,621,414.02</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22,434,451.95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23,778,879.42</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2,573,119,010.75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2,350,400,293.44</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3,444,140,529.17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3,111,938,828.79</w:t>
            </w:r>
          </w:p>
        </w:tc>
      </w:tr>
    </w:tbl>
    <w:p>
      <w:pPr>
        <w:spacing w:line="240" w:lineRule="auto" w:before="3"/>
        <w:rPr>
          <w:rFonts w:ascii="Times New Roman" w:hAnsi="Times New Roman" w:cs="Times New Roman" w:eastAsia="Times New Roman" w:hint="default"/>
          <w:sz w:val="23"/>
          <w:szCs w:val="23"/>
        </w:rPr>
      </w:pPr>
    </w:p>
    <w:p>
      <w:pPr>
        <w:tabs>
          <w:tab w:pos="3329" w:val="left" w:leader="none"/>
          <w:tab w:pos="7559" w:val="left" w:leader="none"/>
        </w:tabs>
        <w:spacing w:before="44"/>
        <w:ind w:left="0" w:right="1228" w:firstLine="0"/>
        <w:jc w:val="right"/>
        <w:rPr>
          <w:rFonts w:ascii="宋体" w:hAnsi="宋体" w:cs="宋体" w:eastAsia="宋体" w:hint="default"/>
          <w:sz w:val="18"/>
          <w:szCs w:val="18"/>
        </w:rPr>
      </w:pPr>
      <w:r>
        <w:rPr>
          <w:rFonts w:ascii="宋体" w:hAnsi="宋体" w:cs="宋体" w:eastAsia="宋体" w:hint="default"/>
          <w:sz w:val="18"/>
          <w:szCs w:val="18"/>
        </w:rPr>
        <w:t>法定代表人：滕达</w:t>
        <w:tab/>
        <w:t>主管会计工作负责人：张乃军</w:t>
        <w:tab/>
        <w:t>会计机构负责人：陈志友</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7"/>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670"/>
        <w:gridCol w:w="1985"/>
        <w:gridCol w:w="1913"/>
      </w:tblGrid>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7"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7"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671,338,464.42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811,616,351.46</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472,718,923.83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209,900,246.17</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335,945.60</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472,718,923.83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209,564,300.57</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88,106,675.06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31,321,578.82</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55,328,888.55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48,393,816.54</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1,190,298.78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2,691,528.53</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250,238,607.38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268,349,813.66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670"/>
        <w:gridCol w:w="1985"/>
        <w:gridCol w:w="1913"/>
      </w:tblGrid>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20,941,529.76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15,741,220.33</w:t>
            </w:r>
          </w:p>
        </w:tc>
      </w:tr>
      <w:tr>
        <w:trPr>
          <w:trHeight w:val="407"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1,558,673,089.00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1,385,323,026.98</w:t>
            </w:r>
          </w:p>
        </w:tc>
      </w:tr>
      <w:tr>
        <w:trPr>
          <w:trHeight w:val="39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7"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241,452,268.01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290,305,000.00</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942,569,538.76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925,099,754.03</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30,435,171.15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20,130,904.31</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226,582,975.12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242,578,287.39</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1,415,526.94</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47,448,755.91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38,222,861.96</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13,689,656.08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9,556,084.17</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4,364,857.76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1,208,132.10</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22,171,622.64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23,183,017.88</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125,102,556.62</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1,655,232,928.99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1,550,284,041.84</w:t>
            </w:r>
          </w:p>
        </w:tc>
      </w:tr>
      <w:tr>
        <w:trPr>
          <w:trHeight w:val="407"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3,213,906,017.99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2,935,607,068.82</w:t>
            </w:r>
          </w:p>
        </w:tc>
      </w:tr>
      <w:tr>
        <w:trPr>
          <w:trHeight w:val="39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7"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210,089,741.40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114,427,619.87</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289,320,789.48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265,111,411.70</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77,382,831.26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69,079,935.83</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36,873,767.96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26,080,999.43</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50,719,234.60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80,338,199.68</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27,714.26</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670"/>
        <w:gridCol w:w="1985"/>
        <w:gridCol w:w="1913"/>
      </w:tblGrid>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1,486,502.41</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665,872,867.11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555,038,166.51</w:t>
            </w:r>
          </w:p>
        </w:tc>
      </w:tr>
      <w:tr>
        <w:trPr>
          <w:trHeight w:val="39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7"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17,023,952.45</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23,099,101.81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16,669,515.04</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14,632,501.06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18,164,365.00</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54,755,555.32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34,833,880.04</w:t>
            </w:r>
          </w:p>
        </w:tc>
      </w:tr>
      <w:tr>
        <w:trPr>
          <w:trHeight w:val="181" w:hRule="exact"/>
        </w:trPr>
        <w:tc>
          <w:tcPr>
            <w:tcW w:w="5670" w:type="dxa"/>
            <w:tcBorders>
              <w:top w:val="single" w:sz="4" w:space="0" w:color="000000"/>
              <w:left w:val="single" w:sz="4" w:space="0" w:color="000000"/>
              <w:bottom w:val="nil" w:sz="6" w:space="0" w:color="auto"/>
              <w:right w:val="single" w:sz="4" w:space="0" w:color="000000"/>
            </w:tcBorders>
            <w:shd w:val="clear" w:color="auto" w:fill="D3D3D3"/>
          </w:tcPr>
          <w:p>
            <w:pP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91"/>
              <w:ind w:left="825" w:right="0"/>
              <w:jc w:val="left"/>
              <w:rPr>
                <w:rFonts w:ascii="Times New Roman" w:hAnsi="Times New Roman" w:cs="Times New Roman" w:eastAsia="Times New Roman" w:hint="default"/>
                <w:sz w:val="18"/>
                <w:szCs w:val="18"/>
              </w:rPr>
            </w:pPr>
            <w:r>
              <w:rPr>
                <w:rFonts w:ascii="Times New Roman"/>
                <w:sz w:val="18"/>
              </w:rPr>
              <w:t>720,628,422.43</w:t>
            </w:r>
          </w:p>
        </w:tc>
        <w:tc>
          <w:tcPr>
            <w:tcW w:w="191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755" w:right="0"/>
              <w:jc w:val="left"/>
              <w:rPr>
                <w:rFonts w:ascii="Times New Roman" w:hAnsi="Times New Roman" w:cs="Times New Roman" w:eastAsia="Times New Roman" w:hint="default"/>
                <w:sz w:val="18"/>
                <w:szCs w:val="18"/>
              </w:rPr>
            </w:pPr>
            <w:r>
              <w:rPr>
                <w:rFonts w:ascii="Times New Roman"/>
                <w:sz w:val="18"/>
              </w:rPr>
              <w:t>589,872,046.55</w:t>
            </w:r>
          </w:p>
        </w:tc>
      </w:tr>
      <w:tr>
        <w:trPr>
          <w:trHeight w:val="392" w:hRule="exact"/>
        </w:trPr>
        <w:tc>
          <w:tcPr>
            <w:tcW w:w="56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8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r>
      <w:tr>
        <w:trPr>
          <w:trHeight w:val="186" w:hRule="exact"/>
        </w:trPr>
        <w:tc>
          <w:tcPr>
            <w:tcW w:w="5670" w:type="dxa"/>
            <w:tcBorders>
              <w:top w:val="nil" w:sz="6" w:space="0" w:color="auto"/>
              <w:left w:val="single" w:sz="4" w:space="0" w:color="000000"/>
              <w:bottom w:val="single" w:sz="4" w:space="0" w:color="000000"/>
              <w:right w:val="single" w:sz="4" w:space="0" w:color="000000"/>
            </w:tcBorders>
            <w:shd w:val="clear" w:color="auto" w:fill="D3D3D3"/>
          </w:tcPr>
          <w:p>
            <w:pPr/>
          </w:p>
        </w:tc>
        <w:tc>
          <w:tcPr>
            <w:tcW w:w="1985"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r>
        <w:trPr>
          <w:trHeight w:val="397"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794,832,809.00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497,030,706.00</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810,125,909.65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1,093,447,268.51</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34,813,142.00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73,899,618.00</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131,692,509.57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163,479,285.00</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97,552,177.95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75,039,885.37</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693,887,331.39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590,637,495.39</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2,493,277,595.56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2,345,735,022.27</w:t>
            </w:r>
          </w:p>
        </w:tc>
      </w:tr>
      <w:tr>
        <w:trPr>
          <w:trHeight w:val="403"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3,213,906,017.99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2,935,607,068.82</w:t>
            </w:r>
          </w:p>
        </w:tc>
      </w:tr>
    </w:tbl>
    <w:p>
      <w:pPr>
        <w:spacing w:line="240" w:lineRule="auto" w:before="8"/>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670"/>
        <w:gridCol w:w="1985"/>
        <w:gridCol w:w="1913"/>
      </w:tblGrid>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670"/>
        <w:gridCol w:w="1985"/>
        <w:gridCol w:w="1913"/>
      </w:tblGrid>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1,600,584,391.00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1,336,640,411.37</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1,600,584,391.00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1,336,640,411.37</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1,418,994,311.96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1,111,209,943.25</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648,316,430.88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478,816,760.55</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17,584,819.49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15,813,959.47</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251,270,923.81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197,741,086.53</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246,412,935.07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199,277,941.65</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223,666,196.45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170,646,456.29</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-9,706,348.65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-12,193,954.25</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141,692.76</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4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9,459,065.73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12,908,778.14</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41,449,354.91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61,107,693.01</w:t>
            </w:r>
          </w:p>
        </w:tc>
      </w:tr>
      <w:tr>
        <w:trPr>
          <w:trHeight w:val="754"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78,376,623.71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73,286,759.91</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73,224,503.41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-811,155.33</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675"/>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-5,243,482.07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-2,690,548.33</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697"/>
              <w:jc w:val="right"/>
              <w:rPr>
                <w:rFonts w:ascii="宋体" w:hAnsi="宋体" w:cs="宋体" w:eastAsia="宋体" w:hint="default"/>
                <w:sz w:val="18"/>
                <w:szCs w:val="18"/>
              </w:rPr>
            </w:pPr>
            <w:r>
              <w:rPr>
                <w:rFonts w:ascii="宋体" w:hAnsi="宋体" w:cs="宋体" w:eastAsia="宋体" w:hint="default"/>
                <w:spacing w:val="-1"/>
                <w:sz w:val="18"/>
                <w:szCs w:val="18"/>
              </w:rPr>
              <w:t>公允价值变动收益（损失以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3,433.41</w:t>
            </w:r>
          </w:p>
        </w:tc>
      </w:tr>
      <w:tr>
        <w:trPr>
          <w:trHeight w:val="754"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333,191,206.16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297,909,506.11</w:t>
            </w:r>
          </w:p>
        </w:tc>
      </w:tr>
      <w:tr>
        <w:trPr>
          <w:trHeight w:val="754"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227,354.81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166,394.63</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5,424,677.60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1,241,182.76</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327,993,883.37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296,834,717.98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670"/>
        <w:gridCol w:w="1985"/>
        <w:gridCol w:w="1913"/>
      </w:tblGrid>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25,897,583.79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34,529,844.40</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302,096,299.58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262,304,873.58</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302,096,299.58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262,304,873.58</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181" w:hRule="exact"/>
        </w:trPr>
        <w:tc>
          <w:tcPr>
            <w:tcW w:w="5670" w:type="dxa"/>
            <w:tcBorders>
              <w:top w:val="single" w:sz="4" w:space="0" w:color="000000"/>
              <w:left w:val="single" w:sz="4" w:space="0" w:color="000000"/>
              <w:bottom w:val="nil" w:sz="6" w:space="0" w:color="auto"/>
              <w:right w:val="single" w:sz="4" w:space="0" w:color="000000"/>
            </w:tcBorders>
            <w:shd w:val="clear" w:color="auto" w:fill="D3D3D3"/>
          </w:tcPr>
          <w:p>
            <w:pP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91"/>
              <w:ind w:left="825" w:right="0"/>
              <w:jc w:val="left"/>
              <w:rPr>
                <w:rFonts w:ascii="Times New Roman" w:hAnsi="Times New Roman" w:cs="Times New Roman" w:eastAsia="Times New Roman" w:hint="default"/>
                <w:sz w:val="18"/>
                <w:szCs w:val="18"/>
              </w:rPr>
            </w:pPr>
            <w:r>
              <w:rPr>
                <w:rFonts w:ascii="Times New Roman"/>
                <w:sz w:val="18"/>
              </w:rPr>
              <w:t>303,214,679.83</w:t>
            </w:r>
          </w:p>
        </w:tc>
        <w:tc>
          <w:tcPr>
            <w:tcW w:w="191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755" w:right="0"/>
              <w:jc w:val="left"/>
              <w:rPr>
                <w:rFonts w:ascii="Times New Roman" w:hAnsi="Times New Roman" w:cs="Times New Roman" w:eastAsia="Times New Roman" w:hint="default"/>
                <w:sz w:val="18"/>
                <w:szCs w:val="18"/>
              </w:rPr>
            </w:pPr>
            <w:r>
              <w:rPr>
                <w:rFonts w:ascii="Times New Roman"/>
                <w:sz w:val="18"/>
              </w:rPr>
              <w:t>271,716,271.45</w:t>
            </w:r>
          </w:p>
        </w:tc>
      </w:tr>
      <w:tr>
        <w:trPr>
          <w:trHeight w:val="392" w:hRule="exact"/>
        </w:trPr>
        <w:tc>
          <w:tcPr>
            <w:tcW w:w="56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98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r>
      <w:tr>
        <w:trPr>
          <w:trHeight w:val="181" w:hRule="exact"/>
        </w:trPr>
        <w:tc>
          <w:tcPr>
            <w:tcW w:w="5670" w:type="dxa"/>
            <w:tcBorders>
              <w:top w:val="nil" w:sz="6" w:space="0" w:color="auto"/>
              <w:left w:val="single" w:sz="4" w:space="0" w:color="000000"/>
              <w:bottom w:val="single" w:sz="4" w:space="0" w:color="000000"/>
              <w:right w:val="single" w:sz="4" w:space="0" w:color="000000"/>
            </w:tcBorders>
            <w:shd w:val="clear" w:color="auto" w:fill="D3D3D3"/>
          </w:tcPr>
          <w:p>
            <w:pPr/>
          </w:p>
        </w:tc>
        <w:tc>
          <w:tcPr>
            <w:tcW w:w="1985"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-1,118,380.25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-9,411,397.87</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-31,786,775.43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163,479,285.00</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-31,786,775.43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163,479,285.00</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-31,786,775.43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163,479,285.00</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-31,786,775.43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163,479,285.00</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270,309,524.15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425,784,158.58</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271,427,904.40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435,195,556.45</w:t>
            </w:r>
          </w:p>
        </w:tc>
      </w:tr>
      <w:tr>
        <w:trPr>
          <w:trHeight w:val="407"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-1,118,380.25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-9,411,397.87</w:t>
            </w:r>
          </w:p>
        </w:tc>
      </w:tr>
      <w:tr>
        <w:trPr>
          <w:trHeight w:val="397"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0.350</w:t>
            </w:r>
          </w:p>
        </w:tc>
      </w:tr>
      <w:tr>
        <w:trPr>
          <w:trHeight w:val="403"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0.350</w:t>
            </w:r>
          </w:p>
        </w:tc>
      </w:tr>
    </w:tbl>
    <w:p>
      <w:pPr>
        <w:tabs>
          <w:tab w:pos="3483" w:val="left" w:leader="none"/>
          <w:tab w:pos="7713" w:val="left" w:leader="none"/>
        </w:tabs>
        <w:spacing w:line="592" w:lineRule="auto" w:before="51"/>
        <w:ind w:left="153" w:right="1228" w:firstLine="0"/>
        <w:jc w:val="both"/>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元。 法定代表人：滕达</w:t>
        <w:tab/>
        <w:t>主管会计工作负责人：张乃军</w:t>
        <w:tab/>
        <w:t>会计机构负责人：陈志友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670"/>
        <w:gridCol w:w="1985"/>
        <w:gridCol w:w="1913"/>
      </w:tblGrid>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3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1,130,469,268.94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939,988,382.84</w:t>
            </w:r>
          </w:p>
        </w:tc>
      </w:tr>
      <w:tr>
        <w:trPr>
          <w:trHeight w:val="403"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575,837,304.08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404,067,231.13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670"/>
        <w:gridCol w:w="1985"/>
        <w:gridCol w:w="1913"/>
      </w:tblGrid>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12,553,384.99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10,100,951.81</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159,103,235.01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124,835,165.72</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151,960,520.88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124,343,073.27</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127,148,999.66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87,106,766.64</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-7,435,452.95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-10,121,589.74</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80,968.10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7,137,621.14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10,525,746.69</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27,994,906.46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53,587,832.61</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53,420,637.74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51,419,112.84</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106,081,639.51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365,565.82</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-2,386,345.97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-1,513,827.18</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242,808,648.06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197,853,630.06</w:t>
            </w:r>
          </w:p>
        </w:tc>
      </w:tr>
      <w:tr>
        <w:trPr>
          <w:trHeight w:val="754"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201,236.89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0"/>
              <w:jc w:val="right"/>
              <w:rPr>
                <w:rFonts w:ascii="Arial Narrow" w:hAnsi="Arial Narrow" w:cs="Arial Narrow" w:eastAsia="Arial Narrow" w:hint="default"/>
                <w:sz w:val="18"/>
                <w:szCs w:val="18"/>
              </w:rPr>
            </w:pPr>
            <w:r>
              <w:rPr>
                <w:rFonts w:ascii="Arial Narrow"/>
                <w:spacing w:val="-1"/>
                <w:sz w:val="18"/>
              </w:rPr>
              <w:t>15,874.09</w:t>
            </w:r>
            <w:r>
              <w:rPr>
                <w:rFonts w:ascii="Arial Narrow"/>
                <w:sz w:val="18"/>
              </w:rPr>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5,225,014.35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1,026,022.36</w:t>
            </w:r>
          </w:p>
        </w:tc>
      </w:tr>
      <w:tr>
        <w:trPr>
          <w:trHeight w:val="754"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237,784,870.60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196,843,481.79</w:t>
            </w:r>
          </w:p>
        </w:tc>
      </w:tr>
      <w:tr>
        <w:trPr>
          <w:trHeight w:val="754"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12,661,944.82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17,869,619.27</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225,122,925.78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178,973,862.52</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225,122,925.78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178,973,862.52</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-31,786,775.43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163,479,285.00</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-31,786,775.43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163,479,285.00</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-31,786,775.43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163,479,285.00</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670"/>
        <w:gridCol w:w="1985"/>
        <w:gridCol w:w="1913"/>
      </w:tblGrid>
      <w:tr>
        <w:trPr>
          <w:trHeight w:val="181" w:hRule="exact"/>
        </w:trPr>
        <w:tc>
          <w:tcPr>
            <w:tcW w:w="5670" w:type="dxa"/>
            <w:tcBorders>
              <w:top w:val="single" w:sz="4" w:space="0" w:color="000000"/>
              <w:left w:val="single" w:sz="4" w:space="0" w:color="000000"/>
              <w:bottom w:val="nil" w:sz="6" w:space="0" w:color="auto"/>
              <w:right w:val="single" w:sz="4" w:space="0" w:color="000000"/>
            </w:tcBorders>
            <w:shd w:val="clear" w:color="auto" w:fill="D3D3D3"/>
          </w:tcPr>
          <w:p>
            <w:pP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91"/>
              <w:ind w:left="825" w:right="0"/>
              <w:jc w:val="left"/>
              <w:rPr>
                <w:rFonts w:ascii="Times New Roman" w:hAnsi="Times New Roman" w:cs="Times New Roman" w:eastAsia="Times New Roman" w:hint="default"/>
                <w:sz w:val="18"/>
                <w:szCs w:val="18"/>
              </w:rPr>
            </w:pPr>
            <w:r>
              <w:rPr>
                <w:rFonts w:ascii="Times New Roman"/>
                <w:sz w:val="18"/>
              </w:rPr>
              <w:t>193,336,150.35</w:t>
            </w:r>
          </w:p>
        </w:tc>
        <w:tc>
          <w:tcPr>
            <w:tcW w:w="191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755" w:right="0"/>
              <w:jc w:val="left"/>
              <w:rPr>
                <w:rFonts w:ascii="Times New Roman" w:hAnsi="Times New Roman" w:cs="Times New Roman" w:eastAsia="Times New Roman" w:hint="default"/>
                <w:sz w:val="18"/>
                <w:szCs w:val="18"/>
              </w:rPr>
            </w:pPr>
            <w:r>
              <w:rPr>
                <w:rFonts w:ascii="Times New Roman"/>
                <w:sz w:val="18"/>
              </w:rPr>
              <w:t>342,453,147.52</w:t>
            </w:r>
          </w:p>
        </w:tc>
      </w:tr>
      <w:tr>
        <w:trPr>
          <w:trHeight w:val="392" w:hRule="exact"/>
        </w:trPr>
        <w:tc>
          <w:tcPr>
            <w:tcW w:w="56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198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r>
      <w:tr>
        <w:trPr>
          <w:trHeight w:val="186" w:hRule="exact"/>
        </w:trPr>
        <w:tc>
          <w:tcPr>
            <w:tcW w:w="5670" w:type="dxa"/>
            <w:tcBorders>
              <w:top w:val="nil" w:sz="6" w:space="0" w:color="auto"/>
              <w:left w:val="single" w:sz="4" w:space="0" w:color="000000"/>
              <w:bottom w:val="single" w:sz="4" w:space="0" w:color="000000"/>
              <w:right w:val="single" w:sz="4" w:space="0" w:color="000000"/>
            </w:tcBorders>
            <w:shd w:val="clear" w:color="auto" w:fill="D3D3D3"/>
          </w:tcPr>
          <w:p>
            <w:pPr/>
          </w:p>
        </w:tc>
        <w:tc>
          <w:tcPr>
            <w:tcW w:w="1985"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r>
        <w:trPr>
          <w:trHeight w:val="397"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3655"/>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3655"/>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670"/>
        <w:gridCol w:w="1985"/>
        <w:gridCol w:w="1913"/>
      </w:tblGrid>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7"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7"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1,512,395,929.58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1,403,740,916.86</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处置以公允价值计量且其变动计入当期损益的金融资产净增加额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46,496,284.81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48,567,466.40</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39,899,881.93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30,605,491.77</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1,598,792,096.32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1,482,913,875.03</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735,036,300.10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616,167,821.72</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478,551,952.33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349,694,307.55</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149,032,269.18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167,335,607.01</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Narrow" w:hAnsi="Arial Narrow" w:cs="Arial Narrow" w:eastAsia="Arial Narrow" w:hint="default"/>
                <w:sz w:val="18"/>
                <w:szCs w:val="18"/>
              </w:rPr>
            </w:pPr>
            <w:r>
              <w:rPr>
                <w:rFonts w:ascii="Arial Narrow"/>
                <w:spacing w:val="-1"/>
                <w:sz w:val="18"/>
              </w:rPr>
              <w:t>164,322,320.04</w:t>
            </w:r>
            <w:r>
              <w:rPr>
                <w:rFonts w:ascii="Arial Narrow"/>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149,771,950.74</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Narrow" w:hAnsi="Arial Narrow" w:cs="Arial Narrow" w:eastAsia="Arial Narrow" w:hint="default"/>
                <w:sz w:val="18"/>
                <w:szCs w:val="18"/>
              </w:rPr>
            </w:pPr>
            <w:r>
              <w:rPr>
                <w:rFonts w:ascii="Arial Narrow"/>
                <w:spacing w:val="-1"/>
                <w:sz w:val="18"/>
              </w:rPr>
              <w:t>1,526,942,841.65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1,282,969,687.02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670"/>
        <w:gridCol w:w="1985"/>
        <w:gridCol w:w="1913"/>
      </w:tblGrid>
      <w:tr>
        <w:trPr>
          <w:trHeight w:val="407"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Narrow" w:hAnsi="Arial Narrow" w:cs="Arial Narrow" w:eastAsia="Arial Narrow" w:hint="default"/>
                <w:sz w:val="18"/>
                <w:szCs w:val="18"/>
              </w:rPr>
            </w:pPr>
            <w:r>
              <w:rPr>
                <w:rFonts w:ascii="Arial Narrow"/>
                <w:spacing w:val="-1"/>
                <w:sz w:val="18"/>
              </w:rPr>
              <w:t>71,849,254.67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199,944,188.01</w:t>
            </w:r>
          </w:p>
        </w:tc>
      </w:tr>
      <w:tr>
        <w:trPr>
          <w:trHeight w:val="39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7"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792,064,440.50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862,815,899.17</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78,888,598.75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10,637,354.70</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6,641.02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16,000.00</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870,959,680.27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873,469,253.87</w:t>
            </w:r>
          </w:p>
        </w:tc>
      </w:tr>
      <w:tr>
        <w:trPr>
          <w:trHeight w:val="161" w:hRule="exact"/>
        </w:trPr>
        <w:tc>
          <w:tcPr>
            <w:tcW w:w="5670" w:type="dxa"/>
            <w:tcBorders>
              <w:top w:val="single" w:sz="4" w:space="0" w:color="000000"/>
              <w:left w:val="single" w:sz="4" w:space="0" w:color="000000"/>
              <w:bottom w:val="nil" w:sz="6" w:space="0" w:color="auto"/>
              <w:right w:val="single" w:sz="4" w:space="0" w:color="000000"/>
            </w:tcBorders>
            <w:shd w:val="clear" w:color="auto" w:fill="D3D3D3"/>
          </w:tcPr>
          <w:p>
            <w:pP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51"/>
              <w:ind w:left="926" w:right="0"/>
              <w:jc w:val="left"/>
              <w:rPr>
                <w:rFonts w:ascii="Arial Narrow" w:hAnsi="Arial Narrow" w:cs="Arial Narrow" w:eastAsia="Arial Narrow" w:hint="default"/>
                <w:sz w:val="18"/>
                <w:szCs w:val="18"/>
              </w:rPr>
            </w:pPr>
            <w:r>
              <w:rPr>
                <w:rFonts w:ascii="Arial Narrow"/>
                <w:sz w:val="18"/>
              </w:rPr>
              <w:t>232,373,868.33</w:t>
            </w:r>
          </w:p>
        </w:tc>
        <w:tc>
          <w:tcPr>
            <w:tcW w:w="191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45" w:right="0"/>
              <w:jc w:val="left"/>
              <w:rPr>
                <w:rFonts w:ascii="Times New Roman" w:hAnsi="Times New Roman" w:cs="Times New Roman" w:eastAsia="Times New Roman" w:hint="default"/>
                <w:sz w:val="18"/>
                <w:szCs w:val="18"/>
              </w:rPr>
            </w:pPr>
            <w:r>
              <w:rPr>
                <w:rFonts w:ascii="Times New Roman"/>
                <w:sz w:val="18"/>
              </w:rPr>
              <w:t>78,985,034.81</w:t>
            </w:r>
          </w:p>
        </w:tc>
      </w:tr>
      <w:tr>
        <w:trPr>
          <w:trHeight w:val="392" w:hRule="exact"/>
        </w:trPr>
        <w:tc>
          <w:tcPr>
            <w:tcW w:w="56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98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r>
      <w:tr>
        <w:trPr>
          <w:trHeight w:val="161" w:hRule="exact"/>
        </w:trPr>
        <w:tc>
          <w:tcPr>
            <w:tcW w:w="5670" w:type="dxa"/>
            <w:tcBorders>
              <w:top w:val="nil" w:sz="6" w:space="0" w:color="auto"/>
              <w:left w:val="single" w:sz="4" w:space="0" w:color="000000"/>
              <w:bottom w:val="single" w:sz="4" w:space="0" w:color="000000"/>
              <w:right w:val="single" w:sz="4" w:space="0" w:color="000000"/>
            </w:tcBorders>
            <w:shd w:val="clear" w:color="auto" w:fill="D3D3D3"/>
          </w:tcPr>
          <w:p>
            <w:pPr/>
          </w:p>
        </w:tc>
        <w:tc>
          <w:tcPr>
            <w:tcW w:w="1985"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610,735,318.40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960,386,968.80</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Narrow" w:hAnsi="Arial Narrow" w:cs="Arial Narrow" w:eastAsia="Arial Narrow" w:hint="default"/>
                <w:sz w:val="18"/>
                <w:szCs w:val="18"/>
              </w:rPr>
            </w:pPr>
            <w:r>
              <w:rPr>
                <w:rFonts w:ascii="Arial Narrow"/>
                <w:spacing w:val="-1"/>
                <w:sz w:val="18"/>
              </w:rPr>
              <w:t>843,109,186.73</w:t>
            </w:r>
            <w:r>
              <w:rPr>
                <w:rFonts w:ascii="Arial Narrow"/>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1,039,372,003.61</w:t>
            </w:r>
          </w:p>
        </w:tc>
      </w:tr>
      <w:tr>
        <w:trPr>
          <w:trHeight w:val="407"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Narrow" w:hAnsi="Arial Narrow" w:cs="Arial Narrow" w:eastAsia="Arial Narrow" w:hint="default"/>
                <w:sz w:val="18"/>
                <w:szCs w:val="18"/>
              </w:rPr>
            </w:pPr>
            <w:r>
              <w:rPr>
                <w:rFonts w:ascii="Arial Narrow"/>
                <w:spacing w:val="-1"/>
                <w:sz w:val="18"/>
              </w:rPr>
              <w:t>27,850,493.54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-165,902,749.74</w:t>
            </w:r>
          </w:p>
        </w:tc>
      </w:tr>
      <w:tr>
        <w:trPr>
          <w:trHeight w:val="39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7"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22,102,942.00</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3,165,000.00</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18,631,080.00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5,880,800.00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24,511,880.00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22,102,942.00</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120,625.14</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99,474,775.70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19,853,620.24</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2,179,620.00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5,158,385.00</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101,775,020.84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25,012,005.24</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-77,263,140.84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-2,909,063.24</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692,084.49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-593,134.06</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23,128,691.86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30,539,240.97</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254,005,741.92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223,466,500.95</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277,134,433.78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254,005,741.92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1"/>
        <w:rPr>
          <w:rFonts w:ascii="Times New Roman" w:hAnsi="Times New Roman" w:cs="Times New Roman" w:eastAsia="Times New Roman" w:hint="default"/>
          <w:sz w:val="28"/>
          <w:szCs w:val="28"/>
        </w:rPr>
      </w:pPr>
    </w:p>
    <w:p>
      <w:pPr>
        <w:pStyle w:val="Heading3"/>
        <w:spacing w:line="240" w:lineRule="auto" w:before="35"/>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670"/>
        <w:gridCol w:w="1985"/>
        <w:gridCol w:w="1913"/>
      </w:tblGrid>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3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1,035,592,970.72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960,707,959.28</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35,705,234.55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32,211,550.79</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27,148,986.70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20,685,600.46</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1,098,447,191.97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1,013,605,110.53</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619,191,833.36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518,729,639.85</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281,080,015.37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200,901,666.92</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89,876,124.25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91,782,154.86</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79,380,639.43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88,776,802.90</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1,069,528,612.41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900,190,264.53</w:t>
            </w:r>
          </w:p>
        </w:tc>
      </w:tr>
      <w:tr>
        <w:trPr>
          <w:trHeight w:val="407"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28,918,579.56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113,414,846.00</w:t>
            </w:r>
          </w:p>
        </w:tc>
      </w:tr>
      <w:tr>
        <w:trPr>
          <w:trHeight w:val="397"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623,240,419.32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693,869,857.67</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107,186,658.28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9,478,504.86</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730,427,077.60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703,358,362.53</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200,295,385.67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60,167,125.05</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520,859,000.00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733,710,000.00</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721,154,385.67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793,877,125.05</w:t>
            </w:r>
          </w:p>
        </w:tc>
      </w:tr>
      <w:tr>
        <w:trPr>
          <w:trHeight w:val="407"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9,272,691.93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-90,518,762.52</w:t>
            </w:r>
          </w:p>
        </w:tc>
      </w:tr>
      <w:tr>
        <w:trPr>
          <w:trHeight w:val="397"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8,937,942.00</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18,631,080.00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5,880,800.00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24,511,880.00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8,937,942.00</w:t>
            </w:r>
          </w:p>
        </w:tc>
      </w:tr>
      <w:tr>
        <w:trPr>
          <w:trHeight w:val="403"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120,625.14</w:t>
            </w: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209" w:type="dxa"/>
        <w:tblLayout w:type="fixed"/>
        <w:tblCellMar>
          <w:top w:w="0" w:type="dxa"/>
          <w:left w:w="0" w:type="dxa"/>
          <w:bottom w:w="0" w:type="dxa"/>
          <w:right w:w="0" w:type="dxa"/>
        </w:tblCellMar>
        <w:tblLook w:val="01E0"/>
      </w:tblPr>
      <w:tblGrid>
        <w:gridCol w:w="5670"/>
        <w:gridCol w:w="1985"/>
        <w:gridCol w:w="1913"/>
      </w:tblGrid>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99,414,051.04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19,853,620.24</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2,179,620.00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8,082,085.00</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101,714,296.18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27,935,705.24</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-77,202,416.18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-18,997,763.24</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525,803.28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-466,144.65</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-38,485,341.41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3,432,175.59</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156,236,316.37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152,804,140.78</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117,750,974.96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156,236,316.37</w:t>
            </w:r>
          </w:p>
        </w:tc>
      </w:tr>
    </w:tbl>
    <w:p>
      <w:pPr>
        <w:spacing w:line="240" w:lineRule="auto" w:before="1"/>
        <w:rPr>
          <w:rFonts w:ascii="宋体" w:hAnsi="宋体" w:cs="宋体" w:eastAsia="宋体" w:hint="default"/>
          <w:sz w:val="19"/>
          <w:szCs w:val="19"/>
        </w:rPr>
      </w:pPr>
    </w:p>
    <w:p>
      <w:pPr>
        <w:pStyle w:val="Heading3"/>
        <w:spacing w:line="240" w:lineRule="auto" w:before="35"/>
        <w:ind w:left="214" w:right="1021"/>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214" w:right="1021"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1438"/>
        <w:gridCol w:w="690"/>
        <w:gridCol w:w="566"/>
        <w:gridCol w:w="425"/>
        <w:gridCol w:w="425"/>
        <w:gridCol w:w="714"/>
        <w:gridCol w:w="704"/>
        <w:gridCol w:w="708"/>
        <w:gridCol w:w="582"/>
        <w:gridCol w:w="664"/>
        <w:gridCol w:w="456"/>
        <w:gridCol w:w="708"/>
        <w:gridCol w:w="709"/>
        <w:gridCol w:w="781"/>
      </w:tblGrid>
      <w:tr>
        <w:trPr>
          <w:trHeight w:val="402" w:hRule="exact"/>
        </w:trPr>
        <w:tc>
          <w:tcPr>
            <w:tcW w:w="1438" w:type="dxa"/>
            <w:vMerge w:val="restart"/>
            <w:tcBorders>
              <w:top w:val="single" w:sz="4" w:space="0" w:color="000000"/>
              <w:left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tcPr>
          <w:p>
            <w:pPr/>
          </w:p>
        </w:tc>
        <w:tc>
          <w:tcPr>
            <w:tcW w:w="664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709" w:type="dxa"/>
            <w:vMerge w:val="restart"/>
            <w:tcBorders>
              <w:top w:val="single" w:sz="4" w:space="0" w:color="000000"/>
              <w:left w:val="single" w:sz="4" w:space="0" w:color="000000"/>
              <w:right w:val="single" w:sz="4" w:space="0" w:color="000000"/>
            </w:tcBorders>
          </w:tcPr>
          <w:p>
            <w:pPr>
              <w:pStyle w:val="TableParagraph"/>
              <w:spacing w:line="319" w:lineRule="auto" w:before="51"/>
              <w:ind w:left="169" w:right="168"/>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781" w:type="dxa"/>
            <w:vMerge w:val="restart"/>
            <w:tcBorders>
              <w:top w:val="single" w:sz="4" w:space="0" w:color="000000"/>
              <w:left w:val="single" w:sz="4" w:space="0" w:color="000000"/>
              <w:right w:val="single" w:sz="4" w:space="0" w:color="000000"/>
            </w:tcBorders>
          </w:tcPr>
          <w:p>
            <w:pPr>
              <w:pStyle w:val="TableParagraph"/>
              <w:spacing w:line="319" w:lineRule="auto" w:before="51"/>
              <w:ind w:left="115" w:right="114"/>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14" w:type="dxa"/>
            <w:vMerge w:val="restart"/>
            <w:tcBorders>
              <w:top w:val="single" w:sz="4" w:space="0" w:color="000000"/>
              <w:left w:val="single" w:sz="4" w:space="0" w:color="000000"/>
              <w:right w:val="single" w:sz="4" w:space="0" w:color="000000"/>
            </w:tcBorders>
          </w:tcPr>
          <w:p>
            <w:pPr>
              <w:pStyle w:val="TableParagraph"/>
              <w:spacing w:line="319" w:lineRule="auto" w:before="51"/>
              <w:ind w:left="171" w:right="170"/>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704" w:type="dxa"/>
            <w:vMerge w:val="restart"/>
            <w:tcBorders>
              <w:top w:val="single" w:sz="4" w:space="0" w:color="000000"/>
              <w:left w:val="single" w:sz="4" w:space="0" w:color="000000"/>
              <w:right w:val="single" w:sz="4" w:space="0" w:color="000000"/>
            </w:tcBorders>
          </w:tcPr>
          <w:p>
            <w:pPr>
              <w:pStyle w:val="TableParagraph"/>
              <w:spacing w:line="319" w:lineRule="auto" w:before="51"/>
              <w:ind w:left="165" w:right="101" w:hanging="64"/>
              <w:jc w:val="left"/>
              <w:rPr>
                <w:rFonts w:ascii="宋体" w:hAnsi="宋体" w:cs="宋体" w:eastAsia="宋体" w:hint="default"/>
                <w:sz w:val="18"/>
                <w:szCs w:val="18"/>
              </w:rPr>
            </w:pPr>
            <w:r>
              <w:rPr>
                <w:rFonts w:ascii="宋体" w:hAnsi="宋体" w:cs="宋体" w:eastAsia="宋体" w:hint="default"/>
                <w:spacing w:val="-17"/>
                <w:sz w:val="18"/>
                <w:szCs w:val="18"/>
              </w:rPr>
              <w:t>减：库</w:t>
            </w:r>
            <w:r>
              <w:rPr>
                <w:rFonts w:ascii="宋体" w:hAnsi="宋体" w:cs="宋体" w:eastAsia="宋体" w:hint="default"/>
                <w:sz w:val="18"/>
                <w:szCs w:val="18"/>
              </w:rPr>
              <w:t> 存股</w:t>
            </w:r>
          </w:p>
        </w:tc>
        <w:tc>
          <w:tcPr>
            <w:tcW w:w="708" w:type="dxa"/>
            <w:vMerge w:val="restart"/>
            <w:tcBorders>
              <w:top w:val="single" w:sz="4" w:space="0" w:color="000000"/>
              <w:left w:val="single" w:sz="4" w:space="0" w:color="000000"/>
              <w:right w:val="single" w:sz="4" w:space="0" w:color="000000"/>
            </w:tcBorders>
          </w:tcPr>
          <w:p>
            <w:pPr>
              <w:pStyle w:val="TableParagraph"/>
              <w:spacing w:line="319" w:lineRule="auto" w:before="51"/>
              <w:ind w:left="169" w:right="167"/>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2" w:type="dxa"/>
            <w:vMerge w:val="restart"/>
            <w:tcBorders>
              <w:top w:val="single" w:sz="4" w:space="0" w:color="000000"/>
              <w:left w:val="single" w:sz="4" w:space="0" w:color="000000"/>
              <w:right w:val="single" w:sz="4" w:space="0" w:color="000000"/>
            </w:tcBorders>
          </w:tcPr>
          <w:p>
            <w:pPr>
              <w:pStyle w:val="TableParagraph"/>
              <w:spacing w:line="319" w:lineRule="auto" w:before="51"/>
              <w:ind w:left="105" w:right="104"/>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4" w:type="dxa"/>
            <w:vMerge w:val="restart"/>
            <w:tcBorders>
              <w:top w:val="single" w:sz="4" w:space="0" w:color="000000"/>
              <w:left w:val="single" w:sz="4" w:space="0" w:color="000000"/>
              <w:right w:val="single" w:sz="4" w:space="0" w:color="000000"/>
            </w:tcBorders>
          </w:tcPr>
          <w:p>
            <w:pPr>
              <w:pStyle w:val="TableParagraph"/>
              <w:spacing w:line="319" w:lineRule="auto" w:before="51"/>
              <w:ind w:left="146" w:right="145"/>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456" w:type="dxa"/>
            <w:vMerge w:val="restart"/>
            <w:tcBorders>
              <w:top w:val="single" w:sz="4" w:space="0" w:color="000000"/>
              <w:left w:val="single" w:sz="4" w:space="0" w:color="000000"/>
              <w:right w:val="single" w:sz="4" w:space="0" w:color="000000"/>
            </w:tcBorders>
          </w:tcPr>
          <w:p>
            <w:pPr>
              <w:pStyle w:val="TableParagraph"/>
              <w:spacing w:line="319" w:lineRule="auto" w:before="51"/>
              <w:ind w:left="131" w:right="132"/>
              <w:jc w:val="both"/>
              <w:rPr>
                <w:rFonts w:ascii="宋体" w:hAnsi="宋体" w:cs="宋体" w:eastAsia="宋体" w:hint="default"/>
                <w:sz w:val="18"/>
                <w:szCs w:val="18"/>
              </w:rPr>
            </w:pPr>
            <w:r>
              <w:rPr>
                <w:rFonts w:ascii="宋体" w:hAnsi="宋体" w:cs="宋体" w:eastAsia="宋体" w:hint="default"/>
                <w:sz w:val="18"/>
                <w:szCs w:val="18"/>
              </w:rPr>
              <w:t>一 般 风 险 准 备</w:t>
            </w:r>
          </w:p>
        </w:tc>
        <w:tc>
          <w:tcPr>
            <w:tcW w:w="708" w:type="dxa"/>
            <w:vMerge w:val="restart"/>
            <w:tcBorders>
              <w:top w:val="single" w:sz="4" w:space="0" w:color="000000"/>
              <w:left w:val="single" w:sz="4" w:space="0" w:color="000000"/>
              <w:right w:val="single" w:sz="4" w:space="0" w:color="000000"/>
            </w:tcBorders>
          </w:tcPr>
          <w:p>
            <w:pPr>
              <w:pStyle w:val="TableParagraph"/>
              <w:spacing w:line="319" w:lineRule="auto" w:before="51"/>
              <w:ind w:left="167" w:right="168"/>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09"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560" w:hRule="exact"/>
        </w:trPr>
        <w:tc>
          <w:tcPr>
            <w:tcW w:w="1438"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87" w:right="187"/>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17" w:right="115"/>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17" w:right="115"/>
              <w:jc w:val="left"/>
              <w:rPr>
                <w:rFonts w:ascii="宋体" w:hAnsi="宋体" w:cs="宋体" w:eastAsia="宋体" w:hint="default"/>
                <w:sz w:val="18"/>
                <w:szCs w:val="18"/>
              </w:rPr>
            </w:pPr>
            <w:r>
              <w:rPr>
                <w:rFonts w:ascii="宋体" w:hAnsi="宋体" w:cs="宋体" w:eastAsia="宋体" w:hint="default"/>
                <w:sz w:val="18"/>
                <w:szCs w:val="18"/>
              </w:rPr>
              <w:t>其 他</w:t>
            </w:r>
          </w:p>
        </w:tc>
        <w:tc>
          <w:tcPr>
            <w:tcW w:w="714" w:type="dxa"/>
            <w:vMerge/>
            <w:tcBorders>
              <w:left w:val="single" w:sz="4" w:space="0" w:color="000000"/>
              <w:bottom w:val="single" w:sz="4" w:space="0" w:color="000000"/>
              <w:right w:val="single" w:sz="4" w:space="0" w:color="000000"/>
            </w:tcBorders>
          </w:tcPr>
          <w:p>
            <w:pPr/>
          </w:p>
        </w:tc>
        <w:tc>
          <w:tcPr>
            <w:tcW w:w="704"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82"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456"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497,0</w:t>
            </w:r>
          </w:p>
          <w:p>
            <w:pPr>
              <w:pStyle w:val="TableParagraph"/>
              <w:spacing w:line="240" w:lineRule="auto" w:before="105"/>
              <w:ind w:left="171" w:right="0"/>
              <w:jc w:val="left"/>
              <w:rPr>
                <w:rFonts w:ascii="Times New Roman" w:hAnsi="Times New Roman" w:cs="Times New Roman" w:eastAsia="Times New Roman" w:hint="default"/>
                <w:sz w:val="18"/>
                <w:szCs w:val="18"/>
              </w:rPr>
            </w:pPr>
            <w:r>
              <w:rPr>
                <w:rFonts w:ascii="Times New Roman"/>
                <w:sz w:val="18"/>
              </w:rPr>
              <w:t>30,70</w:t>
            </w:r>
          </w:p>
          <w:p>
            <w:pPr>
              <w:pStyle w:val="TableParagraph"/>
              <w:spacing w:line="240" w:lineRule="auto" w:before="106"/>
              <w:ind w:left="261" w:right="0"/>
              <w:jc w:val="left"/>
              <w:rPr>
                <w:rFonts w:ascii="Times New Roman" w:hAnsi="Times New Roman" w:cs="Times New Roman" w:eastAsia="Times New Roman" w:hint="default"/>
                <w:sz w:val="18"/>
                <w:szCs w:val="18"/>
              </w:rPr>
            </w:pPr>
            <w:r>
              <w:rPr>
                <w:rFonts w:ascii="Times New Roman"/>
                <w:sz w:val="18"/>
              </w:rPr>
              <w:t>6.00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867,21</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8,308.</w:t>
            </w:r>
          </w:p>
          <w:p>
            <w:pPr>
              <w:pStyle w:val="TableParagraph"/>
              <w:spacing w:line="240" w:lineRule="auto" w:before="106"/>
              <w:ind w:left="420" w:right="0"/>
              <w:jc w:val="left"/>
              <w:rPr>
                <w:rFonts w:ascii="Times New Roman" w:hAnsi="Times New Roman" w:cs="Times New Roman" w:eastAsia="Times New Roman" w:hint="default"/>
                <w:sz w:val="18"/>
                <w:szCs w:val="18"/>
              </w:rPr>
            </w:pPr>
            <w:r>
              <w:rPr>
                <w:rFonts w:ascii="Times New Roman"/>
                <w:sz w:val="18"/>
              </w:rPr>
              <w:t>83</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6" w:right="0"/>
              <w:jc w:val="left"/>
              <w:rPr>
                <w:rFonts w:ascii="Times New Roman" w:hAnsi="Times New Roman" w:cs="Times New Roman" w:eastAsia="Times New Roman" w:hint="default"/>
                <w:sz w:val="18"/>
                <w:szCs w:val="18"/>
              </w:rPr>
            </w:pPr>
            <w:r>
              <w:rPr>
                <w:rFonts w:ascii="Times New Roman"/>
                <w:sz w:val="18"/>
              </w:rPr>
              <w:t>73,89</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9,618.</w:t>
            </w:r>
          </w:p>
          <w:p>
            <w:pPr>
              <w:pStyle w:val="TableParagraph"/>
              <w:spacing w:line="240" w:lineRule="auto" w:before="106"/>
              <w:ind w:left="410" w:right="0"/>
              <w:jc w:val="left"/>
              <w:rPr>
                <w:rFonts w:ascii="Times New Roman" w:hAnsi="Times New Roman" w:cs="Times New Roman" w:eastAsia="Times New Roman" w:hint="default"/>
                <w:sz w:val="18"/>
                <w:szCs w:val="18"/>
              </w:rPr>
            </w:pPr>
            <w:r>
              <w:rPr>
                <w:rFonts w:ascii="Times New Roman"/>
                <w:sz w:val="18"/>
              </w:rPr>
              <w:t>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163,4</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79,28</w:t>
            </w:r>
          </w:p>
          <w:p>
            <w:pPr>
              <w:pStyle w:val="TableParagraph"/>
              <w:spacing w:line="240" w:lineRule="auto" w:before="106"/>
              <w:ind w:left="280" w:right="0"/>
              <w:jc w:val="left"/>
              <w:rPr>
                <w:rFonts w:ascii="Times New Roman" w:hAnsi="Times New Roman" w:cs="Times New Roman" w:eastAsia="Times New Roman" w:hint="default"/>
                <w:sz w:val="18"/>
                <w:szCs w:val="18"/>
              </w:rPr>
            </w:pPr>
            <w:r>
              <w:rPr>
                <w:rFonts w:ascii="Times New Roman"/>
                <w:sz w:val="18"/>
              </w:rPr>
              <w:t>5.00</w:t>
            </w:r>
          </w:p>
        </w:tc>
        <w:tc>
          <w:tcPr>
            <w:tcW w:w="58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75,03</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9,885</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.37</w:t>
            </w:r>
          </w:p>
        </w:tc>
        <w:tc>
          <w:tcPr>
            <w:tcW w:w="45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797,7</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52,84</w:t>
            </w:r>
          </w:p>
          <w:p>
            <w:pPr>
              <w:pStyle w:val="TableParagraph"/>
              <w:spacing w:line="240" w:lineRule="auto" w:before="106"/>
              <w:ind w:left="280" w:right="0"/>
              <w:jc w:val="left"/>
              <w:rPr>
                <w:rFonts w:ascii="Times New Roman" w:hAnsi="Times New Roman" w:cs="Times New Roman" w:eastAsia="Times New Roman" w:hint="default"/>
                <w:sz w:val="18"/>
                <w:szCs w:val="18"/>
              </w:rPr>
            </w:pPr>
            <w:r>
              <w:rPr>
                <w:rFonts w:ascii="Times New Roman"/>
                <w:sz w:val="18"/>
              </w:rPr>
              <w:t>6.82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2" w:right="0"/>
              <w:jc w:val="left"/>
              <w:rPr>
                <w:rFonts w:ascii="Times New Roman" w:hAnsi="Times New Roman" w:cs="Times New Roman" w:eastAsia="Times New Roman" w:hint="default"/>
                <w:sz w:val="18"/>
                <w:szCs w:val="18"/>
              </w:rPr>
            </w:pPr>
            <w:r>
              <w:rPr>
                <w:rFonts w:ascii="Times New Roman"/>
                <w:sz w:val="18"/>
              </w:rPr>
              <w:t>23,77</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8,879.</w:t>
            </w:r>
          </w:p>
          <w:p>
            <w:pPr>
              <w:pStyle w:val="TableParagraph"/>
              <w:spacing w:line="240" w:lineRule="auto" w:before="106"/>
              <w:ind w:left="416" w:right="0"/>
              <w:jc w:val="left"/>
              <w:rPr>
                <w:rFonts w:ascii="Times New Roman" w:hAnsi="Times New Roman" w:cs="Times New Roman" w:eastAsia="Times New Roman" w:hint="default"/>
                <w:sz w:val="18"/>
                <w:szCs w:val="18"/>
              </w:rPr>
            </w:pPr>
            <w:r>
              <w:rPr>
                <w:rFonts w:ascii="Times New Roman"/>
                <w:sz w:val="18"/>
              </w:rPr>
              <w:t>42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2,350,4</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00,293.</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44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6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42"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6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42"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6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497,0</w:t>
            </w:r>
          </w:p>
          <w:p>
            <w:pPr>
              <w:pStyle w:val="TableParagraph"/>
              <w:spacing w:line="240" w:lineRule="auto" w:before="105"/>
              <w:ind w:left="171" w:right="0"/>
              <w:jc w:val="left"/>
              <w:rPr>
                <w:rFonts w:ascii="Times New Roman" w:hAnsi="Times New Roman" w:cs="Times New Roman" w:eastAsia="Times New Roman" w:hint="default"/>
                <w:sz w:val="18"/>
                <w:szCs w:val="18"/>
              </w:rPr>
            </w:pPr>
            <w:r>
              <w:rPr>
                <w:rFonts w:ascii="Times New Roman"/>
                <w:sz w:val="18"/>
              </w:rPr>
              <w:t>30,70</w:t>
            </w:r>
          </w:p>
          <w:p>
            <w:pPr>
              <w:pStyle w:val="TableParagraph"/>
              <w:spacing w:line="240" w:lineRule="auto" w:before="106"/>
              <w:ind w:left="261" w:right="0"/>
              <w:jc w:val="left"/>
              <w:rPr>
                <w:rFonts w:ascii="Times New Roman" w:hAnsi="Times New Roman" w:cs="Times New Roman" w:eastAsia="Times New Roman" w:hint="default"/>
                <w:sz w:val="18"/>
                <w:szCs w:val="18"/>
              </w:rPr>
            </w:pPr>
            <w:r>
              <w:rPr>
                <w:rFonts w:ascii="Times New Roman"/>
                <w:sz w:val="18"/>
              </w:rPr>
              <w:t>6.00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867,21</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8,308.</w:t>
            </w:r>
          </w:p>
          <w:p>
            <w:pPr>
              <w:pStyle w:val="TableParagraph"/>
              <w:spacing w:line="240" w:lineRule="auto" w:before="106"/>
              <w:ind w:left="420" w:right="0"/>
              <w:jc w:val="left"/>
              <w:rPr>
                <w:rFonts w:ascii="Times New Roman" w:hAnsi="Times New Roman" w:cs="Times New Roman" w:eastAsia="Times New Roman" w:hint="default"/>
                <w:sz w:val="18"/>
                <w:szCs w:val="18"/>
              </w:rPr>
            </w:pPr>
            <w:r>
              <w:rPr>
                <w:rFonts w:ascii="Times New Roman"/>
                <w:sz w:val="18"/>
              </w:rPr>
              <w:t>83</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6" w:right="0"/>
              <w:jc w:val="left"/>
              <w:rPr>
                <w:rFonts w:ascii="Times New Roman" w:hAnsi="Times New Roman" w:cs="Times New Roman" w:eastAsia="Times New Roman" w:hint="default"/>
                <w:sz w:val="18"/>
                <w:szCs w:val="18"/>
              </w:rPr>
            </w:pPr>
            <w:r>
              <w:rPr>
                <w:rFonts w:ascii="Times New Roman"/>
                <w:sz w:val="18"/>
              </w:rPr>
              <w:t>73,89</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9,618.</w:t>
            </w:r>
          </w:p>
          <w:p>
            <w:pPr>
              <w:pStyle w:val="TableParagraph"/>
              <w:spacing w:line="240" w:lineRule="auto" w:before="106"/>
              <w:ind w:left="410" w:right="0"/>
              <w:jc w:val="left"/>
              <w:rPr>
                <w:rFonts w:ascii="Times New Roman" w:hAnsi="Times New Roman" w:cs="Times New Roman" w:eastAsia="Times New Roman" w:hint="default"/>
                <w:sz w:val="18"/>
                <w:szCs w:val="18"/>
              </w:rPr>
            </w:pPr>
            <w:r>
              <w:rPr>
                <w:rFonts w:ascii="Times New Roman"/>
                <w:sz w:val="18"/>
              </w:rPr>
              <w:t>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163,4</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79,28</w:t>
            </w:r>
          </w:p>
          <w:p>
            <w:pPr>
              <w:pStyle w:val="TableParagraph"/>
              <w:spacing w:line="240" w:lineRule="auto" w:before="106"/>
              <w:ind w:left="280" w:right="0"/>
              <w:jc w:val="left"/>
              <w:rPr>
                <w:rFonts w:ascii="Times New Roman" w:hAnsi="Times New Roman" w:cs="Times New Roman" w:eastAsia="Times New Roman" w:hint="default"/>
                <w:sz w:val="18"/>
                <w:szCs w:val="18"/>
              </w:rPr>
            </w:pPr>
            <w:r>
              <w:rPr>
                <w:rFonts w:ascii="Times New Roman"/>
                <w:sz w:val="18"/>
              </w:rPr>
              <w:t>5.00</w:t>
            </w:r>
          </w:p>
        </w:tc>
        <w:tc>
          <w:tcPr>
            <w:tcW w:w="58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75,03</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9,885</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.37</w:t>
            </w:r>
          </w:p>
        </w:tc>
        <w:tc>
          <w:tcPr>
            <w:tcW w:w="45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797,7</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52,84</w:t>
            </w:r>
          </w:p>
          <w:p>
            <w:pPr>
              <w:pStyle w:val="TableParagraph"/>
              <w:spacing w:line="240" w:lineRule="auto" w:before="106"/>
              <w:ind w:left="280" w:right="0"/>
              <w:jc w:val="left"/>
              <w:rPr>
                <w:rFonts w:ascii="Times New Roman" w:hAnsi="Times New Roman" w:cs="Times New Roman" w:eastAsia="Times New Roman" w:hint="default"/>
                <w:sz w:val="18"/>
                <w:szCs w:val="18"/>
              </w:rPr>
            </w:pPr>
            <w:r>
              <w:rPr>
                <w:rFonts w:ascii="Times New Roman"/>
                <w:sz w:val="18"/>
              </w:rPr>
              <w:t>6.82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2" w:right="0"/>
              <w:jc w:val="left"/>
              <w:rPr>
                <w:rFonts w:ascii="Times New Roman" w:hAnsi="Times New Roman" w:cs="Times New Roman" w:eastAsia="Times New Roman" w:hint="default"/>
                <w:sz w:val="18"/>
                <w:szCs w:val="18"/>
              </w:rPr>
            </w:pPr>
            <w:r>
              <w:rPr>
                <w:rFonts w:ascii="Times New Roman"/>
                <w:sz w:val="18"/>
              </w:rPr>
              <w:t>23,77</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8,879.</w:t>
            </w:r>
          </w:p>
          <w:p>
            <w:pPr>
              <w:pStyle w:val="TableParagraph"/>
              <w:spacing w:line="240" w:lineRule="auto" w:before="106"/>
              <w:ind w:left="416" w:right="0"/>
              <w:jc w:val="left"/>
              <w:rPr>
                <w:rFonts w:ascii="Times New Roman" w:hAnsi="Times New Roman" w:cs="Times New Roman" w:eastAsia="Times New Roman" w:hint="default"/>
                <w:sz w:val="18"/>
                <w:szCs w:val="18"/>
              </w:rPr>
            </w:pPr>
            <w:r>
              <w:rPr>
                <w:rFonts w:ascii="Times New Roman"/>
                <w:sz w:val="18"/>
              </w:rPr>
              <w:t>42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2,350,4</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00,293.</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44</w:t>
            </w:r>
          </w:p>
        </w:tc>
      </w:tr>
      <w:tr>
        <w:trPr>
          <w:trHeight w:val="1379"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297,8</w:t>
            </w:r>
          </w:p>
          <w:p>
            <w:pPr>
              <w:pStyle w:val="TableParagraph"/>
              <w:spacing w:line="240" w:lineRule="auto" w:before="105"/>
              <w:ind w:left="171" w:right="0"/>
              <w:jc w:val="left"/>
              <w:rPr>
                <w:rFonts w:ascii="Times New Roman" w:hAnsi="Times New Roman" w:cs="Times New Roman" w:eastAsia="Times New Roman" w:hint="default"/>
                <w:sz w:val="18"/>
                <w:szCs w:val="18"/>
              </w:rPr>
            </w:pPr>
            <w:r>
              <w:rPr>
                <w:rFonts w:ascii="Times New Roman"/>
                <w:sz w:val="18"/>
              </w:rPr>
              <w:t>02,10</w:t>
            </w:r>
          </w:p>
          <w:p>
            <w:pPr>
              <w:pStyle w:val="TableParagraph"/>
              <w:spacing w:line="240" w:lineRule="auto" w:before="106"/>
              <w:ind w:left="261" w:right="0"/>
              <w:jc w:val="left"/>
              <w:rPr>
                <w:rFonts w:ascii="Times New Roman" w:hAnsi="Times New Roman" w:cs="Times New Roman" w:eastAsia="Times New Roman" w:hint="default"/>
                <w:sz w:val="18"/>
                <w:szCs w:val="18"/>
              </w:rPr>
            </w:pPr>
            <w:r>
              <w:rPr>
                <w:rFonts w:ascii="Times New Roman"/>
                <w:sz w:val="18"/>
              </w:rPr>
              <w:t>3.00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5" w:right="0"/>
              <w:jc w:val="left"/>
              <w:rPr>
                <w:rFonts w:ascii="Times New Roman" w:hAnsi="Times New Roman" w:cs="Times New Roman" w:eastAsia="Times New Roman" w:hint="default"/>
                <w:sz w:val="18"/>
                <w:szCs w:val="18"/>
              </w:rPr>
            </w:pPr>
            <w:r>
              <w:rPr>
                <w:rFonts w:ascii="Times New Roman"/>
                <w:sz w:val="18"/>
              </w:rPr>
              <w:t>-284,8</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92,541</w:t>
            </w:r>
          </w:p>
          <w:p>
            <w:pPr>
              <w:pStyle w:val="TableParagraph"/>
              <w:spacing w:line="240" w:lineRule="auto" w:before="106"/>
              <w:ind w:left="375" w:right="0"/>
              <w:jc w:val="left"/>
              <w:rPr>
                <w:rFonts w:ascii="Times New Roman" w:hAnsi="Times New Roman" w:cs="Times New Roman" w:eastAsia="Times New Roman" w:hint="default"/>
                <w:sz w:val="18"/>
                <w:szCs w:val="18"/>
              </w:rPr>
            </w:pPr>
            <w:r>
              <w:rPr>
                <w:rFonts w:ascii="Times New Roman"/>
                <w:sz w:val="18"/>
              </w:rPr>
              <w:t>.42</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 w:right="0"/>
              <w:jc w:val="left"/>
              <w:rPr>
                <w:rFonts w:ascii="Times New Roman" w:hAnsi="Times New Roman" w:cs="Times New Roman" w:eastAsia="Times New Roman" w:hint="default"/>
                <w:sz w:val="18"/>
                <w:szCs w:val="18"/>
              </w:rPr>
            </w:pPr>
            <w:r>
              <w:rPr>
                <w:rFonts w:ascii="Times New Roman"/>
                <w:sz w:val="18"/>
              </w:rPr>
              <w:t>-39,08</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6,476.</w:t>
            </w:r>
          </w:p>
          <w:p>
            <w:pPr>
              <w:pStyle w:val="TableParagraph"/>
              <w:spacing w:line="240" w:lineRule="auto" w:before="106"/>
              <w:ind w:left="410" w:right="0"/>
              <w:jc w:val="left"/>
              <w:rPr>
                <w:rFonts w:ascii="Times New Roman" w:hAnsi="Times New Roman" w:cs="Times New Roman" w:eastAsia="Times New Roman" w:hint="default"/>
                <w:sz w:val="18"/>
                <w:szCs w:val="18"/>
              </w:rPr>
            </w:pPr>
            <w:r>
              <w:rPr>
                <w:rFonts w:ascii="Times New Roman"/>
                <w:sz w:val="18"/>
              </w:rPr>
              <w:t>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 w:right="0"/>
              <w:jc w:val="left"/>
              <w:rPr>
                <w:rFonts w:ascii="Times New Roman" w:hAnsi="Times New Roman" w:cs="Times New Roman" w:eastAsia="Times New Roman" w:hint="default"/>
                <w:sz w:val="18"/>
                <w:szCs w:val="18"/>
              </w:rPr>
            </w:pPr>
            <w:r>
              <w:rPr>
                <w:rFonts w:ascii="Times New Roman"/>
                <w:sz w:val="18"/>
              </w:rPr>
              <w:t>-31,78</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6,775.</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43</w:t>
            </w:r>
          </w:p>
        </w:tc>
        <w:tc>
          <w:tcPr>
            <w:tcW w:w="58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7" w:right="0"/>
              <w:jc w:val="center"/>
              <w:rPr>
                <w:rFonts w:ascii="Arial Narrow" w:hAnsi="Arial Narrow" w:cs="Arial Narrow" w:eastAsia="Arial Narrow" w:hint="default"/>
                <w:sz w:val="20"/>
                <w:szCs w:val="20"/>
              </w:rPr>
            </w:pPr>
            <w:r>
              <w:rPr>
                <w:rFonts w:ascii="Arial Narrow"/>
                <w:sz w:val="20"/>
              </w:rPr>
              <w:t>22,51</w:t>
            </w:r>
          </w:p>
          <w:p>
            <w:pPr>
              <w:pStyle w:val="TableParagraph"/>
              <w:spacing w:line="240" w:lineRule="auto" w:before="82"/>
              <w:ind w:left="37" w:right="0"/>
              <w:jc w:val="center"/>
              <w:rPr>
                <w:rFonts w:ascii="Arial Narrow" w:hAnsi="Arial Narrow" w:cs="Arial Narrow" w:eastAsia="Arial Narrow" w:hint="default"/>
                <w:sz w:val="20"/>
                <w:szCs w:val="20"/>
              </w:rPr>
            </w:pPr>
            <w:r>
              <w:rPr>
                <w:rFonts w:ascii="Arial Narrow"/>
                <w:sz w:val="20"/>
              </w:rPr>
              <w:t>2,292</w:t>
            </w:r>
          </w:p>
          <w:p>
            <w:pPr>
              <w:pStyle w:val="TableParagraph"/>
              <w:spacing w:line="240" w:lineRule="auto" w:before="82"/>
              <w:ind w:left="219" w:right="0"/>
              <w:jc w:val="center"/>
              <w:rPr>
                <w:rFonts w:ascii="Arial Narrow" w:hAnsi="Arial Narrow" w:cs="Arial Narrow" w:eastAsia="Arial Narrow" w:hint="default"/>
                <w:sz w:val="20"/>
                <w:szCs w:val="20"/>
              </w:rPr>
            </w:pPr>
            <w:r>
              <w:rPr>
                <w:rFonts w:ascii="Arial Narrow"/>
                <w:sz w:val="20"/>
              </w:rPr>
              <w:t>.58</w:t>
            </w:r>
          </w:p>
        </w:tc>
        <w:tc>
          <w:tcPr>
            <w:tcW w:w="45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181,3</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41,59</w:t>
            </w:r>
          </w:p>
          <w:p>
            <w:pPr>
              <w:pStyle w:val="TableParagraph"/>
              <w:spacing w:line="240" w:lineRule="auto" w:before="106"/>
              <w:ind w:left="279" w:right="0"/>
              <w:jc w:val="left"/>
              <w:rPr>
                <w:rFonts w:ascii="Times New Roman" w:hAnsi="Times New Roman" w:cs="Times New Roman" w:eastAsia="Times New Roman" w:hint="default"/>
                <w:sz w:val="18"/>
                <w:szCs w:val="18"/>
              </w:rPr>
            </w:pPr>
            <w:r>
              <w:rPr>
                <w:rFonts w:ascii="Times New Roman"/>
                <w:sz w:val="18"/>
              </w:rPr>
              <w:t>0.05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-1,344</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,427.4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222,71</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8,717.3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438"/>
        <w:gridCol w:w="690"/>
        <w:gridCol w:w="566"/>
        <w:gridCol w:w="425"/>
        <w:gridCol w:w="425"/>
        <w:gridCol w:w="714"/>
        <w:gridCol w:w="704"/>
        <w:gridCol w:w="708"/>
        <w:gridCol w:w="582"/>
        <w:gridCol w:w="664"/>
        <w:gridCol w:w="456"/>
        <w:gridCol w:w="708"/>
        <w:gridCol w:w="709"/>
        <w:gridCol w:w="781"/>
      </w:tblGrid>
      <w:tr>
        <w:trPr>
          <w:trHeight w:val="1378"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6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 w:right="0"/>
              <w:jc w:val="left"/>
              <w:rPr>
                <w:rFonts w:ascii="Times New Roman" w:hAnsi="Times New Roman" w:cs="Times New Roman" w:eastAsia="Times New Roman" w:hint="default"/>
                <w:sz w:val="18"/>
                <w:szCs w:val="18"/>
              </w:rPr>
            </w:pPr>
            <w:r>
              <w:rPr>
                <w:rFonts w:ascii="Times New Roman"/>
                <w:sz w:val="18"/>
              </w:rPr>
              <w:t>-31,78</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6,775.</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43</w:t>
            </w:r>
          </w:p>
        </w:tc>
        <w:tc>
          <w:tcPr>
            <w:tcW w:w="58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303,2</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14,67</w:t>
            </w:r>
          </w:p>
          <w:p>
            <w:pPr>
              <w:pStyle w:val="TableParagraph"/>
              <w:spacing w:line="240" w:lineRule="auto" w:before="106"/>
              <w:ind w:left="279" w:right="0"/>
              <w:jc w:val="left"/>
              <w:rPr>
                <w:rFonts w:ascii="Times New Roman" w:hAnsi="Times New Roman" w:cs="Times New Roman" w:eastAsia="Times New Roman" w:hint="default"/>
                <w:sz w:val="18"/>
                <w:szCs w:val="18"/>
              </w:rPr>
            </w:pPr>
            <w:r>
              <w:rPr>
                <w:rFonts w:ascii="Times New Roman"/>
                <w:sz w:val="18"/>
              </w:rPr>
              <w:t>9.83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-1,118</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,380.2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270,30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9,524.1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1" w:right="0"/>
              <w:jc w:val="left"/>
              <w:rPr>
                <w:rFonts w:ascii="Times New Roman" w:hAnsi="Times New Roman" w:cs="Times New Roman" w:eastAsia="Times New Roman" w:hint="default"/>
                <w:sz w:val="18"/>
                <w:szCs w:val="18"/>
              </w:rPr>
            </w:pPr>
            <w:r>
              <w:rPr>
                <w:rFonts w:ascii="Times New Roman"/>
                <w:sz w:val="18"/>
              </w:rPr>
              <w:t>-280,2</w:t>
            </w:r>
          </w:p>
          <w:p>
            <w:pPr>
              <w:pStyle w:val="TableParagraph"/>
              <w:spacing w:line="240" w:lineRule="auto" w:before="105"/>
              <w:ind w:left="171" w:right="0"/>
              <w:jc w:val="left"/>
              <w:rPr>
                <w:rFonts w:ascii="Times New Roman" w:hAnsi="Times New Roman" w:cs="Times New Roman" w:eastAsia="Times New Roman" w:hint="default"/>
                <w:sz w:val="18"/>
                <w:szCs w:val="18"/>
              </w:rPr>
            </w:pPr>
            <w:r>
              <w:rPr>
                <w:rFonts w:ascii="Times New Roman"/>
                <w:sz w:val="18"/>
              </w:rPr>
              <w:t>88.00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15,251</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,928.4</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6</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5" w:right="0"/>
              <w:jc w:val="left"/>
              <w:rPr>
                <w:rFonts w:ascii="Times New Roman" w:hAnsi="Times New Roman" w:cs="Times New Roman" w:eastAsia="Times New Roman" w:hint="default"/>
                <w:sz w:val="18"/>
                <w:szCs w:val="18"/>
              </w:rPr>
            </w:pPr>
            <w:r>
              <w:rPr>
                <w:rFonts w:ascii="Times New Roman"/>
                <w:sz w:val="18"/>
              </w:rPr>
              <w:t>-39,08</w:t>
            </w:r>
          </w:p>
          <w:p>
            <w:pPr>
              <w:pStyle w:val="TableParagraph"/>
              <w:spacing w:line="240" w:lineRule="auto" w:before="104"/>
              <w:ind w:left="140" w:right="0"/>
              <w:jc w:val="left"/>
              <w:rPr>
                <w:rFonts w:ascii="Times New Roman" w:hAnsi="Times New Roman" w:cs="Times New Roman" w:eastAsia="Times New Roman" w:hint="default"/>
                <w:sz w:val="18"/>
                <w:szCs w:val="18"/>
              </w:rPr>
            </w:pPr>
            <w:r>
              <w:rPr>
                <w:rFonts w:ascii="Times New Roman"/>
                <w:sz w:val="18"/>
              </w:rPr>
              <w:t>6,476.</w:t>
            </w:r>
          </w:p>
          <w:p>
            <w:pPr>
              <w:pStyle w:val="TableParagraph"/>
              <w:spacing w:line="240" w:lineRule="auto" w:before="106"/>
              <w:ind w:left="410" w:right="0"/>
              <w:jc w:val="left"/>
              <w:rPr>
                <w:rFonts w:ascii="Times New Roman" w:hAnsi="Times New Roman" w:cs="Times New Roman" w:eastAsia="Times New Roman" w:hint="default"/>
                <w:sz w:val="18"/>
                <w:szCs w:val="18"/>
              </w:rPr>
            </w:pPr>
            <w:r>
              <w:rPr>
                <w:rFonts w:ascii="Times New Roman"/>
                <w:sz w:val="18"/>
              </w:rPr>
              <w:t>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1" w:right="0"/>
              <w:jc w:val="left"/>
              <w:rPr>
                <w:rFonts w:ascii="Times New Roman" w:hAnsi="Times New Roman" w:cs="Times New Roman" w:eastAsia="Times New Roman" w:hint="default"/>
                <w:sz w:val="18"/>
                <w:szCs w:val="18"/>
              </w:rPr>
            </w:pPr>
            <w:r>
              <w:rPr>
                <w:rFonts w:ascii="Times New Roman"/>
                <w:sz w:val="18"/>
              </w:rPr>
              <w:t>-226,0</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47.22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53,832,</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069.24</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1" w:right="0"/>
              <w:jc w:val="left"/>
              <w:rPr>
                <w:rFonts w:ascii="Times New Roman" w:hAnsi="Times New Roman" w:cs="Times New Roman" w:eastAsia="Times New Roman" w:hint="default"/>
                <w:sz w:val="18"/>
                <w:szCs w:val="18"/>
              </w:rPr>
            </w:pPr>
            <w:r>
              <w:rPr>
                <w:rFonts w:ascii="Times New Roman"/>
                <w:sz w:val="18"/>
              </w:rPr>
              <w:t>-280,2</w:t>
            </w:r>
          </w:p>
          <w:p>
            <w:pPr>
              <w:pStyle w:val="TableParagraph"/>
              <w:spacing w:line="240" w:lineRule="auto" w:before="105"/>
              <w:ind w:left="171" w:right="0"/>
              <w:jc w:val="left"/>
              <w:rPr>
                <w:rFonts w:ascii="Times New Roman" w:hAnsi="Times New Roman" w:cs="Times New Roman" w:eastAsia="Times New Roman" w:hint="default"/>
                <w:sz w:val="18"/>
                <w:szCs w:val="18"/>
              </w:rPr>
            </w:pPr>
            <w:r>
              <w:rPr>
                <w:rFonts w:ascii="Times New Roman"/>
                <w:sz w:val="18"/>
              </w:rPr>
              <w:t>88.00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-2,786</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,282.0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70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8" w:right="0"/>
              <w:jc w:val="left"/>
              <w:rPr>
                <w:rFonts w:ascii="Times New Roman" w:hAnsi="Times New Roman" w:cs="Times New Roman" w:eastAsia="Times New Roman" w:hint="default"/>
                <w:sz w:val="18"/>
                <w:szCs w:val="18"/>
              </w:rPr>
            </w:pPr>
            <w:r>
              <w:rPr>
                <w:rFonts w:ascii="Times New Roman"/>
                <w:sz w:val="18"/>
              </w:rPr>
              <w:t>-3,066,</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570.00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10,285</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,462.7</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5" w:right="0"/>
              <w:jc w:val="left"/>
              <w:rPr>
                <w:rFonts w:ascii="Times New Roman" w:hAnsi="Times New Roman" w:cs="Times New Roman" w:eastAsia="Times New Roman" w:hint="default"/>
                <w:sz w:val="18"/>
                <w:szCs w:val="18"/>
              </w:rPr>
            </w:pPr>
            <w:r>
              <w:rPr>
                <w:rFonts w:ascii="Times New Roman"/>
                <w:sz w:val="18"/>
              </w:rPr>
              <w:t>-39,08</w:t>
            </w:r>
          </w:p>
          <w:p>
            <w:pPr>
              <w:pStyle w:val="TableParagraph"/>
              <w:spacing w:line="240" w:lineRule="auto" w:before="104"/>
              <w:ind w:left="140" w:right="0"/>
              <w:jc w:val="left"/>
              <w:rPr>
                <w:rFonts w:ascii="Times New Roman" w:hAnsi="Times New Roman" w:cs="Times New Roman" w:eastAsia="Times New Roman" w:hint="default"/>
                <w:sz w:val="18"/>
                <w:szCs w:val="18"/>
              </w:rPr>
            </w:pPr>
            <w:r>
              <w:rPr>
                <w:rFonts w:ascii="Times New Roman"/>
                <w:sz w:val="18"/>
              </w:rPr>
              <w:t>6,476.</w:t>
            </w:r>
          </w:p>
          <w:p>
            <w:pPr>
              <w:pStyle w:val="TableParagraph"/>
              <w:spacing w:line="240" w:lineRule="auto" w:before="106"/>
              <w:ind w:left="410" w:right="0"/>
              <w:jc w:val="left"/>
              <w:rPr>
                <w:rFonts w:ascii="Times New Roman" w:hAnsi="Times New Roman" w:cs="Times New Roman" w:eastAsia="Times New Roman" w:hint="default"/>
                <w:sz w:val="18"/>
                <w:szCs w:val="18"/>
              </w:rPr>
            </w:pPr>
            <w:r>
              <w:rPr>
                <w:rFonts w:ascii="Times New Roman"/>
                <w:sz w:val="18"/>
              </w:rPr>
              <w:t>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1" w:right="0"/>
              <w:jc w:val="left"/>
              <w:rPr>
                <w:rFonts w:ascii="Times New Roman" w:hAnsi="Times New Roman" w:cs="Times New Roman" w:eastAsia="Times New Roman" w:hint="default"/>
                <w:sz w:val="18"/>
                <w:szCs w:val="18"/>
              </w:rPr>
            </w:pPr>
            <w:r>
              <w:rPr>
                <w:rFonts w:ascii="Times New Roman"/>
                <w:sz w:val="18"/>
              </w:rPr>
              <w:t>-226,0</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47.22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49,145,</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891.48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9" w:right="0"/>
              <w:jc w:val="left"/>
              <w:rPr>
                <w:rFonts w:ascii="Times New Roman" w:hAnsi="Times New Roman" w:cs="Times New Roman" w:eastAsia="Times New Roman" w:hint="default"/>
                <w:sz w:val="18"/>
                <w:szCs w:val="18"/>
              </w:rPr>
            </w:pPr>
            <w:r>
              <w:rPr>
                <w:rFonts w:ascii="Times New Roman"/>
                <w:sz w:val="18"/>
              </w:rPr>
              <w:t>7,752,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747.76</w:t>
            </w:r>
          </w:p>
        </w:tc>
        <w:tc>
          <w:tcPr>
            <w:tcW w:w="70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center"/>
              <w:rPr>
                <w:rFonts w:ascii="Times New Roman" w:hAnsi="Times New Roman" w:cs="Times New Roman" w:eastAsia="Times New Roman" w:hint="default"/>
                <w:sz w:val="18"/>
                <w:szCs w:val="18"/>
              </w:rPr>
            </w:pPr>
            <w:r>
              <w:rPr>
                <w:rFonts w:ascii="Times New Roman"/>
                <w:sz w:val="18"/>
              </w:rPr>
              <w:t>7,752,7</w:t>
            </w:r>
          </w:p>
          <w:p>
            <w:pPr>
              <w:pStyle w:val="TableParagraph"/>
              <w:spacing w:line="240" w:lineRule="auto" w:before="105"/>
              <w:ind w:left="162" w:right="0"/>
              <w:jc w:val="center"/>
              <w:rPr>
                <w:rFonts w:ascii="Times New Roman" w:hAnsi="Times New Roman" w:cs="Times New Roman" w:eastAsia="Times New Roman" w:hint="default"/>
                <w:sz w:val="18"/>
                <w:szCs w:val="18"/>
              </w:rPr>
            </w:pPr>
            <w:r>
              <w:rPr>
                <w:rFonts w:ascii="Times New Roman"/>
                <w:sz w:val="18"/>
              </w:rPr>
              <w:t>47.76</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6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center"/>
              <w:rPr>
                <w:rFonts w:ascii="Times New Roman" w:hAnsi="Times New Roman" w:cs="Times New Roman" w:eastAsia="Times New Roman" w:hint="default"/>
                <w:sz w:val="18"/>
                <w:szCs w:val="18"/>
              </w:rPr>
            </w:pPr>
            <w:r>
              <w:rPr>
                <w:rFonts w:ascii="Times New Roman"/>
                <w:sz w:val="18"/>
              </w:rPr>
              <w:t>22,51</w:t>
            </w:r>
          </w:p>
          <w:p>
            <w:pPr>
              <w:pStyle w:val="TableParagraph"/>
              <w:spacing w:line="240" w:lineRule="auto" w:before="104"/>
              <w:ind w:left="44" w:right="0"/>
              <w:jc w:val="center"/>
              <w:rPr>
                <w:rFonts w:ascii="Times New Roman" w:hAnsi="Times New Roman" w:cs="Times New Roman" w:eastAsia="Times New Roman" w:hint="default"/>
                <w:sz w:val="18"/>
                <w:szCs w:val="18"/>
              </w:rPr>
            </w:pPr>
            <w:r>
              <w:rPr>
                <w:rFonts w:ascii="Times New Roman"/>
                <w:sz w:val="18"/>
              </w:rPr>
              <w:t>2,292</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.58</w:t>
            </w:r>
          </w:p>
        </w:tc>
        <w:tc>
          <w:tcPr>
            <w:tcW w:w="45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-121,8</w:t>
            </w:r>
          </w:p>
          <w:p>
            <w:pPr>
              <w:pStyle w:val="TableParagraph"/>
              <w:spacing w:line="240" w:lineRule="auto" w:before="104"/>
              <w:ind w:right="99"/>
              <w:jc w:val="right"/>
              <w:rPr>
                <w:rFonts w:ascii="Times New Roman" w:hAnsi="Times New Roman" w:cs="Times New Roman" w:eastAsia="Times New Roman" w:hint="default"/>
                <w:sz w:val="18"/>
                <w:szCs w:val="18"/>
              </w:rPr>
            </w:pPr>
            <w:r>
              <w:rPr>
                <w:rFonts w:ascii="Times New Roman"/>
                <w:sz w:val="18"/>
              </w:rPr>
              <w:t>73,78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4" w:right="0"/>
              <w:jc w:val="left"/>
              <w:rPr>
                <w:rFonts w:ascii="Times New Roman" w:hAnsi="Times New Roman" w:cs="Times New Roman" w:eastAsia="Times New Roman" w:hint="default"/>
                <w:sz w:val="18"/>
                <w:szCs w:val="18"/>
              </w:rPr>
            </w:pPr>
            <w:r>
              <w:rPr>
                <w:rFonts w:ascii="Times New Roman"/>
                <w:sz w:val="18"/>
              </w:rPr>
              <w:t>-99,360</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,797.20</w:t>
            </w:r>
          </w:p>
        </w:tc>
      </w:tr>
      <w:tr>
        <w:trPr>
          <w:trHeight w:val="1379" w:hRule="exact"/>
        </w:trPr>
        <w:tc>
          <w:tcPr>
            <w:tcW w:w="143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00" w:lineRule="auto" w:before="52"/>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center"/>
              <w:rPr>
                <w:rFonts w:ascii="Times New Roman" w:hAnsi="Times New Roman" w:cs="Times New Roman" w:eastAsia="Times New Roman" w:hint="default"/>
                <w:sz w:val="18"/>
                <w:szCs w:val="18"/>
              </w:rPr>
            </w:pPr>
            <w:r>
              <w:rPr>
                <w:rFonts w:ascii="Times New Roman"/>
                <w:sz w:val="18"/>
              </w:rPr>
              <w:t>22,51</w:t>
            </w:r>
          </w:p>
          <w:p>
            <w:pPr>
              <w:pStyle w:val="TableParagraph"/>
              <w:spacing w:line="240" w:lineRule="auto" w:before="104"/>
              <w:ind w:left="44" w:right="0"/>
              <w:jc w:val="center"/>
              <w:rPr>
                <w:rFonts w:ascii="Times New Roman" w:hAnsi="Times New Roman" w:cs="Times New Roman" w:eastAsia="Times New Roman" w:hint="default"/>
                <w:sz w:val="18"/>
                <w:szCs w:val="18"/>
              </w:rPr>
            </w:pPr>
            <w:r>
              <w:rPr>
                <w:rFonts w:ascii="Times New Roman"/>
                <w:sz w:val="18"/>
              </w:rPr>
              <w:t>2,292</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.58</w:t>
            </w:r>
          </w:p>
        </w:tc>
        <w:tc>
          <w:tcPr>
            <w:tcW w:w="45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0" w:right="0"/>
              <w:jc w:val="left"/>
              <w:rPr>
                <w:rFonts w:ascii="Times New Roman" w:hAnsi="Times New Roman" w:cs="Times New Roman" w:eastAsia="Times New Roman" w:hint="default"/>
                <w:sz w:val="18"/>
                <w:szCs w:val="18"/>
              </w:rPr>
            </w:pPr>
            <w:r>
              <w:rPr>
                <w:rFonts w:ascii="Times New Roman"/>
                <w:sz w:val="18"/>
              </w:rPr>
              <w:t>-22,51</w:t>
            </w:r>
          </w:p>
          <w:p>
            <w:pPr>
              <w:pStyle w:val="TableParagraph"/>
              <w:spacing w:line="240" w:lineRule="auto" w:before="104"/>
              <w:ind w:left="145" w:right="0"/>
              <w:jc w:val="left"/>
              <w:rPr>
                <w:rFonts w:ascii="Times New Roman" w:hAnsi="Times New Roman" w:cs="Times New Roman" w:eastAsia="Times New Roman" w:hint="default"/>
                <w:sz w:val="18"/>
                <w:szCs w:val="18"/>
              </w:rPr>
            </w:pPr>
            <w:r>
              <w:rPr>
                <w:rFonts w:ascii="Times New Roman"/>
                <w:sz w:val="18"/>
              </w:rPr>
              <w:t>2,292.</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58</w:t>
            </w: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6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3</w:t>
            </w:r>
            <w:r>
              <w:rPr>
                <w:rFonts w:ascii="宋体" w:hAnsi="宋体" w:cs="宋体" w:eastAsia="宋体" w:hint="default"/>
                <w:spacing w:val="-16"/>
                <w:sz w:val="18"/>
                <w:szCs w:val="18"/>
              </w:rPr>
              <w:t>．对所有者（或</w:t>
            </w:r>
            <w:r>
              <w:rPr>
                <w:rFonts w:ascii="宋体" w:hAnsi="宋体" w:cs="宋体" w:eastAsia="宋体" w:hint="default"/>
                <w:sz w:val="18"/>
                <w:szCs w:val="18"/>
              </w:rPr>
              <w:t> 股东）的分配</w:t>
            </w:r>
          </w:p>
        </w:tc>
        <w:tc>
          <w:tcPr>
            <w:tcW w:w="6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 w:right="0"/>
              <w:jc w:val="left"/>
              <w:rPr>
                <w:rFonts w:ascii="Times New Roman" w:hAnsi="Times New Roman" w:cs="Times New Roman" w:eastAsia="Times New Roman" w:hint="default"/>
                <w:sz w:val="18"/>
                <w:szCs w:val="18"/>
              </w:rPr>
            </w:pPr>
            <w:r>
              <w:rPr>
                <w:rFonts w:ascii="Times New Roman"/>
                <w:sz w:val="18"/>
              </w:rPr>
              <w:t>-99,36</w:t>
            </w:r>
          </w:p>
          <w:p>
            <w:pPr>
              <w:pStyle w:val="TableParagraph"/>
              <w:spacing w:line="240" w:lineRule="auto" w:before="104"/>
              <w:ind w:left="145" w:right="0"/>
              <w:jc w:val="left"/>
              <w:rPr>
                <w:rFonts w:ascii="Times New Roman" w:hAnsi="Times New Roman" w:cs="Times New Roman" w:eastAsia="Times New Roman" w:hint="default"/>
                <w:sz w:val="18"/>
                <w:szCs w:val="18"/>
              </w:rPr>
            </w:pPr>
            <w:r>
              <w:rPr>
                <w:rFonts w:ascii="Times New Roman"/>
                <w:sz w:val="18"/>
              </w:rPr>
              <w:t>0,797.</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20</w:t>
            </w: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4" w:right="0"/>
              <w:jc w:val="left"/>
              <w:rPr>
                <w:rFonts w:ascii="Times New Roman" w:hAnsi="Times New Roman" w:cs="Times New Roman" w:eastAsia="Times New Roman" w:hint="default"/>
                <w:sz w:val="18"/>
                <w:szCs w:val="18"/>
              </w:rPr>
            </w:pPr>
            <w:r>
              <w:rPr>
                <w:rFonts w:ascii="Times New Roman"/>
                <w:sz w:val="18"/>
              </w:rPr>
              <w:t>-99,360</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,797.20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298,0</w:t>
            </w:r>
          </w:p>
          <w:p>
            <w:pPr>
              <w:pStyle w:val="TableParagraph"/>
              <w:spacing w:line="240" w:lineRule="auto" w:before="104"/>
              <w:ind w:left="171" w:right="0"/>
              <w:jc w:val="left"/>
              <w:rPr>
                <w:rFonts w:ascii="Times New Roman" w:hAnsi="Times New Roman" w:cs="Times New Roman" w:eastAsia="Times New Roman" w:hint="default"/>
                <w:sz w:val="18"/>
                <w:szCs w:val="18"/>
              </w:rPr>
            </w:pPr>
            <w:r>
              <w:rPr>
                <w:rFonts w:ascii="Times New Roman"/>
                <w:sz w:val="18"/>
              </w:rPr>
              <w:t>82,39</w:t>
            </w:r>
          </w:p>
          <w:p>
            <w:pPr>
              <w:pStyle w:val="TableParagraph"/>
              <w:spacing w:line="240" w:lineRule="auto" w:before="106"/>
              <w:ind w:left="261" w:right="0"/>
              <w:jc w:val="lef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5" w:right="0"/>
              <w:jc w:val="left"/>
              <w:rPr>
                <w:rFonts w:ascii="Times New Roman" w:hAnsi="Times New Roman" w:cs="Times New Roman" w:eastAsia="Times New Roman" w:hint="default"/>
                <w:sz w:val="18"/>
                <w:szCs w:val="18"/>
              </w:rPr>
            </w:pPr>
            <w:r>
              <w:rPr>
                <w:rFonts w:ascii="Times New Roman"/>
                <w:sz w:val="18"/>
              </w:rPr>
              <w:t>-300,1</w:t>
            </w:r>
          </w:p>
          <w:p>
            <w:pPr>
              <w:pStyle w:val="TableParagraph"/>
              <w:spacing w:line="240" w:lineRule="auto" w:before="104"/>
              <w:ind w:left="105" w:right="0"/>
              <w:jc w:val="left"/>
              <w:rPr>
                <w:rFonts w:ascii="Times New Roman" w:hAnsi="Times New Roman" w:cs="Times New Roman" w:eastAsia="Times New Roman" w:hint="default"/>
                <w:sz w:val="18"/>
                <w:szCs w:val="18"/>
              </w:rPr>
            </w:pPr>
            <w:r>
              <w:rPr>
                <w:rFonts w:ascii="Times New Roman"/>
                <w:sz w:val="18"/>
              </w:rPr>
              <w:t>44,469</w:t>
            </w:r>
          </w:p>
          <w:p>
            <w:pPr>
              <w:pStyle w:val="TableParagraph"/>
              <w:spacing w:line="240" w:lineRule="auto" w:before="106"/>
              <w:ind w:left="375" w:right="0"/>
              <w:jc w:val="left"/>
              <w:rPr>
                <w:rFonts w:ascii="Times New Roman" w:hAnsi="Times New Roman" w:cs="Times New Roman" w:eastAsia="Times New Roman" w:hint="default"/>
                <w:sz w:val="18"/>
                <w:szCs w:val="18"/>
              </w:rPr>
            </w:pPr>
            <w:r>
              <w:rPr>
                <w:rFonts w:ascii="Times New Roman"/>
                <w:sz w:val="18"/>
              </w:rPr>
              <w:t>.88</w:t>
            </w:r>
          </w:p>
        </w:tc>
        <w:tc>
          <w:tcPr>
            <w:tcW w:w="70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-2,062,</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078.88</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298,0</w:t>
            </w:r>
          </w:p>
          <w:p>
            <w:pPr>
              <w:pStyle w:val="TableParagraph"/>
              <w:spacing w:line="240" w:lineRule="auto" w:before="104"/>
              <w:ind w:left="171" w:right="0"/>
              <w:jc w:val="left"/>
              <w:rPr>
                <w:rFonts w:ascii="Times New Roman" w:hAnsi="Times New Roman" w:cs="Times New Roman" w:eastAsia="Times New Roman" w:hint="default"/>
                <w:sz w:val="18"/>
                <w:szCs w:val="18"/>
              </w:rPr>
            </w:pPr>
            <w:r>
              <w:rPr>
                <w:rFonts w:ascii="Times New Roman"/>
                <w:sz w:val="18"/>
              </w:rPr>
              <w:t>82,39</w:t>
            </w:r>
          </w:p>
          <w:p>
            <w:pPr>
              <w:pStyle w:val="TableParagraph"/>
              <w:spacing w:line="240" w:lineRule="auto" w:before="106"/>
              <w:ind w:left="261" w:right="0"/>
              <w:jc w:val="lef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5" w:right="0"/>
              <w:jc w:val="left"/>
              <w:rPr>
                <w:rFonts w:ascii="Times New Roman" w:hAnsi="Times New Roman" w:cs="Times New Roman" w:eastAsia="Times New Roman" w:hint="default"/>
                <w:sz w:val="18"/>
                <w:szCs w:val="18"/>
              </w:rPr>
            </w:pPr>
            <w:r>
              <w:rPr>
                <w:rFonts w:ascii="Times New Roman"/>
                <w:sz w:val="18"/>
              </w:rPr>
              <w:t>-298,0</w:t>
            </w:r>
          </w:p>
          <w:p>
            <w:pPr>
              <w:pStyle w:val="TableParagraph"/>
              <w:spacing w:line="240" w:lineRule="auto" w:before="104"/>
              <w:ind w:left="105" w:right="0"/>
              <w:jc w:val="left"/>
              <w:rPr>
                <w:rFonts w:ascii="Times New Roman" w:hAnsi="Times New Roman" w:cs="Times New Roman" w:eastAsia="Times New Roman" w:hint="default"/>
                <w:sz w:val="18"/>
                <w:szCs w:val="18"/>
              </w:rPr>
            </w:pPr>
            <w:r>
              <w:rPr>
                <w:rFonts w:ascii="Times New Roman"/>
                <w:sz w:val="18"/>
              </w:rPr>
              <w:t>82,391</w:t>
            </w:r>
          </w:p>
          <w:p>
            <w:pPr>
              <w:pStyle w:val="TableParagraph"/>
              <w:spacing w:line="240" w:lineRule="auto" w:before="106"/>
              <w:ind w:left="375" w:right="0"/>
              <w:jc w:val="left"/>
              <w:rPr>
                <w:rFonts w:ascii="Times New Roman" w:hAnsi="Times New Roman" w:cs="Times New Roman" w:eastAsia="Times New Roman" w:hint="default"/>
                <w:sz w:val="18"/>
                <w:szCs w:val="18"/>
              </w:rPr>
            </w:pPr>
            <w:r>
              <w:rPr>
                <w:rFonts w:ascii="Times New Roman"/>
                <w:sz w:val="18"/>
              </w:rPr>
              <w:t>.00</w:t>
            </w:r>
          </w:p>
        </w:tc>
        <w:tc>
          <w:tcPr>
            <w:tcW w:w="70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438"/>
        <w:gridCol w:w="690"/>
        <w:gridCol w:w="566"/>
        <w:gridCol w:w="425"/>
        <w:gridCol w:w="425"/>
        <w:gridCol w:w="714"/>
        <w:gridCol w:w="704"/>
        <w:gridCol w:w="708"/>
        <w:gridCol w:w="582"/>
        <w:gridCol w:w="664"/>
        <w:gridCol w:w="456"/>
        <w:gridCol w:w="708"/>
        <w:gridCol w:w="709"/>
        <w:gridCol w:w="781"/>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66" w:hRule="exact"/>
        </w:trPr>
        <w:tc>
          <w:tcPr>
            <w:tcW w:w="14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0"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7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-2,062</w:t>
            </w:r>
          </w:p>
        </w:tc>
        <w:tc>
          <w:tcPr>
            <w:tcW w:w="704"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582"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456"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7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-2,062,</w:t>
            </w:r>
          </w:p>
        </w:tc>
      </w:tr>
      <w:tr>
        <w:trPr>
          <w:trHeight w:val="312" w:hRule="exact"/>
        </w:trPr>
        <w:tc>
          <w:tcPr>
            <w:tcW w:w="1438" w:type="dxa"/>
            <w:tcBorders>
              <w:top w:val="nil" w:sz="6" w:space="0" w:color="auto"/>
              <w:left w:val="single" w:sz="4" w:space="0" w:color="000000"/>
              <w:bottom w:val="nil" w:sz="6" w:space="0" w:color="auto"/>
              <w:right w:val="single" w:sz="4" w:space="0" w:color="000000"/>
            </w:tcBorders>
          </w:tcPr>
          <w:p>
            <w:pPr/>
          </w:p>
        </w:tc>
        <w:tc>
          <w:tcPr>
            <w:tcW w:w="69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714"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18"/>
                <w:szCs w:val="18"/>
              </w:rPr>
            </w:pPr>
            <w:r>
              <w:rPr>
                <w:rFonts w:ascii="Times New Roman"/>
                <w:sz w:val="18"/>
              </w:rPr>
              <w:t>,078.8</w:t>
            </w:r>
          </w:p>
        </w:tc>
        <w:tc>
          <w:tcPr>
            <w:tcW w:w="704"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82"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456"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81"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sz w:val="18"/>
              </w:rPr>
              <w:t>078.88</w:t>
            </w:r>
          </w:p>
        </w:tc>
      </w:tr>
      <w:tr>
        <w:trPr>
          <w:trHeight w:val="348" w:hRule="exact"/>
        </w:trPr>
        <w:tc>
          <w:tcPr>
            <w:tcW w:w="1438" w:type="dxa"/>
            <w:tcBorders>
              <w:top w:val="nil" w:sz="6" w:space="0" w:color="auto"/>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7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sz w:val="18"/>
              </w:rPr>
              <w:t>8</w:t>
            </w:r>
          </w:p>
        </w:tc>
        <w:tc>
          <w:tcPr>
            <w:tcW w:w="704"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82"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456"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81"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6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4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四、本期期末余</w:t>
            </w:r>
          </w:p>
        </w:tc>
        <w:tc>
          <w:tcPr>
            <w:tcW w:w="6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794,8</w:t>
            </w:r>
          </w:p>
        </w:tc>
        <w:tc>
          <w:tcPr>
            <w:tcW w:w="566"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7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582,32</w:t>
            </w:r>
          </w:p>
        </w:tc>
        <w:tc>
          <w:tcPr>
            <w:tcW w:w="7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34,81</w:t>
            </w: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131,6</w:t>
            </w:r>
          </w:p>
        </w:tc>
        <w:tc>
          <w:tcPr>
            <w:tcW w:w="582" w:type="dxa"/>
            <w:vMerge w:val="restart"/>
            <w:tcBorders>
              <w:top w:val="single" w:sz="4" w:space="0" w:color="000000"/>
              <w:left w:val="single" w:sz="4" w:space="0" w:color="000000"/>
              <w:right w:val="single" w:sz="4" w:space="0" w:color="000000"/>
            </w:tcBorders>
          </w:tcPr>
          <w:p>
            <w:pPr/>
          </w:p>
        </w:tc>
        <w:tc>
          <w:tcPr>
            <w:tcW w:w="6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97,55</w:t>
            </w:r>
          </w:p>
        </w:tc>
        <w:tc>
          <w:tcPr>
            <w:tcW w:w="456" w:type="dxa"/>
            <w:vMerge w:val="restart"/>
            <w:tcBorders>
              <w:top w:val="single" w:sz="4" w:space="0" w:color="000000"/>
              <w:left w:val="single" w:sz="4" w:space="0" w:color="000000"/>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979,0</w:t>
            </w:r>
          </w:p>
        </w:tc>
        <w:tc>
          <w:tcPr>
            <w:tcW w:w="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22,43</w:t>
            </w:r>
          </w:p>
        </w:tc>
        <w:tc>
          <w:tcPr>
            <w:tcW w:w="7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92"/>
              <w:jc w:val="right"/>
              <w:rPr>
                <w:rFonts w:ascii="Times New Roman" w:hAnsi="Times New Roman" w:cs="Times New Roman" w:eastAsia="Times New Roman" w:hint="default"/>
                <w:sz w:val="18"/>
                <w:szCs w:val="18"/>
              </w:rPr>
            </w:pPr>
            <w:r>
              <w:rPr>
                <w:rFonts w:ascii="Times New Roman"/>
                <w:sz w:val="18"/>
              </w:rPr>
              <w:t>2,573,1</w:t>
            </w:r>
          </w:p>
        </w:tc>
      </w:tr>
      <w:tr>
        <w:trPr>
          <w:trHeight w:val="316" w:hRule="exact"/>
        </w:trPr>
        <w:tc>
          <w:tcPr>
            <w:tcW w:w="143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69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32,80</w:t>
            </w:r>
          </w:p>
        </w:tc>
        <w:tc>
          <w:tcPr>
            <w:tcW w:w="566"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71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5,767.</w:t>
            </w:r>
          </w:p>
        </w:tc>
        <w:tc>
          <w:tcPr>
            <w:tcW w:w="7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3,142.</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88" w:right="0"/>
              <w:jc w:val="center"/>
              <w:rPr>
                <w:rFonts w:ascii="Times New Roman" w:hAnsi="Times New Roman" w:cs="Times New Roman" w:eastAsia="Times New Roman" w:hint="default"/>
                <w:sz w:val="18"/>
                <w:szCs w:val="18"/>
              </w:rPr>
            </w:pPr>
            <w:r>
              <w:rPr>
                <w:rFonts w:ascii="Times New Roman"/>
                <w:sz w:val="18"/>
              </w:rPr>
              <w:t>92,50</w:t>
            </w:r>
          </w:p>
        </w:tc>
        <w:tc>
          <w:tcPr>
            <w:tcW w:w="582" w:type="dxa"/>
            <w:vMerge/>
            <w:tcBorders>
              <w:left w:val="single" w:sz="4" w:space="0" w:color="000000"/>
              <w:right w:val="single" w:sz="4" w:space="0" w:color="000000"/>
            </w:tcBorders>
          </w:tcPr>
          <w:p>
            <w:pPr/>
          </w:p>
        </w:tc>
        <w:tc>
          <w:tcPr>
            <w:tcW w:w="66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2,177</w:t>
            </w:r>
          </w:p>
        </w:tc>
        <w:tc>
          <w:tcPr>
            <w:tcW w:w="456"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88" w:right="0"/>
              <w:jc w:val="center"/>
              <w:rPr>
                <w:rFonts w:ascii="Times New Roman" w:hAnsi="Times New Roman" w:cs="Times New Roman" w:eastAsia="Times New Roman" w:hint="default"/>
                <w:sz w:val="18"/>
                <w:szCs w:val="18"/>
              </w:rPr>
            </w:pPr>
            <w:r>
              <w:rPr>
                <w:rFonts w:ascii="Times New Roman"/>
                <w:sz w:val="18"/>
              </w:rPr>
              <w:t>94,43</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4,451.</w:t>
            </w:r>
          </w:p>
        </w:tc>
        <w:tc>
          <w:tcPr>
            <w:tcW w:w="781"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19,010.</w:t>
            </w:r>
          </w:p>
        </w:tc>
      </w:tr>
      <w:tr>
        <w:trPr>
          <w:trHeight w:val="701" w:hRule="exact"/>
        </w:trPr>
        <w:tc>
          <w:tcPr>
            <w:tcW w:w="1438" w:type="dxa"/>
            <w:tcBorders>
              <w:top w:val="nil" w:sz="6" w:space="0" w:color="auto"/>
              <w:left w:val="single" w:sz="4" w:space="0" w:color="000000"/>
              <w:bottom w:val="single" w:sz="4" w:space="0" w:color="000000"/>
              <w:right w:val="single" w:sz="4" w:space="0" w:color="000000"/>
            </w:tcBorders>
          </w:tcPr>
          <w:p>
            <w:pPr/>
          </w:p>
        </w:tc>
        <w:tc>
          <w:tcPr>
            <w:tcW w:w="6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sz w:val="18"/>
              </w:rPr>
              <w:t>9.00</w:t>
            </w:r>
          </w:p>
        </w:tc>
        <w:tc>
          <w:tcPr>
            <w:tcW w:w="566"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7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right="102"/>
              <w:jc w:val="right"/>
              <w:rPr>
                <w:rFonts w:ascii="Times New Roman" w:hAnsi="Times New Roman" w:cs="Times New Roman" w:eastAsia="Times New Roman" w:hint="default"/>
                <w:sz w:val="18"/>
                <w:szCs w:val="18"/>
              </w:rPr>
            </w:pPr>
            <w:r>
              <w:rPr>
                <w:rFonts w:ascii="Times New Roman"/>
                <w:sz w:val="18"/>
              </w:rPr>
              <w:t>41</w:t>
            </w:r>
          </w:p>
        </w:tc>
        <w:tc>
          <w:tcPr>
            <w:tcW w:w="7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right="102"/>
              <w:jc w:val="right"/>
              <w:rPr>
                <w:rFonts w:ascii="Times New Roman" w:hAnsi="Times New Roman" w:cs="Times New Roman" w:eastAsia="Times New Roman" w:hint="default"/>
                <w:sz w:val="18"/>
                <w:szCs w:val="18"/>
              </w:rPr>
            </w:pPr>
            <w:r>
              <w:rPr>
                <w:rFonts w:ascii="Times New Roman"/>
                <w:sz w:val="18"/>
              </w:rPr>
              <w:t>00</w:t>
            </w: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left="178" w:right="0"/>
              <w:jc w:val="center"/>
              <w:rPr>
                <w:rFonts w:ascii="Times New Roman" w:hAnsi="Times New Roman" w:cs="Times New Roman" w:eastAsia="Times New Roman" w:hint="default"/>
                <w:sz w:val="18"/>
                <w:szCs w:val="18"/>
              </w:rPr>
            </w:pPr>
            <w:r>
              <w:rPr>
                <w:rFonts w:ascii="Times New Roman"/>
                <w:sz w:val="18"/>
              </w:rPr>
              <w:t>9.57</w:t>
            </w:r>
          </w:p>
        </w:tc>
        <w:tc>
          <w:tcPr>
            <w:tcW w:w="582" w:type="dxa"/>
            <w:vMerge/>
            <w:tcBorders>
              <w:left w:val="single" w:sz="4" w:space="0" w:color="000000"/>
              <w:bottom w:val="single" w:sz="4" w:space="0" w:color="000000"/>
              <w:right w:val="single" w:sz="4" w:space="0" w:color="000000"/>
            </w:tcBorders>
          </w:tcPr>
          <w:p>
            <w:pPr/>
          </w:p>
        </w:tc>
        <w:tc>
          <w:tcPr>
            <w:tcW w:w="6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sz w:val="18"/>
              </w:rPr>
              <w:t>.95</w:t>
            </w:r>
          </w:p>
        </w:tc>
        <w:tc>
          <w:tcPr>
            <w:tcW w:w="456" w:type="dxa"/>
            <w:vMerge/>
            <w:tcBorders>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left="176" w:right="0"/>
              <w:jc w:val="center"/>
              <w:rPr>
                <w:rFonts w:ascii="Times New Roman" w:hAnsi="Times New Roman" w:cs="Times New Roman" w:eastAsia="Times New Roman" w:hint="default"/>
                <w:sz w:val="18"/>
                <w:szCs w:val="18"/>
              </w:rPr>
            </w:pPr>
            <w:r>
              <w:rPr>
                <w:rFonts w:ascii="Times New Roman"/>
                <w:sz w:val="18"/>
              </w:rPr>
              <w:t>6.87</w:t>
            </w:r>
          </w:p>
        </w:tc>
        <w:tc>
          <w:tcPr>
            <w:tcW w:w="70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sz w:val="18"/>
              </w:rPr>
              <w:t>95</w:t>
            </w:r>
          </w:p>
        </w:tc>
        <w:tc>
          <w:tcPr>
            <w:tcW w:w="7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sz w:val="18"/>
              </w:rPr>
              <w:t>75</w:t>
            </w:r>
          </w:p>
        </w:tc>
      </w:tr>
    </w:tbl>
    <w:p>
      <w:pPr>
        <w:spacing w:before="51"/>
        <w:ind w:left="214" w:right="1021"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6"/>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438"/>
        <w:gridCol w:w="690"/>
        <w:gridCol w:w="425"/>
        <w:gridCol w:w="509"/>
        <w:gridCol w:w="530"/>
        <w:gridCol w:w="665"/>
        <w:gridCol w:w="665"/>
        <w:gridCol w:w="608"/>
        <w:gridCol w:w="425"/>
        <w:gridCol w:w="709"/>
        <w:gridCol w:w="566"/>
        <w:gridCol w:w="708"/>
        <w:gridCol w:w="851"/>
        <w:gridCol w:w="780"/>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650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5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7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114"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6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6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0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28" w:right="29"/>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42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26" w:right="2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70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259" w:right="78"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56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5"/>
              <w:ind w:left="98" w:right="9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70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168" w:right="78"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851" w:type="dxa"/>
            <w:vMerge/>
            <w:tcBorders>
              <w:left w:val="single" w:sz="4" w:space="0" w:color="000000"/>
              <w:right w:val="single" w:sz="4" w:space="0" w:color="000000"/>
            </w:tcBorders>
            <w:shd w:val="clear" w:color="auto" w:fill="D3D3D3"/>
          </w:tcPr>
          <w:p>
            <w:pPr/>
          </w:p>
        </w:tc>
        <w:tc>
          <w:tcPr>
            <w:tcW w:w="780" w:type="dxa"/>
            <w:vMerge/>
            <w:tcBorders>
              <w:left w:val="single" w:sz="4" w:space="0" w:color="000000"/>
              <w:right w:val="single" w:sz="4" w:space="0" w:color="000000"/>
            </w:tcBorders>
            <w:shd w:val="clear" w:color="auto" w:fill="D3D3D3"/>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3D3D3"/>
          </w:tcPr>
          <w:p>
            <w:pPr/>
          </w:p>
        </w:tc>
        <w:tc>
          <w:tcPr>
            <w:tcW w:w="690" w:type="dxa"/>
            <w:vMerge/>
            <w:tcBorders>
              <w:left w:val="single" w:sz="4" w:space="0" w:color="000000"/>
              <w:bottom w:val="single" w:sz="4" w:space="0" w:color="000000"/>
              <w:right w:val="single" w:sz="4" w:space="0" w:color="000000"/>
            </w:tcBorders>
            <w:shd w:val="clear" w:color="auto" w:fill="D3D3D3"/>
          </w:tcPr>
          <w:p>
            <w:pP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6" w:right="26"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58" w:right="6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08" w:type="dxa"/>
            <w:vMerge/>
            <w:tcBorders>
              <w:left w:val="single" w:sz="4" w:space="0" w:color="000000"/>
              <w:bottom w:val="single" w:sz="4" w:space="0" w:color="000000"/>
              <w:right w:val="single" w:sz="4" w:space="0" w:color="000000"/>
            </w:tcBorders>
            <w:shd w:val="clear" w:color="auto" w:fill="D3D3D3"/>
          </w:tcPr>
          <w:p>
            <w:pPr/>
          </w:p>
        </w:tc>
        <w:tc>
          <w:tcPr>
            <w:tcW w:w="425" w:type="dxa"/>
            <w:vMerge/>
            <w:tcBorders>
              <w:left w:val="single" w:sz="4" w:space="0" w:color="000000"/>
              <w:bottom w:val="single" w:sz="4" w:space="0" w:color="000000"/>
              <w:right w:val="single" w:sz="4" w:space="0" w:color="000000"/>
            </w:tcBorders>
            <w:shd w:val="clear" w:color="auto" w:fill="D3D3D3"/>
          </w:tcPr>
          <w:p>
            <w:pPr/>
          </w:p>
        </w:tc>
        <w:tc>
          <w:tcPr>
            <w:tcW w:w="709" w:type="dxa"/>
            <w:vMerge/>
            <w:tcBorders>
              <w:left w:val="single" w:sz="4" w:space="0" w:color="000000"/>
              <w:bottom w:val="single" w:sz="4" w:space="0" w:color="000000"/>
              <w:right w:val="single" w:sz="4" w:space="0" w:color="000000"/>
            </w:tcBorders>
            <w:shd w:val="clear" w:color="auto" w:fill="D3D3D3"/>
          </w:tcPr>
          <w:p>
            <w:pPr/>
          </w:p>
        </w:tc>
        <w:tc>
          <w:tcPr>
            <w:tcW w:w="566" w:type="dxa"/>
            <w:vMerge/>
            <w:tcBorders>
              <w:left w:val="single" w:sz="4" w:space="0" w:color="000000"/>
              <w:bottom w:val="single" w:sz="4" w:space="0" w:color="000000"/>
              <w:right w:val="single" w:sz="4" w:space="0" w:color="000000"/>
            </w:tcBorders>
            <w:shd w:val="clear" w:color="auto" w:fill="D3D3D3"/>
          </w:tcPr>
          <w:p>
            <w:pPr/>
          </w:p>
        </w:tc>
        <w:tc>
          <w:tcPr>
            <w:tcW w:w="708" w:type="dxa"/>
            <w:vMerge/>
            <w:tcBorders>
              <w:left w:val="single" w:sz="4" w:space="0" w:color="000000"/>
              <w:bottom w:val="single" w:sz="4" w:space="0" w:color="000000"/>
              <w:right w:val="single" w:sz="4" w:space="0" w:color="000000"/>
            </w:tcBorders>
            <w:shd w:val="clear" w:color="auto" w:fill="D3D3D3"/>
          </w:tcPr>
          <w:p>
            <w:pPr/>
          </w:p>
        </w:tc>
        <w:tc>
          <w:tcPr>
            <w:tcW w:w="851" w:type="dxa"/>
            <w:vMerge/>
            <w:tcBorders>
              <w:left w:val="single" w:sz="4" w:space="0" w:color="000000"/>
              <w:bottom w:val="single" w:sz="4" w:space="0" w:color="000000"/>
              <w:right w:val="single" w:sz="4" w:space="0" w:color="000000"/>
            </w:tcBorders>
            <w:shd w:val="clear" w:color="auto" w:fill="D3D3D3"/>
          </w:tcPr>
          <w:p>
            <w:pPr/>
          </w:p>
        </w:tc>
        <w:tc>
          <w:tcPr>
            <w:tcW w:w="780"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496,340,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506.00</w:t>
            </w: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857,267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,145.67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110,759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,559.00</w:t>
            </w:r>
          </w:p>
        </w:tc>
        <w:tc>
          <w:tcPr>
            <w:tcW w:w="6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57,142,4</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99.12</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566,397,</w:t>
            </w:r>
          </w:p>
          <w:p>
            <w:pPr>
              <w:pStyle w:val="TableParagraph"/>
              <w:spacing w:line="240" w:lineRule="auto" w:before="105"/>
              <w:ind w:left="157" w:right="0"/>
              <w:jc w:val="center"/>
              <w:rPr>
                <w:rFonts w:ascii="Times New Roman" w:hAnsi="Times New Roman" w:cs="Times New Roman" w:eastAsia="Times New Roman" w:hint="default"/>
                <w:sz w:val="18"/>
                <w:szCs w:val="18"/>
              </w:rPr>
            </w:pPr>
            <w:r>
              <w:rPr>
                <w:rFonts w:ascii="Times New Roman"/>
                <w:sz w:val="18"/>
              </w:rPr>
              <w:t>841.60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26,226,69</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2.39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1,892,615</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,125.78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6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496,340,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506.00</w:t>
            </w: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857,267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,145.67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110,759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,559.00</w:t>
            </w:r>
          </w:p>
        </w:tc>
        <w:tc>
          <w:tcPr>
            <w:tcW w:w="6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57,142,4</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99.12</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566,397,</w:t>
            </w:r>
          </w:p>
          <w:p>
            <w:pPr>
              <w:pStyle w:val="TableParagraph"/>
              <w:spacing w:line="240" w:lineRule="auto" w:before="105"/>
              <w:ind w:left="157" w:right="0"/>
              <w:jc w:val="center"/>
              <w:rPr>
                <w:rFonts w:ascii="Times New Roman" w:hAnsi="Times New Roman" w:cs="Times New Roman" w:eastAsia="Times New Roman" w:hint="default"/>
                <w:sz w:val="18"/>
                <w:szCs w:val="18"/>
              </w:rPr>
            </w:pPr>
            <w:r>
              <w:rPr>
                <w:rFonts w:ascii="Times New Roman"/>
                <w:sz w:val="18"/>
              </w:rPr>
              <w:t>841.60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26,226,69</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2.39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1,892,615</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,125.78</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690,200.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9,951,1</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63.16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-36,859,</w:t>
            </w:r>
          </w:p>
          <w:p>
            <w:pPr>
              <w:pStyle w:val="TableParagraph"/>
              <w:spacing w:line="240" w:lineRule="auto" w:before="105"/>
              <w:ind w:left="114" w:right="0"/>
              <w:jc w:val="center"/>
              <w:rPr>
                <w:rFonts w:ascii="Times New Roman" w:hAnsi="Times New Roman" w:cs="Times New Roman" w:eastAsia="Times New Roman" w:hint="default"/>
                <w:sz w:val="18"/>
                <w:szCs w:val="18"/>
              </w:rPr>
            </w:pPr>
            <w:r>
              <w:rPr>
                <w:rFonts w:ascii="Times New Roman"/>
                <w:sz w:val="18"/>
              </w:rPr>
              <w:t>941.00</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163,47</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9,285.0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17,897,3</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86.25</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231,355,</w:t>
            </w:r>
          </w:p>
          <w:p>
            <w:pPr>
              <w:pStyle w:val="TableParagraph"/>
              <w:spacing w:line="240" w:lineRule="auto" w:before="105"/>
              <w:ind w:left="157" w:right="0"/>
              <w:jc w:val="center"/>
              <w:rPr>
                <w:rFonts w:ascii="Times New Roman" w:hAnsi="Times New Roman" w:cs="Times New Roman" w:eastAsia="Times New Roman" w:hint="default"/>
                <w:sz w:val="18"/>
                <w:szCs w:val="18"/>
              </w:rPr>
            </w:pPr>
            <w:r>
              <w:rPr>
                <w:rFonts w:ascii="Times New Roman"/>
                <w:sz w:val="18"/>
              </w:rPr>
              <w:t>005.22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-2,447,812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457,785,1</w:t>
            </w:r>
          </w:p>
          <w:p>
            <w:pPr>
              <w:pStyle w:val="TableParagraph"/>
              <w:spacing w:line="240" w:lineRule="auto" w:before="105"/>
              <w:ind w:left="342" w:right="0"/>
              <w:jc w:val="left"/>
              <w:rPr>
                <w:rFonts w:ascii="Times New Roman" w:hAnsi="Times New Roman" w:cs="Times New Roman" w:eastAsia="Times New Roman" w:hint="default"/>
                <w:sz w:val="18"/>
                <w:szCs w:val="18"/>
              </w:rPr>
            </w:pPr>
            <w:r>
              <w:rPr>
                <w:rFonts w:ascii="Times New Roman"/>
                <w:sz w:val="18"/>
              </w:rPr>
              <w:t>67.66</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right="22"/>
              <w:jc w:val="right"/>
              <w:rPr>
                <w:rFonts w:ascii="宋体" w:hAnsi="宋体" w:cs="宋体" w:eastAsia="宋体" w:hint="default"/>
                <w:sz w:val="18"/>
                <w:szCs w:val="18"/>
              </w:rPr>
            </w:pPr>
            <w:r>
              <w:rPr>
                <w:rFonts w:ascii="宋体" w:hAnsi="宋体" w:cs="宋体" w:eastAsia="宋体" w:hint="default"/>
                <w:spacing w:val="-8"/>
                <w:sz w:val="18"/>
                <w:szCs w:val="18"/>
              </w:rPr>
              <w:t>（一）综合收益总</w:t>
            </w:r>
          </w:p>
        </w:tc>
        <w:tc>
          <w:tcPr>
            <w:tcW w:w="69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0" w:right="0"/>
              <w:jc w:val="left"/>
              <w:rPr>
                <w:rFonts w:ascii="Times New Roman" w:hAnsi="Times New Roman" w:cs="Times New Roman" w:eastAsia="Times New Roman" w:hint="default"/>
                <w:sz w:val="18"/>
                <w:szCs w:val="18"/>
              </w:rPr>
            </w:pPr>
            <w:r>
              <w:rPr>
                <w:rFonts w:ascii="Times New Roman"/>
                <w:sz w:val="18"/>
              </w:rPr>
              <w:t>163,47</w:t>
            </w: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271,716,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5" w:right="0"/>
              <w:jc w:val="left"/>
              <w:rPr>
                <w:rFonts w:ascii="Times New Roman" w:hAnsi="Times New Roman" w:cs="Times New Roman" w:eastAsia="Times New Roman" w:hint="default"/>
                <w:sz w:val="18"/>
                <w:szCs w:val="18"/>
              </w:rPr>
            </w:pPr>
            <w:r>
              <w:rPr>
                <w:rFonts w:ascii="Times New Roman"/>
                <w:sz w:val="18"/>
              </w:rPr>
              <w:t>-9,411,397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Times New Roman" w:hAnsi="Times New Roman" w:cs="Times New Roman" w:eastAsia="Times New Roman" w:hint="default"/>
                <w:sz w:val="18"/>
                <w:szCs w:val="18"/>
              </w:rPr>
            </w:pPr>
            <w:r>
              <w:rPr>
                <w:rFonts w:ascii="Times New Roman"/>
                <w:sz w:val="18"/>
              </w:rPr>
              <w:t>425,784,1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691"/>
        <w:gridCol w:w="425"/>
        <w:gridCol w:w="509"/>
        <w:gridCol w:w="530"/>
        <w:gridCol w:w="665"/>
        <w:gridCol w:w="665"/>
        <w:gridCol w:w="608"/>
        <w:gridCol w:w="425"/>
        <w:gridCol w:w="709"/>
        <w:gridCol w:w="566"/>
        <w:gridCol w:w="708"/>
        <w:gridCol w:w="851"/>
        <w:gridCol w:w="780"/>
      </w:tblGrid>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9,285.0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0" w:right="0"/>
              <w:jc w:val="left"/>
              <w:rPr>
                <w:rFonts w:ascii="Times New Roman" w:hAnsi="Times New Roman" w:cs="Times New Roman" w:eastAsia="Times New Roman" w:hint="default"/>
                <w:sz w:val="18"/>
                <w:szCs w:val="18"/>
              </w:rPr>
            </w:pPr>
            <w:r>
              <w:rPr>
                <w:rFonts w:ascii="Times New Roman"/>
                <w:sz w:val="18"/>
              </w:rPr>
              <w:t>271.45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2" w:right="0"/>
              <w:jc w:val="left"/>
              <w:rPr>
                <w:rFonts w:ascii="Times New Roman" w:hAnsi="Times New Roman" w:cs="Times New Roman" w:eastAsia="Times New Roman" w:hint="default"/>
                <w:sz w:val="18"/>
                <w:szCs w:val="18"/>
              </w:rPr>
            </w:pPr>
            <w:r>
              <w:rPr>
                <w:rFonts w:ascii="Times New Roman"/>
                <w:sz w:val="18"/>
              </w:rPr>
              <w:t>58.58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690,200.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11,510,</w:t>
            </w:r>
          </w:p>
          <w:p>
            <w:pPr>
              <w:pStyle w:val="TableParagraph"/>
              <w:spacing w:line="240" w:lineRule="auto" w:before="105"/>
              <w:ind w:left="138" w:right="0"/>
              <w:jc w:val="left"/>
              <w:rPr>
                <w:rFonts w:ascii="Times New Roman" w:hAnsi="Times New Roman" w:cs="Times New Roman" w:eastAsia="Times New Roman" w:hint="default"/>
                <w:sz w:val="18"/>
                <w:szCs w:val="18"/>
              </w:rPr>
            </w:pPr>
            <w:r>
              <w:rPr>
                <w:rFonts w:ascii="Times New Roman"/>
                <w:sz w:val="18"/>
              </w:rPr>
              <w:t>986.54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-36,859,</w:t>
            </w:r>
          </w:p>
          <w:p>
            <w:pPr>
              <w:pStyle w:val="TableParagraph"/>
              <w:spacing w:line="240" w:lineRule="auto" w:before="105"/>
              <w:ind w:left="114" w:right="0"/>
              <w:jc w:val="center"/>
              <w:rPr>
                <w:rFonts w:ascii="Times New Roman" w:hAnsi="Times New Roman" w:cs="Times New Roman" w:eastAsia="Times New Roman" w:hint="default"/>
                <w:sz w:val="18"/>
                <w:szCs w:val="18"/>
              </w:rPr>
            </w:pPr>
            <w:r>
              <w:rPr>
                <w:rFonts w:ascii="Times New Roman"/>
                <w:sz w:val="18"/>
              </w:rPr>
              <w:t>941.00</w:t>
            </w:r>
          </w:p>
        </w:tc>
        <w:tc>
          <w:tcPr>
            <w:tcW w:w="6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2,793,501.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51,854,62</w:t>
            </w:r>
          </w:p>
          <w:p>
            <w:pPr>
              <w:pStyle w:val="TableParagraph"/>
              <w:spacing w:line="240" w:lineRule="auto" w:before="105"/>
              <w:ind w:left="432" w:right="0"/>
              <w:jc w:val="left"/>
              <w:rPr>
                <w:rFonts w:ascii="Times New Roman" w:hAnsi="Times New Roman" w:cs="Times New Roman" w:eastAsia="Times New Roman" w:hint="default"/>
                <w:sz w:val="18"/>
                <w:szCs w:val="18"/>
              </w:rPr>
            </w:pPr>
            <w:r>
              <w:rPr>
                <w:rFonts w:ascii="Times New Roman"/>
                <w:sz w:val="18"/>
              </w:rPr>
              <w:t>9.32</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690,200.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813,950</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-42,181,</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110.00</w:t>
            </w:r>
          </w:p>
        </w:tc>
        <w:tc>
          <w:tcPr>
            <w:tcW w:w="6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46,850,26</w:t>
            </w:r>
          </w:p>
          <w:p>
            <w:pPr>
              <w:pStyle w:val="TableParagraph"/>
              <w:spacing w:line="240" w:lineRule="auto" w:before="105"/>
              <w:ind w:left="432"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10,697,</w:t>
            </w:r>
          </w:p>
          <w:p>
            <w:pPr>
              <w:pStyle w:val="TableParagraph"/>
              <w:spacing w:line="240" w:lineRule="auto" w:before="105"/>
              <w:ind w:left="138" w:right="0"/>
              <w:jc w:val="left"/>
              <w:rPr>
                <w:rFonts w:ascii="Times New Roman" w:hAnsi="Times New Roman" w:cs="Times New Roman" w:eastAsia="Times New Roman" w:hint="default"/>
                <w:sz w:val="18"/>
                <w:szCs w:val="18"/>
              </w:rPr>
            </w:pPr>
            <w:r>
              <w:rPr>
                <w:rFonts w:ascii="Times New Roman"/>
                <w:sz w:val="18"/>
              </w:rPr>
              <w:t>036.54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5,321,1</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69.00</w:t>
            </w:r>
          </w:p>
        </w:tc>
        <w:tc>
          <w:tcPr>
            <w:tcW w:w="6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-371,498.2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5,004,369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.32</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17,897,3</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86.25</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-37,751,</w:t>
            </w:r>
          </w:p>
          <w:p>
            <w:pPr>
              <w:pStyle w:val="TableParagraph"/>
              <w:spacing w:line="240" w:lineRule="auto" w:before="105"/>
              <w:ind w:left="157" w:right="0"/>
              <w:jc w:val="center"/>
              <w:rPr>
                <w:rFonts w:ascii="Times New Roman" w:hAnsi="Times New Roman" w:cs="Times New Roman" w:eastAsia="Times New Roman" w:hint="default"/>
                <w:sz w:val="18"/>
                <w:szCs w:val="18"/>
              </w:rPr>
            </w:pPr>
            <w:r>
              <w:rPr>
                <w:rFonts w:ascii="Times New Roman"/>
                <w:sz w:val="18"/>
              </w:rPr>
              <w:t>006.49</w:t>
            </w:r>
          </w:p>
        </w:tc>
        <w:tc>
          <w:tcPr>
            <w:tcW w:w="85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-19,853,6</w:t>
            </w:r>
          </w:p>
          <w:p>
            <w:pPr>
              <w:pStyle w:val="TableParagraph"/>
              <w:spacing w:line="240" w:lineRule="auto" w:before="105"/>
              <w:ind w:left="342" w:right="0"/>
              <w:jc w:val="left"/>
              <w:rPr>
                <w:rFonts w:ascii="Times New Roman" w:hAnsi="Times New Roman" w:cs="Times New Roman" w:eastAsia="Times New Roman" w:hint="default"/>
                <w:sz w:val="18"/>
                <w:szCs w:val="18"/>
              </w:rPr>
            </w:pPr>
            <w:r>
              <w:rPr>
                <w:rFonts w:ascii="Times New Roman"/>
                <w:sz w:val="18"/>
              </w:rPr>
              <w:t>20.24</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17,897,3</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86.25</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-17,897,</w:t>
            </w:r>
          </w:p>
          <w:p>
            <w:pPr>
              <w:pStyle w:val="TableParagraph"/>
              <w:spacing w:line="240" w:lineRule="auto" w:before="105"/>
              <w:ind w:left="157" w:right="0"/>
              <w:jc w:val="center"/>
              <w:rPr>
                <w:rFonts w:ascii="Times New Roman" w:hAnsi="Times New Roman" w:cs="Times New Roman" w:eastAsia="Times New Roman" w:hint="default"/>
                <w:sz w:val="18"/>
                <w:szCs w:val="18"/>
              </w:rPr>
            </w:pPr>
            <w:r>
              <w:rPr>
                <w:rFonts w:ascii="Times New Roman"/>
                <w:sz w:val="18"/>
              </w:rPr>
              <w:t>386.25</w:t>
            </w:r>
          </w:p>
        </w:tc>
        <w:tc>
          <w:tcPr>
            <w:tcW w:w="85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-19,853,</w:t>
            </w:r>
          </w:p>
          <w:p>
            <w:pPr>
              <w:pStyle w:val="TableParagraph"/>
              <w:spacing w:line="240" w:lineRule="auto" w:before="105"/>
              <w:ind w:left="157" w:right="0"/>
              <w:jc w:val="center"/>
              <w:rPr>
                <w:rFonts w:ascii="Times New Roman" w:hAnsi="Times New Roman" w:cs="Times New Roman" w:eastAsia="Times New Roman" w:hint="default"/>
                <w:sz w:val="18"/>
                <w:szCs w:val="18"/>
              </w:rPr>
            </w:pPr>
            <w:r>
              <w:rPr>
                <w:rFonts w:ascii="Times New Roman"/>
                <w:sz w:val="18"/>
              </w:rPr>
              <w:t>620.24</w:t>
            </w:r>
          </w:p>
        </w:tc>
        <w:tc>
          <w:tcPr>
            <w:tcW w:w="85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-19,853,6</w:t>
            </w:r>
          </w:p>
          <w:p>
            <w:pPr>
              <w:pStyle w:val="TableParagraph"/>
              <w:spacing w:line="240" w:lineRule="auto" w:before="105"/>
              <w:ind w:left="342" w:right="0"/>
              <w:jc w:val="left"/>
              <w:rPr>
                <w:rFonts w:ascii="Times New Roman" w:hAnsi="Times New Roman" w:cs="Times New Roman" w:eastAsia="Times New Roman" w:hint="default"/>
                <w:sz w:val="18"/>
                <w:szCs w:val="18"/>
              </w:rPr>
            </w:pPr>
            <w:r>
              <w:rPr>
                <w:rFonts w:ascii="Times New Roman"/>
                <w:sz w:val="18"/>
              </w:rPr>
              <w:t>20.24</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-1,559,8</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23.38</w:t>
            </w:r>
          </w:p>
        </w:tc>
        <w:tc>
          <w:tcPr>
            <w:tcW w:w="665"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-2,610,2</w:t>
            </w:r>
          </w:p>
          <w:p>
            <w:pPr>
              <w:pStyle w:val="TableParagraph"/>
              <w:spacing w:line="240" w:lineRule="auto" w:before="105"/>
              <w:ind w:left="247" w:right="0"/>
              <w:jc w:val="center"/>
              <w:rPr>
                <w:rFonts w:ascii="Times New Roman" w:hAnsi="Times New Roman" w:cs="Times New Roman" w:eastAsia="Times New Roman" w:hint="default"/>
                <w:sz w:val="18"/>
                <w:szCs w:val="18"/>
              </w:rPr>
            </w:pPr>
            <w:r>
              <w:rPr>
                <w:rFonts w:ascii="Times New Roman"/>
                <w:sz w:val="18"/>
              </w:rPr>
              <w:t>59.74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4,170,083.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12</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-1,559,8</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23.38</w:t>
            </w:r>
          </w:p>
        </w:tc>
        <w:tc>
          <w:tcPr>
            <w:tcW w:w="665"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-2,610,2</w:t>
            </w:r>
          </w:p>
          <w:p>
            <w:pPr>
              <w:pStyle w:val="TableParagraph"/>
              <w:spacing w:line="240" w:lineRule="auto" w:before="105"/>
              <w:ind w:left="247" w:right="0"/>
              <w:jc w:val="center"/>
              <w:rPr>
                <w:rFonts w:ascii="Times New Roman" w:hAnsi="Times New Roman" w:cs="Times New Roman" w:eastAsia="Times New Roman" w:hint="default"/>
                <w:sz w:val="18"/>
                <w:szCs w:val="18"/>
              </w:rPr>
            </w:pPr>
            <w:r>
              <w:rPr>
                <w:rFonts w:ascii="Times New Roman"/>
                <w:sz w:val="18"/>
              </w:rPr>
              <w:t>59.74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4,170,083.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12</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691"/>
        <w:gridCol w:w="425"/>
        <w:gridCol w:w="509"/>
        <w:gridCol w:w="530"/>
        <w:gridCol w:w="665"/>
        <w:gridCol w:w="665"/>
        <w:gridCol w:w="608"/>
        <w:gridCol w:w="425"/>
        <w:gridCol w:w="709"/>
        <w:gridCol w:w="566"/>
        <w:gridCol w:w="708"/>
        <w:gridCol w:w="851"/>
        <w:gridCol w:w="780"/>
      </w:tblGrid>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497,030,</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706.00</w:t>
            </w: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867,218</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,308.83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73,899,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618.00</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9,285.0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75,039,8</w:t>
            </w:r>
          </w:p>
          <w:p>
            <w:pPr>
              <w:pStyle w:val="TableParagraph"/>
              <w:spacing w:line="240" w:lineRule="auto" w:before="106"/>
              <w:ind w:left="271" w:right="0"/>
              <w:jc w:val="left"/>
              <w:rPr>
                <w:rFonts w:ascii="Times New Roman" w:hAnsi="Times New Roman" w:cs="Times New Roman" w:eastAsia="Times New Roman" w:hint="default"/>
                <w:sz w:val="18"/>
                <w:szCs w:val="18"/>
              </w:rPr>
            </w:pPr>
            <w:r>
              <w:rPr>
                <w:rFonts w:ascii="Times New Roman"/>
                <w:sz w:val="18"/>
              </w:rPr>
              <w:t>85.37</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797,752,</w:t>
            </w:r>
          </w:p>
          <w:p>
            <w:pPr>
              <w:pStyle w:val="TableParagraph"/>
              <w:spacing w:line="240" w:lineRule="auto" w:before="106"/>
              <w:ind w:left="157" w:right="0"/>
              <w:jc w:val="center"/>
              <w:rPr>
                <w:rFonts w:ascii="Times New Roman" w:hAnsi="Times New Roman" w:cs="Times New Roman" w:eastAsia="Times New Roman" w:hint="default"/>
                <w:sz w:val="18"/>
                <w:szCs w:val="18"/>
              </w:rPr>
            </w:pPr>
            <w:r>
              <w:rPr>
                <w:rFonts w:ascii="Times New Roman"/>
                <w:sz w:val="18"/>
              </w:rPr>
              <w:t>846.82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23,778,87</w:t>
            </w:r>
          </w:p>
          <w:p>
            <w:pPr>
              <w:pStyle w:val="TableParagraph"/>
              <w:spacing w:line="240" w:lineRule="auto" w:before="106"/>
              <w:ind w:left="504" w:right="0"/>
              <w:jc w:val="left"/>
              <w:rPr>
                <w:rFonts w:ascii="Times New Roman" w:hAnsi="Times New Roman" w:cs="Times New Roman" w:eastAsia="Times New Roman" w:hint="default"/>
                <w:sz w:val="18"/>
                <w:szCs w:val="18"/>
              </w:rPr>
            </w:pPr>
            <w:r>
              <w:rPr>
                <w:rFonts w:ascii="Times New Roman"/>
                <w:sz w:val="18"/>
              </w:rPr>
              <w:t>9.42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2,350,400</w:t>
            </w:r>
          </w:p>
          <w:p>
            <w:pPr>
              <w:pStyle w:val="TableParagraph"/>
              <w:spacing w:line="240" w:lineRule="auto" w:before="106"/>
              <w:ind w:left="183" w:right="0"/>
              <w:jc w:val="center"/>
              <w:rPr>
                <w:rFonts w:ascii="Times New Roman" w:hAnsi="Times New Roman" w:cs="Times New Roman" w:eastAsia="Times New Roman" w:hint="default"/>
                <w:sz w:val="18"/>
                <w:szCs w:val="18"/>
              </w:rPr>
            </w:pPr>
            <w:r>
              <w:rPr>
                <w:rFonts w:ascii="Times New Roman"/>
                <w:sz w:val="18"/>
              </w:rPr>
              <w:t>,293.44</w:t>
            </w:r>
          </w:p>
        </w:tc>
      </w:tr>
    </w:tbl>
    <w:p>
      <w:pPr>
        <w:spacing w:line="240" w:lineRule="auto" w:before="8"/>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1"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1"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497,030,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706.00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1,093,447</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,268.51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73,899,61</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8.00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163,479,2</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85.00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75,039,88</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5.37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590,637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,495.39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2,345,735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,022.27</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497,030,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706.00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1,093,447</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,268.51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73,899,61</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8.00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163,479,2</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85.00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75,039,88</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5.37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590,637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,495.39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2,345,735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,022.27</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297,802,</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103.00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-283,321,</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358.86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-39,086,4</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76.00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-31,786,7</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75.43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22,512,29</w:t>
            </w:r>
          </w:p>
          <w:p>
            <w:pPr>
              <w:pStyle w:val="TableParagraph"/>
              <w:spacing w:line="240" w:lineRule="auto" w:before="106"/>
              <w:ind w:left="448" w:right="0"/>
              <w:jc w:val="left"/>
              <w:rPr>
                <w:rFonts w:ascii="Times New Roman" w:hAnsi="Times New Roman" w:cs="Times New Roman" w:eastAsia="Times New Roman" w:hint="default"/>
                <w:sz w:val="18"/>
                <w:szCs w:val="18"/>
              </w:rPr>
            </w:pPr>
            <w:r>
              <w:rPr>
                <w:rFonts w:ascii="Times New Roman"/>
                <w:sz w:val="18"/>
              </w:rPr>
              <w:t>2.58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103,249</w:t>
            </w:r>
          </w:p>
          <w:p>
            <w:pPr>
              <w:pStyle w:val="TableParagraph"/>
              <w:spacing w:line="240" w:lineRule="auto" w:before="106"/>
              <w:ind w:left="102" w:right="0"/>
              <w:jc w:val="left"/>
              <w:rPr>
                <w:rFonts w:ascii="Times New Roman" w:hAnsi="Times New Roman" w:cs="Times New Roman" w:eastAsia="Times New Roman" w:hint="default"/>
                <w:sz w:val="18"/>
                <w:szCs w:val="18"/>
              </w:rPr>
            </w:pPr>
            <w:r>
              <w:rPr>
                <w:rFonts w:ascii="Times New Roman"/>
                <w:sz w:val="18"/>
              </w:rPr>
              <w:t>,836.00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147,542,5</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73.29</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-31,786,7</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75.43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225,122</w:t>
            </w:r>
          </w:p>
          <w:p>
            <w:pPr>
              <w:pStyle w:val="TableParagraph"/>
              <w:spacing w:line="240" w:lineRule="auto" w:before="106"/>
              <w:ind w:left="102" w:right="0"/>
              <w:jc w:val="left"/>
              <w:rPr>
                <w:rFonts w:ascii="Times New Roman" w:hAnsi="Times New Roman" w:cs="Times New Roman" w:eastAsia="Times New Roman" w:hint="default"/>
                <w:sz w:val="18"/>
                <w:szCs w:val="18"/>
              </w:rPr>
            </w:pPr>
            <w:r>
              <w:rPr>
                <w:rFonts w:ascii="Times New Roman"/>
                <w:sz w:val="18"/>
              </w:rPr>
              <w:t>,925.78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193,336,1</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50.35</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-280,28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14,761,03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2.14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-39,086,4</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76.00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53,567,22</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0.14</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-280,28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-2,786,28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-3,066,57</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9,794,566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-39,086,4</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76.00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48,881,04</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2.38</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7,752,747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7,752,747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.76</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22,512,29</w:t>
            </w:r>
          </w:p>
          <w:p>
            <w:pPr>
              <w:pStyle w:val="TableParagraph"/>
              <w:spacing w:line="240" w:lineRule="auto" w:before="106"/>
              <w:ind w:left="448" w:right="0"/>
              <w:jc w:val="left"/>
              <w:rPr>
                <w:rFonts w:ascii="Times New Roman" w:hAnsi="Times New Roman" w:cs="Times New Roman" w:eastAsia="Times New Roman" w:hint="default"/>
                <w:sz w:val="18"/>
                <w:szCs w:val="18"/>
              </w:rPr>
            </w:pPr>
            <w:r>
              <w:rPr>
                <w:rFonts w:ascii="Times New Roman"/>
                <w:sz w:val="18"/>
              </w:rPr>
              <w:t>2.58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-121,87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3,089.7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-99,360,7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97.20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22,512,29</w:t>
            </w:r>
          </w:p>
          <w:p>
            <w:pPr>
              <w:pStyle w:val="TableParagraph"/>
              <w:spacing w:line="240" w:lineRule="auto" w:before="106"/>
              <w:ind w:left="448" w:right="0"/>
              <w:jc w:val="left"/>
              <w:rPr>
                <w:rFonts w:ascii="Times New Roman" w:hAnsi="Times New Roman" w:cs="Times New Roman" w:eastAsia="Times New Roman" w:hint="default"/>
                <w:sz w:val="18"/>
                <w:szCs w:val="18"/>
              </w:rPr>
            </w:pPr>
            <w:r>
              <w:rPr>
                <w:rFonts w:ascii="Times New Roman"/>
                <w:sz w:val="18"/>
              </w:rPr>
              <w:t>2.58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-22,512,</w:t>
            </w:r>
          </w:p>
          <w:p>
            <w:pPr>
              <w:pStyle w:val="TableParagraph"/>
              <w:spacing w:line="240" w:lineRule="auto" w:before="106"/>
              <w:ind w:left="124" w:right="0"/>
              <w:jc w:val="center"/>
              <w:rPr>
                <w:rFonts w:ascii="Times New Roman" w:hAnsi="Times New Roman" w:cs="Times New Roman" w:eastAsia="Times New Roman" w:hint="default"/>
                <w:sz w:val="18"/>
                <w:szCs w:val="18"/>
              </w:rPr>
            </w:pPr>
            <w:r>
              <w:rPr>
                <w:rFonts w:ascii="Times New Roman"/>
                <w:sz w:val="18"/>
              </w:rPr>
              <w:t>292.58</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-99,360,</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797.20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-99,360,7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97.20</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298,082,</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391.00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-298,082,</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391.00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298,082,</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391.00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-298,082,</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391.00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794,832,</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809.00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810,125,9</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09.65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34,813,14</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131,692,5</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09.57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97,552,17</w:t>
            </w:r>
          </w:p>
          <w:p>
            <w:pPr>
              <w:pStyle w:val="TableParagraph"/>
              <w:spacing w:line="240" w:lineRule="auto" w:before="106"/>
              <w:ind w:left="448" w:right="0"/>
              <w:jc w:val="left"/>
              <w:rPr>
                <w:rFonts w:ascii="Times New Roman" w:hAnsi="Times New Roman" w:cs="Times New Roman" w:eastAsia="Times New Roman" w:hint="default"/>
                <w:sz w:val="18"/>
                <w:szCs w:val="18"/>
              </w:rPr>
            </w:pPr>
            <w:r>
              <w:rPr>
                <w:rFonts w:ascii="Times New Roman"/>
                <w:sz w:val="18"/>
              </w:rPr>
              <w:t>7.95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693,887</w:t>
            </w:r>
          </w:p>
          <w:p>
            <w:pPr>
              <w:pStyle w:val="TableParagraph"/>
              <w:spacing w:line="240" w:lineRule="auto" w:before="106"/>
              <w:ind w:left="102" w:right="0"/>
              <w:jc w:val="left"/>
              <w:rPr>
                <w:rFonts w:ascii="Times New Roman" w:hAnsi="Times New Roman" w:cs="Times New Roman" w:eastAsia="Times New Roman" w:hint="default"/>
                <w:sz w:val="18"/>
                <w:szCs w:val="18"/>
              </w:rPr>
            </w:pPr>
            <w:r>
              <w:rPr>
                <w:rFonts w:ascii="Times New Roman"/>
                <w:sz w:val="18"/>
              </w:rPr>
              <w:t>,331.39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2,493,277</w:t>
            </w:r>
          </w:p>
          <w:p>
            <w:pPr>
              <w:pStyle w:val="TableParagraph"/>
              <w:spacing w:line="240" w:lineRule="auto" w:before="106"/>
              <w:ind w:left="182" w:right="0"/>
              <w:jc w:val="center"/>
              <w:rPr>
                <w:rFonts w:ascii="Times New Roman" w:hAnsi="Times New Roman" w:cs="Times New Roman" w:eastAsia="Times New Roman" w:hint="default"/>
                <w:sz w:val="18"/>
                <w:szCs w:val="18"/>
              </w:rPr>
            </w:pPr>
            <w:r>
              <w:rPr>
                <w:rFonts w:ascii="Times New Roman"/>
                <w:sz w:val="18"/>
              </w:rPr>
              <w:t>,595.56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1"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441"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496,340,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506.00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1,078,364</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,292.09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 w:right="0"/>
              <w:jc w:val="left"/>
              <w:rPr>
                <w:rFonts w:ascii="Times New Roman" w:hAnsi="Times New Roman" w:cs="Times New Roman" w:eastAsia="Times New Roman" w:hint="default"/>
                <w:sz w:val="18"/>
                <w:szCs w:val="18"/>
              </w:rPr>
            </w:pPr>
            <w:r>
              <w:rPr>
                <w:rFonts w:ascii="Times New Roman"/>
                <w:sz w:val="18"/>
              </w:rPr>
              <w:t>110,759,5</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59.00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57,142,49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9.12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449,414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,639.36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1,970,502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,377.57</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496,340,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1,078,364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2" w:right="0"/>
              <w:jc w:val="left"/>
              <w:rPr>
                <w:rFonts w:ascii="Times New Roman" w:hAnsi="Times New Roman" w:cs="Times New Roman" w:eastAsia="Times New Roman" w:hint="default"/>
                <w:sz w:val="18"/>
                <w:szCs w:val="18"/>
              </w:rPr>
            </w:pPr>
            <w:r>
              <w:rPr>
                <w:rFonts w:ascii="Times New Roman"/>
                <w:sz w:val="18"/>
              </w:rPr>
              <w:t>110,759,5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57,142,49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8" w:right="0"/>
              <w:jc w:val="left"/>
              <w:rPr>
                <w:rFonts w:ascii="Times New Roman" w:hAnsi="Times New Roman" w:cs="Times New Roman" w:eastAsia="Times New Roman" w:hint="default"/>
                <w:sz w:val="18"/>
                <w:szCs w:val="18"/>
              </w:rPr>
            </w:pPr>
            <w:r>
              <w:rPr>
                <w:rFonts w:ascii="Times New Roman"/>
                <w:sz w:val="18"/>
              </w:rPr>
              <w:t>449,414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1,970,502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36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3" w:right="0"/>
              <w:jc w:val="left"/>
              <w:rPr>
                <w:rFonts w:ascii="Times New Roman" w:hAnsi="Times New Roman" w:cs="Times New Roman" w:eastAsia="Times New Roman" w:hint="default"/>
                <w:sz w:val="18"/>
                <w:szCs w:val="18"/>
              </w:rPr>
            </w:pPr>
            <w:r>
              <w:rPr>
                <w:rFonts w:ascii="Times New Roman"/>
                <w:sz w:val="18"/>
              </w:rPr>
              <w:t>506.00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4" w:right="0"/>
              <w:jc w:val="left"/>
              <w:rPr>
                <w:rFonts w:ascii="Times New Roman" w:hAnsi="Times New Roman" w:cs="Times New Roman" w:eastAsia="Times New Roman" w:hint="default"/>
                <w:sz w:val="18"/>
                <w:szCs w:val="18"/>
              </w:rPr>
            </w:pPr>
            <w:r>
              <w:rPr>
                <w:rFonts w:ascii="Times New Roman"/>
                <w:sz w:val="18"/>
              </w:rPr>
              <w:t>,292.09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1" w:right="0"/>
              <w:jc w:val="left"/>
              <w:rPr>
                <w:rFonts w:ascii="Times New Roman" w:hAnsi="Times New Roman" w:cs="Times New Roman" w:eastAsia="Times New Roman" w:hint="default"/>
                <w:sz w:val="18"/>
                <w:szCs w:val="18"/>
              </w:rPr>
            </w:pPr>
            <w:r>
              <w:rPr>
                <w:rFonts w:ascii="Times New Roman"/>
                <w:sz w:val="18"/>
              </w:rPr>
              <w:t>59.00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9" w:right="0"/>
              <w:jc w:val="left"/>
              <w:rPr>
                <w:rFonts w:ascii="Times New Roman" w:hAnsi="Times New Roman" w:cs="Times New Roman" w:eastAsia="Times New Roman" w:hint="default"/>
                <w:sz w:val="18"/>
                <w:szCs w:val="18"/>
              </w:rPr>
            </w:pPr>
            <w:r>
              <w:rPr>
                <w:rFonts w:ascii="Times New Roman"/>
                <w:sz w:val="18"/>
              </w:rPr>
              <w:t>9.12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,639.36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 w:right="0"/>
              <w:jc w:val="left"/>
              <w:rPr>
                <w:rFonts w:ascii="Times New Roman" w:hAnsi="Times New Roman" w:cs="Times New Roman" w:eastAsia="Times New Roman" w:hint="default"/>
                <w:sz w:val="18"/>
                <w:szCs w:val="18"/>
              </w:rPr>
            </w:pPr>
            <w:r>
              <w:rPr>
                <w:rFonts w:ascii="Times New Roman"/>
                <w:sz w:val="18"/>
              </w:rPr>
              <w:t>,377.57</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690,200.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15,082,97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6.42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-36,859,9</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41.00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163,479,2</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85.00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17,897,38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6.25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141,222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,856.03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375,232,6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44.70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163,479,2</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85.00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178,973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,862.52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342,453,1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47.52</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690,200.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15,082,97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6.42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-36,859,9</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41.00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52,633,11</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7.42</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690,200.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813,950.0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left"/>
              <w:rPr>
                <w:rFonts w:ascii="Times New Roman" w:hAnsi="Times New Roman" w:cs="Times New Roman" w:eastAsia="Times New Roman" w:hint="default"/>
                <w:sz w:val="18"/>
                <w:szCs w:val="18"/>
              </w:rPr>
            </w:pPr>
            <w:r>
              <w:rPr>
                <w:rFonts w:ascii="Times New Roman"/>
                <w:sz w:val="18"/>
              </w:rPr>
              <w:t>-42,181,1</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43,685,26</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14,269,02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6.42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5,321,169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8,947,857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.42</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17,897,38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6.25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-37,751,</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006.49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-19,853,6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20.24</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17,897,38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6.25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-17,897,</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386.25</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-19,853,</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620.24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-19,853,6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20.24</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497,030,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706.00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1,093,447</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,268.51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73,899,61</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8.00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163,479,2</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85.00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75,039,88</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5.37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590,637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,495.39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2,345,735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,022.27</w:t>
            </w:r>
          </w:p>
        </w:tc>
      </w:tr>
    </w:tbl>
    <w:p>
      <w:pPr>
        <w:spacing w:line="240" w:lineRule="auto" w:before="5"/>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三、公司基本情况</w:t>
      </w:r>
      <w:r>
        <w:rPr>
          <w:b w:val="0"/>
          <w:bCs w:val="0"/>
        </w:rPr>
      </w:r>
    </w:p>
    <w:p>
      <w:pPr>
        <w:spacing w:line="240" w:lineRule="auto" w:before="8"/>
        <w:rPr>
          <w:rFonts w:ascii="宋体" w:hAnsi="宋体" w:cs="宋体" w:eastAsia="宋体" w:hint="default"/>
          <w:b/>
          <w:bCs/>
          <w:sz w:val="30"/>
          <w:szCs w:val="30"/>
        </w:rPr>
      </w:pPr>
    </w:p>
    <w:p>
      <w:pPr>
        <w:pStyle w:val="BodyText"/>
        <w:spacing w:line="388" w:lineRule="auto"/>
        <w:ind w:left="153" w:right="1025"/>
        <w:jc w:val="left"/>
      </w:pPr>
      <w:r>
        <w:rPr>
          <w:rFonts w:ascii="Times New Roman" w:hAnsi="Times New Roman" w:cs="Times New Roman" w:eastAsia="Times New Roman" w:hint="default"/>
        </w:rPr>
        <w:t>1</w:t>
      </w:r>
      <w:r>
        <w:rPr/>
        <w:t>、公司概况 厦门市美亚柏科信息股份有限公司（以下简称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）是一家在福建省厦门市注册的股份有限公司，由 郭永芳、刘祥南、李国林、广州通连投资咨询有限公司等十六名发起人共同发起设立，经福建省厦门市工 商行政管理局核准登记，企业法人营业执照</w:t>
      </w:r>
      <w:r>
        <w:rPr>
          <w:rFonts w:ascii="Times New Roman" w:hAnsi="Times New Roman" w:cs="Times New Roman" w:eastAsia="Times New Roman" w:hint="default"/>
        </w:rPr>
        <w:t>350298200005610</w:t>
      </w:r>
      <w:r>
        <w:rPr/>
        <w:t>号；</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日，本公司经厦门市市场监 督管理局核准，取得统一社会信用代码为</w:t>
      </w:r>
      <w:r>
        <w:rPr>
          <w:rFonts w:ascii="Times New Roman" w:hAnsi="Times New Roman" w:cs="Times New Roman" w:eastAsia="Times New Roman" w:hint="default"/>
        </w:rPr>
        <w:t>91350200705420347R</w:t>
      </w:r>
      <w:r>
        <w:rPr/>
        <w:t>的营业执照。本公司注册地址及总部地址： 厦门市软件园二期观日路</w:t>
      </w:r>
      <w:r>
        <w:rPr>
          <w:rFonts w:ascii="Times New Roman" w:hAnsi="Times New Roman" w:cs="Times New Roman" w:eastAsia="Times New Roman" w:hint="default"/>
        </w:rPr>
        <w:t>12</w:t>
      </w:r>
      <w:r>
        <w:rPr/>
        <w:t>号</w:t>
      </w:r>
      <w:r>
        <w:rPr>
          <w:rFonts w:ascii="Times New Roman" w:hAnsi="Times New Roman" w:cs="Times New Roman" w:eastAsia="Times New Roman" w:hint="default"/>
        </w:rPr>
        <w:t>102-402</w:t>
      </w:r>
      <w:r>
        <w:rPr/>
        <w:t>单元，法定代表人：滕达。 </w:t>
      </w:r>
      <w:r>
        <w:rPr>
          <w:spacing w:val="-1"/>
        </w:rPr>
        <w:t>本公司前身为原厦门市美亚柏科资讯科技有限公司，</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22</w:t>
      </w:r>
      <w:r>
        <w:rPr>
          <w:spacing w:val="-1"/>
        </w:rPr>
        <w:t>日在该公司基础上改组为股份有限公司。</w:t>
      </w:r>
      <w:r>
        <w:rPr>
          <w:spacing w:val="-82"/>
        </w:rPr>
        <w:t> </w:t>
      </w:r>
      <w:r>
        <w:rPr>
          <w:spacing w:val="-82"/>
        </w:rPr>
      </w:r>
      <w:r>
        <w:rPr/>
        <w:t>根据本公司</w:t>
      </w:r>
      <w:r>
        <w:rPr>
          <w:rFonts w:ascii="Times New Roman" w:hAnsi="Times New Roman" w:cs="Times New Roman" w:eastAsia="Times New Roman" w:hint="default"/>
        </w:rPr>
        <w:t>2010</w:t>
      </w:r>
      <w:r>
        <w:rPr/>
        <w:t>年第一次临时股东大会决议，并经中国证券监督管理委员会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[2011]263</w:t>
      </w:r>
      <w:r>
        <w:rPr/>
        <w:t>号</w:t>
      </w:r>
      <w:r>
        <w:rPr>
          <w:rFonts w:ascii="Times New Roman" w:hAnsi="Times New Roman" w:cs="Times New Roman" w:eastAsia="Times New Roman" w:hint="default"/>
        </w:rPr>
        <w:t>”</w:t>
      </w:r>
      <w:r>
        <w:rPr/>
        <w:t>文《关 于核准厦门市美亚柏科信息股份有限公司首次公开发行股票并在创业板上市的批复》核准，本公司申请首 次向社会公开发行人民币普通股（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1,350</w:t>
      </w:r>
      <w:r>
        <w:rPr/>
        <w:t>万股，每股面值</w:t>
      </w:r>
      <w:r>
        <w:rPr>
          <w:rFonts w:ascii="Times New Roman" w:hAnsi="Times New Roman" w:cs="Times New Roman" w:eastAsia="Times New Roman" w:hint="default"/>
        </w:rPr>
        <w:t>1</w:t>
      </w:r>
      <w:r>
        <w:rPr/>
        <w:t>元，实际发行价格</w:t>
      </w:r>
      <w:r>
        <w:rPr>
          <w:rFonts w:ascii="Times New Roman" w:hAnsi="Times New Roman" w:cs="Times New Roman" w:eastAsia="Times New Roman" w:hint="default"/>
        </w:rPr>
        <w:t>40</w:t>
      </w:r>
      <w:r>
        <w:rPr/>
        <w:t>元</w:t>
      </w:r>
      <w:r>
        <w:rPr>
          <w:rFonts w:ascii="Times New Roman" w:hAnsi="Times New Roman" w:cs="Times New Roman" w:eastAsia="Times New Roman" w:hint="default"/>
        </w:rPr>
        <w:t>/</w:t>
      </w:r>
      <w:r>
        <w:rPr/>
        <w:t>股，发行后本公司</w:t>
      </w:r>
      <w:r>
        <w:rPr>
          <w:spacing w:val="-83"/>
        </w:rPr>
        <w:t> </w:t>
      </w:r>
      <w:r>
        <w:rPr>
          <w:spacing w:val="-83"/>
        </w:rPr>
      </w:r>
      <w:r>
        <w:rPr/>
        <w:t>注册资本（股本）变更为</w:t>
      </w:r>
      <w:r>
        <w:rPr>
          <w:rFonts w:ascii="Times New Roman" w:hAnsi="Times New Roman" w:cs="Times New Roman" w:eastAsia="Times New Roman" w:hint="default"/>
        </w:rPr>
        <w:t>5,350</w:t>
      </w:r>
      <w:r>
        <w:rPr/>
        <w:t>万元。本公司</w:t>
      </w:r>
      <w:r>
        <w:rPr>
          <w:rFonts w:ascii="Times New Roman" w:hAnsi="Times New Roman" w:cs="Times New Roman" w:eastAsia="Times New Roman" w:hint="default"/>
        </w:rPr>
        <w:t>A</w:t>
      </w:r>
      <w:r>
        <w:rPr/>
        <w:t>股股票自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日起在深圳证券交易所创业板上市交</w:t>
      </w:r>
      <w:r>
        <w:rPr>
          <w:spacing w:val="-33"/>
        </w:rPr>
        <w:t> </w:t>
      </w:r>
      <w:r>
        <w:rPr>
          <w:spacing w:val="-33"/>
        </w:rPr>
      </w:r>
      <w:r>
        <w:rPr/>
        <w:t>易，证券简称为</w:t>
      </w:r>
      <w:r>
        <w:rPr>
          <w:rFonts w:ascii="Times New Roman" w:hAnsi="Times New Roman" w:cs="Times New Roman" w:eastAsia="Times New Roman" w:hint="default"/>
        </w:rPr>
        <w:t>“</w:t>
      </w:r>
      <w:r>
        <w:rPr/>
        <w:t>美亚柏科</w:t>
      </w:r>
      <w:r>
        <w:rPr>
          <w:rFonts w:ascii="Times New Roman" w:hAnsi="Times New Roman" w:cs="Times New Roman" w:eastAsia="Times New Roman" w:hint="default"/>
        </w:rPr>
        <w:t>”</w:t>
      </w:r>
      <w:r>
        <w:rPr/>
        <w:t>，证券代码为</w:t>
      </w:r>
      <w:r>
        <w:rPr>
          <w:rFonts w:ascii="Times New Roman" w:hAnsi="Times New Roman" w:cs="Times New Roman" w:eastAsia="Times New Roman" w:hint="default"/>
        </w:rPr>
        <w:t>“300188”</w:t>
      </w:r>
      <w:r>
        <w:rPr/>
        <w:t>。 根据</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日本公司召开的</w:t>
      </w:r>
      <w:r>
        <w:rPr>
          <w:rFonts w:ascii="Times New Roman" w:hAnsi="Times New Roman" w:cs="Times New Roman" w:eastAsia="Times New Roman" w:hint="default"/>
        </w:rPr>
        <w:t>2011</w:t>
      </w:r>
      <w:r>
        <w:rPr/>
        <w:t>年度股东大会审议通过</w:t>
      </w:r>
      <w:r>
        <w:rPr>
          <w:rFonts w:ascii="Times New Roman" w:hAnsi="Times New Roman" w:cs="Times New Roman" w:eastAsia="Times New Roman" w:hint="default"/>
        </w:rPr>
        <w:t>2011</w:t>
      </w:r>
      <w:r>
        <w:rPr/>
        <w:t>年度利润分配方案，以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23"/>
        </w:rPr>
        <w:t> </w:t>
      </w:r>
      <w:r>
        <w:rPr/>
        <w:t>月</w:t>
      </w:r>
      <w:r>
        <w:rPr>
          <w:rFonts w:ascii="Times New Roman" w:hAnsi="Times New Roman" w:cs="Times New Roman" w:eastAsia="Times New Roman" w:hint="default"/>
        </w:rPr>
        <w:t>31</w:t>
      </w:r>
      <w:r>
        <w:rPr/>
        <w:t>日 总股本</w:t>
      </w:r>
      <w:r>
        <w:rPr>
          <w:rFonts w:ascii="Times New Roman" w:hAnsi="Times New Roman" w:cs="Times New Roman" w:eastAsia="Times New Roman" w:hint="default"/>
        </w:rPr>
        <w:t>5,350</w:t>
      </w:r>
      <w:r>
        <w:rPr/>
        <w:t>万股为基数，以资本公积金每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w:t>
      </w:r>
      <w:r>
        <w:rPr>
          <w:rFonts w:ascii="Times New Roman" w:hAnsi="Times New Roman" w:cs="Times New Roman" w:eastAsia="Times New Roman" w:hint="default"/>
        </w:rPr>
        <w:t>5,350</w:t>
      </w:r>
      <w:r>
        <w:rPr/>
        <w:t>万股。根据</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日本公司 召开的</w:t>
      </w:r>
      <w:r>
        <w:rPr>
          <w:rFonts w:ascii="Times New Roman" w:hAnsi="Times New Roman" w:cs="Times New Roman" w:eastAsia="Times New Roman" w:hint="default"/>
        </w:rPr>
        <w:t>2012 </w:t>
      </w:r>
      <w:r>
        <w:rPr/>
        <w:t>年第一次临时股东大会决议、</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6</w:t>
      </w:r>
      <w:r>
        <w:rPr/>
        <w:t>日第一届董事会第二十一次会议决议和修改后的章</w:t>
      </w:r>
      <w:r>
        <w:rPr>
          <w:spacing w:val="-42"/>
        </w:rPr>
        <w:t> </w:t>
      </w:r>
      <w:r>
        <w:rPr>
          <w:spacing w:val="-42"/>
        </w:rPr>
      </w:r>
      <w:r>
        <w:rPr/>
        <w:t>程规定，本公司以定向增发方式向</w:t>
      </w:r>
      <w:r>
        <w:rPr>
          <w:rFonts w:ascii="Times New Roman" w:hAnsi="Times New Roman" w:cs="Times New Roman" w:eastAsia="Times New Roman" w:hint="default"/>
        </w:rPr>
        <w:t>201</w:t>
      </w:r>
      <w:r>
        <w:rPr/>
        <w:t>名激励对象授予限制性人民币普通股（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10"/>
        </w:rPr>
        <w:t> </w:t>
      </w:r>
      <w:r>
        <w:rPr>
          <w:spacing w:val="-4"/>
        </w:rPr>
        <w:t>股）</w:t>
      </w:r>
      <w:r>
        <w:rPr>
          <w:rFonts w:ascii="Times New Roman" w:hAnsi="Times New Roman" w:cs="Times New Roman" w:eastAsia="Times New Roman" w:hint="default"/>
          <w:spacing w:val="-4"/>
        </w:rPr>
        <w:t>390.66</w:t>
      </w:r>
      <w:r>
        <w:rPr>
          <w:spacing w:val="-4"/>
        </w:rPr>
        <w:t>万股，每股面值</w:t>
      </w:r>
      <w:r>
        <w:rPr/>
        <w:t> </w:t>
      </w:r>
      <w:r>
        <w:rPr>
          <w:rFonts w:ascii="Times New Roman" w:hAnsi="Times New Roman" w:cs="Times New Roman" w:eastAsia="Times New Roman" w:hint="default"/>
        </w:rPr>
        <w:t>1</w:t>
      </w:r>
      <w:r>
        <w:rPr/>
        <w:t>元，发行价格每股</w:t>
      </w:r>
      <w:r>
        <w:rPr>
          <w:rFonts w:ascii="Times New Roman" w:hAnsi="Times New Roman" w:cs="Times New Roman" w:eastAsia="Times New Roman" w:hint="default"/>
        </w:rPr>
        <w:t>8.58</w:t>
      </w:r>
      <w:r>
        <w:rPr/>
        <w:t>元</w:t>
      </w:r>
      <w:r>
        <w:rPr>
          <w:rFonts w:ascii="Times New Roman" w:hAnsi="Times New Roman" w:cs="Times New Roman" w:eastAsia="Times New Roman" w:hint="default"/>
        </w:rPr>
        <w:t>/</w:t>
      </w:r>
      <w:r>
        <w:rPr/>
        <w:t>股，募集资金总额</w:t>
      </w:r>
      <w:r>
        <w:rPr>
          <w:rFonts w:ascii="Times New Roman" w:hAnsi="Times New Roman" w:cs="Times New Roman" w:eastAsia="Times New Roman" w:hint="default"/>
        </w:rPr>
        <w:t>33,518,628.00 </w:t>
      </w:r>
      <w:r>
        <w:rPr/>
        <w:t>元，其中计入股本</w:t>
      </w:r>
      <w:r>
        <w:rPr>
          <w:rFonts w:ascii="Times New Roman" w:hAnsi="Times New Roman" w:cs="Times New Roman" w:eastAsia="Times New Roman" w:hint="default"/>
        </w:rPr>
        <w:t>3,906,600.00</w:t>
      </w:r>
      <w:r>
        <w:rPr>
          <w:rFonts w:ascii="Times New Roman" w:hAnsi="Times New Roman" w:cs="Times New Roman" w:eastAsia="Times New Roman" w:hint="default"/>
          <w:spacing w:val="17"/>
        </w:rPr>
        <w:t> </w:t>
      </w:r>
      <w:r>
        <w:rPr>
          <w:spacing w:val="-4"/>
        </w:rPr>
        <w:t>元，计入资本公</w:t>
      </w:r>
      <w:r>
        <w:rPr/>
        <w:t> 积</w:t>
      </w:r>
      <w:r>
        <w:rPr>
          <w:rFonts w:ascii="Times New Roman" w:hAnsi="Times New Roman" w:cs="Times New Roman" w:eastAsia="Times New Roman" w:hint="default"/>
        </w:rPr>
        <w:t>29,612,028.00</w:t>
      </w:r>
      <w:r>
        <w:rPr/>
        <w:t>元。上述增资后注册资本变更为人民币</w:t>
      </w:r>
      <w:r>
        <w:rPr>
          <w:rFonts w:ascii="Times New Roman" w:hAnsi="Times New Roman" w:cs="Times New Roman" w:eastAsia="Times New Roman" w:hint="default"/>
        </w:rPr>
        <w:t>110,906,600</w:t>
      </w:r>
      <w:r>
        <w:rPr/>
        <w:t>元。 根据</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日本公司召开的</w:t>
      </w:r>
      <w:r>
        <w:rPr>
          <w:rFonts w:ascii="Times New Roman" w:hAnsi="Times New Roman" w:cs="Times New Roman" w:eastAsia="Times New Roman" w:hint="default"/>
        </w:rPr>
        <w:t>2012</w:t>
      </w:r>
      <w:r>
        <w:rPr/>
        <w:t>年度股东大会审议通过</w:t>
      </w:r>
      <w:r>
        <w:rPr>
          <w:rFonts w:ascii="Times New Roman" w:hAnsi="Times New Roman" w:cs="Times New Roman" w:eastAsia="Times New Roman" w:hint="default"/>
        </w:rPr>
        <w:t>2012</w:t>
      </w:r>
      <w:r>
        <w:rPr/>
        <w:t>年度利润分配方案，以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23"/>
        </w:rPr>
        <w:t> </w:t>
      </w:r>
      <w:r>
        <w:rPr/>
        <w:t>月</w:t>
      </w:r>
      <w:r>
        <w:rPr>
          <w:rFonts w:ascii="Times New Roman" w:hAnsi="Times New Roman" w:cs="Times New Roman" w:eastAsia="Times New Roman" w:hint="default"/>
        </w:rPr>
        <w:t>31</w:t>
      </w:r>
      <w:r>
        <w:rPr/>
        <w:t>日 总股本</w:t>
      </w:r>
      <w:r>
        <w:rPr>
          <w:rFonts w:ascii="Times New Roman" w:hAnsi="Times New Roman" w:cs="Times New Roman" w:eastAsia="Times New Roman" w:hint="default"/>
        </w:rPr>
        <w:t>11,090.66</w:t>
      </w:r>
      <w:r>
        <w:rPr/>
        <w:t>万股为基数，以资本公积金每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w:t>
      </w:r>
      <w:r>
        <w:rPr>
          <w:rFonts w:ascii="Times New Roman" w:hAnsi="Times New Roman" w:cs="Times New Roman" w:eastAsia="Times New Roman" w:hint="default"/>
        </w:rPr>
        <w:t>11,090.66</w:t>
      </w:r>
      <w:r>
        <w:rPr/>
        <w:t>万股，注册资本变更为人 民币</w:t>
      </w:r>
      <w:r>
        <w:rPr>
          <w:rFonts w:ascii="Times New Roman" w:hAnsi="Times New Roman" w:cs="Times New Roman" w:eastAsia="Times New Roman" w:hint="default"/>
        </w:rPr>
        <w:t>221,813,200</w:t>
      </w:r>
      <w:r>
        <w:rPr/>
        <w:t>元。</w:t>
      </w:r>
    </w:p>
    <w:p>
      <w:pPr>
        <w:pStyle w:val="BodyText"/>
        <w:spacing w:line="386" w:lineRule="auto" w:before="33"/>
        <w:ind w:right="1125"/>
        <w:jc w:val="left"/>
      </w:pPr>
      <w:r>
        <w:rPr>
          <w:spacing w:val="-2"/>
        </w:rPr>
        <w:t>因部分激励对象离职，</w:t>
      </w:r>
      <w:r>
        <w:rPr>
          <w:rFonts w:ascii="Times New Roman" w:hAnsi="Times New Roman" w:cs="Times New Roman" w:eastAsia="Times New Roman" w:hint="default"/>
          <w:spacing w:val="-2"/>
        </w:rPr>
        <w:t>2014</w:t>
      </w:r>
      <w:r>
        <w:rPr>
          <w:spacing w:val="-2"/>
        </w:rPr>
        <w:t>年度本公司回购注销限制性股票数量共计</w:t>
      </w:r>
      <w:r>
        <w:rPr>
          <w:rFonts w:ascii="Times New Roman" w:hAnsi="Times New Roman" w:cs="Times New Roman" w:eastAsia="Times New Roman" w:hint="default"/>
          <w:spacing w:val="-2"/>
        </w:rPr>
        <w:t>23.16</w:t>
      </w:r>
      <w:r>
        <w:rPr>
          <w:spacing w:val="-2"/>
        </w:rPr>
        <w:t>万股，回购注销完成后，本公司</w:t>
      </w:r>
      <w:r>
        <w:rPr>
          <w:spacing w:val="-86"/>
        </w:rPr>
        <w:t> </w:t>
      </w:r>
      <w:r>
        <w:rPr>
          <w:spacing w:val="-86"/>
        </w:rPr>
      </w:r>
      <w:r>
        <w:rPr/>
        <w:t>总股本从</w:t>
      </w:r>
      <w:r>
        <w:rPr>
          <w:rFonts w:ascii="Times New Roman" w:hAnsi="Times New Roman" w:cs="Times New Roman" w:eastAsia="Times New Roman" w:hint="default"/>
        </w:rPr>
        <w:t>22,181.32</w:t>
      </w:r>
      <w:r>
        <w:rPr/>
        <w:t>万股减至</w:t>
      </w:r>
      <w:r>
        <w:rPr>
          <w:rFonts w:ascii="Times New Roman" w:hAnsi="Times New Roman" w:cs="Times New Roman" w:eastAsia="Times New Roman" w:hint="default"/>
        </w:rPr>
        <w:t>22,158.16</w:t>
      </w:r>
      <w:r>
        <w:rPr/>
        <w:t>万股，注册资本变更为人民币</w:t>
      </w:r>
      <w:r>
        <w:rPr>
          <w:rFonts w:ascii="Times New Roman" w:hAnsi="Times New Roman" w:cs="Times New Roman" w:eastAsia="Times New Roman" w:hint="default"/>
        </w:rPr>
        <w:t>221,581,600.00</w:t>
      </w:r>
      <w:r>
        <w:rPr/>
        <w:t>元。 根据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日本公司召开的</w:t>
      </w:r>
      <w:r>
        <w:rPr>
          <w:rFonts w:ascii="Times New Roman" w:hAnsi="Times New Roman" w:cs="Times New Roman" w:eastAsia="Times New Roman" w:hint="default"/>
        </w:rPr>
        <w:t>2014</w:t>
      </w:r>
      <w:r>
        <w:rPr/>
        <w:t>年度股东大会审议通过</w:t>
      </w:r>
      <w:r>
        <w:rPr>
          <w:rFonts w:ascii="Times New Roman" w:hAnsi="Times New Roman" w:cs="Times New Roman" w:eastAsia="Times New Roman" w:hint="default"/>
        </w:rPr>
        <w:t>2014</w:t>
      </w:r>
      <w:r>
        <w:rPr/>
        <w:t>年度利润分配方案，以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17"/>
        </w:rPr>
        <w:t> </w:t>
      </w:r>
      <w:r>
        <w:rPr/>
        <w:t>月</w:t>
      </w:r>
      <w:r>
        <w:rPr>
          <w:rFonts w:ascii="Times New Roman" w:hAnsi="Times New Roman" w:cs="Times New Roman" w:eastAsia="Times New Roman" w:hint="default"/>
        </w:rPr>
        <w:t>31</w:t>
      </w:r>
      <w:r>
        <w:rPr/>
        <w:t>日 </w:t>
      </w:r>
      <w:r>
        <w:rPr>
          <w:spacing w:val="-1"/>
        </w:rPr>
        <w:t>总股本</w:t>
      </w:r>
      <w:r>
        <w:rPr>
          <w:rFonts w:ascii="Times New Roman" w:hAnsi="Times New Roman" w:cs="Times New Roman" w:eastAsia="Times New Roman" w:hint="default"/>
          <w:spacing w:val="-1"/>
        </w:rPr>
        <w:t>22,158.16</w:t>
      </w:r>
      <w:r>
        <w:rPr>
          <w:spacing w:val="-1"/>
        </w:rPr>
        <w:t>万股为基数，以资本公积金每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10</w:t>
      </w:r>
      <w:r>
        <w:rPr>
          <w:spacing w:val="-1"/>
        </w:rPr>
        <w:t>股，共计转增</w:t>
      </w:r>
      <w:r>
        <w:rPr>
          <w:rFonts w:ascii="Times New Roman" w:hAnsi="Times New Roman" w:cs="Times New Roman" w:eastAsia="Times New Roman" w:hint="default"/>
          <w:spacing w:val="-1"/>
        </w:rPr>
        <w:t>22,158.16</w:t>
      </w:r>
      <w:r>
        <w:rPr>
          <w:spacing w:val="-1"/>
        </w:rPr>
        <w:t>万股，注册资本变更为人</w:t>
      </w:r>
    </w:p>
    <w:p>
      <w:pPr>
        <w:spacing w:after="0" w:line="386"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民币</w:t>
      </w:r>
      <w:r>
        <w:rPr>
          <w:rFonts w:ascii="Times New Roman" w:hAnsi="Times New Roman" w:cs="Times New Roman" w:eastAsia="Times New Roman" w:hint="default"/>
        </w:rPr>
        <w:t>443,163,200.00</w:t>
      </w:r>
      <w:r>
        <w:rPr/>
        <w:t>元。</w:t>
      </w:r>
    </w:p>
    <w:p>
      <w:pPr>
        <w:pStyle w:val="BodyText"/>
        <w:spacing w:line="386" w:lineRule="auto" w:before="177"/>
        <w:ind w:left="153" w:right="0"/>
        <w:jc w:val="left"/>
      </w:pPr>
      <w:r>
        <w:rPr/>
        <w:t>根据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日本公司召开的</w:t>
      </w:r>
      <w:r>
        <w:rPr>
          <w:rFonts w:ascii="Times New Roman" w:hAnsi="Times New Roman" w:cs="Times New Roman" w:eastAsia="Times New Roman" w:hint="default"/>
        </w:rPr>
        <w:t>2015</w:t>
      </w:r>
      <w:r>
        <w:rPr/>
        <w:t>年第三次临时股东大会决议，并经中国证券监督管理委员会</w:t>
      </w:r>
      <w:r>
        <w:rPr>
          <w:rFonts w:ascii="Times New Roman" w:hAnsi="Times New Roman" w:cs="Times New Roman" w:eastAsia="Times New Roman" w:hint="default"/>
        </w:rPr>
        <w:t>“</w:t>
      </w:r>
      <w:r>
        <w:rPr/>
        <w:t>证监</w:t>
      </w:r>
      <w:r>
        <w:rPr>
          <w:spacing w:val="-27"/>
        </w:rPr>
        <w:t> </w:t>
      </w:r>
      <w:r>
        <w:rPr>
          <w:spacing w:val="-5"/>
        </w:rPr>
        <w:t>许可【</w:t>
      </w:r>
      <w:r>
        <w:rPr>
          <w:rFonts w:ascii="Times New Roman" w:hAnsi="Times New Roman" w:cs="Times New Roman" w:eastAsia="Times New Roman" w:hint="default"/>
          <w:spacing w:val="-5"/>
        </w:rPr>
        <w:t>2015</w:t>
      </w:r>
      <w:r>
        <w:rPr>
          <w:spacing w:val="-5"/>
        </w:rPr>
        <w:t>】</w:t>
      </w:r>
      <w:r>
        <w:rPr>
          <w:rFonts w:ascii="Times New Roman" w:hAnsi="Times New Roman" w:cs="Times New Roman" w:eastAsia="Times New Roman" w:hint="default"/>
          <w:spacing w:val="-5"/>
        </w:rPr>
        <w:t>2919</w:t>
      </w:r>
      <w:r>
        <w:rPr>
          <w:spacing w:val="-5"/>
        </w:rPr>
        <w:t>号</w:t>
      </w:r>
      <w:r>
        <w:rPr>
          <w:rFonts w:ascii="Times New Roman" w:hAnsi="Times New Roman" w:cs="Times New Roman" w:eastAsia="Times New Roman" w:hint="default"/>
          <w:spacing w:val="-5"/>
        </w:rPr>
        <w:t>”</w:t>
      </w:r>
      <w:r>
        <w:rPr>
          <w:spacing w:val="-5"/>
        </w:rPr>
        <w:t>《关于核准厦门市美亚柏科信息股份有限公司向韦玉荣等发行股份购买资产的批复》，</w:t>
      </w:r>
      <w:r>
        <w:rPr>
          <w:spacing w:val="-73"/>
        </w:rPr>
        <w:t> </w:t>
      </w:r>
      <w:r>
        <w:rPr>
          <w:spacing w:val="-73"/>
        </w:rPr>
      </w:r>
      <w:r>
        <w:rPr>
          <w:spacing w:val="-2"/>
        </w:rPr>
        <w:t>核准本公司非公开发行</w:t>
      </w:r>
      <w:r>
        <w:rPr>
          <w:rFonts w:ascii="Times New Roman" w:hAnsi="Times New Roman" w:cs="Times New Roman" w:eastAsia="Times New Roman" w:hint="default"/>
          <w:spacing w:val="-2"/>
        </w:rPr>
        <w:t>29,666,848</w:t>
      </w:r>
      <w:r>
        <w:rPr>
          <w:spacing w:val="-2"/>
        </w:rPr>
        <w:t>股股份购买江苏税软软件科技有限公司</w:t>
      </w:r>
      <w:r>
        <w:rPr>
          <w:rFonts w:ascii="Times New Roman" w:hAnsi="Times New Roman" w:cs="Times New Roman" w:eastAsia="Times New Roman" w:hint="default"/>
          <w:spacing w:val="-2"/>
        </w:rPr>
        <w:t>100%</w:t>
      </w:r>
      <w:r>
        <w:rPr>
          <w:spacing w:val="-2"/>
        </w:rPr>
        <w:t>股权，非公开发行</w:t>
      </w:r>
      <w:r>
        <w:rPr>
          <w:rFonts w:ascii="Times New Roman" w:hAnsi="Times New Roman" w:cs="Times New Roman" w:eastAsia="Times New Roman" w:hint="default"/>
          <w:spacing w:val="-2"/>
        </w:rPr>
        <w:t>14,424,358</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t>股股份购买珠海市新德汇信息技术有限公司</w:t>
      </w:r>
      <w:r>
        <w:rPr>
          <w:rFonts w:ascii="Times New Roman" w:hAnsi="Times New Roman" w:cs="Times New Roman" w:eastAsia="Times New Roman" w:hint="default"/>
        </w:rPr>
        <w:t>49%</w:t>
      </w:r>
      <w:r>
        <w:rPr/>
        <w:t>股权，每股面值</w:t>
      </w:r>
      <w:r>
        <w:rPr>
          <w:rFonts w:ascii="Times New Roman" w:hAnsi="Times New Roman" w:cs="Times New Roman" w:eastAsia="Times New Roman" w:hint="default"/>
        </w:rPr>
        <w:t>1</w:t>
      </w:r>
      <w:r>
        <w:rPr/>
        <w:t>元，发行价格</w:t>
      </w:r>
      <w:r>
        <w:rPr>
          <w:rFonts w:ascii="Times New Roman" w:hAnsi="Times New Roman" w:cs="Times New Roman" w:eastAsia="Times New Roman" w:hint="default"/>
        </w:rPr>
        <w:t>18.31</w:t>
      </w:r>
      <w:r>
        <w:rPr/>
        <w:t>元</w:t>
      </w:r>
      <w:r>
        <w:rPr>
          <w:rFonts w:ascii="Times New Roman" w:hAnsi="Times New Roman" w:cs="Times New Roman" w:eastAsia="Times New Roman" w:hint="default"/>
        </w:rPr>
        <w:t>/</w:t>
      </w:r>
      <w:r>
        <w:rPr/>
        <w:t>股。上述非公开发 行股份后，注册资本变更为人民币</w:t>
      </w:r>
      <w:r>
        <w:rPr>
          <w:rFonts w:ascii="Times New Roman" w:hAnsi="Times New Roman" w:cs="Times New Roman" w:eastAsia="Times New Roman" w:hint="default"/>
        </w:rPr>
        <w:t>487,254,406.00</w:t>
      </w:r>
      <w:r>
        <w:rPr/>
        <w:t>元。 根据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日本公司召开的</w:t>
      </w:r>
      <w:r>
        <w:rPr>
          <w:rFonts w:ascii="Times New Roman" w:hAnsi="Times New Roman" w:cs="Times New Roman" w:eastAsia="Times New Roman" w:hint="default"/>
        </w:rPr>
        <w:t>2016</w:t>
      </w:r>
      <w:r>
        <w:rPr/>
        <w:t>年第三次临时股东大会决议、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7</w:t>
      </w:r>
      <w:r>
        <w:rPr/>
        <w:t>日第三届董事会第十三次 </w:t>
      </w:r>
      <w:r>
        <w:rPr>
          <w:spacing w:val="-4"/>
        </w:rPr>
        <w:t>会议和修改后的章程规定，本公司以定向增发方式向</w:t>
      </w:r>
      <w:r>
        <w:rPr>
          <w:rFonts w:ascii="Times New Roman" w:hAnsi="Times New Roman" w:cs="Times New Roman" w:eastAsia="Times New Roman" w:hint="default"/>
          <w:spacing w:val="-4"/>
        </w:rPr>
        <w:t>471</w:t>
      </w:r>
      <w:r>
        <w:rPr>
          <w:spacing w:val="-4"/>
        </w:rPr>
        <w:t>名激励对象授予限制性普通股（</w:t>
      </w:r>
      <w:r>
        <w:rPr>
          <w:rFonts w:ascii="Times New Roman" w:hAnsi="Times New Roman" w:cs="Times New Roman" w:eastAsia="Times New Roman" w:hint="default"/>
          <w:spacing w:val="-4"/>
        </w:rPr>
        <w:t>A </w:t>
      </w:r>
      <w:r>
        <w:rPr>
          <w:spacing w:val="-7"/>
        </w:rPr>
        <w:t>股）</w:t>
      </w:r>
      <w:r>
        <w:rPr>
          <w:rFonts w:ascii="Times New Roman" w:hAnsi="Times New Roman" w:cs="Times New Roman" w:eastAsia="Times New Roman" w:hint="default"/>
          <w:spacing w:val="-7"/>
        </w:rPr>
        <w:t>908.61</w:t>
      </w:r>
      <w:r>
        <w:rPr>
          <w:spacing w:val="-7"/>
        </w:rPr>
        <w:t>万股，</w:t>
      </w:r>
      <w:r>
        <w:rPr>
          <w:spacing w:val="-90"/>
        </w:rPr>
        <w:t> </w:t>
      </w:r>
      <w:r>
        <w:rPr/>
        <w:t>每股面值</w:t>
      </w:r>
      <w:r>
        <w:rPr>
          <w:rFonts w:ascii="Times New Roman" w:hAnsi="Times New Roman" w:cs="Times New Roman" w:eastAsia="Times New Roman" w:hint="default"/>
        </w:rPr>
        <w:t>1</w:t>
      </w:r>
      <w:r>
        <w:rPr/>
        <w:t>元，发行价格每股</w:t>
      </w:r>
      <w:r>
        <w:rPr>
          <w:rFonts w:ascii="Times New Roman" w:hAnsi="Times New Roman" w:cs="Times New Roman" w:eastAsia="Times New Roman" w:hint="default"/>
        </w:rPr>
        <w:t>12.19</w:t>
      </w:r>
      <w:r>
        <w:rPr/>
        <w:t>元</w:t>
      </w:r>
      <w:r>
        <w:rPr>
          <w:rFonts w:ascii="Times New Roman" w:hAnsi="Times New Roman" w:cs="Times New Roman" w:eastAsia="Times New Roman" w:hint="default"/>
        </w:rPr>
        <w:t>/</w:t>
      </w:r>
      <w:r>
        <w:rPr/>
        <w:t>股，募集资金总额</w:t>
      </w:r>
      <w:r>
        <w:rPr>
          <w:rFonts w:ascii="Times New Roman" w:hAnsi="Times New Roman" w:cs="Times New Roman" w:eastAsia="Times New Roman" w:hint="default"/>
        </w:rPr>
        <w:t>110,759,559.00</w:t>
      </w:r>
      <w:r>
        <w:rPr/>
        <w:t>元，其中计入股本</w:t>
      </w:r>
      <w:r>
        <w:rPr>
          <w:rFonts w:ascii="Times New Roman" w:hAnsi="Times New Roman" w:cs="Times New Roman" w:eastAsia="Times New Roman" w:hint="default"/>
        </w:rPr>
        <w:t>9,086,100.00</w:t>
      </w:r>
      <w:r>
        <w:rPr/>
        <w:t>元，</w:t>
      </w:r>
      <w:r>
        <w:rPr>
          <w:spacing w:val="-53"/>
        </w:rPr>
        <w:t> </w:t>
      </w:r>
      <w:r>
        <w:rPr/>
        <w:t>计入资本公积</w:t>
      </w:r>
      <w:r>
        <w:rPr>
          <w:rFonts w:ascii="Times New Roman" w:hAnsi="Times New Roman" w:cs="Times New Roman" w:eastAsia="Times New Roman" w:hint="default"/>
        </w:rPr>
        <w:t>101,673,459.00</w:t>
      </w:r>
      <w:r>
        <w:rPr/>
        <w:t>元。上述增资后注册资本变更为人民币</w:t>
      </w:r>
      <w:r>
        <w:rPr>
          <w:rFonts w:ascii="Times New Roman" w:hAnsi="Times New Roman" w:cs="Times New Roman" w:eastAsia="Times New Roman" w:hint="default"/>
        </w:rPr>
        <w:t>496,340,506.00</w:t>
      </w:r>
      <w:r>
        <w:rPr/>
        <w:t>元。 根据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日召开的第三届董事会第十七次会议决议、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日召开的第三届董事会第十八次 会议决议，本公司回购已离职的</w:t>
      </w:r>
      <w:r>
        <w:rPr>
          <w:rFonts w:ascii="Times New Roman" w:hAnsi="Times New Roman" w:cs="Times New Roman" w:eastAsia="Times New Roman" w:hint="default"/>
        </w:rPr>
        <w:t>18</w:t>
      </w:r>
      <w:r>
        <w:rPr/>
        <w:t>名股权激励对象共计</w:t>
      </w:r>
      <w:r>
        <w:rPr>
          <w:rFonts w:ascii="Times New Roman" w:hAnsi="Times New Roman" w:cs="Times New Roman" w:eastAsia="Times New Roman" w:hint="default"/>
        </w:rPr>
        <w:t>223,700</w:t>
      </w:r>
      <w:r>
        <w:rPr/>
        <w:t>股限制性股票，减少股本</w:t>
      </w:r>
      <w:r>
        <w:rPr>
          <w:rFonts w:ascii="Times New Roman" w:hAnsi="Times New Roman" w:cs="Times New Roman" w:eastAsia="Times New Roman" w:hint="default"/>
        </w:rPr>
        <w:t>223,700</w:t>
      </w:r>
      <w:r>
        <w:rPr/>
        <w:t>股，减少</w:t>
      </w:r>
      <w:r>
        <w:rPr>
          <w:spacing w:val="-39"/>
        </w:rPr>
        <w:t> </w:t>
      </w:r>
      <w:r>
        <w:rPr/>
        <w:t>资本公积</w:t>
      </w:r>
      <w:r>
        <w:rPr>
          <w:rFonts w:ascii="Times New Roman" w:hAnsi="Times New Roman" w:cs="Times New Roman" w:eastAsia="Times New Roman" w:hint="default"/>
        </w:rPr>
        <w:t>2,494,255.00</w:t>
      </w:r>
      <w:r>
        <w:rPr/>
        <w:t>元。上述减资后注册资本变更为人民币</w:t>
      </w:r>
      <w:r>
        <w:rPr>
          <w:rFonts w:ascii="Times New Roman" w:hAnsi="Times New Roman" w:cs="Times New Roman" w:eastAsia="Times New Roman" w:hint="default"/>
        </w:rPr>
        <w:t>496,116,806.00</w:t>
      </w:r>
      <w:r>
        <w:rPr/>
        <w:t>元。 根据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日召开的第三届董事会第二十一次会议，本公司向</w:t>
      </w:r>
      <w:r>
        <w:rPr>
          <w:rFonts w:ascii="Times New Roman" w:hAnsi="Times New Roman" w:cs="Times New Roman" w:eastAsia="Times New Roman" w:hint="default"/>
        </w:rPr>
        <w:t>101</w:t>
      </w:r>
      <w:r>
        <w:rPr/>
        <w:t>名自然人定向发行限制性普通股</w:t>
      </w:r>
    </w:p>
    <w:p>
      <w:pPr>
        <w:pStyle w:val="BodyText"/>
        <w:spacing w:line="240" w:lineRule="auto" w:before="35"/>
        <w:ind w:right="0"/>
        <w:jc w:val="left"/>
      </w:pPr>
      <w:r>
        <w:rPr/>
        <w:t>（</w:t>
      </w:r>
      <w:r>
        <w:rPr>
          <w:rFonts w:ascii="Times New Roman" w:hAnsi="Times New Roman" w:cs="Times New Roman" w:eastAsia="Times New Roman" w:hint="default"/>
        </w:rPr>
        <w:t>A  </w:t>
      </w:r>
      <w:r>
        <w:rPr>
          <w:rFonts w:ascii="Times New Roman" w:hAnsi="Times New Roman" w:cs="Times New Roman" w:eastAsia="Times New Roman" w:hint="default"/>
          <w:spacing w:val="4"/>
        </w:rPr>
        <w:t> </w:t>
      </w:r>
      <w:r>
        <w:rPr/>
        <w:t>股）</w:t>
      </w:r>
      <w:r>
        <w:rPr>
          <w:rFonts w:ascii="Times New Roman" w:hAnsi="Times New Roman" w:cs="Times New Roman" w:eastAsia="Times New Roman" w:hint="default"/>
        </w:rPr>
        <w:t>91.39</w:t>
      </w:r>
      <w:r>
        <w:rPr/>
        <w:t>万股，每股面值</w:t>
      </w:r>
      <w:r>
        <w:rPr>
          <w:rFonts w:ascii="Times New Roman" w:hAnsi="Times New Roman" w:cs="Times New Roman" w:eastAsia="Times New Roman" w:hint="default"/>
        </w:rPr>
        <w:t>1.00</w:t>
      </w:r>
      <w:r>
        <w:rPr/>
        <w:t>元，发行价格</w:t>
      </w:r>
      <w:r>
        <w:rPr>
          <w:rFonts w:ascii="Times New Roman" w:hAnsi="Times New Roman" w:cs="Times New Roman" w:eastAsia="Times New Roman" w:hint="default"/>
        </w:rPr>
        <w:t>9.78</w:t>
      </w:r>
      <w:r>
        <w:rPr/>
        <w:t>元</w:t>
      </w:r>
      <w:r>
        <w:rPr>
          <w:rFonts w:ascii="Times New Roman" w:hAnsi="Times New Roman" w:cs="Times New Roman" w:eastAsia="Times New Roman" w:hint="default"/>
        </w:rPr>
        <w:t>/</w:t>
      </w:r>
      <w:r>
        <w:rPr/>
        <w:t>股，募集资金总额</w:t>
      </w:r>
      <w:r>
        <w:rPr>
          <w:rFonts w:ascii="Times New Roman" w:hAnsi="Times New Roman" w:cs="Times New Roman" w:eastAsia="Times New Roman" w:hint="default"/>
        </w:rPr>
        <w:t>8,937,942.00</w:t>
      </w:r>
      <w:r>
        <w:rPr/>
        <w:t>元，其中计入股本</w:t>
      </w:r>
    </w:p>
    <w:p>
      <w:pPr>
        <w:pStyle w:val="BodyText"/>
        <w:spacing w:line="240" w:lineRule="auto" w:before="177"/>
        <w:ind w:left="153" w:right="0"/>
        <w:jc w:val="left"/>
      </w:pPr>
      <w:r>
        <w:rPr>
          <w:rFonts w:ascii="Times New Roman" w:hAnsi="Times New Roman" w:cs="Times New Roman" w:eastAsia="Times New Roman" w:hint="default"/>
        </w:rPr>
        <w:t>913,900.00</w:t>
      </w:r>
      <w:r>
        <w:rPr/>
        <w:t>元，计入资本公积</w:t>
      </w:r>
      <w:r>
        <w:rPr>
          <w:rFonts w:ascii="Times New Roman" w:hAnsi="Times New Roman" w:cs="Times New Roman" w:eastAsia="Times New Roman" w:hint="default"/>
        </w:rPr>
        <w:t>8,024,042.00</w:t>
      </w:r>
      <w:r>
        <w:rPr/>
        <w:t>元。上述增资后注册资本变更为人民币</w:t>
      </w:r>
      <w:r>
        <w:rPr>
          <w:rFonts w:ascii="Times New Roman" w:hAnsi="Times New Roman" w:cs="Times New Roman" w:eastAsia="Times New Roman" w:hint="default"/>
        </w:rPr>
        <w:t>497,030,706.00</w:t>
      </w:r>
      <w:r>
        <w:rPr/>
        <w:t>元。</w:t>
      </w:r>
    </w:p>
    <w:p>
      <w:pPr>
        <w:pStyle w:val="BodyText"/>
        <w:spacing w:line="240" w:lineRule="auto" w:before="177"/>
        <w:ind w:left="153" w:right="0"/>
        <w:jc w:val="left"/>
      </w:pPr>
      <w:r>
        <w:rPr>
          <w:spacing w:val="12"/>
        </w:rPr>
        <w:t>根据</w:t>
      </w:r>
      <w:r>
        <w:rPr>
          <w:spacing w:val="-8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7"/>
        </w:rPr>
        <w:t> </w:t>
      </w:r>
      <w:r>
        <w:rPr/>
        <w:t>年</w:t>
      </w:r>
      <w:r>
        <w:rPr>
          <w:spacing w:val="-82"/>
        </w:rPr>
        <w:t> </w:t>
      </w: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t>月</w:t>
      </w:r>
      <w:r>
        <w:rPr>
          <w:spacing w:val="-80"/>
        </w:rPr>
        <w:t> </w:t>
      </w:r>
      <w:r>
        <w:rPr>
          <w:rFonts w:ascii="Times New Roman" w:hAnsi="Times New Roman" w:cs="Times New Roman" w:eastAsia="Times New Roman" w:hint="default"/>
        </w:rPr>
        <w:t>17</w:t>
      </w:r>
      <w:r>
        <w:rPr>
          <w:rFonts w:ascii="Times New Roman" w:hAnsi="Times New Roman" w:cs="Times New Roman" w:eastAsia="Times New Roman" w:hint="default"/>
          <w:spacing w:val="-27"/>
        </w:rPr>
        <w:t> </w:t>
      </w:r>
      <w:r>
        <w:rPr>
          <w:spacing w:val="20"/>
        </w:rPr>
        <w:t>日本公司召开的</w:t>
      </w:r>
      <w:r>
        <w:rPr>
          <w:spacing w:val="-7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7"/>
        </w:rPr>
        <w:t> </w:t>
      </w:r>
      <w:r>
        <w:rPr>
          <w:spacing w:val="21"/>
        </w:rPr>
        <w:t>年度股东大会审议通过</w:t>
      </w:r>
      <w:r>
        <w:rPr>
          <w:spacing w:val="-8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7"/>
        </w:rPr>
        <w:t> </w:t>
      </w:r>
      <w:r>
        <w:rPr>
          <w:spacing w:val="22"/>
        </w:rPr>
        <w:t>年度利润分配方案，以总股本</w:t>
      </w:r>
      <w:r>
        <w:rPr>
          <w:spacing w:val="-81"/>
        </w:rPr>
        <w:t> </w:t>
      </w:r>
      <w:r>
        <w:rPr/>
      </w:r>
    </w:p>
    <w:p>
      <w:pPr>
        <w:pStyle w:val="BodyText"/>
        <w:spacing w:line="240" w:lineRule="auto" w:before="177"/>
        <w:ind w:left="153" w:right="0"/>
        <w:jc w:val="left"/>
      </w:pPr>
      <w:r>
        <w:rPr>
          <w:rFonts w:ascii="Times New Roman" w:hAnsi="Times New Roman" w:cs="Times New Roman" w:eastAsia="Times New Roman" w:hint="default"/>
        </w:rPr>
        <w:t>496,803,986</w:t>
      </w:r>
      <w:r>
        <w:rPr/>
        <w:t>股为基数，向全体股东每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股，共计转增</w:t>
      </w:r>
      <w:r>
        <w:rPr>
          <w:rFonts w:ascii="Times New Roman" w:hAnsi="Times New Roman" w:cs="Times New Roman" w:eastAsia="Times New Roman" w:hint="default"/>
        </w:rPr>
        <w:t>298,082,391</w:t>
      </w:r>
      <w:r>
        <w:rPr/>
        <w:t>股，转增后本公司总股本增加至</w:t>
      </w:r>
    </w:p>
    <w:p>
      <w:pPr>
        <w:pStyle w:val="BodyText"/>
        <w:spacing w:line="240" w:lineRule="auto" w:before="177"/>
        <w:ind w:left="153" w:right="0"/>
        <w:jc w:val="left"/>
      </w:pPr>
      <w:r>
        <w:rPr/>
        <w:t>794,891,377股。</w:t>
      </w:r>
    </w:p>
    <w:p>
      <w:pPr>
        <w:spacing w:line="240" w:lineRule="auto" w:before="10"/>
        <w:rPr>
          <w:rFonts w:ascii="宋体" w:hAnsi="宋体" w:cs="宋体" w:eastAsia="宋体" w:hint="default"/>
          <w:sz w:val="14"/>
          <w:szCs w:val="14"/>
        </w:rPr>
      </w:pPr>
    </w:p>
    <w:p>
      <w:pPr>
        <w:pStyle w:val="BodyText"/>
        <w:spacing w:line="396" w:lineRule="auto"/>
        <w:ind w:left="153" w:right="1091"/>
        <w:jc w:val="left"/>
      </w:pPr>
      <w:r>
        <w:rPr/>
        <w:t>根据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日召开的第三届董事会第二十一次会议决议、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日召开的第三届董事会第二</w:t>
      </w:r>
      <w:r>
        <w:rPr>
          <w:spacing w:val="-39"/>
        </w:rPr>
        <w:t> </w:t>
      </w:r>
      <w:r>
        <w:rPr>
          <w:spacing w:val="-39"/>
        </w:rPr>
      </w:r>
      <w:r>
        <w:rPr>
          <w:spacing w:val="-1"/>
        </w:rPr>
        <w:t>十五次会议决议、</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24</w:t>
      </w:r>
      <w:r>
        <w:rPr>
          <w:spacing w:val="-1"/>
        </w:rPr>
        <w:t>日召开的第四届董事会第二次会议决议，本公司回购已离职的</w:t>
      </w:r>
      <w:r>
        <w:rPr>
          <w:rFonts w:ascii="Times New Roman" w:hAnsi="Times New Roman" w:cs="Times New Roman" w:eastAsia="Times New Roman" w:hint="default"/>
          <w:spacing w:val="-1"/>
        </w:rPr>
        <w:t>21</w:t>
      </w:r>
      <w:r>
        <w:rPr>
          <w:spacing w:val="-1"/>
        </w:rPr>
        <w:t>名股权激</w:t>
      </w:r>
      <w:r>
        <w:rPr>
          <w:spacing w:val="-84"/>
        </w:rPr>
        <w:t> </w:t>
      </w:r>
      <w:r>
        <w:rPr>
          <w:spacing w:val="-84"/>
        </w:rPr>
      </w:r>
      <w:r>
        <w:rPr/>
        <w:t>励对象共计</w:t>
      </w:r>
      <w:r>
        <w:rPr>
          <w:rFonts w:ascii="Times New Roman" w:hAnsi="Times New Roman" w:cs="Times New Roman" w:eastAsia="Times New Roman" w:hint="default"/>
        </w:rPr>
        <w:t>280,288</w:t>
      </w:r>
      <w:r>
        <w:rPr/>
        <w:t>股限制性股票，减少股本</w:t>
      </w:r>
      <w:r>
        <w:rPr>
          <w:rFonts w:ascii="Times New Roman" w:hAnsi="Times New Roman" w:cs="Times New Roman" w:eastAsia="Times New Roman" w:hint="default"/>
        </w:rPr>
        <w:t>280,288</w:t>
      </w:r>
      <w:r>
        <w:rPr/>
        <w:t>股，减少资本公积</w:t>
      </w:r>
      <w:r>
        <w:rPr>
          <w:rFonts w:ascii="Times New Roman" w:hAnsi="Times New Roman" w:cs="Times New Roman" w:eastAsia="Times New Roman" w:hint="default"/>
        </w:rPr>
        <w:t>2,786,282.00</w:t>
      </w:r>
      <w:r>
        <w:rPr/>
        <w:t>元，上述减资后注册资</w:t>
      </w:r>
      <w:r>
        <w:rPr>
          <w:spacing w:val="-92"/>
        </w:rPr>
        <w:t> </w:t>
      </w:r>
      <w:r>
        <w:rPr>
          <w:spacing w:val="-92"/>
        </w:rPr>
      </w:r>
      <w:r>
        <w:rPr/>
        <w:t>本变更为人民币</w:t>
      </w:r>
      <w:r>
        <w:rPr>
          <w:rFonts w:ascii="Times New Roman" w:hAnsi="Times New Roman" w:cs="Times New Roman" w:eastAsia="Times New Roman" w:hint="default"/>
        </w:rPr>
        <w:t>794,832,809</w:t>
      </w:r>
      <w:r>
        <w:rPr/>
        <w:t>元。 本公司建立了股东大会、董事会、监事会的法人治理结构，目前设营销中心、采购中心、研究院等部门， </w:t>
      </w:r>
      <w:r>
        <w:rPr>
          <w:spacing w:val="-1"/>
        </w:rPr>
        <w:t>拥有一家分公司和厦门美亚中敏电子科技有限公司、珠海市新德汇信息技术有限公司、厦门安胜网络科技</w:t>
      </w:r>
      <w:r>
        <w:rPr>
          <w:spacing w:val="-81"/>
        </w:rPr>
        <w:t> </w:t>
      </w:r>
      <w:r>
        <w:rPr>
          <w:spacing w:val="-81"/>
        </w:rPr>
      </w:r>
      <w:r>
        <w:rPr/>
        <w:t>有限公司、武汉大千信息技术有限公司、江苏税软软件科技有限公司等十七家子公司。 本公司及其子公司（以下简称</w:t>
      </w:r>
      <w:r>
        <w:rPr>
          <w:rFonts w:ascii="Times New Roman" w:hAnsi="Times New Roman" w:cs="Times New Roman" w:eastAsia="Times New Roman" w:hint="default"/>
        </w:rPr>
        <w:t>“</w:t>
      </w:r>
      <w:r>
        <w:rPr/>
        <w:t>本集团</w:t>
      </w:r>
      <w:r>
        <w:rPr>
          <w:rFonts w:ascii="Times New Roman" w:hAnsi="Times New Roman" w:cs="Times New Roman" w:eastAsia="Times New Roman" w:hint="default"/>
        </w:rPr>
        <w:t>”</w:t>
      </w:r>
      <w:r>
        <w:rPr/>
        <w:t>）属电子信息行业，经营范围主要包括：系统集成、计算机软件开 </w:t>
      </w:r>
      <w:r>
        <w:rPr>
          <w:spacing w:val="-1"/>
        </w:rPr>
        <w:t>发、信息咨询服务等。主要产品包括：电子数据取证、视频分析及专项执法装备、网络空间大搜索产品及</w:t>
      </w:r>
      <w:r>
        <w:rPr>
          <w:spacing w:val="-83"/>
        </w:rPr>
        <w:t> </w:t>
      </w:r>
      <w:r>
        <w:rPr>
          <w:spacing w:val="-83"/>
        </w:rPr>
      </w:r>
      <w:r>
        <w:rPr>
          <w:spacing w:val="-2"/>
        </w:rPr>
        <w:t>大数据信息化产品平台，在四大产品的技术基础上衍生发展出存证云</w:t>
      </w:r>
      <w:r>
        <w:rPr>
          <w:rFonts w:ascii="Times New Roman" w:hAnsi="Times New Roman" w:cs="Times New Roman" w:eastAsia="Times New Roman" w:hint="default"/>
          <w:spacing w:val="-2"/>
        </w:rPr>
        <w:t>+</w:t>
      </w:r>
      <w:r>
        <w:rPr>
          <w:spacing w:val="-2"/>
        </w:rPr>
        <w:t>、搜索云</w:t>
      </w:r>
      <w:r>
        <w:rPr>
          <w:rFonts w:ascii="Times New Roman" w:hAnsi="Times New Roman" w:cs="Times New Roman" w:eastAsia="Times New Roman" w:hint="default"/>
          <w:spacing w:val="-2"/>
        </w:rPr>
        <w:t>+</w:t>
      </w:r>
      <w:r>
        <w:rPr>
          <w:spacing w:val="-2"/>
        </w:rPr>
        <w:t>、数据服务及信息安全服</w:t>
      </w:r>
      <w:r>
        <w:rPr>
          <w:spacing w:val="-61"/>
        </w:rPr>
        <w:t> </w:t>
      </w:r>
      <w:r>
        <w:rPr>
          <w:spacing w:val="-61"/>
        </w:rPr>
      </w:r>
      <w:r>
        <w:rPr/>
        <w:t>务四大服务体系。主要客户包括全国各级司法机关、行政执法部门。</w:t>
      </w:r>
    </w:p>
    <w:p>
      <w:pPr>
        <w:spacing w:after="0" w:line="396"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400" w:lineRule="auto" w:before="174"/>
        <w:ind w:right="0"/>
        <w:jc w:val="left"/>
      </w:pPr>
      <w:r>
        <w:rPr/>
        <w:t>本财务报表及财务报表附注业经本公司第四届董事会第五次会议于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日批准。 </w:t>
      </w:r>
      <w:r>
        <w:rPr>
          <w:spacing w:val="-1"/>
        </w:rPr>
        <w:t>本集团合并财务报表范围包括本公司及全部子公司，本报告期新设成立子公司：北京美亚京安科技有限公</w:t>
      </w:r>
      <w:r>
        <w:rPr>
          <w:spacing w:val="-81"/>
        </w:rPr>
        <w:t> </w:t>
      </w:r>
      <w:r>
        <w:rPr>
          <w:spacing w:val="-81"/>
        </w:rPr>
      </w:r>
      <w:r>
        <w:rPr>
          <w:spacing w:val="-1"/>
        </w:rPr>
        <w:t>司、福建美亚榕安科技有限公司、厦门美银智投科技有限公司和厦门美亚亿安信息科技有限公司合并财务</w:t>
      </w:r>
      <w:r>
        <w:rPr>
          <w:spacing w:val="-81"/>
        </w:rPr>
        <w:t> </w:t>
      </w:r>
      <w:r>
        <w:rPr>
          <w:spacing w:val="-81"/>
        </w:rPr>
      </w:r>
      <w:r>
        <w:rPr/>
        <w:t>报表范围变化情况详见本“附注八、合并范围的变动”、本“附注九、在其他主体中的权益披露”。</w:t>
      </w:r>
    </w:p>
    <w:p>
      <w:pPr>
        <w:spacing w:line="240" w:lineRule="auto" w:before="2"/>
        <w:rPr>
          <w:rFonts w:ascii="宋体" w:hAnsi="宋体" w:cs="宋体" w:eastAsia="宋体" w:hint="default"/>
          <w:sz w:val="19"/>
          <w:szCs w:val="19"/>
        </w:rPr>
      </w:pPr>
    </w:p>
    <w:p>
      <w:pPr>
        <w:pStyle w:val="Heading2"/>
        <w:spacing w:line="240" w:lineRule="auto"/>
        <w:ind w:right="0"/>
        <w:jc w:val="left"/>
        <w:rPr>
          <w:b w:val="0"/>
          <w:bCs w:val="0"/>
        </w:rPr>
      </w:pP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30"/>
          <w:szCs w:val="30"/>
        </w:rPr>
      </w:pPr>
    </w:p>
    <w:p>
      <w:pPr>
        <w:pStyle w:val="BodyText"/>
        <w:spacing w:line="386" w:lineRule="auto"/>
        <w:ind w:left="153" w:right="1130"/>
        <w:jc w:val="both"/>
      </w:pPr>
      <w:r>
        <w:rPr/>
        <w:t>本财务报表按照财政部颁布的企业会计准则及其应用指南、解释及其他有关规定（统称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 </w:t>
      </w:r>
      <w:r>
        <w:rPr>
          <w:spacing w:val="-1"/>
        </w:rPr>
        <w:t>编制。此外，本集团还按照中国证监会《公开发行证券的公司信息披露编报规则第</w:t>
      </w:r>
      <w:r>
        <w:rPr>
          <w:rFonts w:ascii="Times New Roman" w:hAnsi="Times New Roman" w:cs="Times New Roman" w:eastAsia="Times New Roman" w:hint="default"/>
          <w:spacing w:val="-1"/>
        </w:rPr>
        <w:t>15</w:t>
      </w:r>
      <w:r>
        <w:rPr>
          <w:spacing w:val="-1"/>
        </w:rPr>
        <w:t>号</w:t>
      </w:r>
      <w:r>
        <w:rPr>
          <w:rFonts w:ascii="Times New Roman" w:hAnsi="Times New Roman" w:cs="Times New Roman" w:eastAsia="Times New Roman" w:hint="default"/>
          <w:spacing w:val="-1"/>
        </w:rPr>
        <w:t>—</w:t>
      </w:r>
      <w:r>
        <w:rPr>
          <w:spacing w:val="-1"/>
        </w:rPr>
        <w:t>财务报告的一般</w:t>
      </w:r>
      <w:r>
        <w:rPr>
          <w:spacing w:val="-84"/>
        </w:rPr>
        <w:t> </w:t>
      </w:r>
      <w:r>
        <w:rPr>
          <w:spacing w:val="-84"/>
        </w:rPr>
      </w:r>
      <w:r>
        <w:rPr/>
        <w:t>规定》（</w:t>
      </w:r>
      <w:r>
        <w:rPr>
          <w:rFonts w:ascii="Times New Roman" w:hAnsi="Times New Roman" w:cs="Times New Roman" w:eastAsia="Times New Roman" w:hint="default"/>
        </w:rPr>
        <w:t>2014</w:t>
      </w:r>
      <w:r>
        <w:rPr/>
        <w:t>年修订）披露有关财务信息。</w:t>
      </w:r>
    </w:p>
    <w:p>
      <w:pPr>
        <w:spacing w:line="240" w:lineRule="auto" w:before="9"/>
        <w:rPr>
          <w:rFonts w:ascii="宋体" w:hAnsi="宋体" w:cs="宋体" w:eastAsia="宋体" w:hint="default"/>
          <w:sz w:val="19"/>
          <w:szCs w:val="19"/>
        </w:rPr>
      </w:pPr>
    </w:p>
    <w:p>
      <w:pPr>
        <w:spacing w:line="568" w:lineRule="auto" w:before="0"/>
        <w:ind w:left="153" w:right="739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b/>
          <w:bCs/>
          <w:spacing w:val="1"/>
          <w:w w:val="99"/>
          <w:sz w:val="21"/>
          <w:szCs w:val="21"/>
        </w:rPr>
        <w:t> </w:t>
      </w:r>
      <w:r>
        <w:rPr>
          <w:rFonts w:ascii="宋体" w:hAnsi="宋体" w:cs="宋体" w:eastAsia="宋体" w:hint="default"/>
          <w:sz w:val="21"/>
          <w:szCs w:val="21"/>
        </w:rPr>
        <w:t>本财务报表以持续经营为基础列报。</w:t>
      </w:r>
    </w:p>
    <w:p>
      <w:pPr>
        <w:pStyle w:val="BodyText"/>
        <w:spacing w:line="408" w:lineRule="auto" w:before="121"/>
        <w:ind w:left="153" w:right="0"/>
        <w:jc w:val="left"/>
      </w:pPr>
      <w:r>
        <w:rPr>
          <w:spacing w:val="-1"/>
        </w:rPr>
        <w:t>本集团会计核算以权责发生制为基础。除某些金融工具外，本财务报表均以历史成本为计量基础。资产如</w:t>
      </w:r>
      <w:r>
        <w:rPr>
          <w:spacing w:val="-83"/>
        </w:rPr>
        <w:t> </w:t>
      </w:r>
      <w:r>
        <w:rPr>
          <w:spacing w:val="-83"/>
        </w:rPr>
      </w:r>
      <w:r>
        <w:rPr/>
        <w:t>果发生减值，则按照相关规定计提相应的减值准备。</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r>
        <w:rPr/>
        <w:t>五、重要会计政策及会计估计</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7691"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line="357" w:lineRule="auto" w:before="29"/>
        <w:ind w:left="153" w:right="8231"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 具体会计政策和会计估计提示：</w:t>
      </w:r>
    </w:p>
    <w:p>
      <w:pPr>
        <w:pStyle w:val="BodyText"/>
        <w:spacing w:line="240" w:lineRule="auto" w:before="79"/>
        <w:ind w:right="0"/>
        <w:jc w:val="left"/>
      </w:pPr>
      <w:r>
        <w:rPr/>
        <w:t>本集团根据自身生产经营特点，确定收入确认政策，具体会计政策参见附注五、</w:t>
      </w:r>
      <w:r>
        <w:rPr>
          <w:rFonts w:ascii="Times New Roman" w:hAnsi="Times New Roman" w:cs="Times New Roman" w:eastAsia="Times New Roman" w:hint="default"/>
        </w:rPr>
        <w:t>28</w:t>
      </w:r>
      <w:r>
        <w:rPr/>
        <w:t>。</w:t>
      </w:r>
    </w:p>
    <w:p>
      <w:pPr>
        <w:spacing w:line="240" w:lineRule="auto" w:before="7"/>
        <w:rPr>
          <w:rFonts w:ascii="宋体" w:hAnsi="宋体" w:cs="宋体" w:eastAsia="宋体" w:hint="default"/>
          <w:sz w:val="30"/>
          <w:szCs w:val="30"/>
        </w:rPr>
      </w:pPr>
    </w:p>
    <w:p>
      <w:pPr>
        <w:pStyle w:val="Heading3"/>
        <w:spacing w:line="240" w:lineRule="auto"/>
        <w:ind w:left="153" w:right="0"/>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30"/>
          <w:szCs w:val="30"/>
        </w:rPr>
      </w:pPr>
    </w:p>
    <w:p>
      <w:pPr>
        <w:pStyle w:val="BodyText"/>
        <w:spacing w:line="386" w:lineRule="auto"/>
        <w:ind w:left="153" w:right="0"/>
        <w:jc w:val="left"/>
      </w:pPr>
      <w:r>
        <w:rPr>
          <w:spacing w:val="-1"/>
        </w:rPr>
        <w:t>本财务报表符合企业会计准则的要求，真实、完整地反映了本公司</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日的合并及公司财务状况</w:t>
      </w:r>
      <w:r>
        <w:rPr>
          <w:spacing w:val="-84"/>
        </w:rPr>
        <w:t> </w:t>
      </w:r>
      <w:r>
        <w:rPr>
          <w:spacing w:val="-84"/>
        </w:rPr>
      </w:r>
      <w:r>
        <w:rPr/>
        <w:t>以及</w:t>
      </w:r>
      <w:r>
        <w:rPr>
          <w:rFonts w:ascii="Times New Roman" w:hAnsi="Times New Roman" w:cs="Times New Roman" w:eastAsia="Times New Roman" w:hint="default"/>
        </w:rPr>
        <w:t>2018</w:t>
      </w:r>
      <w:r>
        <w:rPr/>
        <w:t>年度的合并及公司经营成果和合并及公司现金流量等有关信息。</w:t>
      </w:r>
    </w:p>
    <w:p>
      <w:pPr>
        <w:spacing w:line="240" w:lineRule="auto" w:before="9"/>
        <w:rPr>
          <w:rFonts w:ascii="宋体" w:hAnsi="宋体" w:cs="宋体" w:eastAsia="宋体" w:hint="default"/>
          <w:sz w:val="19"/>
          <w:szCs w:val="19"/>
        </w:rPr>
      </w:pPr>
    </w:p>
    <w:p>
      <w:pPr>
        <w:pStyle w:val="BodyText"/>
        <w:spacing w:line="506" w:lineRule="auto"/>
        <w:ind w:right="4660"/>
        <w:jc w:val="left"/>
      </w:pPr>
      <w:r>
        <w:rPr>
          <w:rFonts w:ascii="Times New Roman" w:hAnsi="Times New Roman" w:cs="Times New Roman" w:eastAsia="Times New Roman" w:hint="default"/>
          <w:b/>
          <w:bCs/>
        </w:rPr>
        <w:t>2</w:t>
      </w:r>
      <w:r>
        <w:rPr>
          <w:rFonts w:ascii="宋体" w:hAnsi="宋体" w:cs="宋体" w:eastAsia="宋体" w:hint="default"/>
          <w:b/>
          <w:bCs/>
        </w:rPr>
        <w:t>、会计期间</w:t>
      </w:r>
      <w:r>
        <w:rPr>
          <w:rFonts w:ascii="宋体" w:hAnsi="宋体" w:cs="宋体" w:eastAsia="宋体" w:hint="default"/>
          <w:b/>
          <w:bCs/>
          <w:spacing w:val="1"/>
          <w:w w:val="99"/>
        </w:rPr>
        <w:t> </w:t>
      </w:r>
      <w:r>
        <w:rPr/>
        <w:t>本集团会计期间采用公历年度，即每年自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after="0" w:line="506" w:lineRule="auto"/>
        <w:jc w:val="left"/>
        <w:sectPr>
          <w:pgSz w:w="11910" w:h="16840"/>
          <w:pgMar w:header="747" w:footer="982" w:top="1060" w:bottom="1180" w:left="980" w:right="0"/>
        </w:sectPr>
      </w:pPr>
    </w:p>
    <w:p>
      <w:pPr>
        <w:spacing w:line="240" w:lineRule="auto" w:before="9"/>
        <w:rPr>
          <w:rFonts w:ascii="宋体" w:hAnsi="宋体" w:cs="宋体" w:eastAsia="宋体" w:hint="default"/>
          <w:sz w:val="24"/>
          <w:szCs w:val="24"/>
        </w:rPr>
      </w:pPr>
    </w:p>
    <w:p>
      <w:pPr>
        <w:spacing w:line="506" w:lineRule="auto" w:before="35"/>
        <w:ind w:left="153" w:right="802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b/>
          <w:bCs/>
          <w:spacing w:val="1"/>
          <w:w w:val="99"/>
          <w:sz w:val="21"/>
          <w:szCs w:val="21"/>
        </w:rPr>
        <w:t> </w:t>
      </w:r>
      <w:r>
        <w:rPr>
          <w:rFonts w:ascii="宋体" w:hAnsi="宋体" w:cs="宋体" w:eastAsia="宋体" w:hint="default"/>
          <w:sz w:val="21"/>
          <w:szCs w:val="21"/>
        </w:rPr>
        <w:t>本集团的营业周期为</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pStyle w:val="BodyText"/>
        <w:spacing w:line="408" w:lineRule="auto" w:before="141"/>
        <w:ind w:right="1131"/>
        <w:jc w:val="both"/>
      </w:pPr>
      <w:r>
        <w:rPr>
          <w:spacing w:val="-1"/>
        </w:rPr>
        <w:t>本公司及境内子公司以人民币为记账本位币。本公司下属子公司香港鼎永泰克科技有限公司采用美元为记</w:t>
      </w:r>
      <w:r>
        <w:rPr>
          <w:spacing w:val="-81"/>
        </w:rPr>
        <w:t> </w:t>
      </w:r>
      <w:r>
        <w:rPr>
          <w:spacing w:val="-81"/>
        </w:rPr>
      </w:r>
      <w:r>
        <w:rPr/>
        <w:t>账本位币，编制财务报表时折算为人民币。本集团编制本财务报表时所采用的货币为人民币。</w:t>
      </w:r>
    </w:p>
    <w:p>
      <w:pPr>
        <w:spacing w:line="240" w:lineRule="auto" w:before="6"/>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240" w:lineRule="auto"/>
        <w:ind w:right="0"/>
        <w:jc w:val="both"/>
      </w:pPr>
      <w:r>
        <w:rPr/>
        <w:t>（</w:t>
      </w:r>
      <w:r>
        <w:rPr>
          <w:rFonts w:ascii="Times New Roman" w:hAnsi="Times New Roman" w:cs="Times New Roman" w:eastAsia="Times New Roman" w:hint="default"/>
        </w:rPr>
        <w:t>1</w:t>
      </w:r>
      <w:r>
        <w:rPr/>
        <w:t>）同一控制下的企业合并</w:t>
      </w:r>
    </w:p>
    <w:p>
      <w:pPr>
        <w:spacing w:line="240" w:lineRule="auto" w:before="1"/>
        <w:rPr>
          <w:rFonts w:ascii="宋体" w:hAnsi="宋体" w:cs="宋体" w:eastAsia="宋体" w:hint="default"/>
          <w:sz w:val="30"/>
          <w:szCs w:val="30"/>
        </w:rPr>
      </w:pPr>
    </w:p>
    <w:p>
      <w:pPr>
        <w:pStyle w:val="BodyText"/>
        <w:spacing w:line="408" w:lineRule="auto"/>
        <w:ind w:right="1129"/>
        <w:jc w:val="both"/>
      </w:pPr>
      <w:r>
        <w:rPr>
          <w:spacing w:val="-1"/>
        </w:rPr>
        <w:t>对于同一控制下的企业合并，合并方在合并中取得的被合并方的资产、负债，除因会计政策不同而进行的</w:t>
      </w:r>
      <w:r>
        <w:rPr>
          <w:spacing w:val="-83"/>
        </w:rPr>
        <w:t> </w:t>
      </w:r>
      <w:r>
        <w:rPr>
          <w:spacing w:val="-83"/>
        </w:rPr>
      </w:r>
      <w:r>
        <w:rPr>
          <w:spacing w:val="-1"/>
        </w:rPr>
        <w:t>调整以外，按合并日被合并方在最终控制方合并财务报表中的账面价值计量。合并对价的账面价值与合并</w:t>
      </w:r>
      <w:r>
        <w:rPr>
          <w:spacing w:val="-81"/>
        </w:rPr>
        <w:t> </w:t>
      </w:r>
      <w:r>
        <w:rPr>
          <w:spacing w:val="-81"/>
        </w:rPr>
      </w:r>
      <w:r>
        <w:rPr>
          <w:spacing w:val="-1"/>
        </w:rPr>
        <w:t>中取得的净资产账面价值的差额调整资本公积（股本溢价），资本公积（股本溢价）不足冲减的，调整留</w:t>
      </w:r>
      <w:r>
        <w:rPr>
          <w:spacing w:val="-83"/>
        </w:rPr>
        <w:t> </w:t>
      </w:r>
      <w:r>
        <w:rPr>
          <w:spacing w:val="-83"/>
        </w:rPr>
      </w:r>
      <w:r>
        <w:rPr/>
        <w:t>存收益。</w:t>
      </w:r>
    </w:p>
    <w:p>
      <w:pPr>
        <w:spacing w:line="240" w:lineRule="auto" w:before="0"/>
        <w:rPr>
          <w:rFonts w:ascii="宋体" w:hAnsi="宋体" w:cs="宋体" w:eastAsia="宋体" w:hint="default"/>
          <w:sz w:val="20"/>
          <w:szCs w:val="20"/>
        </w:rPr>
      </w:pPr>
    </w:p>
    <w:p>
      <w:pPr>
        <w:pStyle w:val="BodyText"/>
        <w:spacing w:line="240" w:lineRule="auto"/>
        <w:ind w:right="0"/>
        <w:jc w:val="both"/>
      </w:pPr>
      <w:r>
        <w:rPr/>
        <w:t>（</w:t>
      </w:r>
      <w:r>
        <w:rPr>
          <w:rFonts w:ascii="Times New Roman" w:hAnsi="Times New Roman" w:cs="Times New Roman" w:eastAsia="Times New Roman" w:hint="default"/>
        </w:rPr>
        <w:t>2</w:t>
      </w:r>
      <w:r>
        <w:rPr/>
        <w:t>）非同一控制下的企业合并</w:t>
      </w:r>
    </w:p>
    <w:p>
      <w:pPr>
        <w:spacing w:line="240" w:lineRule="auto" w:before="1"/>
        <w:rPr>
          <w:rFonts w:ascii="宋体" w:hAnsi="宋体" w:cs="宋体" w:eastAsia="宋体" w:hint="default"/>
          <w:sz w:val="30"/>
          <w:szCs w:val="30"/>
        </w:rPr>
      </w:pPr>
    </w:p>
    <w:p>
      <w:pPr>
        <w:pStyle w:val="BodyText"/>
        <w:spacing w:line="408" w:lineRule="auto"/>
        <w:ind w:right="1129"/>
        <w:jc w:val="both"/>
      </w:pPr>
      <w:r>
        <w:rPr>
          <w:spacing w:val="-1"/>
        </w:rPr>
        <w:t>对于非同一控制下的企业合并，合并成本为购买日为取得对被购买方的控制权而付出的资产、发生或承担</w:t>
      </w:r>
      <w:r>
        <w:rPr>
          <w:spacing w:val="-81"/>
        </w:rPr>
        <w:t> </w:t>
      </w:r>
      <w:r>
        <w:rPr>
          <w:spacing w:val="-81"/>
        </w:rPr>
      </w:r>
      <w:r>
        <w:rPr>
          <w:spacing w:val="-1"/>
        </w:rPr>
        <w:t>的负债以及发行的权益性证券的公允价值。在购买日，取得的被购买方的资产、负债及或有负债按公允价</w:t>
      </w:r>
      <w:r>
        <w:rPr>
          <w:spacing w:val="-83"/>
        </w:rPr>
        <w:t> </w:t>
      </w:r>
      <w:r>
        <w:rPr>
          <w:spacing w:val="-83"/>
        </w:rPr>
      </w:r>
      <w:r>
        <w:rPr/>
        <w:t>值确认。</w:t>
      </w:r>
    </w:p>
    <w:p>
      <w:pPr>
        <w:spacing w:line="240" w:lineRule="auto" w:before="0"/>
        <w:rPr>
          <w:rFonts w:ascii="宋体" w:hAnsi="宋体" w:cs="宋体" w:eastAsia="宋体" w:hint="default"/>
          <w:sz w:val="20"/>
          <w:szCs w:val="20"/>
        </w:rPr>
      </w:pPr>
    </w:p>
    <w:p>
      <w:pPr>
        <w:pStyle w:val="BodyText"/>
        <w:spacing w:line="408" w:lineRule="auto"/>
        <w:ind w:right="1129"/>
        <w:jc w:val="both"/>
      </w:pPr>
      <w:r>
        <w:rPr>
          <w:spacing w:val="-1"/>
        </w:rPr>
        <w:t>对合并成本大于合并中取得的被购买方可辨认净资产公允价值份额的差额，确认为商誉，按成本扣除累计</w:t>
      </w:r>
      <w:r>
        <w:rPr>
          <w:spacing w:val="-81"/>
        </w:rPr>
        <w:t> </w:t>
      </w:r>
      <w:r>
        <w:rPr>
          <w:spacing w:val="-81"/>
        </w:rPr>
      </w:r>
      <w:r>
        <w:rPr>
          <w:spacing w:val="-1"/>
        </w:rPr>
        <w:t>减值准备进行后续计量；对合并成本小于合并中取得的被购买方可辨认净资产公允价值份额的差额，经复</w:t>
      </w:r>
      <w:r>
        <w:rPr>
          <w:spacing w:val="-81"/>
        </w:rPr>
        <w:t> </w:t>
      </w:r>
      <w:r>
        <w:rPr>
          <w:spacing w:val="-81"/>
        </w:rPr>
      </w:r>
      <w:r>
        <w:rPr/>
        <w:t>核后计入当期损益。</w:t>
      </w:r>
    </w:p>
    <w:p>
      <w:pPr>
        <w:spacing w:line="240" w:lineRule="auto" w:before="0"/>
        <w:rPr>
          <w:rFonts w:ascii="宋体" w:hAnsi="宋体" w:cs="宋体" w:eastAsia="宋体" w:hint="default"/>
          <w:sz w:val="20"/>
          <w:szCs w:val="20"/>
        </w:rPr>
      </w:pPr>
    </w:p>
    <w:p>
      <w:pPr>
        <w:pStyle w:val="BodyText"/>
        <w:spacing w:line="386" w:lineRule="auto"/>
        <w:ind w:right="1131"/>
        <w:jc w:val="both"/>
      </w:pPr>
      <w:r>
        <w:rPr>
          <w:spacing w:val="-1"/>
        </w:rPr>
        <w:t>所涉及的或有对价按其在购买日的公允价值计入合并成本，购买日后</w:t>
      </w:r>
      <w:r>
        <w:rPr>
          <w:rFonts w:ascii="Times New Roman" w:hAnsi="Times New Roman" w:cs="Times New Roman" w:eastAsia="Times New Roman" w:hint="default"/>
          <w:spacing w:val="-1"/>
        </w:rPr>
        <w:t>12</w:t>
      </w:r>
      <w:r>
        <w:rPr>
          <w:spacing w:val="-1"/>
        </w:rPr>
        <w:t>个月内出现对购买日已存在情况的</w:t>
      </w:r>
      <w:r>
        <w:rPr>
          <w:spacing w:val="-83"/>
        </w:rPr>
        <w:t> </w:t>
      </w:r>
      <w:r>
        <w:rPr>
          <w:spacing w:val="-83"/>
        </w:rPr>
      </w:r>
      <w:r>
        <w:rPr/>
        <w:t>新的或进一步证据而需要调整或有对价的，相应调整合并商誉。</w:t>
      </w:r>
    </w:p>
    <w:p>
      <w:pPr>
        <w:spacing w:line="240" w:lineRule="auto" w:before="6"/>
        <w:rPr>
          <w:rFonts w:ascii="宋体" w:hAnsi="宋体" w:cs="宋体" w:eastAsia="宋体" w:hint="default"/>
          <w:sz w:val="21"/>
          <w:szCs w:val="21"/>
        </w:rPr>
      </w:pPr>
    </w:p>
    <w:p>
      <w:pPr>
        <w:pStyle w:val="BodyText"/>
        <w:spacing w:line="240" w:lineRule="auto"/>
        <w:ind w:right="0"/>
        <w:jc w:val="both"/>
      </w:pPr>
      <w:r>
        <w:rPr/>
        <w:t>（</w:t>
      </w:r>
      <w:r>
        <w:rPr>
          <w:rFonts w:ascii="Times New Roman" w:hAnsi="Times New Roman" w:cs="Times New Roman" w:eastAsia="Times New Roman" w:hint="default"/>
        </w:rPr>
        <w:t>3</w:t>
      </w:r>
      <w:r>
        <w:rPr/>
        <w:t>）企业合并中有关交易费用的处理</w:t>
      </w:r>
    </w:p>
    <w:p>
      <w:pPr>
        <w:spacing w:line="240" w:lineRule="auto" w:before="1"/>
        <w:rPr>
          <w:rFonts w:ascii="宋体" w:hAnsi="宋体" w:cs="宋体" w:eastAsia="宋体" w:hint="default"/>
          <w:sz w:val="30"/>
          <w:szCs w:val="30"/>
        </w:rPr>
      </w:pPr>
    </w:p>
    <w:p>
      <w:pPr>
        <w:pStyle w:val="BodyText"/>
        <w:spacing w:line="408" w:lineRule="auto"/>
        <w:ind w:right="1129"/>
        <w:jc w:val="both"/>
      </w:pPr>
      <w:r>
        <w:rPr>
          <w:spacing w:val="-1"/>
        </w:rPr>
        <w:t>为进行企业合并发生的审计、法律服务、评估咨询等中介费用以及其他相关管理费用，于发生时计入当期</w:t>
      </w:r>
      <w:r>
        <w:rPr>
          <w:spacing w:val="-83"/>
        </w:rPr>
        <w:t> </w:t>
      </w:r>
      <w:r>
        <w:rPr>
          <w:spacing w:val="-83"/>
        </w:rPr>
      </w:r>
      <w:r>
        <w:rPr>
          <w:spacing w:val="-1"/>
        </w:rPr>
        <w:t>损益。作为合并对价发行的权益性证券或债务性证券的交易费用，计入权益性证券或债务性证券的初始确</w:t>
      </w:r>
      <w:r>
        <w:rPr>
          <w:spacing w:val="-81"/>
        </w:rPr>
        <w:t> </w:t>
      </w:r>
      <w:r>
        <w:rPr>
          <w:spacing w:val="-81"/>
        </w:rPr>
      </w:r>
      <w:r>
        <w:rPr/>
        <w:t>认金额。</w:t>
      </w:r>
    </w:p>
    <w:p>
      <w:pPr>
        <w:spacing w:after="0" w:line="408" w:lineRule="auto"/>
        <w:jc w:val="both"/>
        <w:sectPr>
          <w:pgSz w:w="11910" w:h="16840"/>
          <w:pgMar w:header="747" w:footer="982" w:top="1060" w:bottom="118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30"/>
          <w:szCs w:val="30"/>
        </w:rPr>
      </w:pPr>
    </w:p>
    <w:p>
      <w:pPr>
        <w:pStyle w:val="BodyText"/>
        <w:spacing w:line="240" w:lineRule="auto"/>
        <w:ind w:left="153" w:right="0"/>
        <w:jc w:val="both"/>
      </w:pPr>
      <w:r>
        <w:rPr/>
        <w:t>（</w:t>
      </w:r>
      <w:r>
        <w:rPr>
          <w:rFonts w:ascii="Times New Roman" w:hAnsi="Times New Roman" w:cs="Times New Roman" w:eastAsia="Times New Roman" w:hint="default"/>
        </w:rPr>
        <w:t>1</w:t>
      </w:r>
      <w:r>
        <w:rPr/>
        <w:t>）合并范围</w:t>
      </w:r>
    </w:p>
    <w:p>
      <w:pPr>
        <w:spacing w:line="240" w:lineRule="auto" w:before="1"/>
        <w:rPr>
          <w:rFonts w:ascii="宋体" w:hAnsi="宋体" w:cs="宋体" w:eastAsia="宋体" w:hint="default"/>
          <w:sz w:val="30"/>
          <w:szCs w:val="30"/>
        </w:rPr>
      </w:pPr>
    </w:p>
    <w:p>
      <w:pPr>
        <w:pStyle w:val="BodyText"/>
        <w:spacing w:line="408" w:lineRule="auto"/>
        <w:ind w:right="1108"/>
        <w:jc w:val="both"/>
      </w:pPr>
      <w:r>
        <w:rPr>
          <w:spacing w:val="-1"/>
        </w:rPr>
        <w:t>合并财务报表的合并范围以控制为基础予以确定。控制，是指本公司拥有对被投资单位的权力，通过参与</w:t>
      </w:r>
      <w:r>
        <w:rPr>
          <w:spacing w:val="-83"/>
        </w:rPr>
        <w:t> </w:t>
      </w:r>
      <w:r>
        <w:rPr>
          <w:spacing w:val="-83"/>
        </w:rPr>
      </w:r>
      <w:r>
        <w:rPr/>
        <w:t>被投资单位的相关活动而享有可变回报，并且有能力运用对被投资单位的权力影响其回报金额。子公司， 是指被本公司控制的主体（含企业、被投资单位中可分割的部分、结构化主体等）。</w:t>
      </w:r>
    </w:p>
    <w:p>
      <w:pPr>
        <w:spacing w:line="240" w:lineRule="auto" w:before="0"/>
        <w:rPr>
          <w:rFonts w:ascii="宋体" w:hAnsi="宋体" w:cs="宋体" w:eastAsia="宋体" w:hint="default"/>
          <w:sz w:val="20"/>
          <w:szCs w:val="20"/>
        </w:rPr>
      </w:pPr>
    </w:p>
    <w:p>
      <w:pPr>
        <w:pStyle w:val="BodyText"/>
        <w:spacing w:line="240" w:lineRule="auto"/>
        <w:ind w:right="0"/>
        <w:jc w:val="both"/>
      </w:pPr>
      <w:r>
        <w:rPr/>
        <w:t>（</w:t>
      </w:r>
      <w:r>
        <w:rPr>
          <w:rFonts w:ascii="Times New Roman" w:hAnsi="Times New Roman" w:cs="Times New Roman" w:eastAsia="Times New Roman" w:hint="default"/>
        </w:rPr>
        <w:t>2</w:t>
      </w:r>
      <w:r>
        <w:rPr/>
        <w:t>）合并财务报表的编制方法</w:t>
      </w:r>
    </w:p>
    <w:p>
      <w:pPr>
        <w:spacing w:line="240" w:lineRule="auto" w:before="1"/>
        <w:rPr>
          <w:rFonts w:ascii="宋体" w:hAnsi="宋体" w:cs="宋体" w:eastAsia="宋体" w:hint="default"/>
          <w:sz w:val="30"/>
          <w:szCs w:val="30"/>
        </w:rPr>
      </w:pPr>
    </w:p>
    <w:p>
      <w:pPr>
        <w:pStyle w:val="BodyText"/>
        <w:spacing w:line="408" w:lineRule="auto"/>
        <w:ind w:right="1108"/>
        <w:jc w:val="both"/>
      </w:pPr>
      <w:r>
        <w:rPr>
          <w:spacing w:val="-1"/>
        </w:rPr>
        <w:t>合并财务报表以本公司和子公司的财务报表为基础，根据其他有关资料，由本公司编制。在编制合并财务</w:t>
      </w:r>
      <w:r>
        <w:rPr>
          <w:spacing w:val="-83"/>
        </w:rPr>
        <w:t> </w:t>
      </w:r>
      <w:r>
        <w:rPr>
          <w:spacing w:val="-83"/>
        </w:rPr>
      </w:r>
      <w:r>
        <w:rPr/>
        <w:t>报表时，本公司和子公司的会计政策和会计期间要求保持一致，公司间的重大交易和往来余额予以抵销。</w:t>
      </w:r>
    </w:p>
    <w:p>
      <w:pPr>
        <w:spacing w:line="240" w:lineRule="auto" w:before="0"/>
        <w:rPr>
          <w:rFonts w:ascii="宋体" w:hAnsi="宋体" w:cs="宋体" w:eastAsia="宋体" w:hint="default"/>
          <w:sz w:val="20"/>
          <w:szCs w:val="20"/>
        </w:rPr>
      </w:pPr>
    </w:p>
    <w:p>
      <w:pPr>
        <w:pStyle w:val="BodyText"/>
        <w:spacing w:line="408" w:lineRule="auto"/>
        <w:ind w:right="1129"/>
        <w:jc w:val="both"/>
      </w:pPr>
      <w:r>
        <w:rPr>
          <w:spacing w:val="-1"/>
        </w:rPr>
        <w:t>在报告期内因同一控制下企业合并增加的子公司以及业务，视同该子公司以及业务自同受最终控制方控制</w:t>
      </w:r>
      <w:r>
        <w:rPr>
          <w:spacing w:val="-81"/>
        </w:rPr>
        <w:t> </w:t>
      </w:r>
      <w:r>
        <w:rPr>
          <w:spacing w:val="-81"/>
        </w:rPr>
      </w:r>
      <w:r>
        <w:rPr>
          <w:spacing w:val="-1"/>
        </w:rPr>
        <w:t>之日起纳入本公司的合并范围，将其自同受最终控制方控制之日起的经营成果、现金流量分别纳入合并利</w:t>
      </w:r>
      <w:r>
        <w:rPr>
          <w:spacing w:val="-81"/>
        </w:rPr>
        <w:t> </w:t>
      </w:r>
      <w:r>
        <w:rPr>
          <w:spacing w:val="-81"/>
        </w:rPr>
      </w:r>
      <w:r>
        <w:rPr/>
        <w:t>润表、合并现金流量表中。</w:t>
      </w:r>
    </w:p>
    <w:p>
      <w:pPr>
        <w:spacing w:line="240" w:lineRule="auto" w:before="0"/>
        <w:rPr>
          <w:rFonts w:ascii="宋体" w:hAnsi="宋体" w:cs="宋体" w:eastAsia="宋体" w:hint="default"/>
          <w:sz w:val="20"/>
          <w:szCs w:val="20"/>
        </w:rPr>
      </w:pPr>
    </w:p>
    <w:p>
      <w:pPr>
        <w:pStyle w:val="BodyText"/>
        <w:spacing w:line="408" w:lineRule="auto"/>
        <w:ind w:right="1129"/>
        <w:jc w:val="both"/>
      </w:pPr>
      <w:r>
        <w:rPr>
          <w:spacing w:val="-1"/>
        </w:rPr>
        <w:t>在报告期内因非同一控制下企业合并增加的子公司以及业务，将该子公司以及业务自购买日至报告期末的</w:t>
      </w:r>
      <w:r>
        <w:rPr>
          <w:spacing w:val="-81"/>
        </w:rPr>
        <w:t> </w:t>
      </w:r>
      <w:r>
        <w:rPr>
          <w:spacing w:val="-81"/>
        </w:rPr>
      </w:r>
      <w:r>
        <w:rPr/>
        <w:t>收入、费用、利润纳入合并利润表，将其现金流量纳入合并现金流量表。</w:t>
      </w:r>
    </w:p>
    <w:p>
      <w:pPr>
        <w:spacing w:line="240" w:lineRule="auto" w:before="0"/>
        <w:rPr>
          <w:rFonts w:ascii="宋体" w:hAnsi="宋体" w:cs="宋体" w:eastAsia="宋体" w:hint="default"/>
          <w:sz w:val="20"/>
          <w:szCs w:val="20"/>
        </w:rPr>
      </w:pPr>
    </w:p>
    <w:p>
      <w:pPr>
        <w:pStyle w:val="BodyText"/>
        <w:spacing w:line="400" w:lineRule="auto"/>
        <w:ind w:right="1129"/>
        <w:jc w:val="both"/>
      </w:pPr>
      <w:r>
        <w:rPr>
          <w:spacing w:val="-1"/>
        </w:rPr>
        <w:t>子公司的股东权益中不属于本公司所拥有的部分，作为少数股东权益在合并资产负债表中股东权益项下单</w:t>
      </w:r>
      <w:r>
        <w:rPr>
          <w:spacing w:val="-81"/>
        </w:rPr>
        <w:t> </w:t>
      </w:r>
      <w:r>
        <w:rPr>
          <w:spacing w:val="-81"/>
        </w:rPr>
      </w:r>
      <w:r>
        <w:rPr/>
        <w:t>独列示；子公司当期净损益中属于少数股东权益的份额，在合并利润表中净利润项目下以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 </w:t>
      </w:r>
      <w:r>
        <w:rPr>
          <w:spacing w:val="-1"/>
        </w:rPr>
        <w:t>项目列示。少数股东分担的子公司的亏损超过了少数股东在该子公司期初所有者权益中所享有的份额，其</w:t>
      </w:r>
      <w:r>
        <w:rPr>
          <w:spacing w:val="-81"/>
        </w:rPr>
        <w:t> </w:t>
      </w:r>
      <w:r>
        <w:rPr>
          <w:spacing w:val="-81"/>
        </w:rPr>
      </w:r>
      <w:r>
        <w:rPr/>
        <w:t>余额仍冲减少数股东权益。</w:t>
      </w:r>
    </w:p>
    <w:p>
      <w:pPr>
        <w:spacing w:line="240" w:lineRule="auto" w:before="7"/>
        <w:rPr>
          <w:rFonts w:ascii="宋体" w:hAnsi="宋体" w:cs="宋体" w:eastAsia="宋体" w:hint="default"/>
          <w:sz w:val="20"/>
          <w:szCs w:val="20"/>
        </w:rPr>
      </w:pPr>
    </w:p>
    <w:p>
      <w:pPr>
        <w:pStyle w:val="BodyText"/>
        <w:spacing w:line="240" w:lineRule="auto"/>
        <w:ind w:right="0"/>
        <w:jc w:val="both"/>
      </w:pPr>
      <w:r>
        <w:rPr/>
        <w:t>（</w:t>
      </w:r>
      <w:r>
        <w:rPr>
          <w:rFonts w:ascii="Times New Roman" w:hAnsi="Times New Roman" w:cs="Times New Roman" w:eastAsia="Times New Roman" w:hint="default"/>
        </w:rPr>
        <w:t>3</w:t>
      </w:r>
      <w:r>
        <w:rPr/>
        <w:t>）购买子公司少数股东股权</w:t>
      </w:r>
    </w:p>
    <w:p>
      <w:pPr>
        <w:spacing w:line="240" w:lineRule="auto" w:before="1"/>
        <w:rPr>
          <w:rFonts w:ascii="宋体" w:hAnsi="宋体" w:cs="宋体" w:eastAsia="宋体" w:hint="default"/>
          <w:sz w:val="30"/>
          <w:szCs w:val="30"/>
        </w:rPr>
      </w:pPr>
    </w:p>
    <w:p>
      <w:pPr>
        <w:pStyle w:val="BodyText"/>
        <w:spacing w:line="408" w:lineRule="auto"/>
        <w:ind w:right="1122"/>
        <w:jc w:val="both"/>
      </w:pPr>
      <w:r>
        <w:rPr>
          <w:spacing w:val="3"/>
        </w:rPr>
        <w:t>因购买少数股权新取得的长期股权投资成本与按照新增持股比例计算应享有子公司自购买日或合并日开</w:t>
      </w:r>
      <w:r>
        <w:rPr>
          <w:spacing w:val="-78"/>
        </w:rPr>
        <w:t> </w:t>
      </w:r>
      <w:r>
        <w:rPr>
          <w:spacing w:val="-78"/>
        </w:rPr>
      </w:r>
      <w:r>
        <w:rPr>
          <w:spacing w:val="-1"/>
        </w:rPr>
        <w:t>始持续计算的净资产份额之间的差额，以及在不丧失控制权的情况下因部分处置对子公司的股权投资而取</w:t>
      </w:r>
      <w:r>
        <w:rPr>
          <w:spacing w:val="-81"/>
        </w:rPr>
        <w:t> </w:t>
      </w:r>
      <w:r>
        <w:rPr>
          <w:spacing w:val="-81"/>
        </w:rPr>
      </w:r>
      <w:r>
        <w:rPr>
          <w:spacing w:val="3"/>
        </w:rPr>
        <w:t>得的处置价款与处置长期股权投资相对应享有子公司自购买日或合并日开始持续计算的净资产份额之间</w:t>
      </w:r>
      <w:r>
        <w:rPr>
          <w:spacing w:val="-78"/>
        </w:rPr>
        <w:t> </w:t>
      </w:r>
      <w:r>
        <w:rPr>
          <w:spacing w:val="-78"/>
        </w:rPr>
      </w:r>
      <w:r>
        <w:rPr/>
        <w:t>的差额，均调整合并资产负债表中的资本公积（股本溢价），资本公积不足冲减的，调整留存收益。</w:t>
      </w:r>
    </w:p>
    <w:p>
      <w:pPr>
        <w:spacing w:line="240" w:lineRule="auto" w:before="0"/>
        <w:rPr>
          <w:rFonts w:ascii="宋体" w:hAnsi="宋体" w:cs="宋体" w:eastAsia="宋体" w:hint="default"/>
          <w:sz w:val="20"/>
          <w:szCs w:val="20"/>
        </w:rPr>
      </w:pPr>
    </w:p>
    <w:p>
      <w:pPr>
        <w:pStyle w:val="BodyText"/>
        <w:spacing w:line="240" w:lineRule="auto"/>
        <w:ind w:right="0"/>
        <w:jc w:val="both"/>
      </w:pPr>
      <w:r>
        <w:rPr/>
        <w:t>（</w:t>
      </w:r>
      <w:r>
        <w:rPr>
          <w:rFonts w:ascii="Times New Roman" w:hAnsi="Times New Roman" w:cs="Times New Roman" w:eastAsia="Times New Roman" w:hint="default"/>
        </w:rPr>
        <w:t>4</w:t>
      </w:r>
      <w:r>
        <w:rPr/>
        <w:t>）丧失子公司控制权的处理</w:t>
      </w:r>
    </w:p>
    <w:p>
      <w:pPr>
        <w:spacing w:line="240" w:lineRule="auto" w:before="1"/>
        <w:rPr>
          <w:rFonts w:ascii="宋体" w:hAnsi="宋体" w:cs="宋体" w:eastAsia="宋体" w:hint="default"/>
          <w:sz w:val="30"/>
          <w:szCs w:val="30"/>
        </w:rPr>
      </w:pPr>
    </w:p>
    <w:p>
      <w:pPr>
        <w:pStyle w:val="BodyText"/>
        <w:spacing w:line="408" w:lineRule="auto"/>
        <w:ind w:right="1129"/>
        <w:jc w:val="both"/>
      </w:pPr>
      <w:r>
        <w:rPr>
          <w:spacing w:val="-1"/>
        </w:rPr>
        <w:t>因处置部分股权投资或其他原因丧失了对原有子公司控制权的，剩余股权按照其在丧失控制权日的公允价</w:t>
      </w:r>
      <w:r>
        <w:rPr>
          <w:spacing w:val="-81"/>
        </w:rPr>
        <w:t> </w:t>
      </w:r>
      <w:r>
        <w:rPr>
          <w:spacing w:val="-81"/>
        </w:rPr>
      </w:r>
      <w:r>
        <w:rPr>
          <w:spacing w:val="-1"/>
        </w:rPr>
        <w:t>值进行重新计量；处置股权取得的对价与剩余股权公允价值之和，减去按原持股比例计算应享有原有子公</w:t>
      </w:r>
    </w:p>
    <w:p>
      <w:pPr>
        <w:spacing w:after="0" w:line="408" w:lineRule="auto"/>
        <w:jc w:val="both"/>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17"/>
        <w:jc w:val="left"/>
      </w:pPr>
      <w:r>
        <w:rPr>
          <w:spacing w:val="-1"/>
        </w:rPr>
        <w:t>司自购买日开始持续计算的净资产账面价值的份额与商誉之和，形成的差额计入丧失控制权当期的投资收</w:t>
      </w:r>
      <w:r>
        <w:rPr>
          <w:spacing w:val="-81"/>
        </w:rPr>
        <w:t> </w:t>
      </w:r>
      <w:r>
        <w:rPr>
          <w:spacing w:val="-81"/>
        </w:rPr>
      </w:r>
      <w:r>
        <w:rPr/>
        <w:t>益。</w:t>
      </w:r>
    </w:p>
    <w:p>
      <w:pPr>
        <w:spacing w:line="240" w:lineRule="auto" w:before="0"/>
        <w:rPr>
          <w:rFonts w:ascii="宋体" w:hAnsi="宋体" w:cs="宋体" w:eastAsia="宋体" w:hint="default"/>
          <w:sz w:val="20"/>
          <w:szCs w:val="20"/>
        </w:rPr>
      </w:pPr>
    </w:p>
    <w:p>
      <w:pPr>
        <w:pStyle w:val="BodyText"/>
        <w:spacing w:line="408" w:lineRule="auto"/>
        <w:ind w:left="153" w:right="0"/>
        <w:jc w:val="left"/>
      </w:pPr>
      <w:r>
        <w:rPr>
          <w:spacing w:val="-1"/>
        </w:rPr>
        <w:t>与原有子公司的股权投资相关的其他综合收益等，在丧失控制权时转入当期损益，由于被投资方重新计量</w:t>
      </w:r>
      <w:r>
        <w:rPr>
          <w:spacing w:val="-81"/>
        </w:rPr>
        <w:t> </w:t>
      </w:r>
      <w:r>
        <w:rPr>
          <w:spacing w:val="-81"/>
        </w:rPr>
      </w:r>
      <w:r>
        <w:rPr/>
        <w:t>设定收益计划净负债或净资产变动而产生的其他综合收益除外。</w:t>
      </w:r>
    </w:p>
    <w:p>
      <w:pPr>
        <w:spacing w:line="240" w:lineRule="auto" w:before="6"/>
        <w:rPr>
          <w:rFonts w:ascii="宋体" w:hAnsi="宋体" w:cs="宋体" w:eastAsia="宋体" w:hint="default"/>
          <w:sz w:val="20"/>
          <w:szCs w:val="20"/>
        </w:rPr>
      </w:pPr>
    </w:p>
    <w:p>
      <w:pPr>
        <w:pStyle w:val="Heading3"/>
        <w:spacing w:line="240" w:lineRule="auto"/>
        <w:ind w:left="153" w:right="0"/>
        <w:jc w:val="both"/>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0"/>
        <w:jc w:val="left"/>
      </w:pPr>
      <w:r>
        <w:rPr>
          <w:spacing w:val="-1"/>
        </w:rPr>
        <w:t>现金是指库存现金以及可以随时用于支付的存款。现金等价物，是指本集团持有的期限短、流动性强、易</w:t>
      </w:r>
      <w:r>
        <w:rPr>
          <w:spacing w:val="-82"/>
        </w:rPr>
        <w:t> </w:t>
      </w:r>
      <w:r>
        <w:rPr>
          <w:spacing w:val="-82"/>
        </w:rPr>
      </w:r>
      <w:r>
        <w:rPr/>
        <w:t>于转换为已知金额现金、价值变动风险很小的投资。</w:t>
      </w:r>
    </w:p>
    <w:p>
      <w:pPr>
        <w:spacing w:line="240" w:lineRule="auto" w:before="6"/>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30"/>
          <w:szCs w:val="30"/>
        </w:rPr>
      </w:pPr>
    </w:p>
    <w:p>
      <w:pPr>
        <w:pStyle w:val="BodyText"/>
        <w:spacing w:line="564" w:lineRule="auto"/>
        <w:ind w:right="4030" w:hanging="1"/>
        <w:jc w:val="left"/>
      </w:pPr>
      <w:r>
        <w:rPr/>
        <w:t>（</w:t>
      </w:r>
      <w:r>
        <w:rPr>
          <w:rFonts w:ascii="Times New Roman" w:hAnsi="Times New Roman" w:cs="Times New Roman" w:eastAsia="Times New Roman" w:hint="default"/>
        </w:rPr>
        <w:t>1</w:t>
      </w:r>
      <w:r>
        <w:rPr/>
        <w:t>）外币业务 本集团发生外币业务，按交易发生日的即期汇率折算为记账本位币金额。</w:t>
      </w:r>
    </w:p>
    <w:p>
      <w:pPr>
        <w:pStyle w:val="BodyText"/>
        <w:spacing w:line="408" w:lineRule="auto" w:before="125"/>
        <w:ind w:right="1129"/>
        <w:jc w:val="both"/>
      </w:pPr>
      <w:r>
        <w:rPr>
          <w:spacing w:val="-1"/>
        </w:rPr>
        <w:t>资产负债表日，对外币货币性项目，采用资产负债表日即期汇率折算。因资产负债表日即期汇率与初始确</w:t>
      </w:r>
      <w:r>
        <w:rPr>
          <w:spacing w:val="-83"/>
        </w:rPr>
        <w:t> </w:t>
      </w:r>
      <w:r>
        <w:rPr>
          <w:spacing w:val="-83"/>
        </w:rPr>
      </w:r>
      <w:r>
        <w:rPr>
          <w:spacing w:val="-1"/>
        </w:rPr>
        <w:t>认时或者前一资产负债表日即期汇率不同而产生的汇兑差额，计入当期损益；对以历史成本计量的外币非</w:t>
      </w:r>
      <w:r>
        <w:rPr>
          <w:spacing w:val="-81"/>
        </w:rPr>
        <w:t> </w:t>
      </w:r>
      <w:r>
        <w:rPr>
          <w:spacing w:val="-81"/>
        </w:rPr>
      </w:r>
      <w:r>
        <w:rPr>
          <w:spacing w:val="-1"/>
        </w:rPr>
        <w:t>货币性项目，仍采用交易发生日的即期汇率折算；对以公允价值计量的外币非货币性项目，采用公允价值</w:t>
      </w:r>
      <w:r>
        <w:rPr>
          <w:spacing w:val="-83"/>
        </w:rPr>
        <w:t> </w:t>
      </w:r>
      <w:r>
        <w:rPr>
          <w:spacing w:val="-83"/>
        </w:rPr>
      </w:r>
      <w:r>
        <w:rPr/>
        <w:t>确定日的即期汇率折算，折算后的记账本位币金额与原记账本位币金额的差额，计入当期损益。</w:t>
      </w:r>
    </w:p>
    <w:p>
      <w:pPr>
        <w:spacing w:line="240" w:lineRule="auto" w:before="0"/>
        <w:rPr>
          <w:rFonts w:ascii="宋体" w:hAnsi="宋体" w:cs="宋体" w:eastAsia="宋体" w:hint="default"/>
          <w:sz w:val="20"/>
          <w:szCs w:val="20"/>
        </w:rPr>
      </w:pPr>
    </w:p>
    <w:p>
      <w:pPr>
        <w:pStyle w:val="BodyText"/>
        <w:spacing w:line="240" w:lineRule="auto"/>
        <w:ind w:right="0"/>
        <w:jc w:val="both"/>
      </w:pPr>
      <w:r>
        <w:rPr/>
        <w:t>（</w:t>
      </w:r>
      <w:r>
        <w:rPr>
          <w:rFonts w:ascii="Times New Roman" w:hAnsi="Times New Roman" w:cs="Times New Roman" w:eastAsia="Times New Roman" w:hint="default"/>
        </w:rPr>
        <w:t>2</w:t>
      </w:r>
      <w:r>
        <w:rPr/>
        <w:t>）外币财务报表的折算</w:t>
      </w:r>
    </w:p>
    <w:p>
      <w:pPr>
        <w:spacing w:line="240" w:lineRule="auto" w:before="1"/>
        <w:rPr>
          <w:rFonts w:ascii="宋体" w:hAnsi="宋体" w:cs="宋体" w:eastAsia="宋体" w:hint="default"/>
          <w:sz w:val="30"/>
          <w:szCs w:val="30"/>
        </w:rPr>
      </w:pPr>
    </w:p>
    <w:p>
      <w:pPr>
        <w:pStyle w:val="BodyText"/>
        <w:spacing w:line="408" w:lineRule="auto"/>
        <w:ind w:right="0"/>
        <w:jc w:val="left"/>
      </w:pPr>
      <w:r>
        <w:rPr>
          <w:spacing w:val="-1"/>
        </w:rPr>
        <w:t>资产负债表日，对境外子公司外币财务报表进行折算时，资产负债表中的资产和负债项目，采用资产负债</w:t>
      </w:r>
      <w:r>
        <w:rPr>
          <w:spacing w:val="-83"/>
        </w:rPr>
        <w:t> </w:t>
      </w:r>
      <w:r>
        <w:rPr>
          <w:spacing w:val="-83"/>
        </w:rPr>
      </w:r>
      <w:r>
        <w:rPr/>
        <w:t>表日的即期汇率折算，股东权益项目除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外，其他项目采用发生日的即期汇率折算。</w:t>
      </w:r>
    </w:p>
    <w:p>
      <w:pPr>
        <w:spacing w:line="240" w:lineRule="auto" w:before="8"/>
        <w:rPr>
          <w:rFonts w:ascii="宋体" w:hAnsi="宋体" w:cs="宋体" w:eastAsia="宋体" w:hint="default"/>
          <w:sz w:val="17"/>
          <w:szCs w:val="17"/>
        </w:rPr>
      </w:pPr>
    </w:p>
    <w:p>
      <w:pPr>
        <w:pStyle w:val="BodyText"/>
        <w:spacing w:line="240" w:lineRule="auto"/>
        <w:ind w:right="0"/>
        <w:jc w:val="both"/>
      </w:pPr>
      <w:r>
        <w:rPr/>
        <w:t>利润表中的收入和费用项目，采用按期初汇率折算。</w:t>
      </w:r>
    </w:p>
    <w:p>
      <w:pPr>
        <w:spacing w:line="240" w:lineRule="auto" w:before="0"/>
        <w:rPr>
          <w:rFonts w:ascii="宋体" w:hAnsi="宋体" w:cs="宋体" w:eastAsia="宋体" w:hint="default"/>
          <w:sz w:val="20"/>
          <w:szCs w:val="20"/>
        </w:rPr>
      </w:pPr>
    </w:p>
    <w:p>
      <w:pPr>
        <w:pStyle w:val="BodyText"/>
        <w:spacing w:line="408" w:lineRule="auto" w:before="147"/>
        <w:ind w:right="0"/>
        <w:jc w:val="left"/>
      </w:pPr>
      <w:r>
        <w:rPr>
          <w:spacing w:val="-1"/>
        </w:rPr>
        <w:t>现金流量表所有项目均按照现金流量发生日的即期汇率折算。汇率变动对现金的影响额作为调节项目，在</w:t>
      </w:r>
      <w:r>
        <w:rPr>
          <w:spacing w:val="-81"/>
        </w:rPr>
        <w:t> </w:t>
      </w:r>
      <w:r>
        <w:rPr>
          <w:spacing w:val="-81"/>
        </w:rPr>
      </w:r>
      <w:r>
        <w:rPr/>
        <w:t>现金流量表中单独列示</w:t>
      </w:r>
      <w:r>
        <w:rPr>
          <w:rFonts w:ascii="Times New Roman" w:hAnsi="Times New Roman" w:cs="Times New Roman" w:eastAsia="Times New Roman" w:hint="default"/>
        </w:rPr>
        <w:t>“</w:t>
      </w:r>
      <w:r>
        <w:rPr/>
        <w:t>汇率变动对现金及现金等价物的影响</w:t>
      </w: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项目反映。</w:t>
      </w:r>
    </w:p>
    <w:p>
      <w:pPr>
        <w:spacing w:line="240" w:lineRule="auto" w:before="8"/>
        <w:rPr>
          <w:rFonts w:ascii="宋体" w:hAnsi="宋体" w:cs="宋体" w:eastAsia="宋体" w:hint="default"/>
          <w:sz w:val="17"/>
          <w:szCs w:val="17"/>
        </w:rPr>
      </w:pPr>
    </w:p>
    <w:p>
      <w:pPr>
        <w:pStyle w:val="BodyText"/>
        <w:spacing w:line="564" w:lineRule="auto"/>
        <w:ind w:right="0"/>
        <w:jc w:val="left"/>
      </w:pPr>
      <w:r>
        <w:rPr/>
        <w:t>由于财务报表折算而产生的差额，在资产负债表股东权益项目下的</w:t>
      </w:r>
      <w:r>
        <w:rPr>
          <w:rFonts w:ascii="Times New Roman" w:hAnsi="Times New Roman" w:cs="Times New Roman" w:eastAsia="Times New Roman" w:hint="default"/>
        </w:rPr>
        <w:t>“</w:t>
      </w:r>
      <w:r>
        <w:rPr/>
        <w:t>其他综合收益</w:t>
      </w:r>
      <w:r>
        <w:rPr>
          <w:rFonts w:ascii="Times New Roman" w:hAnsi="Times New Roman" w:cs="Times New Roman" w:eastAsia="Times New Roman" w:hint="default"/>
        </w:rPr>
        <w:t>”</w:t>
      </w:r>
      <w:r>
        <w:rPr/>
        <w:t>项目反映。 </w:t>
      </w:r>
      <w:r>
        <w:rPr>
          <w:spacing w:val="-1"/>
        </w:rPr>
        <w:t>处置境外经营并丧失控制权时，将资产负债表中股东权益项目下列示的、与该境外经营相关的外币报表折</w:t>
      </w:r>
    </w:p>
    <w:p>
      <w:pPr>
        <w:spacing w:after="0" w:line="564"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both"/>
      </w:pPr>
      <w:r>
        <w:rPr/>
        <w:t>算差额，全部或按处置该境外经营的比例转入处置当期损益。</w:t>
      </w:r>
    </w:p>
    <w:p>
      <w:pPr>
        <w:spacing w:line="240" w:lineRule="auto" w:before="0"/>
        <w:rPr>
          <w:rFonts w:ascii="宋体" w:hAnsi="宋体" w:cs="宋体" w:eastAsia="宋体" w:hint="default"/>
          <w:sz w:val="20"/>
          <w:szCs w:val="20"/>
        </w:rPr>
      </w:pPr>
    </w:p>
    <w:p>
      <w:pPr>
        <w:pStyle w:val="BodyText"/>
        <w:spacing w:line="568" w:lineRule="auto" w:before="153"/>
        <w:ind w:left="153" w:right="2561"/>
        <w:jc w:val="left"/>
      </w:pPr>
      <w:r>
        <w:rPr>
          <w:rFonts w:ascii="Times New Roman" w:hAnsi="Times New Roman" w:cs="Times New Roman" w:eastAsia="Times New Roman" w:hint="default"/>
          <w:b/>
          <w:bCs/>
        </w:rPr>
        <w:t>10</w:t>
      </w:r>
      <w:r>
        <w:rPr>
          <w:rFonts w:ascii="宋体" w:hAnsi="宋体" w:cs="宋体" w:eastAsia="宋体" w:hint="default"/>
          <w:b/>
          <w:bCs/>
        </w:rPr>
        <w:t>、金融工具</w:t>
      </w:r>
      <w:r>
        <w:rPr>
          <w:rFonts w:ascii="宋体" w:hAnsi="宋体" w:cs="宋体" w:eastAsia="宋体" w:hint="default"/>
          <w:b/>
          <w:bCs/>
          <w:w w:val="99"/>
        </w:rPr>
        <w:t> </w:t>
      </w:r>
      <w:r>
        <w:rPr/>
        <w:t>金融工具是指形成一个企业的金融资产，并形成其他单位的金融负债或权益工具的合同。</w:t>
      </w:r>
    </w:p>
    <w:p>
      <w:pPr>
        <w:pStyle w:val="BodyText"/>
        <w:spacing w:line="580" w:lineRule="auto" w:before="121"/>
        <w:ind w:left="153" w:right="4451" w:hanging="1"/>
        <w:jc w:val="left"/>
      </w:pPr>
      <w:r>
        <w:rPr/>
        <w:t>（</w:t>
      </w:r>
      <w:r>
        <w:rPr>
          <w:rFonts w:ascii="Times New Roman" w:hAnsi="Times New Roman" w:cs="Times New Roman" w:eastAsia="Times New Roman" w:hint="default"/>
        </w:rPr>
        <w:t>1</w:t>
      </w:r>
      <w:r>
        <w:rPr/>
        <w:t>）金融工具的确认和终止确认 本集团于成为金融工具合同的一方时确认一项金融资产或金融负债。 金融资产满足下列条件之一的，终止确认：</w:t>
      </w:r>
    </w:p>
    <w:p>
      <w:pPr>
        <w:pStyle w:val="BodyText"/>
        <w:spacing w:line="240" w:lineRule="auto" w:before="111"/>
        <w:ind w:left="153" w:right="0"/>
        <w:jc w:val="both"/>
      </w:pPr>
      <w:r>
        <w:rPr/>
        <w:t>①</w:t>
      </w:r>
      <w:r>
        <w:rPr>
          <w:spacing w:val="-21"/>
        </w:rPr>
        <w:t> </w:t>
      </w:r>
      <w:r>
        <w:rPr/>
        <w:t>收取该金融资产现金流量的合同权利终止；</w:t>
      </w:r>
    </w:p>
    <w:p>
      <w:pPr>
        <w:spacing w:line="240" w:lineRule="auto" w:before="0"/>
        <w:rPr>
          <w:rFonts w:ascii="宋体" w:hAnsi="宋体" w:cs="宋体" w:eastAsia="宋体" w:hint="default"/>
          <w:sz w:val="20"/>
          <w:szCs w:val="20"/>
        </w:rPr>
      </w:pPr>
    </w:p>
    <w:p>
      <w:pPr>
        <w:pStyle w:val="BodyText"/>
        <w:spacing w:line="240" w:lineRule="auto" w:before="147"/>
        <w:ind w:left="153" w:right="0"/>
        <w:jc w:val="both"/>
      </w:pPr>
      <w:r>
        <w:rPr/>
        <w:t>②</w:t>
      </w:r>
      <w:r>
        <w:rPr>
          <w:spacing w:val="-21"/>
        </w:rPr>
        <w:t> </w:t>
      </w:r>
      <w:r>
        <w:rPr/>
        <w:t>该金融资产已转移，且符合下述金融资产转移的终止确认条件。</w:t>
      </w:r>
    </w:p>
    <w:p>
      <w:pPr>
        <w:spacing w:line="240" w:lineRule="auto" w:before="0"/>
        <w:rPr>
          <w:rFonts w:ascii="宋体" w:hAnsi="宋体" w:cs="宋体" w:eastAsia="宋体" w:hint="default"/>
          <w:sz w:val="20"/>
          <w:szCs w:val="20"/>
        </w:rPr>
      </w:pPr>
    </w:p>
    <w:p>
      <w:pPr>
        <w:pStyle w:val="BodyText"/>
        <w:spacing w:line="408" w:lineRule="auto" w:before="147"/>
        <w:ind w:left="153" w:right="1131"/>
        <w:jc w:val="both"/>
      </w:pPr>
      <w:r>
        <w:rPr>
          <w:spacing w:val="-1"/>
        </w:rPr>
        <w:t>金融负债的现时义务全部或部分已经解除的，终止确认该金融负债或其一部分。本集团（债务人）与债权</w:t>
      </w:r>
      <w:r>
        <w:rPr>
          <w:spacing w:val="-82"/>
        </w:rPr>
        <w:t> </w:t>
      </w:r>
      <w:r>
        <w:rPr>
          <w:spacing w:val="-82"/>
        </w:rPr>
      </w:r>
      <w:r>
        <w:rPr>
          <w:spacing w:val="-1"/>
        </w:rPr>
        <w:t>人之间签订协议，以承担新金融负债方式替换现存金融负债，且新金融负债与现存金融负债的合同条款实</w:t>
      </w:r>
      <w:r>
        <w:rPr>
          <w:spacing w:val="-81"/>
        </w:rPr>
        <w:t> </w:t>
      </w:r>
      <w:r>
        <w:rPr>
          <w:spacing w:val="-81"/>
        </w:rPr>
      </w:r>
      <w:r>
        <w:rPr/>
        <w:t>质上不同的，终止确认现存金融负债，并同时确认新金融负债。</w:t>
      </w:r>
    </w:p>
    <w:p>
      <w:pPr>
        <w:spacing w:line="240" w:lineRule="auto" w:before="0"/>
        <w:rPr>
          <w:rFonts w:ascii="宋体" w:hAnsi="宋体" w:cs="宋体" w:eastAsia="宋体" w:hint="default"/>
          <w:sz w:val="20"/>
          <w:szCs w:val="20"/>
        </w:rPr>
      </w:pPr>
    </w:p>
    <w:p>
      <w:pPr>
        <w:pStyle w:val="BodyText"/>
        <w:spacing w:line="240" w:lineRule="auto"/>
        <w:ind w:left="153" w:right="0"/>
        <w:jc w:val="both"/>
      </w:pPr>
      <w:r>
        <w:rPr/>
        <w:t>以常规方式买卖金融资产，按交易日进行会计确认和终止确认。</w:t>
      </w:r>
    </w:p>
    <w:p>
      <w:pPr>
        <w:spacing w:line="240" w:lineRule="auto" w:before="0"/>
        <w:rPr>
          <w:rFonts w:ascii="宋体" w:hAnsi="宋体" w:cs="宋体" w:eastAsia="宋体" w:hint="default"/>
          <w:sz w:val="20"/>
          <w:szCs w:val="20"/>
        </w:rPr>
      </w:pPr>
    </w:p>
    <w:p>
      <w:pPr>
        <w:pStyle w:val="BodyText"/>
        <w:spacing w:line="240" w:lineRule="auto" w:before="147"/>
        <w:ind w:left="153" w:right="0"/>
        <w:jc w:val="both"/>
      </w:pPr>
      <w:r>
        <w:rPr/>
        <w:t>（</w:t>
      </w:r>
      <w:r>
        <w:rPr>
          <w:rFonts w:ascii="Times New Roman" w:hAnsi="Times New Roman" w:cs="Times New Roman" w:eastAsia="Times New Roman" w:hint="default"/>
        </w:rPr>
        <w:t>2</w:t>
      </w:r>
      <w:r>
        <w:rPr/>
        <w:t>）金融资产分类和计量</w:t>
      </w:r>
    </w:p>
    <w:p>
      <w:pPr>
        <w:spacing w:line="240" w:lineRule="auto" w:before="1"/>
        <w:rPr>
          <w:rFonts w:ascii="宋体" w:hAnsi="宋体" w:cs="宋体" w:eastAsia="宋体" w:hint="default"/>
          <w:sz w:val="30"/>
          <w:szCs w:val="30"/>
        </w:rPr>
      </w:pPr>
    </w:p>
    <w:p>
      <w:pPr>
        <w:pStyle w:val="BodyText"/>
        <w:spacing w:line="408" w:lineRule="auto"/>
        <w:ind w:right="1129"/>
        <w:jc w:val="both"/>
      </w:pPr>
      <w:r>
        <w:rPr>
          <w:spacing w:val="-1"/>
        </w:rPr>
        <w:t>本集团的金融资产于初始确认时分为以下四类：以公允价值计量且其变动计入当期损益的金融资产、持有</w:t>
      </w:r>
      <w:r>
        <w:rPr>
          <w:spacing w:val="-81"/>
        </w:rPr>
        <w:t> </w:t>
      </w:r>
      <w:r>
        <w:rPr>
          <w:spacing w:val="-81"/>
        </w:rPr>
      </w:r>
      <w:r>
        <w:rPr>
          <w:spacing w:val="-1"/>
        </w:rPr>
        <w:t>至到期投资、贷款和应收款项、可供出售金融资产。金融资产在初始确认时以公允价值计量。对于以公允</w:t>
      </w:r>
      <w:r>
        <w:rPr>
          <w:spacing w:val="-82"/>
        </w:rPr>
        <w:t> </w:t>
      </w:r>
      <w:r>
        <w:rPr>
          <w:spacing w:val="-82"/>
        </w:rPr>
      </w:r>
      <w:r>
        <w:rPr>
          <w:spacing w:val="-1"/>
        </w:rPr>
        <w:t>价值计量且其变动计入当期损益的金融资产，相关交易费用直接计入当期损益，其他类别的金融资产相关</w:t>
      </w:r>
      <w:r>
        <w:rPr>
          <w:spacing w:val="-81"/>
        </w:rPr>
        <w:t> </w:t>
      </w:r>
      <w:r>
        <w:rPr>
          <w:spacing w:val="-81"/>
        </w:rPr>
      </w:r>
      <w:r>
        <w:rPr/>
        <w:t>交易费用计入其初始确认金额。</w:t>
      </w:r>
    </w:p>
    <w:p>
      <w:pPr>
        <w:spacing w:line="240" w:lineRule="auto" w:before="0"/>
        <w:rPr>
          <w:rFonts w:ascii="宋体" w:hAnsi="宋体" w:cs="宋体" w:eastAsia="宋体" w:hint="default"/>
          <w:sz w:val="20"/>
          <w:szCs w:val="20"/>
        </w:rPr>
      </w:pPr>
    </w:p>
    <w:p>
      <w:pPr>
        <w:pStyle w:val="BodyText"/>
        <w:spacing w:line="240" w:lineRule="auto"/>
        <w:ind w:right="0"/>
        <w:jc w:val="both"/>
      </w:pPr>
      <w:r>
        <w:rPr/>
        <w:t>以公允价值计量且其变动计入当期损益的金融资产</w:t>
      </w:r>
    </w:p>
    <w:p>
      <w:pPr>
        <w:spacing w:line="240" w:lineRule="auto" w:before="0"/>
        <w:rPr>
          <w:rFonts w:ascii="宋体" w:hAnsi="宋体" w:cs="宋体" w:eastAsia="宋体" w:hint="default"/>
          <w:sz w:val="20"/>
          <w:szCs w:val="20"/>
        </w:rPr>
      </w:pPr>
    </w:p>
    <w:p>
      <w:pPr>
        <w:pStyle w:val="BodyText"/>
        <w:spacing w:line="408" w:lineRule="auto" w:before="147"/>
        <w:ind w:right="1131"/>
        <w:jc w:val="both"/>
      </w:pPr>
      <w:r>
        <w:rPr>
          <w:spacing w:val="-1"/>
        </w:rPr>
        <w:t>以公允价值计量且其变动计入当期损益的金融资产，包括交易性金融资产和初始确认时指定为以公允价值</w:t>
      </w:r>
      <w:r>
        <w:rPr>
          <w:spacing w:val="-81"/>
        </w:rPr>
        <w:t> </w:t>
      </w:r>
      <w:r>
        <w:rPr>
          <w:spacing w:val="-81"/>
        </w:rPr>
      </w:r>
      <w:r>
        <w:rPr>
          <w:spacing w:val="-1"/>
        </w:rPr>
        <w:t>计量且其变动计入当期损益的金融资产。对于此类金融资产，采用公允价值进行后续计量，公允价值变动</w:t>
      </w:r>
      <w:r>
        <w:rPr>
          <w:spacing w:val="-83"/>
        </w:rPr>
        <w:t> </w:t>
      </w:r>
      <w:r>
        <w:rPr>
          <w:spacing w:val="-83"/>
        </w:rPr>
      </w:r>
      <w:r>
        <w:rPr/>
        <w:t>形成的利得或损失以及与该等金融资产相关的股利和利息收入计入当期损益。</w:t>
      </w:r>
    </w:p>
    <w:p>
      <w:pPr>
        <w:spacing w:line="240" w:lineRule="auto" w:before="0"/>
        <w:rPr>
          <w:rFonts w:ascii="宋体" w:hAnsi="宋体" w:cs="宋体" w:eastAsia="宋体" w:hint="default"/>
          <w:sz w:val="20"/>
          <w:szCs w:val="20"/>
        </w:rPr>
      </w:pPr>
    </w:p>
    <w:p>
      <w:pPr>
        <w:pStyle w:val="BodyText"/>
        <w:spacing w:line="240" w:lineRule="auto"/>
        <w:ind w:right="0"/>
        <w:jc w:val="both"/>
      </w:pPr>
      <w:r>
        <w:rPr/>
        <w:t>持有至到期投资</w:t>
      </w:r>
    </w:p>
    <w:p>
      <w:pPr>
        <w:spacing w:line="240" w:lineRule="auto" w:before="0"/>
        <w:rPr>
          <w:rFonts w:ascii="宋体" w:hAnsi="宋体" w:cs="宋体" w:eastAsia="宋体" w:hint="default"/>
          <w:sz w:val="20"/>
          <w:szCs w:val="20"/>
        </w:rPr>
      </w:pPr>
    </w:p>
    <w:p>
      <w:pPr>
        <w:pStyle w:val="BodyText"/>
        <w:spacing w:line="240" w:lineRule="auto" w:before="147"/>
        <w:ind w:right="0"/>
        <w:jc w:val="both"/>
      </w:pPr>
      <w:r>
        <w:rPr/>
        <w:t>持有至到期投资，是指到期日固定、回收金额固定或可确定，且本集团有明确意图和能力持有至到期的非</w:t>
      </w:r>
    </w:p>
    <w:p>
      <w:pPr>
        <w:spacing w:after="0" w:line="240" w:lineRule="auto"/>
        <w:jc w:val="both"/>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衍生金融资产。持有至到期投资采用实际利率法，按照摊余成本进行后续计量，其终止确认、发生减值或</w:t>
      </w:r>
      <w:r>
        <w:rPr>
          <w:spacing w:val="-82"/>
        </w:rPr>
        <w:t> </w:t>
      </w:r>
      <w:r>
        <w:rPr>
          <w:spacing w:val="-82"/>
        </w:rPr>
      </w:r>
      <w:r>
        <w:rPr/>
        <w:t>摊销产生的利得或损失，均计入当期损益。</w:t>
      </w:r>
    </w:p>
    <w:p>
      <w:pPr>
        <w:spacing w:line="240" w:lineRule="auto" w:before="0"/>
        <w:rPr>
          <w:rFonts w:ascii="宋体" w:hAnsi="宋体" w:cs="宋体" w:eastAsia="宋体" w:hint="default"/>
          <w:sz w:val="20"/>
          <w:szCs w:val="20"/>
        </w:rPr>
      </w:pPr>
    </w:p>
    <w:p>
      <w:pPr>
        <w:pStyle w:val="BodyText"/>
        <w:spacing w:line="240" w:lineRule="auto"/>
        <w:ind w:left="153" w:right="0"/>
        <w:jc w:val="both"/>
      </w:pPr>
      <w:r>
        <w:rPr/>
        <w:t>应收款项</w:t>
      </w:r>
    </w:p>
    <w:p>
      <w:pPr>
        <w:spacing w:line="240" w:lineRule="auto" w:before="0"/>
        <w:rPr>
          <w:rFonts w:ascii="宋体" w:hAnsi="宋体" w:cs="宋体" w:eastAsia="宋体" w:hint="default"/>
          <w:sz w:val="20"/>
          <w:szCs w:val="20"/>
        </w:rPr>
      </w:pPr>
    </w:p>
    <w:p>
      <w:pPr>
        <w:pStyle w:val="BodyText"/>
        <w:spacing w:line="398" w:lineRule="auto" w:before="147"/>
        <w:ind w:left="153" w:right="1130"/>
        <w:jc w:val="both"/>
      </w:pPr>
      <w:r>
        <w:rPr>
          <w:spacing w:val="-1"/>
        </w:rPr>
        <w:t>应收款项，是指在活跃市场中没有报价、回收金额固定或可确定的非衍生金融资产，包括应收账款和其他</w:t>
      </w:r>
      <w:r>
        <w:rPr>
          <w:spacing w:val="-83"/>
        </w:rPr>
        <w:t> </w:t>
      </w:r>
      <w:r>
        <w:rPr>
          <w:spacing w:val="-83"/>
        </w:rPr>
      </w:r>
      <w:r>
        <w:rPr>
          <w:spacing w:val="-1"/>
        </w:rPr>
        <w:t>应收款等（附注五、</w:t>
      </w:r>
      <w:r>
        <w:rPr>
          <w:rFonts w:ascii="Times New Roman" w:hAnsi="Times New Roman" w:cs="Times New Roman" w:eastAsia="Times New Roman" w:hint="default"/>
          <w:spacing w:val="-1"/>
        </w:rPr>
        <w:t>11</w:t>
      </w:r>
      <w:r>
        <w:rPr>
          <w:spacing w:val="-1"/>
        </w:rPr>
        <w:t>）。应收款项采用实际利率法，按摊余成本进行后续计量，在终止确认、发生减值</w:t>
      </w:r>
      <w:r>
        <w:rPr>
          <w:spacing w:val="-85"/>
        </w:rPr>
        <w:t> </w:t>
      </w:r>
      <w:r>
        <w:rPr>
          <w:spacing w:val="-85"/>
        </w:rPr>
      </w:r>
      <w:r>
        <w:rPr/>
        <w:t>或摊销时产生的利得或损失，计入当期损益。</w:t>
      </w:r>
    </w:p>
    <w:p>
      <w:pPr>
        <w:spacing w:line="240" w:lineRule="auto" w:before="9"/>
        <w:rPr>
          <w:rFonts w:ascii="宋体" w:hAnsi="宋体" w:cs="宋体" w:eastAsia="宋体" w:hint="default"/>
          <w:sz w:val="20"/>
          <w:szCs w:val="20"/>
        </w:rPr>
      </w:pPr>
    </w:p>
    <w:p>
      <w:pPr>
        <w:pStyle w:val="BodyText"/>
        <w:spacing w:line="240" w:lineRule="auto"/>
        <w:ind w:left="153" w:right="0"/>
        <w:jc w:val="both"/>
      </w:pPr>
      <w:r>
        <w:rPr/>
        <w:t>可供出售金融资产</w:t>
      </w:r>
    </w:p>
    <w:p>
      <w:pPr>
        <w:spacing w:line="240" w:lineRule="auto" w:before="0"/>
        <w:rPr>
          <w:rFonts w:ascii="宋体" w:hAnsi="宋体" w:cs="宋体" w:eastAsia="宋体" w:hint="default"/>
          <w:sz w:val="20"/>
          <w:szCs w:val="20"/>
        </w:rPr>
      </w:pPr>
    </w:p>
    <w:p>
      <w:pPr>
        <w:pStyle w:val="BodyText"/>
        <w:spacing w:line="408" w:lineRule="auto" w:before="147"/>
        <w:ind w:left="153" w:right="1131"/>
        <w:jc w:val="both"/>
      </w:pPr>
      <w:r>
        <w:rPr>
          <w:spacing w:val="-1"/>
        </w:rPr>
        <w:t>可供出售金融资产，是指初始确认时即指定为可供出售的非衍生金融资产，以及除上述金融资产类别以外</w:t>
      </w:r>
      <w:r>
        <w:rPr>
          <w:spacing w:val="-81"/>
        </w:rPr>
        <w:t> </w:t>
      </w:r>
      <w:r>
        <w:rPr>
          <w:spacing w:val="-81"/>
        </w:rPr>
      </w:r>
      <w:r>
        <w:rPr>
          <w:spacing w:val="-1"/>
        </w:rPr>
        <w:t>的金融资产。可供出售金融资产采用公允价值进行后续计量，其折溢价采用实际利率法摊销并确认为利息</w:t>
      </w:r>
      <w:r>
        <w:rPr>
          <w:spacing w:val="-81"/>
        </w:rPr>
        <w:t> </w:t>
      </w:r>
      <w:r>
        <w:rPr>
          <w:spacing w:val="-81"/>
        </w:rPr>
      </w:r>
      <w:r>
        <w:rPr>
          <w:spacing w:val="-1"/>
        </w:rPr>
        <w:t>收入。除减值损失及外币货币性金融资产的汇兑差额确认为当期损益外，可供出售金融资产的公允价值变</w:t>
      </w:r>
      <w:r>
        <w:rPr>
          <w:spacing w:val="-81"/>
        </w:rPr>
        <w:t> </w:t>
      </w:r>
      <w:r>
        <w:rPr>
          <w:spacing w:val="-81"/>
        </w:rPr>
      </w:r>
      <w:r>
        <w:rPr>
          <w:spacing w:val="-1"/>
        </w:rPr>
        <w:t>动确认为其他综合收益，在该金融资产终止确认时转出，计入当期损益。与可供出售金融资产相关的股利</w:t>
      </w:r>
      <w:r>
        <w:rPr>
          <w:spacing w:val="-83"/>
        </w:rPr>
        <w:t> </w:t>
      </w:r>
      <w:r>
        <w:rPr>
          <w:spacing w:val="-83"/>
        </w:rPr>
      </w:r>
      <w:r>
        <w:rPr/>
        <w:t>或利息收入，计入当期损益。</w:t>
      </w:r>
    </w:p>
    <w:p>
      <w:pPr>
        <w:spacing w:line="240" w:lineRule="auto" w:before="0"/>
        <w:rPr>
          <w:rFonts w:ascii="宋体" w:hAnsi="宋体" w:cs="宋体" w:eastAsia="宋体" w:hint="default"/>
          <w:sz w:val="20"/>
          <w:szCs w:val="20"/>
        </w:rPr>
      </w:pPr>
    </w:p>
    <w:p>
      <w:pPr>
        <w:pStyle w:val="BodyText"/>
        <w:spacing w:line="408" w:lineRule="auto"/>
        <w:ind w:left="153" w:right="1130"/>
        <w:jc w:val="both"/>
      </w:pPr>
      <w:r>
        <w:rPr>
          <w:spacing w:val="-1"/>
        </w:rPr>
        <w:t>对于在活跃市场中没有报价且其公允价值不能可靠计量的权益工具投资，以及与该权益工具挂钩并须通过</w:t>
      </w:r>
      <w:r>
        <w:rPr>
          <w:spacing w:val="-81"/>
        </w:rPr>
        <w:t> </w:t>
      </w:r>
      <w:r>
        <w:rPr>
          <w:spacing w:val="-81"/>
        </w:rPr>
      </w:r>
      <w:r>
        <w:rPr/>
        <w:t>交付该权益工具结算的衍生金融资产，按成本计量。</w:t>
      </w:r>
    </w:p>
    <w:p>
      <w:pPr>
        <w:spacing w:line="240" w:lineRule="auto" w:before="0"/>
        <w:rPr>
          <w:rFonts w:ascii="宋体" w:hAnsi="宋体" w:cs="宋体" w:eastAsia="宋体" w:hint="default"/>
          <w:sz w:val="20"/>
          <w:szCs w:val="20"/>
        </w:rPr>
      </w:pPr>
    </w:p>
    <w:p>
      <w:pPr>
        <w:pStyle w:val="BodyText"/>
        <w:spacing w:line="240" w:lineRule="auto"/>
        <w:ind w:left="153" w:right="0"/>
        <w:jc w:val="both"/>
      </w:pPr>
      <w:r>
        <w:rPr/>
        <w:t>（</w:t>
      </w:r>
      <w:r>
        <w:rPr>
          <w:rFonts w:ascii="Times New Roman" w:hAnsi="Times New Roman" w:cs="Times New Roman" w:eastAsia="Times New Roman" w:hint="default"/>
        </w:rPr>
        <w:t>3</w:t>
      </w:r>
      <w:r>
        <w:rPr/>
        <w:t>）金融负债分类和计量</w:t>
      </w:r>
    </w:p>
    <w:p>
      <w:pPr>
        <w:spacing w:line="240" w:lineRule="auto" w:before="1"/>
        <w:rPr>
          <w:rFonts w:ascii="宋体" w:hAnsi="宋体" w:cs="宋体" w:eastAsia="宋体" w:hint="default"/>
          <w:sz w:val="30"/>
          <w:szCs w:val="30"/>
        </w:rPr>
      </w:pPr>
    </w:p>
    <w:p>
      <w:pPr>
        <w:pStyle w:val="BodyText"/>
        <w:spacing w:line="408" w:lineRule="auto"/>
        <w:ind w:right="1129"/>
        <w:jc w:val="both"/>
      </w:pPr>
      <w:r>
        <w:rPr>
          <w:spacing w:val="-1"/>
        </w:rPr>
        <w:t>本集团的金融负债于初始确认时分类为：以公允价值计量且其变动计入当期损益的金融负债、其他金融负</w:t>
      </w:r>
      <w:r>
        <w:rPr>
          <w:spacing w:val="-81"/>
        </w:rPr>
        <w:t> </w:t>
      </w:r>
      <w:r>
        <w:rPr>
          <w:spacing w:val="-81"/>
        </w:rPr>
      </w:r>
      <w:r>
        <w:rPr>
          <w:spacing w:val="-1"/>
        </w:rPr>
        <w:t>债。对于未划分为以公允价值计量且其变动计入当期损益的金融负债的，相关交易费用计入其初始确认金</w:t>
      </w:r>
      <w:r>
        <w:rPr>
          <w:spacing w:val="-81"/>
        </w:rPr>
        <w:t> </w:t>
      </w:r>
      <w:r>
        <w:rPr>
          <w:spacing w:val="-81"/>
        </w:rPr>
      </w:r>
      <w:r>
        <w:rPr/>
        <w:t>额。</w:t>
      </w:r>
    </w:p>
    <w:p>
      <w:pPr>
        <w:spacing w:line="240" w:lineRule="auto" w:before="0"/>
        <w:rPr>
          <w:rFonts w:ascii="宋体" w:hAnsi="宋体" w:cs="宋体" w:eastAsia="宋体" w:hint="default"/>
          <w:sz w:val="20"/>
          <w:szCs w:val="20"/>
        </w:rPr>
      </w:pPr>
    </w:p>
    <w:p>
      <w:pPr>
        <w:pStyle w:val="BodyText"/>
        <w:spacing w:line="240" w:lineRule="auto"/>
        <w:ind w:right="0"/>
        <w:jc w:val="both"/>
      </w:pPr>
      <w:r>
        <w:rPr/>
        <w:t>以公允价值计量且其变动计入当期损益的金融负债</w:t>
      </w:r>
    </w:p>
    <w:p>
      <w:pPr>
        <w:spacing w:line="240" w:lineRule="auto" w:before="0"/>
        <w:rPr>
          <w:rFonts w:ascii="宋体" w:hAnsi="宋体" w:cs="宋体" w:eastAsia="宋体" w:hint="default"/>
          <w:sz w:val="20"/>
          <w:szCs w:val="20"/>
        </w:rPr>
      </w:pPr>
    </w:p>
    <w:p>
      <w:pPr>
        <w:pStyle w:val="BodyText"/>
        <w:spacing w:line="408" w:lineRule="auto" w:before="147"/>
        <w:ind w:right="1131"/>
        <w:jc w:val="both"/>
      </w:pPr>
      <w:r>
        <w:rPr>
          <w:spacing w:val="-1"/>
        </w:rPr>
        <w:t>以公允价值计量且其变动计入当期损益的金融负债，包括交易性金融负债和初始确认时指定为以公允价值</w:t>
      </w:r>
      <w:r>
        <w:rPr>
          <w:spacing w:val="-81"/>
        </w:rPr>
        <w:t> </w:t>
      </w:r>
      <w:r>
        <w:rPr>
          <w:spacing w:val="-81"/>
        </w:rPr>
      </w:r>
      <w:r>
        <w:rPr>
          <w:spacing w:val="-1"/>
        </w:rPr>
        <w:t>计量且其变动计入当期损益的金融负债。对于此类金融负债，按照公允价值进行后续计量，公允价值变动</w:t>
      </w:r>
      <w:r>
        <w:rPr>
          <w:spacing w:val="-83"/>
        </w:rPr>
        <w:t> </w:t>
      </w:r>
      <w:r>
        <w:rPr>
          <w:spacing w:val="-83"/>
        </w:rPr>
      </w:r>
      <w:r>
        <w:rPr/>
        <w:t>形成的利得或损失以及与该等金融负债相关的股利和利息支出计入当期损益。</w:t>
      </w:r>
    </w:p>
    <w:p>
      <w:pPr>
        <w:spacing w:line="240" w:lineRule="auto" w:before="0"/>
        <w:rPr>
          <w:rFonts w:ascii="宋体" w:hAnsi="宋体" w:cs="宋体" w:eastAsia="宋体" w:hint="default"/>
          <w:sz w:val="20"/>
          <w:szCs w:val="20"/>
        </w:rPr>
      </w:pPr>
    </w:p>
    <w:p>
      <w:pPr>
        <w:pStyle w:val="BodyText"/>
        <w:spacing w:line="597" w:lineRule="auto"/>
        <w:ind w:right="1131"/>
        <w:jc w:val="both"/>
      </w:pPr>
      <w:r>
        <w:rPr/>
        <w:t>其他金融负债 </w:t>
      </w:r>
      <w:r>
        <w:rPr>
          <w:spacing w:val="-1"/>
        </w:rPr>
        <w:t>与在活跃市场中没有报价、公允价值不能可靠计量的权益工具挂钩并须通过交付该权益工具结算的衍生金</w:t>
      </w:r>
    </w:p>
    <w:p>
      <w:pPr>
        <w:spacing w:after="0" w:line="597" w:lineRule="auto"/>
        <w:jc w:val="both"/>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融负债，按照成本进行后续计量。其他金融负债采用实际利率法，按摊余成本进行后续计量，终止确认或</w:t>
      </w:r>
      <w:r>
        <w:rPr>
          <w:spacing w:val="-82"/>
        </w:rPr>
        <w:t> </w:t>
      </w:r>
      <w:r>
        <w:rPr>
          <w:spacing w:val="-82"/>
        </w:rPr>
      </w:r>
      <w:r>
        <w:rPr/>
        <w:t>摊销产生的利得或损失计入当期损益。</w:t>
      </w:r>
    </w:p>
    <w:p>
      <w:pPr>
        <w:spacing w:line="240" w:lineRule="auto" w:before="0"/>
        <w:rPr>
          <w:rFonts w:ascii="宋体" w:hAnsi="宋体" w:cs="宋体" w:eastAsia="宋体" w:hint="default"/>
          <w:sz w:val="20"/>
          <w:szCs w:val="20"/>
        </w:rPr>
      </w:pPr>
    </w:p>
    <w:p>
      <w:pPr>
        <w:pStyle w:val="BodyText"/>
        <w:spacing w:line="597" w:lineRule="auto"/>
        <w:ind w:left="153" w:right="6761"/>
        <w:jc w:val="left"/>
      </w:pPr>
      <w:r>
        <w:rPr/>
        <w:t>金融负债与权益工具的区分 金融负债，是指符合下列条件之一的负债：</w:t>
      </w:r>
    </w:p>
    <w:p>
      <w:pPr>
        <w:pStyle w:val="BodyText"/>
        <w:spacing w:line="240" w:lineRule="auto" w:before="96"/>
        <w:ind w:left="153" w:right="0"/>
        <w:jc w:val="both"/>
      </w:pPr>
      <w:r>
        <w:rPr/>
        <w:t>①向其他方交付现金或其他金融资产的合同义务。</w:t>
      </w:r>
    </w:p>
    <w:p>
      <w:pPr>
        <w:spacing w:line="240" w:lineRule="auto" w:before="0"/>
        <w:rPr>
          <w:rFonts w:ascii="宋体" w:hAnsi="宋体" w:cs="宋体" w:eastAsia="宋体" w:hint="default"/>
          <w:sz w:val="20"/>
          <w:szCs w:val="20"/>
        </w:rPr>
      </w:pPr>
    </w:p>
    <w:p>
      <w:pPr>
        <w:pStyle w:val="BodyText"/>
        <w:spacing w:line="240" w:lineRule="auto" w:before="147"/>
        <w:ind w:left="153" w:right="0"/>
        <w:jc w:val="both"/>
      </w:pPr>
      <w:r>
        <w:rPr/>
        <w:t>②在潜在不利条件下，与其他方交换金融资产或金融负债的合同义务。</w:t>
      </w:r>
    </w:p>
    <w:p>
      <w:pPr>
        <w:spacing w:line="240" w:lineRule="auto" w:before="0"/>
        <w:rPr>
          <w:rFonts w:ascii="宋体" w:hAnsi="宋体" w:cs="宋体" w:eastAsia="宋体" w:hint="default"/>
          <w:sz w:val="20"/>
          <w:szCs w:val="20"/>
        </w:rPr>
      </w:pPr>
    </w:p>
    <w:p>
      <w:pPr>
        <w:pStyle w:val="BodyText"/>
        <w:spacing w:line="408" w:lineRule="auto" w:before="147"/>
        <w:ind w:left="153" w:right="1130"/>
        <w:jc w:val="both"/>
      </w:pPr>
      <w:r>
        <w:rPr>
          <w:spacing w:val="-1"/>
        </w:rPr>
        <w:t>③将来须用或可用企业自身权益工具进行结算的非衍生工具合同，且企业根据该合同将交付可变数量的自</w:t>
      </w:r>
      <w:r>
        <w:rPr>
          <w:spacing w:val="-81"/>
        </w:rPr>
        <w:t> </w:t>
      </w:r>
      <w:r>
        <w:rPr>
          <w:spacing w:val="-81"/>
        </w:rPr>
      </w:r>
      <w:r>
        <w:rPr/>
        <w:t>身权益工具。</w:t>
      </w:r>
    </w:p>
    <w:p>
      <w:pPr>
        <w:spacing w:line="240" w:lineRule="auto" w:before="0"/>
        <w:rPr>
          <w:rFonts w:ascii="宋体" w:hAnsi="宋体" w:cs="宋体" w:eastAsia="宋体" w:hint="default"/>
          <w:sz w:val="20"/>
          <w:szCs w:val="20"/>
        </w:rPr>
      </w:pPr>
    </w:p>
    <w:p>
      <w:pPr>
        <w:pStyle w:val="BodyText"/>
        <w:spacing w:line="408" w:lineRule="auto"/>
        <w:ind w:left="153" w:right="1130"/>
        <w:jc w:val="both"/>
      </w:pPr>
      <w:r>
        <w:rPr>
          <w:spacing w:val="-1"/>
        </w:rPr>
        <w:t>④将来须用或可用企业自身权益工具进行结算的衍生工具合同，但以固定数量的自身权益工具交换固定金</w:t>
      </w:r>
      <w:r>
        <w:rPr>
          <w:spacing w:val="-81"/>
        </w:rPr>
        <w:t> </w:t>
      </w:r>
      <w:r>
        <w:rPr>
          <w:spacing w:val="-81"/>
        </w:rPr>
      </w:r>
      <w:r>
        <w:rPr/>
        <w:t>额的现金或其他金融资产的衍生工具合同除外。</w:t>
      </w:r>
    </w:p>
    <w:p>
      <w:pPr>
        <w:spacing w:line="240" w:lineRule="auto" w:before="0"/>
        <w:rPr>
          <w:rFonts w:ascii="宋体" w:hAnsi="宋体" w:cs="宋体" w:eastAsia="宋体" w:hint="default"/>
          <w:sz w:val="20"/>
          <w:szCs w:val="20"/>
        </w:rPr>
      </w:pPr>
    </w:p>
    <w:p>
      <w:pPr>
        <w:pStyle w:val="BodyText"/>
        <w:spacing w:line="240" w:lineRule="auto"/>
        <w:ind w:left="153" w:right="0"/>
        <w:jc w:val="both"/>
      </w:pPr>
      <w:r>
        <w:rPr/>
        <w:t>权益工具，是指能证明拥有某个企业在扣除所有负债后的资产中剩余权益的合同。</w:t>
      </w:r>
    </w:p>
    <w:p>
      <w:pPr>
        <w:spacing w:line="240" w:lineRule="auto" w:before="0"/>
        <w:rPr>
          <w:rFonts w:ascii="宋体" w:hAnsi="宋体" w:cs="宋体" w:eastAsia="宋体" w:hint="default"/>
          <w:sz w:val="20"/>
          <w:szCs w:val="20"/>
        </w:rPr>
      </w:pPr>
    </w:p>
    <w:p>
      <w:pPr>
        <w:pStyle w:val="BodyText"/>
        <w:spacing w:line="408" w:lineRule="auto" w:before="147"/>
        <w:ind w:left="153" w:right="1130"/>
        <w:jc w:val="both"/>
      </w:pPr>
      <w:r>
        <w:rPr>
          <w:spacing w:val="-1"/>
        </w:rPr>
        <w:t>如果本集团不能无条件地避免以交付现金或其他金融资产来履行一项合同义务，则该合同义务符合金融负</w:t>
      </w:r>
      <w:r>
        <w:rPr>
          <w:spacing w:val="-81"/>
        </w:rPr>
        <w:t> </w:t>
      </w:r>
      <w:r>
        <w:rPr>
          <w:spacing w:val="-81"/>
        </w:rPr>
      </w:r>
      <w:r>
        <w:rPr/>
        <w:t>债的定义。</w:t>
      </w:r>
    </w:p>
    <w:p>
      <w:pPr>
        <w:spacing w:line="240" w:lineRule="auto" w:before="0"/>
        <w:rPr>
          <w:rFonts w:ascii="宋体" w:hAnsi="宋体" w:cs="宋体" w:eastAsia="宋体" w:hint="default"/>
          <w:sz w:val="20"/>
          <w:szCs w:val="20"/>
        </w:rPr>
      </w:pPr>
    </w:p>
    <w:p>
      <w:pPr>
        <w:pStyle w:val="BodyText"/>
        <w:spacing w:line="408" w:lineRule="auto"/>
        <w:ind w:left="153" w:right="1108"/>
        <w:jc w:val="both"/>
      </w:pPr>
      <w:r>
        <w:rPr>
          <w:spacing w:val="-1"/>
        </w:rPr>
        <w:t>如果一项金融工具须用或可用本集团自身权益工具进行结算，需要考虑用于结算该工具的本集团自身权益</w:t>
      </w:r>
      <w:r>
        <w:rPr>
          <w:spacing w:val="-81"/>
        </w:rPr>
        <w:t> </w:t>
      </w:r>
      <w:r>
        <w:rPr>
          <w:spacing w:val="-81"/>
        </w:rPr>
      </w:r>
      <w:r>
        <w:rPr>
          <w:spacing w:val="-1"/>
        </w:rPr>
        <w:t>工具，是作为现金或其他金融资产的替代品，还是为了使该工具持有方享有在发行方扣除所有负债后的资</w:t>
      </w:r>
      <w:r>
        <w:rPr>
          <w:spacing w:val="-81"/>
        </w:rPr>
        <w:t> </w:t>
      </w:r>
      <w:r>
        <w:rPr>
          <w:spacing w:val="-81"/>
        </w:rPr>
      </w:r>
      <w:r>
        <w:rPr/>
        <w:t>产中的剩余权益。如果是前者，该工具是本集团的金融负债；如果是后者，该工具是本集团的权益工具。</w:t>
      </w:r>
    </w:p>
    <w:p>
      <w:pPr>
        <w:spacing w:line="240" w:lineRule="auto" w:before="0"/>
        <w:rPr>
          <w:rFonts w:ascii="宋体" w:hAnsi="宋体" w:cs="宋体" w:eastAsia="宋体" w:hint="default"/>
          <w:sz w:val="20"/>
          <w:szCs w:val="20"/>
        </w:rPr>
      </w:pPr>
    </w:p>
    <w:p>
      <w:pPr>
        <w:pStyle w:val="BodyText"/>
        <w:spacing w:line="564" w:lineRule="auto"/>
        <w:ind w:right="5500" w:hanging="1"/>
        <w:jc w:val="left"/>
      </w:pPr>
      <w:r>
        <w:rPr/>
        <w:t>（</w:t>
      </w:r>
      <w:r>
        <w:rPr>
          <w:rFonts w:ascii="Times New Roman" w:hAnsi="Times New Roman" w:cs="Times New Roman" w:eastAsia="Times New Roman" w:hint="default"/>
        </w:rPr>
        <w:t>4</w:t>
      </w:r>
      <w:r>
        <w:rPr/>
        <w:t>）金融工具的公允价值 金融资产和金融负债的公允价值确定方法见附注五、</w:t>
      </w:r>
      <w:r>
        <w:rPr>
          <w:rFonts w:ascii="Times New Roman" w:hAnsi="Times New Roman" w:cs="Times New Roman" w:eastAsia="Times New Roman" w:hint="default"/>
        </w:rPr>
        <w:t>32</w:t>
      </w:r>
      <w:r>
        <w:rPr/>
        <w:t>。</w:t>
      </w:r>
    </w:p>
    <w:p>
      <w:pPr>
        <w:pStyle w:val="BodyText"/>
        <w:spacing w:line="240" w:lineRule="auto" w:before="79"/>
        <w:ind w:right="0"/>
        <w:jc w:val="both"/>
      </w:pPr>
      <w:r>
        <w:rPr/>
        <w:t>（</w:t>
      </w:r>
      <w:r>
        <w:rPr>
          <w:rFonts w:ascii="Times New Roman" w:hAnsi="Times New Roman" w:cs="Times New Roman" w:eastAsia="Times New Roman" w:hint="default"/>
        </w:rPr>
        <w:t>5</w:t>
      </w:r>
      <w:r>
        <w:rPr/>
        <w:t>）金融资产减值</w:t>
      </w:r>
    </w:p>
    <w:p>
      <w:pPr>
        <w:spacing w:line="240" w:lineRule="auto" w:before="1"/>
        <w:rPr>
          <w:rFonts w:ascii="宋体" w:hAnsi="宋体" w:cs="宋体" w:eastAsia="宋体" w:hint="default"/>
          <w:sz w:val="30"/>
          <w:szCs w:val="30"/>
        </w:rPr>
      </w:pPr>
    </w:p>
    <w:p>
      <w:pPr>
        <w:pStyle w:val="BodyText"/>
        <w:spacing w:line="408" w:lineRule="auto"/>
        <w:ind w:right="1129"/>
        <w:jc w:val="both"/>
      </w:pPr>
      <w:r>
        <w:rPr>
          <w:spacing w:val="-1"/>
        </w:rPr>
        <w:t>除了以公允价值计量且其变动计入当期损益的金融资产外，本集团于资产负债表日对其他金融资产的账面</w:t>
      </w:r>
      <w:r>
        <w:rPr>
          <w:spacing w:val="-81"/>
        </w:rPr>
        <w:t> </w:t>
      </w:r>
      <w:r>
        <w:rPr>
          <w:spacing w:val="-81"/>
        </w:rPr>
      </w:r>
      <w:r>
        <w:rPr>
          <w:spacing w:val="-1"/>
        </w:rPr>
        <w:t>价值进行检查，有客观证据表明该金融资产发生减值的，计提减值准备。表明金融资产发生减值的客观证</w:t>
      </w:r>
      <w:r>
        <w:rPr>
          <w:spacing w:val="-83"/>
        </w:rPr>
        <w:t> </w:t>
      </w:r>
      <w:r>
        <w:rPr>
          <w:spacing w:val="-83"/>
        </w:rPr>
      </w:r>
      <w:r>
        <w:rPr>
          <w:spacing w:val="-1"/>
        </w:rPr>
        <w:t>据，是指金融资产初始确认后实际发生的、对该金融资产的预计未来现金流量有影响，且企业能够对该影</w:t>
      </w:r>
      <w:r>
        <w:rPr>
          <w:spacing w:val="-83"/>
        </w:rPr>
        <w:t> </w:t>
      </w:r>
      <w:r>
        <w:rPr>
          <w:spacing w:val="-83"/>
        </w:rPr>
      </w:r>
      <w:r>
        <w:rPr/>
        <w:t>响进行可靠计量的事项。</w:t>
      </w:r>
    </w:p>
    <w:p>
      <w:pPr>
        <w:spacing w:after="0" w:line="408" w:lineRule="auto"/>
        <w:jc w:val="both"/>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both"/>
      </w:pPr>
      <w:r>
        <w:rPr/>
        <w:t>金融资产发生减值的客观证据，包括下列可观察到的情形：</w:t>
      </w:r>
    </w:p>
    <w:p>
      <w:pPr>
        <w:spacing w:line="240" w:lineRule="auto" w:before="0"/>
        <w:rPr>
          <w:rFonts w:ascii="宋体" w:hAnsi="宋体" w:cs="宋体" w:eastAsia="宋体" w:hint="default"/>
          <w:sz w:val="20"/>
          <w:szCs w:val="20"/>
        </w:rPr>
      </w:pPr>
    </w:p>
    <w:p>
      <w:pPr>
        <w:pStyle w:val="BodyText"/>
        <w:spacing w:line="240" w:lineRule="auto" w:before="147"/>
        <w:ind w:left="153" w:right="0"/>
        <w:jc w:val="both"/>
      </w:pPr>
      <w:r>
        <w:rPr/>
        <w:t>①发行方或债务人发生严重财务困难；</w:t>
      </w:r>
    </w:p>
    <w:p>
      <w:pPr>
        <w:spacing w:line="240" w:lineRule="auto" w:before="0"/>
        <w:rPr>
          <w:rFonts w:ascii="宋体" w:hAnsi="宋体" w:cs="宋体" w:eastAsia="宋体" w:hint="default"/>
          <w:sz w:val="20"/>
          <w:szCs w:val="20"/>
        </w:rPr>
      </w:pPr>
    </w:p>
    <w:p>
      <w:pPr>
        <w:pStyle w:val="BodyText"/>
        <w:spacing w:line="240" w:lineRule="auto" w:before="147"/>
        <w:ind w:left="153" w:right="0"/>
        <w:jc w:val="both"/>
      </w:pPr>
      <w:r>
        <w:rPr/>
        <w:t>②债务人违反了合同条款，如偿付利息或本金发生违约或逾期等；</w:t>
      </w:r>
    </w:p>
    <w:p>
      <w:pPr>
        <w:spacing w:line="240" w:lineRule="auto" w:before="0"/>
        <w:rPr>
          <w:rFonts w:ascii="宋体" w:hAnsi="宋体" w:cs="宋体" w:eastAsia="宋体" w:hint="default"/>
          <w:sz w:val="20"/>
          <w:szCs w:val="20"/>
        </w:rPr>
      </w:pPr>
    </w:p>
    <w:p>
      <w:pPr>
        <w:pStyle w:val="BodyText"/>
        <w:spacing w:line="240" w:lineRule="auto" w:before="147"/>
        <w:ind w:left="153" w:right="0"/>
        <w:jc w:val="both"/>
      </w:pPr>
      <w:r>
        <w:rPr/>
        <w:t>③本集团出于经济或法律等方面因素的考虑，对发生财务困难的债务人作出让步；</w:t>
      </w:r>
    </w:p>
    <w:p>
      <w:pPr>
        <w:spacing w:line="240" w:lineRule="auto" w:before="0"/>
        <w:rPr>
          <w:rFonts w:ascii="宋体" w:hAnsi="宋体" w:cs="宋体" w:eastAsia="宋体" w:hint="default"/>
          <w:sz w:val="20"/>
          <w:szCs w:val="20"/>
        </w:rPr>
      </w:pPr>
    </w:p>
    <w:p>
      <w:pPr>
        <w:pStyle w:val="BodyText"/>
        <w:spacing w:line="240" w:lineRule="auto" w:before="147"/>
        <w:ind w:left="153" w:right="0"/>
        <w:jc w:val="both"/>
      </w:pPr>
      <w:r>
        <w:rPr/>
        <w:t>④债务人很可能倒闭或者进行其他财务重组；</w:t>
      </w:r>
    </w:p>
    <w:p>
      <w:pPr>
        <w:spacing w:line="240" w:lineRule="auto" w:before="0"/>
        <w:rPr>
          <w:rFonts w:ascii="宋体" w:hAnsi="宋体" w:cs="宋体" w:eastAsia="宋体" w:hint="default"/>
          <w:sz w:val="20"/>
          <w:szCs w:val="20"/>
        </w:rPr>
      </w:pPr>
    </w:p>
    <w:p>
      <w:pPr>
        <w:pStyle w:val="BodyText"/>
        <w:spacing w:line="240" w:lineRule="auto" w:before="147"/>
        <w:ind w:left="153" w:right="0"/>
        <w:jc w:val="both"/>
      </w:pPr>
      <w:r>
        <w:rPr/>
        <w:t>⑤因发行方发生重大财务困难，导致金融资产无法在活跃市场继续交易；</w:t>
      </w:r>
    </w:p>
    <w:p>
      <w:pPr>
        <w:spacing w:line="240" w:lineRule="auto" w:before="0"/>
        <w:rPr>
          <w:rFonts w:ascii="宋体" w:hAnsi="宋体" w:cs="宋体" w:eastAsia="宋体" w:hint="default"/>
          <w:sz w:val="20"/>
          <w:szCs w:val="20"/>
        </w:rPr>
      </w:pPr>
    </w:p>
    <w:p>
      <w:pPr>
        <w:pStyle w:val="BodyText"/>
        <w:spacing w:line="408" w:lineRule="auto" w:before="147"/>
        <w:ind w:left="153" w:right="0"/>
        <w:jc w:val="left"/>
      </w:pPr>
      <w:r>
        <w:rPr>
          <w:spacing w:val="-1"/>
        </w:rPr>
        <w:t>⑥无法辨认一组金融资产中的某项资产的现金流量是否已经减少，但根据公开的数据对其进行总体评价后</w:t>
      </w:r>
      <w:r>
        <w:rPr>
          <w:spacing w:val="-81"/>
        </w:rPr>
        <w:t> </w:t>
      </w:r>
      <w:r>
        <w:rPr>
          <w:spacing w:val="-81"/>
        </w:rPr>
      </w:r>
      <w:r>
        <w:rPr/>
        <w:t>发现，该组金融资产自初始确认以来的预计未来现金流量确已减少且可计量，包括：</w:t>
      </w:r>
    </w:p>
    <w:p>
      <w:pPr>
        <w:spacing w:line="240" w:lineRule="auto" w:before="0"/>
        <w:rPr>
          <w:rFonts w:ascii="宋体" w:hAnsi="宋体" w:cs="宋体" w:eastAsia="宋体" w:hint="default"/>
          <w:sz w:val="20"/>
          <w:szCs w:val="20"/>
        </w:rPr>
      </w:pPr>
    </w:p>
    <w:p>
      <w:pPr>
        <w:pStyle w:val="BodyText"/>
        <w:spacing w:line="240" w:lineRule="auto"/>
        <w:ind w:left="574"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该组金融资产的债务人支付能力逐步恶化；</w:t>
      </w:r>
    </w:p>
    <w:p>
      <w:pPr>
        <w:spacing w:line="240" w:lineRule="auto" w:before="1"/>
        <w:rPr>
          <w:rFonts w:ascii="宋体" w:hAnsi="宋体" w:cs="宋体" w:eastAsia="宋体" w:hint="default"/>
          <w:sz w:val="30"/>
          <w:szCs w:val="30"/>
        </w:rPr>
      </w:pPr>
    </w:p>
    <w:p>
      <w:pPr>
        <w:pStyle w:val="BodyText"/>
        <w:spacing w:line="240" w:lineRule="auto"/>
        <w:ind w:left="574"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债务人所在国家或地区经济出现了可能导致该组金融资产无法支付的状况；</w:t>
      </w:r>
    </w:p>
    <w:p>
      <w:pPr>
        <w:spacing w:line="240" w:lineRule="auto" w:before="1"/>
        <w:rPr>
          <w:rFonts w:ascii="宋体" w:hAnsi="宋体" w:cs="宋体" w:eastAsia="宋体" w:hint="default"/>
          <w:sz w:val="30"/>
          <w:szCs w:val="30"/>
        </w:rPr>
      </w:pPr>
    </w:p>
    <w:p>
      <w:pPr>
        <w:pStyle w:val="BodyText"/>
        <w:spacing w:line="408" w:lineRule="auto"/>
        <w:ind w:left="153" w:right="1117"/>
        <w:jc w:val="left"/>
      </w:pPr>
      <w:r>
        <w:rPr>
          <w:spacing w:val="-1"/>
        </w:rPr>
        <w:t>⑦债务人经营所处的技术、市场、经济或法律环境等发生重大不利变化，使权益工具投资人可能无法收回</w:t>
      </w:r>
      <w:r>
        <w:rPr>
          <w:spacing w:val="-83"/>
        </w:rPr>
        <w:t> </w:t>
      </w:r>
      <w:r>
        <w:rPr>
          <w:spacing w:val="-83"/>
        </w:rPr>
      </w:r>
      <w:r>
        <w:rPr/>
        <w:t>投资成本；</w:t>
      </w:r>
    </w:p>
    <w:p>
      <w:pPr>
        <w:spacing w:line="240" w:lineRule="auto" w:before="0"/>
        <w:rPr>
          <w:rFonts w:ascii="宋体" w:hAnsi="宋体" w:cs="宋体" w:eastAsia="宋体" w:hint="default"/>
          <w:sz w:val="20"/>
          <w:szCs w:val="20"/>
        </w:rPr>
      </w:pPr>
    </w:p>
    <w:p>
      <w:pPr>
        <w:pStyle w:val="BodyText"/>
        <w:spacing w:line="408" w:lineRule="auto"/>
        <w:ind w:left="153" w:right="0"/>
        <w:jc w:val="left"/>
      </w:pPr>
      <w:r>
        <w:rPr>
          <w:spacing w:val="-1"/>
        </w:rPr>
        <w:t>⑧权益工具投资的公允价值发生严重或非暂时性下跌，如权益工具投资于资产负债表日的公允价值低于其</w:t>
      </w:r>
      <w:r>
        <w:rPr>
          <w:spacing w:val="-81"/>
        </w:rPr>
        <w:t> </w:t>
      </w:r>
      <w:r>
        <w:rPr>
          <w:spacing w:val="-81"/>
        </w:rPr>
      </w:r>
      <w:r>
        <w:rPr/>
        <w:t>初始投资成本超过</w:t>
      </w:r>
      <w:r>
        <w:rPr>
          <w:rFonts w:ascii="Times New Roman" w:hAnsi="Times New Roman" w:cs="Times New Roman" w:eastAsia="Times New Roman" w:hint="default"/>
        </w:rPr>
        <w:t>50%</w:t>
      </w:r>
      <w:r>
        <w:rPr/>
        <w:t>（含</w:t>
      </w:r>
      <w:r>
        <w:rPr>
          <w:rFonts w:ascii="Times New Roman" w:hAnsi="Times New Roman" w:cs="Times New Roman" w:eastAsia="Times New Roman" w:hint="default"/>
        </w:rPr>
        <w:t>50%</w:t>
      </w:r>
      <w:r>
        <w:rPr/>
        <w:t>）或低于其初始投资成本持续时间超过</w:t>
      </w:r>
      <w:r>
        <w:rPr>
          <w:rFonts w:ascii="Times New Roman" w:hAnsi="Times New Roman" w:cs="Times New Roman" w:eastAsia="Times New Roman" w:hint="default"/>
        </w:rPr>
        <w:t>12</w:t>
      </w:r>
      <w:r>
        <w:rPr/>
        <w:t>个月（含</w:t>
      </w:r>
      <w:r>
        <w:rPr>
          <w:rFonts w:ascii="Times New Roman" w:hAnsi="Times New Roman" w:cs="Times New Roman" w:eastAsia="Times New Roman" w:hint="default"/>
        </w:rPr>
        <w:t>12</w:t>
      </w:r>
      <w:r>
        <w:rPr/>
        <w:t>个月）。</w:t>
      </w:r>
    </w:p>
    <w:p>
      <w:pPr>
        <w:spacing w:line="240" w:lineRule="auto" w:before="8"/>
        <w:rPr>
          <w:rFonts w:ascii="宋体" w:hAnsi="宋体" w:cs="宋体" w:eastAsia="宋体" w:hint="default"/>
          <w:sz w:val="17"/>
          <w:szCs w:val="17"/>
        </w:rPr>
      </w:pPr>
    </w:p>
    <w:p>
      <w:pPr>
        <w:pStyle w:val="BodyText"/>
        <w:spacing w:line="386" w:lineRule="auto"/>
        <w:ind w:left="153" w:right="0"/>
        <w:jc w:val="left"/>
      </w:pPr>
      <w:r>
        <w:rPr>
          <w:spacing w:val="-1"/>
        </w:rPr>
        <w:t>低于其初始投资成本持续时间超过</w:t>
      </w:r>
      <w:r>
        <w:rPr>
          <w:rFonts w:ascii="Times New Roman" w:hAnsi="Times New Roman" w:cs="Times New Roman" w:eastAsia="Times New Roman" w:hint="default"/>
          <w:spacing w:val="-1"/>
        </w:rPr>
        <w:t>12</w:t>
      </w:r>
      <w:r>
        <w:rPr>
          <w:spacing w:val="-1"/>
        </w:rPr>
        <w:t>个月（含</w:t>
      </w:r>
      <w:r>
        <w:rPr>
          <w:rFonts w:ascii="Times New Roman" w:hAnsi="Times New Roman" w:cs="Times New Roman" w:eastAsia="Times New Roman" w:hint="default"/>
          <w:spacing w:val="-1"/>
        </w:rPr>
        <w:t>12</w:t>
      </w:r>
      <w:r>
        <w:rPr>
          <w:spacing w:val="-1"/>
        </w:rPr>
        <w:t>个月）是指，权益工具投资公允价值月度均值连续</w:t>
      </w:r>
      <w:r>
        <w:rPr>
          <w:rFonts w:ascii="Times New Roman" w:hAnsi="Times New Roman" w:cs="Times New Roman" w:eastAsia="Times New Roman" w:hint="default"/>
          <w:spacing w:val="-1"/>
        </w:rPr>
        <w:t>12</w:t>
      </w:r>
      <w:r>
        <w:rPr>
          <w:spacing w:val="-1"/>
        </w:rPr>
        <w:t>个月</w:t>
      </w:r>
      <w:r>
        <w:rPr>
          <w:spacing w:val="-83"/>
        </w:rPr>
        <w:t> </w:t>
      </w:r>
      <w:r>
        <w:rPr/>
        <w:t>均低于其初始投资成本。</w:t>
      </w:r>
    </w:p>
    <w:p>
      <w:pPr>
        <w:spacing w:line="240" w:lineRule="auto" w:before="6"/>
        <w:rPr>
          <w:rFonts w:ascii="宋体" w:hAnsi="宋体" w:cs="宋体" w:eastAsia="宋体" w:hint="default"/>
          <w:sz w:val="21"/>
          <w:szCs w:val="21"/>
        </w:rPr>
      </w:pPr>
    </w:p>
    <w:p>
      <w:pPr>
        <w:pStyle w:val="BodyText"/>
        <w:spacing w:line="597" w:lineRule="auto"/>
        <w:ind w:left="153" w:right="6761"/>
        <w:jc w:val="left"/>
      </w:pPr>
      <w:r>
        <w:rPr/>
        <w:t>⑨其他表明金融资产发生减值的客观证据。 以摊余成本计量的金融资产</w:t>
      </w:r>
    </w:p>
    <w:p>
      <w:pPr>
        <w:pStyle w:val="BodyText"/>
        <w:spacing w:line="408" w:lineRule="auto" w:before="96"/>
        <w:ind w:left="153" w:right="1131"/>
        <w:jc w:val="both"/>
      </w:pPr>
      <w:r>
        <w:rPr>
          <w:spacing w:val="-1"/>
        </w:rPr>
        <w:t>如果有客观证据表明该金融资产发生减值，则将该金融资产的账面价值减记至预计未来现金流量（不包括</w:t>
      </w:r>
      <w:r>
        <w:rPr>
          <w:spacing w:val="-81"/>
        </w:rPr>
        <w:t> </w:t>
      </w:r>
      <w:r>
        <w:rPr>
          <w:spacing w:val="-81"/>
        </w:rPr>
      </w:r>
      <w:r>
        <w:rPr>
          <w:spacing w:val="-1"/>
        </w:rPr>
        <w:t>尚未发生的未来信用损失）现值，减记金额计入当期损益。预计未来现金流量现值，按照该金融资产原实</w:t>
      </w:r>
      <w:r>
        <w:rPr>
          <w:spacing w:val="-82"/>
        </w:rPr>
        <w:t> </w:t>
      </w:r>
      <w:r>
        <w:rPr>
          <w:spacing w:val="-82"/>
        </w:rPr>
      </w:r>
      <w:r>
        <w:rPr/>
        <w:t>际利率折现确定，并考虑相关担保物的价值。</w:t>
      </w:r>
    </w:p>
    <w:p>
      <w:pPr>
        <w:spacing w:line="240" w:lineRule="auto" w:before="0"/>
        <w:rPr>
          <w:rFonts w:ascii="宋体" w:hAnsi="宋体" w:cs="宋体" w:eastAsia="宋体" w:hint="default"/>
          <w:sz w:val="20"/>
          <w:szCs w:val="20"/>
        </w:rPr>
      </w:pPr>
    </w:p>
    <w:p>
      <w:pPr>
        <w:pStyle w:val="BodyText"/>
        <w:spacing w:line="408" w:lineRule="auto"/>
        <w:ind w:left="153" w:right="0"/>
        <w:jc w:val="left"/>
      </w:pPr>
      <w:r>
        <w:rPr>
          <w:spacing w:val="-1"/>
        </w:rPr>
        <w:t>对单项金额重大的金融资产单独进行减值测试，如有客观证据表明其已发生减值，确认减值损失，计入当</w:t>
      </w:r>
      <w:r>
        <w:rPr>
          <w:spacing w:val="-83"/>
        </w:rPr>
        <w:t> </w:t>
      </w:r>
      <w:r>
        <w:rPr>
          <w:spacing w:val="-83"/>
        </w:rPr>
      </w:r>
      <w:r>
        <w:rPr>
          <w:spacing w:val="-1"/>
        </w:rPr>
        <w:t>期损益。对单项金额不重大的金融资产，单独进行减值测试或包括在具有类似信用风险特征的金融资产组</w:t>
      </w:r>
    </w:p>
    <w:p>
      <w:pPr>
        <w:spacing w:after="0" w:line="408"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153" w:right="1131"/>
        <w:jc w:val="both"/>
      </w:pPr>
      <w:r>
        <w:rPr>
          <w:spacing w:val="-1"/>
        </w:rPr>
        <w:t>合中进行减值测试。单独测试未发生减值的金融资产（包括单项金额重大和不重大的金融资产），包括在</w:t>
      </w:r>
      <w:r>
        <w:rPr>
          <w:spacing w:val="-82"/>
        </w:rPr>
        <w:t> </w:t>
      </w:r>
      <w:r>
        <w:rPr>
          <w:spacing w:val="-82"/>
        </w:rPr>
      </w:r>
      <w:r>
        <w:rPr>
          <w:spacing w:val="-1"/>
        </w:rPr>
        <w:t>具有类似信用风险特征的金融资产组合中再进行减值测试。已单项确认减值损失的金融资产，不包括在具</w:t>
      </w:r>
      <w:r>
        <w:rPr>
          <w:spacing w:val="-81"/>
        </w:rPr>
        <w:t> </w:t>
      </w:r>
      <w:r>
        <w:rPr>
          <w:spacing w:val="-81"/>
        </w:rPr>
      </w:r>
      <w:r>
        <w:rPr/>
        <w:t>有类似信用风险特征的金融资产组合中进行减值测试。</w:t>
      </w:r>
    </w:p>
    <w:p>
      <w:pPr>
        <w:spacing w:line="240" w:lineRule="auto" w:before="0"/>
        <w:rPr>
          <w:rFonts w:ascii="宋体" w:hAnsi="宋体" w:cs="宋体" w:eastAsia="宋体" w:hint="default"/>
          <w:sz w:val="20"/>
          <w:szCs w:val="20"/>
        </w:rPr>
      </w:pPr>
    </w:p>
    <w:p>
      <w:pPr>
        <w:pStyle w:val="BodyText"/>
        <w:spacing w:line="408" w:lineRule="auto"/>
        <w:ind w:left="153" w:right="1131"/>
        <w:jc w:val="both"/>
      </w:pPr>
      <w:r>
        <w:rPr>
          <w:spacing w:val="-1"/>
        </w:rPr>
        <w:t>本集团对以摊余成本计量的金融资产确认减值损失后，如有客观证据表明该金融资产价值已恢复，且客观</w:t>
      </w:r>
      <w:r>
        <w:rPr>
          <w:spacing w:val="-81"/>
        </w:rPr>
        <w:t> </w:t>
      </w:r>
      <w:r>
        <w:rPr>
          <w:spacing w:val="-81"/>
        </w:rPr>
      </w:r>
      <w:r>
        <w:rPr>
          <w:spacing w:val="-1"/>
        </w:rPr>
        <w:t>上与确认该损失后发生的事项有关，原确认的减值损失予以转回，计入当期损益。但是，该转回后的账面</w:t>
      </w:r>
      <w:r>
        <w:rPr>
          <w:spacing w:val="-82"/>
        </w:rPr>
        <w:t> </w:t>
      </w:r>
      <w:r>
        <w:rPr>
          <w:spacing w:val="-82"/>
        </w:rPr>
      </w:r>
      <w:r>
        <w:rPr/>
        <w:t>价值不超过假定不计提减值准备情况下该金融资产在转回日的摊余成本。</w:t>
      </w:r>
    </w:p>
    <w:p>
      <w:pPr>
        <w:spacing w:line="240" w:lineRule="auto" w:before="0"/>
        <w:rPr>
          <w:rFonts w:ascii="宋体" w:hAnsi="宋体" w:cs="宋体" w:eastAsia="宋体" w:hint="default"/>
          <w:sz w:val="20"/>
          <w:szCs w:val="20"/>
        </w:rPr>
      </w:pPr>
    </w:p>
    <w:p>
      <w:pPr>
        <w:pStyle w:val="BodyText"/>
        <w:spacing w:line="240" w:lineRule="auto"/>
        <w:ind w:left="153" w:right="0"/>
        <w:jc w:val="both"/>
      </w:pPr>
      <w:r>
        <w:rPr/>
        <w:t>可供出售金融资产</w:t>
      </w:r>
    </w:p>
    <w:p>
      <w:pPr>
        <w:spacing w:line="240" w:lineRule="auto" w:before="0"/>
        <w:rPr>
          <w:rFonts w:ascii="宋体" w:hAnsi="宋体" w:cs="宋体" w:eastAsia="宋体" w:hint="default"/>
          <w:sz w:val="20"/>
          <w:szCs w:val="20"/>
        </w:rPr>
      </w:pPr>
    </w:p>
    <w:p>
      <w:pPr>
        <w:pStyle w:val="BodyText"/>
        <w:spacing w:line="408" w:lineRule="auto" w:before="147"/>
        <w:ind w:left="153" w:right="1108"/>
        <w:jc w:val="both"/>
      </w:pPr>
      <w:r>
        <w:rPr/>
        <w:t>如果有客观证据表明该金融资产发生减值，原直接计入其他综合收益的因公允价值下降形成的累计损失， </w:t>
      </w:r>
      <w:r>
        <w:rPr>
          <w:spacing w:val="-1"/>
        </w:rPr>
        <w:t>予以转出，计入当期损益。该转出的累计损失，为可供出售金融资产的初始取得成本扣除已收回本金和已</w:t>
      </w:r>
      <w:r>
        <w:rPr>
          <w:spacing w:val="-83"/>
        </w:rPr>
        <w:t> </w:t>
      </w:r>
      <w:r>
        <w:rPr>
          <w:spacing w:val="-83"/>
        </w:rPr>
      </w:r>
      <w:r>
        <w:rPr/>
        <w:t>摊销金额、当前公允价值和原已计入损益的减值损失后的余额。</w:t>
      </w:r>
    </w:p>
    <w:p>
      <w:pPr>
        <w:spacing w:line="240" w:lineRule="auto" w:before="0"/>
        <w:rPr>
          <w:rFonts w:ascii="宋体" w:hAnsi="宋体" w:cs="宋体" w:eastAsia="宋体" w:hint="default"/>
          <w:sz w:val="20"/>
          <w:szCs w:val="20"/>
        </w:rPr>
      </w:pPr>
    </w:p>
    <w:p>
      <w:pPr>
        <w:pStyle w:val="BodyText"/>
        <w:spacing w:line="408" w:lineRule="auto"/>
        <w:ind w:left="153" w:right="1130"/>
        <w:jc w:val="both"/>
      </w:pPr>
      <w:r>
        <w:rPr>
          <w:spacing w:val="-1"/>
        </w:rPr>
        <w:t>对于已确认减值损失的可供出售债务工具，在随后的会计期间公允价值已上升且客观上与确认原减值损失</w:t>
      </w:r>
      <w:r>
        <w:rPr>
          <w:spacing w:val="-81"/>
        </w:rPr>
        <w:t> </w:t>
      </w:r>
      <w:r>
        <w:rPr>
          <w:spacing w:val="-81"/>
        </w:rPr>
      </w:r>
      <w:r>
        <w:rPr>
          <w:spacing w:val="-1"/>
        </w:rPr>
        <w:t>确认后发生的事项有关的，原确认的减值损失予以转回，计入当期损益。可供出售权益工具投资发生的减</w:t>
      </w:r>
      <w:r>
        <w:rPr>
          <w:spacing w:val="-83"/>
        </w:rPr>
        <w:t> </w:t>
      </w:r>
      <w:r>
        <w:rPr>
          <w:spacing w:val="-83"/>
        </w:rPr>
      </w:r>
      <w:r>
        <w:rPr/>
        <w:t>值损失，不通过损益转回。</w:t>
      </w:r>
    </w:p>
    <w:p>
      <w:pPr>
        <w:spacing w:line="240" w:lineRule="auto" w:before="0"/>
        <w:rPr>
          <w:rFonts w:ascii="宋体" w:hAnsi="宋体" w:cs="宋体" w:eastAsia="宋体" w:hint="default"/>
          <w:sz w:val="20"/>
          <w:szCs w:val="20"/>
        </w:rPr>
      </w:pPr>
    </w:p>
    <w:p>
      <w:pPr>
        <w:pStyle w:val="BodyText"/>
        <w:spacing w:line="240" w:lineRule="auto"/>
        <w:ind w:left="153" w:right="0"/>
        <w:jc w:val="both"/>
      </w:pPr>
      <w:r>
        <w:rPr/>
        <w:t>以成本计量的金融资产</w:t>
      </w:r>
    </w:p>
    <w:p>
      <w:pPr>
        <w:spacing w:line="240" w:lineRule="auto" w:before="0"/>
        <w:rPr>
          <w:rFonts w:ascii="宋体" w:hAnsi="宋体" w:cs="宋体" w:eastAsia="宋体" w:hint="default"/>
          <w:sz w:val="20"/>
          <w:szCs w:val="20"/>
        </w:rPr>
      </w:pPr>
    </w:p>
    <w:p>
      <w:pPr>
        <w:pStyle w:val="BodyText"/>
        <w:spacing w:line="408" w:lineRule="auto" w:before="147"/>
        <w:ind w:left="153" w:right="1131"/>
        <w:jc w:val="both"/>
      </w:pPr>
      <w:r>
        <w:rPr>
          <w:spacing w:val="-1"/>
        </w:rPr>
        <w:t>在活跃市场中没有报价且其公允价值不能可靠计量的权益工具投资，或与该权益工具挂钩并须通过交付该</w:t>
      </w:r>
      <w:r>
        <w:rPr>
          <w:spacing w:val="-81"/>
        </w:rPr>
        <w:t> </w:t>
      </w:r>
      <w:r>
        <w:rPr>
          <w:spacing w:val="-81"/>
        </w:rPr>
      </w:r>
      <w:r>
        <w:rPr>
          <w:spacing w:val="-1"/>
        </w:rPr>
        <w:t>权益工具结算的衍生金融资产发生减值时，将该金融资产的账面价值，与按照类似金融资产当时市场收益</w:t>
      </w:r>
      <w:r>
        <w:rPr>
          <w:spacing w:val="-81"/>
        </w:rPr>
        <w:t> </w:t>
      </w:r>
      <w:r>
        <w:rPr>
          <w:spacing w:val="-81"/>
        </w:rPr>
      </w:r>
      <w:r>
        <w:rPr>
          <w:spacing w:val="-1"/>
        </w:rPr>
        <w:t>率对未来现金流量折现确定的现值之间的差额，确认为减值损失，计入当期损益。发生的减值损失一经确</w:t>
      </w:r>
      <w:r>
        <w:rPr>
          <w:spacing w:val="-83"/>
        </w:rPr>
        <w:t> </w:t>
      </w:r>
      <w:r>
        <w:rPr>
          <w:spacing w:val="-83"/>
        </w:rPr>
      </w:r>
      <w:r>
        <w:rPr/>
        <w:t>认，不得转回。</w:t>
      </w:r>
    </w:p>
    <w:p>
      <w:pPr>
        <w:spacing w:line="240" w:lineRule="auto" w:before="0"/>
        <w:rPr>
          <w:rFonts w:ascii="宋体" w:hAnsi="宋体" w:cs="宋体" w:eastAsia="宋体" w:hint="default"/>
          <w:sz w:val="20"/>
          <w:szCs w:val="20"/>
        </w:rPr>
      </w:pPr>
    </w:p>
    <w:p>
      <w:pPr>
        <w:pStyle w:val="BodyText"/>
        <w:spacing w:line="564" w:lineRule="auto"/>
        <w:ind w:right="1129" w:hanging="1"/>
        <w:jc w:val="both"/>
      </w:pPr>
      <w:r>
        <w:rPr/>
        <w:t>（</w:t>
      </w:r>
      <w:r>
        <w:rPr>
          <w:rFonts w:ascii="Times New Roman" w:hAnsi="Times New Roman" w:cs="Times New Roman" w:eastAsia="Times New Roman" w:hint="default"/>
        </w:rPr>
        <w:t>6</w:t>
      </w:r>
      <w:r>
        <w:rPr/>
        <w:t>）金融资产转移 金融资产转移，是指将金融资产让与或交付给该金融资产发行方以外的另一方（转入方）。</w:t>
      </w:r>
    </w:p>
    <w:p>
      <w:pPr>
        <w:pStyle w:val="BodyText"/>
        <w:spacing w:line="408" w:lineRule="auto" w:before="125"/>
        <w:ind w:right="1129"/>
        <w:jc w:val="both"/>
      </w:pPr>
      <w:r>
        <w:rPr>
          <w:spacing w:val="-1"/>
        </w:rPr>
        <w:t>本集团已将金融资产所有权上几乎所有的风险和报酬转移给转入方的，终止确认该金融资产；保留了金融</w:t>
      </w:r>
      <w:r>
        <w:rPr>
          <w:spacing w:val="-81"/>
        </w:rPr>
        <w:t> </w:t>
      </w:r>
      <w:r>
        <w:rPr>
          <w:spacing w:val="-81"/>
        </w:rPr>
      </w:r>
      <w:r>
        <w:rPr/>
        <w:t>资产所有权上几乎所有的风险和报酬的，不终止确认该金融资产。</w:t>
      </w:r>
    </w:p>
    <w:p>
      <w:pPr>
        <w:spacing w:line="240" w:lineRule="auto" w:before="0"/>
        <w:rPr>
          <w:rFonts w:ascii="宋体" w:hAnsi="宋体" w:cs="宋体" w:eastAsia="宋体" w:hint="default"/>
          <w:sz w:val="20"/>
          <w:szCs w:val="20"/>
        </w:rPr>
      </w:pPr>
    </w:p>
    <w:p>
      <w:pPr>
        <w:pStyle w:val="BodyText"/>
        <w:spacing w:line="408" w:lineRule="auto"/>
        <w:ind w:right="1129"/>
        <w:jc w:val="both"/>
      </w:pPr>
      <w:r>
        <w:rPr>
          <w:spacing w:val="-1"/>
        </w:rPr>
        <w:t>本集团既没有转移也没有保留金融资产所有权上几乎所有的风险和报酬的，分别下列情况处理：放弃了对</w:t>
      </w:r>
      <w:r>
        <w:rPr>
          <w:spacing w:val="-81"/>
        </w:rPr>
        <w:t> </w:t>
      </w:r>
      <w:r>
        <w:rPr>
          <w:spacing w:val="-81"/>
        </w:rPr>
      </w:r>
      <w:r>
        <w:rPr>
          <w:spacing w:val="-1"/>
        </w:rPr>
        <w:t>该金融资产控制的，终止确认该金融资产并确认产生的资产和负债；未放弃对该金融资产控制的，按照其</w:t>
      </w:r>
      <w:r>
        <w:rPr>
          <w:spacing w:val="-83"/>
        </w:rPr>
        <w:t> </w:t>
      </w:r>
      <w:r>
        <w:rPr>
          <w:spacing w:val="-83"/>
        </w:rPr>
      </w:r>
      <w:r>
        <w:rPr/>
        <w:t>继续涉入所转移金融资产的程度确认有关金融资产，并相应确认有关负债。</w:t>
      </w:r>
    </w:p>
    <w:p>
      <w:pPr>
        <w:spacing w:after="0" w:line="408" w:lineRule="auto"/>
        <w:jc w:val="both"/>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both"/>
      </w:pPr>
      <w:r>
        <w:rPr/>
        <w:t>（</w:t>
      </w:r>
      <w:r>
        <w:rPr>
          <w:rFonts w:ascii="Times New Roman" w:hAnsi="Times New Roman" w:cs="Times New Roman" w:eastAsia="Times New Roman" w:hint="default"/>
        </w:rPr>
        <w:t>7</w:t>
      </w:r>
      <w:r>
        <w:rPr/>
        <w:t>）金融资产和金融负债的抵销</w:t>
      </w:r>
    </w:p>
    <w:p>
      <w:pPr>
        <w:spacing w:line="240" w:lineRule="auto" w:before="1"/>
        <w:rPr>
          <w:rFonts w:ascii="宋体" w:hAnsi="宋体" w:cs="宋体" w:eastAsia="宋体" w:hint="default"/>
          <w:sz w:val="30"/>
          <w:szCs w:val="30"/>
        </w:rPr>
      </w:pPr>
    </w:p>
    <w:p>
      <w:pPr>
        <w:pStyle w:val="BodyText"/>
        <w:spacing w:line="408" w:lineRule="auto"/>
        <w:ind w:right="1129"/>
        <w:jc w:val="both"/>
      </w:pPr>
      <w:r>
        <w:rPr>
          <w:spacing w:val="-1"/>
        </w:rPr>
        <w:t>当本集团具有抵销已确认金融资产和金融负债的法定权利，且目前可执行该种法定权利，同时本集团计划</w:t>
      </w:r>
      <w:r>
        <w:rPr>
          <w:spacing w:val="-81"/>
        </w:rPr>
        <w:t> </w:t>
      </w:r>
      <w:r>
        <w:rPr>
          <w:spacing w:val="-81"/>
        </w:rPr>
      </w:r>
      <w:r>
        <w:rPr>
          <w:spacing w:val="-1"/>
        </w:rPr>
        <w:t>以净额结算或同时变现该金融资产和清偿该金融负债时，金融资产和金融负债以相互抵销后的金额在资产</w:t>
      </w:r>
      <w:r>
        <w:rPr>
          <w:spacing w:val="-81"/>
        </w:rPr>
        <w:t> </w:t>
      </w:r>
      <w:r>
        <w:rPr>
          <w:spacing w:val="-81"/>
        </w:rPr>
      </w:r>
      <w:r>
        <w:rPr/>
        <w:t>负债表内列示。除此以外，金融资产和金融负债在资产负债表内分别列示，不予相互抵销。</w:t>
      </w:r>
    </w:p>
    <w:p>
      <w:pPr>
        <w:spacing w:line="240" w:lineRule="auto" w:before="6"/>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11</w:t>
      </w:r>
      <w:r>
        <w:rPr/>
        <w:t>、应收票据及应收账款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28"/>
        <w:gridCol w:w="5740"/>
      </w:tblGrid>
      <w:tr>
        <w:trPr>
          <w:trHeight w:val="1026" w:hRule="exact"/>
        </w:trPr>
        <w:tc>
          <w:tcPr>
            <w:tcW w:w="38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将单个欠款单位金额在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万元（含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 </w:t>
            </w:r>
            <w:r>
              <w:rPr>
                <w:rFonts w:ascii="宋体" w:hAnsi="宋体" w:cs="宋体" w:eastAsia="宋体" w:hint="default"/>
                <w:spacing w:val="-3"/>
                <w:sz w:val="18"/>
                <w:szCs w:val="18"/>
              </w:rPr>
              <w:t>万元）以上的应收账款或单个欠</w:t>
            </w:r>
          </w:p>
          <w:p>
            <w:pPr>
              <w:pStyle w:val="TableParagraph"/>
              <w:spacing w:line="302"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款单位金额在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pacing w:val="-7"/>
                <w:sz w:val="18"/>
                <w:szCs w:val="18"/>
              </w:rPr>
              <w:t>万元（含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pacing w:val="-3"/>
                <w:sz w:val="18"/>
                <w:szCs w:val="18"/>
              </w:rPr>
              <w:t>万元）以上的其他应收款，确定为单项金</w:t>
            </w:r>
            <w:r>
              <w:rPr>
                <w:rFonts w:ascii="宋体" w:hAnsi="宋体" w:cs="宋体" w:eastAsia="宋体" w:hint="default"/>
                <w:sz w:val="18"/>
                <w:szCs w:val="18"/>
              </w:rPr>
              <w:t> 额重大的应收款项。</w:t>
            </w:r>
          </w:p>
        </w:tc>
      </w:tr>
      <w:tr>
        <w:trPr>
          <w:trHeight w:val="714" w:hRule="exact"/>
        </w:trPr>
        <w:tc>
          <w:tcPr>
            <w:tcW w:w="38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7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3"/>
                <w:sz w:val="18"/>
                <w:szCs w:val="18"/>
              </w:rPr>
              <w:t>对于单项金额重大的应收款项单独进行减值测试，有客观证据表明发生了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减值，根据其未来现金流量现值低于其账面价值的差额计提坏账准备。</w:t>
            </w:r>
          </w:p>
        </w:tc>
      </w:tr>
    </w:tbl>
    <w:p>
      <w:pPr>
        <w:spacing w:line="240" w:lineRule="auto" w:before="1"/>
        <w:rPr>
          <w:rFonts w:ascii="宋体" w:hAnsi="宋体" w:cs="宋体" w:eastAsia="宋体" w:hint="default"/>
          <w:b/>
          <w:bCs/>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28"/>
        <w:gridCol w:w="5740"/>
      </w:tblGrid>
      <w:tr>
        <w:trPr>
          <w:trHeight w:val="401" w:hRule="exact"/>
        </w:trPr>
        <w:tc>
          <w:tcPr>
            <w:tcW w:w="38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销售货款及其他</w:t>
            </w:r>
          </w:p>
        </w:tc>
        <w:tc>
          <w:tcPr>
            <w:tcW w:w="5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3"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信用风险较小</w:t>
            </w:r>
          </w:p>
        </w:tc>
        <w:tc>
          <w:tcPr>
            <w:tcW w:w="5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54" w:right="75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员工暂借款及其他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应收退税款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合并范围内应收款项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19"/>
        <w:gridCol w:w="6449"/>
      </w:tblGrid>
      <w:tr>
        <w:trPr>
          <w:trHeight w:val="714"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单个欠款单位金额在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万</w:t>
            </w:r>
            <w:r>
              <w:rPr>
                <w:rFonts w:ascii="宋体" w:hAnsi="宋体" w:cs="宋体" w:eastAsia="宋体" w:hint="default"/>
                <w:sz w:val="18"/>
                <w:szCs w:val="18"/>
              </w:rPr>
              <w:t>元以下</w:t>
            </w:r>
            <w:r>
              <w:rPr>
                <w:rFonts w:ascii="宋体" w:hAnsi="宋体" w:cs="宋体" w:eastAsia="宋体" w:hint="default"/>
                <w:spacing w:val="-87"/>
                <w:sz w:val="18"/>
                <w:szCs w:val="18"/>
              </w:rPr>
              <w:t>，</w:t>
            </w:r>
            <w:r>
              <w:rPr>
                <w:rFonts w:ascii="宋体" w:hAnsi="宋体" w:cs="宋体" w:eastAsia="宋体" w:hint="default"/>
                <w:sz w:val="18"/>
                <w:szCs w:val="18"/>
              </w:rPr>
              <w:t>但有</w:t>
            </w:r>
            <w:r>
              <w:rPr>
                <w:rFonts w:ascii="宋体" w:hAnsi="宋体" w:cs="宋体" w:eastAsia="宋体" w:hint="default"/>
                <w:spacing w:val="-2"/>
                <w:sz w:val="18"/>
                <w:szCs w:val="18"/>
              </w:rPr>
              <w:t>证</w:t>
            </w:r>
            <w:r>
              <w:rPr>
                <w:rFonts w:ascii="宋体" w:hAnsi="宋体" w:cs="宋体" w:eastAsia="宋体" w:hint="default"/>
                <w:sz w:val="18"/>
                <w:szCs w:val="18"/>
              </w:rPr>
              <w:t>据表明难以收回的应收账款或单个欠款</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单位金额在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万元以下，但有证据表明难以收回的其他应收款</w:t>
            </w:r>
          </w:p>
        </w:tc>
      </w:tr>
      <w:tr>
        <w:trPr>
          <w:trHeight w:val="403"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根据其未来现金流量现值低于其账面价值的差额计提坏账准备</w:t>
            </w:r>
          </w:p>
        </w:tc>
      </w:tr>
    </w:tbl>
    <w:p>
      <w:pPr>
        <w:spacing w:line="240" w:lineRule="auto" w:before="1"/>
        <w:rPr>
          <w:rFonts w:ascii="宋体" w:hAnsi="宋体" w:cs="宋体" w:eastAsia="宋体" w:hint="default"/>
          <w:b/>
          <w:bCs/>
          <w:sz w:val="19"/>
          <w:szCs w:val="19"/>
        </w:rPr>
      </w:pPr>
    </w:p>
    <w:p>
      <w:pPr>
        <w:pStyle w:val="Heading3"/>
        <w:spacing w:line="240" w:lineRule="auto" w:before="35"/>
        <w:ind w:right="0"/>
        <w:jc w:val="both"/>
        <w:rPr>
          <w:b w:val="0"/>
          <w:bCs w:val="0"/>
        </w:rPr>
      </w:pP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spacing w:line="357" w:lineRule="auto" w:before="0"/>
        <w:ind w:left="153" w:right="7691"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8"/>
        <w:ind w:left="153" w:right="0" w:firstLine="0"/>
        <w:jc w:val="both"/>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line="240" w:lineRule="auto" w:before="12"/>
        <w:rPr>
          <w:rFonts w:ascii="宋体" w:hAnsi="宋体" w:cs="宋体" w:eastAsia="宋体" w:hint="default"/>
          <w:sz w:val="12"/>
          <w:szCs w:val="12"/>
        </w:rPr>
      </w:pPr>
    </w:p>
    <w:p>
      <w:pPr>
        <w:pStyle w:val="BodyText"/>
        <w:spacing w:line="564" w:lineRule="auto"/>
        <w:ind w:right="2980" w:hanging="1"/>
        <w:jc w:val="left"/>
      </w:pPr>
      <w:r>
        <w:rPr/>
        <w:t>（</w:t>
      </w:r>
      <w:r>
        <w:rPr>
          <w:rFonts w:ascii="Times New Roman" w:hAnsi="Times New Roman" w:cs="Times New Roman" w:eastAsia="Times New Roman" w:hint="default"/>
        </w:rPr>
        <w:t>1</w:t>
      </w:r>
      <w:r>
        <w:rPr/>
        <w:t>）存货的分类 本集团存货分为原材料、在产品、低值易耗品、库存商品、发出商品、工程施工等。</w:t>
      </w:r>
    </w:p>
    <w:p>
      <w:pPr>
        <w:pStyle w:val="BodyText"/>
        <w:spacing w:line="564" w:lineRule="auto" w:before="125"/>
        <w:ind w:right="1021" w:hanging="1"/>
        <w:jc w:val="left"/>
      </w:pPr>
      <w:r>
        <w:rPr/>
        <w:t>（</w:t>
      </w:r>
      <w:r>
        <w:rPr>
          <w:rFonts w:ascii="Times New Roman" w:hAnsi="Times New Roman" w:cs="Times New Roman" w:eastAsia="Times New Roman" w:hint="default"/>
        </w:rPr>
        <w:t>2</w:t>
      </w:r>
      <w:r>
        <w:rPr/>
        <w:t>）发出存货的计价方法 </w:t>
      </w:r>
      <w:r>
        <w:rPr>
          <w:spacing w:val="-3"/>
        </w:rPr>
        <w:t>本集团存货取得时按实际成本计价。原材料、在产品、库存商品、发出商品等发出时采用加权平均法计价。</w:t>
      </w:r>
    </w:p>
    <w:p>
      <w:pPr>
        <w:pStyle w:val="BodyText"/>
        <w:spacing w:line="408" w:lineRule="auto" w:before="125"/>
        <w:ind w:right="1021"/>
        <w:jc w:val="left"/>
      </w:pPr>
      <w:r>
        <w:rPr>
          <w:spacing w:val="-3"/>
        </w:rPr>
        <w:t>工程施工成本的具体核算方法为：按照单个项目为核算对象，分别归集所发生的实际施工成本，包括材料、</w:t>
      </w:r>
      <w:r>
        <w:rPr>
          <w:spacing w:val="-90"/>
        </w:rPr>
        <w:t> </w:t>
      </w:r>
      <w:r>
        <w:rPr>
          <w:spacing w:val="-90"/>
        </w:rPr>
      </w:r>
      <w:r>
        <w:rPr/>
        <w:t>人工、其他费用等。资产负债表日，按照完工进度确认收入的同时结转该项目相应进度的项目成本。</w:t>
      </w:r>
    </w:p>
    <w:p>
      <w:pPr>
        <w:spacing w:line="240" w:lineRule="auto" w:before="0"/>
        <w:rPr>
          <w:rFonts w:ascii="宋体" w:hAnsi="宋体" w:cs="宋体" w:eastAsia="宋体" w:hint="default"/>
          <w:sz w:val="20"/>
          <w:szCs w:val="20"/>
        </w:rPr>
      </w:pPr>
    </w:p>
    <w:p>
      <w:pPr>
        <w:pStyle w:val="BodyText"/>
        <w:spacing w:line="240" w:lineRule="auto"/>
        <w:ind w:right="0"/>
        <w:jc w:val="both"/>
      </w:pPr>
      <w:r>
        <w:rPr/>
        <w:t>（</w:t>
      </w:r>
      <w:r>
        <w:rPr>
          <w:rFonts w:ascii="Times New Roman" w:hAnsi="Times New Roman" w:cs="Times New Roman" w:eastAsia="Times New Roman" w:hint="default"/>
        </w:rPr>
        <w:t>3</w:t>
      </w:r>
      <w:r>
        <w:rPr/>
        <w:t>）存货可变现净值的确定依据及存货跌价准备的计提方法</w:t>
      </w:r>
    </w:p>
    <w:p>
      <w:pPr>
        <w:spacing w:line="240" w:lineRule="auto" w:before="1"/>
        <w:rPr>
          <w:rFonts w:ascii="宋体" w:hAnsi="宋体" w:cs="宋体" w:eastAsia="宋体" w:hint="default"/>
          <w:sz w:val="30"/>
          <w:szCs w:val="30"/>
        </w:rPr>
      </w:pPr>
    </w:p>
    <w:p>
      <w:pPr>
        <w:pStyle w:val="BodyText"/>
        <w:spacing w:line="408" w:lineRule="auto"/>
        <w:ind w:right="1129"/>
        <w:jc w:val="both"/>
      </w:pPr>
      <w:r>
        <w:rPr>
          <w:spacing w:val="-1"/>
        </w:rPr>
        <w:t>存货可变现净值是按存货的估计售价减去至完工时估计将要发生的成本、估计的销售费用以及相关税费后</w:t>
      </w:r>
      <w:r>
        <w:rPr>
          <w:spacing w:val="-81"/>
        </w:rPr>
        <w:t> </w:t>
      </w:r>
      <w:r>
        <w:rPr>
          <w:spacing w:val="-81"/>
        </w:rPr>
      </w:r>
      <w:r>
        <w:rPr>
          <w:spacing w:val="-1"/>
        </w:rPr>
        <w:t>的金额。在确定存货的可变现净值时，以取得的确凿证据为基础，同时考虑持有存货的目的以及资产负债</w:t>
      </w:r>
      <w:r>
        <w:rPr>
          <w:spacing w:val="-83"/>
        </w:rPr>
        <w:t> </w:t>
      </w:r>
      <w:r>
        <w:rPr>
          <w:spacing w:val="-83"/>
        </w:rPr>
      </w:r>
      <w:r>
        <w:rPr/>
        <w:t>表日后事项的影响。</w:t>
      </w:r>
    </w:p>
    <w:p>
      <w:pPr>
        <w:spacing w:line="240" w:lineRule="auto" w:before="0"/>
        <w:rPr>
          <w:rFonts w:ascii="宋体" w:hAnsi="宋体" w:cs="宋体" w:eastAsia="宋体" w:hint="default"/>
          <w:sz w:val="20"/>
          <w:szCs w:val="20"/>
        </w:rPr>
      </w:pPr>
    </w:p>
    <w:p>
      <w:pPr>
        <w:pStyle w:val="BodyText"/>
        <w:spacing w:line="408" w:lineRule="auto"/>
        <w:ind w:right="1129"/>
        <w:jc w:val="both"/>
      </w:pPr>
      <w:r>
        <w:rPr>
          <w:spacing w:val="-1"/>
        </w:rPr>
        <w:t>资产负债表日，存货成本高于其可变现净值的，计提存货跌价准备。本集团通常按照单个存货项目计提存</w:t>
      </w:r>
      <w:r>
        <w:rPr>
          <w:spacing w:val="-83"/>
        </w:rPr>
        <w:t> </w:t>
      </w:r>
      <w:r>
        <w:rPr>
          <w:spacing w:val="-83"/>
        </w:rPr>
      </w:r>
      <w:r>
        <w:rPr>
          <w:spacing w:val="-1"/>
        </w:rPr>
        <w:t>货跌价准备，资产负债表日，以前减记存货价值的影响因素已经消失的，存货跌价准备在原已计提的金额</w:t>
      </w:r>
      <w:r>
        <w:rPr>
          <w:spacing w:val="-83"/>
        </w:rPr>
        <w:t> </w:t>
      </w:r>
      <w:r>
        <w:rPr>
          <w:spacing w:val="-83"/>
        </w:rPr>
      </w:r>
      <w:r>
        <w:rPr/>
        <w:t>内转回。</w:t>
      </w:r>
    </w:p>
    <w:p>
      <w:pPr>
        <w:spacing w:line="240" w:lineRule="auto" w:before="0"/>
        <w:rPr>
          <w:rFonts w:ascii="宋体" w:hAnsi="宋体" w:cs="宋体" w:eastAsia="宋体" w:hint="default"/>
          <w:sz w:val="20"/>
          <w:szCs w:val="20"/>
        </w:rPr>
      </w:pPr>
    </w:p>
    <w:p>
      <w:pPr>
        <w:pStyle w:val="BodyText"/>
        <w:spacing w:line="564" w:lineRule="auto"/>
        <w:ind w:right="7180" w:hanging="1"/>
        <w:jc w:val="left"/>
      </w:pPr>
      <w:r>
        <w:rPr/>
        <w:t>（</w:t>
      </w:r>
      <w:r>
        <w:rPr>
          <w:rFonts w:ascii="Times New Roman" w:hAnsi="Times New Roman" w:cs="Times New Roman" w:eastAsia="Times New Roman" w:hint="default"/>
        </w:rPr>
        <w:t>4</w:t>
      </w:r>
      <w:r>
        <w:rPr/>
        <w:t>）存货的盘存制度 本集团存货盘存制度采用永续盘存制。</w:t>
      </w:r>
    </w:p>
    <w:p>
      <w:pPr>
        <w:spacing w:after="0" w:line="564"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583" w:lineRule="auto" w:before="174"/>
        <w:ind w:right="6340" w:hanging="1"/>
        <w:jc w:val="left"/>
        <w:rPr>
          <w:rFonts w:ascii="宋体" w:hAnsi="宋体" w:cs="宋体" w:eastAsia="宋体" w:hint="default"/>
        </w:rPr>
      </w:pPr>
      <w:r>
        <w:rPr/>
        <w:t>（</w:t>
      </w:r>
      <w:r>
        <w:rPr>
          <w:rFonts w:ascii="Times New Roman" w:hAnsi="Times New Roman" w:cs="Times New Roman" w:eastAsia="Times New Roman" w:hint="default"/>
        </w:rPr>
        <w:t>5</w:t>
      </w:r>
      <w:r>
        <w:rPr/>
        <w:t>）低值易耗品的摊销方法 本集团低值易耗品领用时采用一次转销法摊销。 </w:t>
      </w:r>
      <w:r>
        <w:rPr>
          <w:rFonts w:ascii="Times New Roman" w:hAnsi="Times New Roman" w:cs="Times New Roman" w:eastAsia="Times New Roman" w:hint="default"/>
          <w:b/>
          <w:bCs/>
        </w:rPr>
        <w:t>13</w:t>
      </w:r>
      <w:r>
        <w:rPr>
          <w:rFonts w:ascii="宋体" w:hAnsi="宋体" w:cs="宋体" w:eastAsia="宋体" w:hint="default"/>
          <w:b/>
          <w:bCs/>
        </w:rPr>
        <w:t>、持有待售资产</w:t>
      </w:r>
      <w:r>
        <w:rPr>
          <w:rFonts w:ascii="宋体" w:hAnsi="宋体" w:cs="宋体" w:eastAsia="宋体" w:hint="default"/>
        </w:rPr>
      </w:r>
    </w:p>
    <w:p>
      <w:pPr>
        <w:spacing w:before="14"/>
        <w:ind w:left="154"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left="153" w:right="1131"/>
        <w:jc w:val="both"/>
      </w:pPr>
      <w:r>
        <w:rPr>
          <w:spacing w:val="-1"/>
        </w:rPr>
        <w:t>长期股权投资包括对子公司、合营企业和联营企业的权益性投资。本集团能够对被投资单位施加重大影响</w:t>
      </w:r>
      <w:r>
        <w:rPr>
          <w:spacing w:val="-81"/>
        </w:rPr>
        <w:t> </w:t>
      </w:r>
      <w:r>
        <w:rPr>
          <w:spacing w:val="-81"/>
        </w:rPr>
      </w:r>
      <w:r>
        <w:rPr/>
        <w:t>的，为本集团的联营企业。</w:t>
      </w:r>
    </w:p>
    <w:p>
      <w:pPr>
        <w:spacing w:line="240" w:lineRule="auto" w:before="0"/>
        <w:rPr>
          <w:rFonts w:ascii="宋体" w:hAnsi="宋体" w:cs="宋体" w:eastAsia="宋体" w:hint="default"/>
          <w:sz w:val="20"/>
          <w:szCs w:val="20"/>
        </w:rPr>
      </w:pPr>
    </w:p>
    <w:p>
      <w:pPr>
        <w:pStyle w:val="BodyText"/>
        <w:spacing w:line="240" w:lineRule="auto"/>
        <w:ind w:left="153" w:right="0"/>
        <w:jc w:val="both"/>
      </w:pPr>
      <w:r>
        <w:rPr/>
        <w:t>（</w:t>
      </w:r>
      <w:r>
        <w:rPr>
          <w:rFonts w:ascii="Times New Roman" w:hAnsi="Times New Roman" w:cs="Times New Roman" w:eastAsia="Times New Roman" w:hint="default"/>
        </w:rPr>
        <w:t>1</w:t>
      </w:r>
      <w:r>
        <w:rPr/>
        <w:t>）初始投资成本确定</w:t>
      </w:r>
    </w:p>
    <w:p>
      <w:pPr>
        <w:spacing w:line="240" w:lineRule="auto" w:before="1"/>
        <w:rPr>
          <w:rFonts w:ascii="宋体" w:hAnsi="宋体" w:cs="宋体" w:eastAsia="宋体" w:hint="default"/>
          <w:sz w:val="30"/>
          <w:szCs w:val="30"/>
        </w:rPr>
      </w:pPr>
    </w:p>
    <w:p>
      <w:pPr>
        <w:pStyle w:val="BodyText"/>
        <w:spacing w:line="408" w:lineRule="auto"/>
        <w:ind w:right="1129"/>
        <w:jc w:val="both"/>
      </w:pPr>
      <w:r>
        <w:rPr>
          <w:spacing w:val="-1"/>
        </w:rPr>
        <w:t>形成企业合并的长期股权投资：同一控制下企业合并取得的长期股权投资，在合并日按照取得被合并方所</w:t>
      </w:r>
      <w:r>
        <w:rPr>
          <w:spacing w:val="-81"/>
        </w:rPr>
        <w:t> </w:t>
      </w:r>
      <w:r>
        <w:rPr>
          <w:spacing w:val="-81"/>
        </w:rPr>
      </w:r>
      <w:r>
        <w:rPr>
          <w:spacing w:val="-1"/>
        </w:rPr>
        <w:t>有者权益在最终控制方合并财务报表中的账面价值份额作为投资成本；非同一控制下企业合并取得的长期</w:t>
      </w:r>
      <w:r>
        <w:rPr>
          <w:spacing w:val="-81"/>
        </w:rPr>
        <w:t> </w:t>
      </w:r>
      <w:r>
        <w:rPr>
          <w:spacing w:val="-81"/>
        </w:rPr>
      </w:r>
      <w:r>
        <w:rPr/>
        <w:t>股权投资，按照合并成本作为长期股权投资的投资成本。</w:t>
      </w:r>
    </w:p>
    <w:p>
      <w:pPr>
        <w:spacing w:line="240" w:lineRule="auto" w:before="0"/>
        <w:rPr>
          <w:rFonts w:ascii="宋体" w:hAnsi="宋体" w:cs="宋体" w:eastAsia="宋体" w:hint="default"/>
          <w:sz w:val="20"/>
          <w:szCs w:val="20"/>
        </w:rPr>
      </w:pPr>
    </w:p>
    <w:p>
      <w:pPr>
        <w:pStyle w:val="BodyText"/>
        <w:spacing w:line="408" w:lineRule="auto"/>
        <w:ind w:right="1129"/>
        <w:jc w:val="both"/>
      </w:pPr>
      <w:r>
        <w:rPr>
          <w:spacing w:val="-1"/>
        </w:rPr>
        <w:t>对于其他方式取得的长期股权投资：支付现金取得的长期股权投资，按照实际支付的购买价款作为初始投</w:t>
      </w:r>
      <w:r>
        <w:rPr>
          <w:spacing w:val="-81"/>
        </w:rPr>
        <w:t> </w:t>
      </w:r>
      <w:r>
        <w:rPr>
          <w:spacing w:val="-81"/>
        </w:rPr>
      </w:r>
      <w:r>
        <w:rPr/>
        <w:t>资成本；发行权益性证券取得的长期股权投资，以发行权益性证券的公允价值作为初始投资成本。</w:t>
      </w:r>
    </w:p>
    <w:p>
      <w:pPr>
        <w:spacing w:line="240" w:lineRule="auto" w:before="0"/>
        <w:rPr>
          <w:rFonts w:ascii="宋体" w:hAnsi="宋体" w:cs="宋体" w:eastAsia="宋体" w:hint="default"/>
          <w:sz w:val="20"/>
          <w:szCs w:val="20"/>
        </w:rPr>
      </w:pPr>
    </w:p>
    <w:p>
      <w:pPr>
        <w:pStyle w:val="BodyText"/>
        <w:spacing w:line="240" w:lineRule="auto"/>
        <w:ind w:right="0"/>
        <w:jc w:val="both"/>
      </w:pPr>
      <w:r>
        <w:rPr/>
        <w:t>（</w:t>
      </w:r>
      <w:r>
        <w:rPr>
          <w:rFonts w:ascii="Times New Roman" w:hAnsi="Times New Roman" w:cs="Times New Roman" w:eastAsia="Times New Roman" w:hint="default"/>
        </w:rPr>
        <w:t>2</w:t>
      </w:r>
      <w:r>
        <w:rPr/>
        <w:t>）后续计量及损益确认方法</w:t>
      </w:r>
    </w:p>
    <w:p>
      <w:pPr>
        <w:spacing w:line="240" w:lineRule="auto" w:before="1"/>
        <w:rPr>
          <w:rFonts w:ascii="宋体" w:hAnsi="宋体" w:cs="宋体" w:eastAsia="宋体" w:hint="default"/>
          <w:sz w:val="30"/>
          <w:szCs w:val="30"/>
        </w:rPr>
      </w:pPr>
    </w:p>
    <w:p>
      <w:pPr>
        <w:pStyle w:val="BodyText"/>
        <w:spacing w:line="408" w:lineRule="auto"/>
        <w:ind w:right="1129"/>
        <w:jc w:val="both"/>
      </w:pPr>
      <w:r>
        <w:rPr>
          <w:spacing w:val="-1"/>
        </w:rPr>
        <w:t>对子公司的投资，采用成本法核算，除非投资符合持有待售的条件；对联营企业和合营企业的投资，采用</w:t>
      </w:r>
      <w:r>
        <w:rPr>
          <w:spacing w:val="-82"/>
        </w:rPr>
        <w:t> </w:t>
      </w:r>
      <w:r>
        <w:rPr>
          <w:spacing w:val="-82"/>
        </w:rPr>
      </w:r>
      <w:r>
        <w:rPr/>
        <w:t>权益法核算。</w:t>
      </w:r>
    </w:p>
    <w:p>
      <w:pPr>
        <w:spacing w:line="240" w:lineRule="auto" w:before="0"/>
        <w:rPr>
          <w:rFonts w:ascii="宋体" w:hAnsi="宋体" w:cs="宋体" w:eastAsia="宋体" w:hint="default"/>
          <w:sz w:val="20"/>
          <w:szCs w:val="20"/>
        </w:rPr>
      </w:pPr>
    </w:p>
    <w:p>
      <w:pPr>
        <w:pStyle w:val="BodyText"/>
        <w:spacing w:line="408" w:lineRule="auto"/>
        <w:ind w:right="1129"/>
        <w:jc w:val="both"/>
      </w:pPr>
      <w:r>
        <w:rPr>
          <w:spacing w:val="-1"/>
        </w:rPr>
        <w:t>采用成本法核算的长期股权投资，除取得投资时实际支付的价款或对价中包含的已宣告但尚未发放的现金</w:t>
      </w:r>
      <w:r>
        <w:rPr>
          <w:spacing w:val="-81"/>
        </w:rPr>
        <w:t> </w:t>
      </w:r>
      <w:r>
        <w:rPr>
          <w:spacing w:val="-81"/>
        </w:rPr>
      </w:r>
      <w:r>
        <w:rPr/>
        <w:t>股利或利润外，被投资单位宣告分派的现金股利或利润，确认为投资收益计入当期损益。</w:t>
      </w:r>
    </w:p>
    <w:p>
      <w:pPr>
        <w:spacing w:line="240" w:lineRule="auto" w:before="0"/>
        <w:rPr>
          <w:rFonts w:ascii="宋体" w:hAnsi="宋体" w:cs="宋体" w:eastAsia="宋体" w:hint="default"/>
          <w:sz w:val="20"/>
          <w:szCs w:val="20"/>
        </w:rPr>
      </w:pPr>
    </w:p>
    <w:p>
      <w:pPr>
        <w:pStyle w:val="BodyText"/>
        <w:spacing w:line="408" w:lineRule="auto"/>
        <w:ind w:right="1129"/>
        <w:jc w:val="both"/>
      </w:pPr>
      <w:r>
        <w:rPr>
          <w:spacing w:val="-1"/>
        </w:rPr>
        <w:t>采用权益法核算的长期股权投资，初始投资成本大于投资时应享有被投资单位可辨认净资产公允价值份额</w:t>
      </w:r>
      <w:r>
        <w:rPr>
          <w:spacing w:val="-81"/>
        </w:rPr>
        <w:t> </w:t>
      </w:r>
      <w:r>
        <w:rPr>
          <w:spacing w:val="-81"/>
        </w:rPr>
      </w:r>
      <w:r>
        <w:rPr>
          <w:spacing w:val="-1"/>
        </w:rPr>
        <w:t>的，不调整长期股权投资的投资成本；初始投资成本小于投资时应享有被投资单位可辨认净资产公允价值</w:t>
      </w:r>
      <w:r>
        <w:rPr>
          <w:spacing w:val="-81"/>
        </w:rPr>
        <w:t> </w:t>
      </w:r>
      <w:r>
        <w:rPr>
          <w:spacing w:val="-81"/>
        </w:rPr>
      </w:r>
      <w:r>
        <w:rPr/>
        <w:t>份额的，对长期股权投资的账面价值进行调整，差额计入投资当期的损益。</w:t>
      </w:r>
    </w:p>
    <w:p>
      <w:pPr>
        <w:spacing w:line="240" w:lineRule="auto" w:before="0"/>
        <w:rPr>
          <w:rFonts w:ascii="宋体" w:hAnsi="宋体" w:cs="宋体" w:eastAsia="宋体" w:hint="default"/>
          <w:sz w:val="20"/>
          <w:szCs w:val="20"/>
        </w:rPr>
      </w:pPr>
    </w:p>
    <w:p>
      <w:pPr>
        <w:pStyle w:val="BodyText"/>
        <w:spacing w:line="408" w:lineRule="auto"/>
        <w:ind w:right="1129"/>
        <w:jc w:val="both"/>
      </w:pPr>
      <w:r>
        <w:rPr>
          <w:spacing w:val="-1"/>
        </w:rPr>
        <w:t>采用权益法核算时，按照应享有或应分担的被投资单位实现的净损益和其他综合收益的份额，分别确认投</w:t>
      </w:r>
      <w:r>
        <w:rPr>
          <w:spacing w:val="-81"/>
        </w:rPr>
        <w:t> </w:t>
      </w:r>
      <w:r>
        <w:rPr>
          <w:spacing w:val="-81"/>
        </w:rPr>
      </w:r>
      <w:r>
        <w:rPr>
          <w:spacing w:val="-1"/>
        </w:rPr>
        <w:t>资收益和其他综合收益，同时调整长期股权投资的账面价值；按照被投资单位宣告分派的利润或现金股利</w:t>
      </w:r>
      <w:r>
        <w:rPr>
          <w:spacing w:val="-81"/>
        </w:rPr>
        <w:t> </w:t>
      </w:r>
      <w:r>
        <w:rPr>
          <w:spacing w:val="-81"/>
        </w:rPr>
      </w:r>
      <w:r>
        <w:rPr>
          <w:spacing w:val="-1"/>
        </w:rPr>
        <w:t>计算应享有的部分，相应减少长期股权投资的账面价值；被投资单位除净损益、其他综合收益和利润分配</w:t>
      </w:r>
    </w:p>
    <w:p>
      <w:pPr>
        <w:spacing w:after="0" w:line="408" w:lineRule="auto"/>
        <w:jc w:val="both"/>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153" w:right="1131"/>
        <w:jc w:val="both"/>
      </w:pPr>
      <w:r>
        <w:rPr>
          <w:spacing w:val="-1"/>
        </w:rPr>
        <w:t>以外所有者权益的其他变动，调整长期股权投资的账面价值并计入资本公积（其他资本公积）。在确认应</w:t>
      </w:r>
      <w:r>
        <w:rPr>
          <w:spacing w:val="-82"/>
        </w:rPr>
        <w:t> </w:t>
      </w:r>
      <w:r>
        <w:rPr>
          <w:spacing w:val="-82"/>
        </w:rPr>
      </w:r>
      <w:r>
        <w:rPr>
          <w:spacing w:val="-1"/>
        </w:rPr>
        <w:t>享有被投资单位净损益的份额时，以取得投资时被投资单位各项可辨认资产等的公允价值为基础，并按照</w:t>
      </w:r>
      <w:r>
        <w:rPr>
          <w:spacing w:val="-81"/>
        </w:rPr>
        <w:t> </w:t>
      </w:r>
      <w:r>
        <w:rPr>
          <w:spacing w:val="-81"/>
        </w:rPr>
      </w:r>
      <w:r>
        <w:rPr/>
        <w:t>本集团的会计政策及会计期间，对被投资单位的净利润进行调整后确认。</w:t>
      </w:r>
    </w:p>
    <w:p>
      <w:pPr>
        <w:spacing w:line="240" w:lineRule="auto" w:before="0"/>
        <w:rPr>
          <w:rFonts w:ascii="宋体" w:hAnsi="宋体" w:cs="宋体" w:eastAsia="宋体" w:hint="default"/>
          <w:sz w:val="20"/>
          <w:szCs w:val="20"/>
        </w:rPr>
      </w:pPr>
    </w:p>
    <w:p>
      <w:pPr>
        <w:pStyle w:val="BodyText"/>
        <w:spacing w:line="408" w:lineRule="auto"/>
        <w:ind w:left="153" w:right="1108"/>
        <w:jc w:val="both"/>
      </w:pPr>
      <w:r>
        <w:rPr>
          <w:spacing w:val="-1"/>
        </w:rPr>
        <w:t>因追加投资等原因能够对被投资单位施加重大影响或实施共同控制但不构成控制的，在转换日，按照原股</w:t>
      </w:r>
      <w:r>
        <w:rPr>
          <w:spacing w:val="-81"/>
        </w:rPr>
        <w:t> </w:t>
      </w:r>
      <w:r>
        <w:rPr>
          <w:spacing w:val="-81"/>
        </w:rPr>
      </w:r>
      <w:r>
        <w:rPr>
          <w:spacing w:val="-1"/>
        </w:rPr>
        <w:t>权的公允价值加上新增投资成本之和，作为改按权益法核算的初始投资成本。原股权于转换日的公允价值</w:t>
      </w:r>
      <w:r>
        <w:rPr>
          <w:spacing w:val="-81"/>
        </w:rPr>
        <w:t> </w:t>
      </w:r>
      <w:r>
        <w:rPr>
          <w:spacing w:val="-81"/>
        </w:rPr>
      </w:r>
      <w:r>
        <w:rPr/>
        <w:t>与账面价值之间的差额，以及原计入其他综合收益的累计公允价值变动转入改按权益法核算的当期损益。</w:t>
      </w:r>
    </w:p>
    <w:p>
      <w:pPr>
        <w:spacing w:line="240" w:lineRule="auto" w:before="0"/>
        <w:rPr>
          <w:rFonts w:ascii="宋体" w:hAnsi="宋体" w:cs="宋体" w:eastAsia="宋体" w:hint="default"/>
          <w:sz w:val="20"/>
          <w:szCs w:val="20"/>
        </w:rPr>
      </w:pPr>
    </w:p>
    <w:p>
      <w:pPr>
        <w:pStyle w:val="BodyText"/>
        <w:spacing w:line="403" w:lineRule="auto"/>
        <w:ind w:left="153" w:right="1131"/>
        <w:jc w:val="both"/>
      </w:pPr>
      <w:r>
        <w:rPr>
          <w:spacing w:val="-1"/>
        </w:rPr>
        <w:t>因处置部分股权投资等原因丧失了对被投资单位的共同控制或重大影响的，处置后的剩余股权在丧失共同</w:t>
      </w:r>
      <w:r>
        <w:rPr>
          <w:spacing w:val="-81"/>
        </w:rPr>
        <w:t> </w:t>
      </w:r>
      <w:r>
        <w:rPr>
          <w:spacing w:val="-81"/>
        </w:rPr>
      </w:r>
      <w:r>
        <w:rPr>
          <w:spacing w:val="-1"/>
        </w:rPr>
        <w:t>控制或重大影响之日改按《企业会计准则第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金融工具确认和计量》进行会计处理，公允价值与账面</w:t>
      </w:r>
      <w:r>
        <w:rPr>
          <w:spacing w:val="-83"/>
        </w:rPr>
        <w:t> </w:t>
      </w:r>
      <w:r>
        <w:rPr>
          <w:spacing w:val="-83"/>
        </w:rPr>
      </w:r>
      <w:r>
        <w:rPr>
          <w:spacing w:val="-1"/>
        </w:rPr>
        <w:t>价值之间的差额计入当期损益。原股权投资因采用权益法核算而确认的其他综合收益，在终止采用权益法</w:t>
      </w:r>
      <w:r>
        <w:rPr>
          <w:spacing w:val="-81"/>
        </w:rPr>
        <w:t> </w:t>
      </w:r>
      <w:r>
        <w:rPr>
          <w:spacing w:val="-81"/>
        </w:rPr>
      </w:r>
      <w:r>
        <w:rPr>
          <w:spacing w:val="-1"/>
        </w:rPr>
        <w:t>核算时采用与被投资单位直接处置相关资产或负债相同的基础进行会计处理；原股权投资相关的其他所有</w:t>
      </w:r>
      <w:r>
        <w:rPr>
          <w:spacing w:val="-81"/>
        </w:rPr>
        <w:t> </w:t>
      </w:r>
      <w:r>
        <w:rPr>
          <w:spacing w:val="-81"/>
        </w:rPr>
      </w:r>
      <w:r>
        <w:rPr/>
        <w:t>者权益变动转入当期损益。</w:t>
      </w:r>
    </w:p>
    <w:p>
      <w:pPr>
        <w:spacing w:line="240" w:lineRule="auto" w:before="5"/>
        <w:rPr>
          <w:rFonts w:ascii="宋体" w:hAnsi="宋体" w:cs="宋体" w:eastAsia="宋体" w:hint="default"/>
          <w:sz w:val="20"/>
          <w:szCs w:val="20"/>
        </w:rPr>
      </w:pPr>
    </w:p>
    <w:p>
      <w:pPr>
        <w:pStyle w:val="BodyText"/>
        <w:spacing w:line="403" w:lineRule="auto"/>
        <w:ind w:left="153" w:right="1131"/>
        <w:jc w:val="both"/>
      </w:pPr>
      <w:r>
        <w:rPr>
          <w:spacing w:val="-1"/>
        </w:rPr>
        <w:t>因处置部分股权投资等原因丧失了对被投资单位的控制的，处置后的剩余股权能够对被投资单位实施共同</w:t>
      </w:r>
      <w:r>
        <w:rPr>
          <w:spacing w:val="-81"/>
        </w:rPr>
        <w:t> </w:t>
      </w:r>
      <w:r>
        <w:rPr>
          <w:spacing w:val="-81"/>
        </w:rPr>
      </w:r>
      <w:r>
        <w:rPr>
          <w:spacing w:val="-1"/>
        </w:rPr>
        <w:t>控制或施加重大影响的，改按权益法核算，并对该剩余股权视同自取得时即采用权益法核算进行调整；处</w:t>
      </w:r>
      <w:r>
        <w:rPr>
          <w:spacing w:val="-83"/>
        </w:rPr>
        <w:t> </w:t>
      </w:r>
      <w:r>
        <w:rPr>
          <w:spacing w:val="-83"/>
        </w:rPr>
      </w:r>
      <w:r>
        <w:rPr>
          <w:spacing w:val="-1"/>
        </w:rPr>
        <w:t>置后的剩余股权不能对被投资单位实施共同控制或施加重大影响的，改按《企业会计准则第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w:t>
      </w:r>
      <w:r>
        <w:rPr>
          <w:spacing w:val="-82"/>
        </w:rPr>
        <w:t> </w:t>
      </w:r>
      <w:r>
        <w:rPr>
          <w:spacing w:val="-1"/>
        </w:rPr>
        <w:t>具确认和计量》的有关规定进行会计处理，其在丧失控制之日的公允价值与账面价值之间的差额计入当期</w:t>
      </w:r>
      <w:r>
        <w:rPr>
          <w:spacing w:val="-81"/>
        </w:rPr>
        <w:t> </w:t>
      </w:r>
      <w:r>
        <w:rPr>
          <w:spacing w:val="-81"/>
        </w:rPr>
      </w:r>
      <w:r>
        <w:rPr/>
        <w:t>损益。</w:t>
      </w:r>
    </w:p>
    <w:p>
      <w:pPr>
        <w:spacing w:line="240" w:lineRule="auto" w:before="5"/>
        <w:rPr>
          <w:rFonts w:ascii="宋体" w:hAnsi="宋体" w:cs="宋体" w:eastAsia="宋体" w:hint="default"/>
          <w:sz w:val="20"/>
          <w:szCs w:val="20"/>
        </w:rPr>
      </w:pPr>
    </w:p>
    <w:p>
      <w:pPr>
        <w:pStyle w:val="BodyText"/>
        <w:spacing w:line="408" w:lineRule="auto"/>
        <w:ind w:left="153" w:right="1131"/>
        <w:jc w:val="both"/>
      </w:pPr>
      <w:r>
        <w:rPr>
          <w:spacing w:val="-1"/>
        </w:rPr>
        <w:t>因其他投资方增资而导致本公司持股比例下降、从而丧失控制权但能对被投资单位实施共同控制或施加重</w:t>
      </w:r>
      <w:r>
        <w:rPr>
          <w:spacing w:val="-81"/>
        </w:rPr>
        <w:t> </w:t>
      </w:r>
      <w:r>
        <w:rPr>
          <w:spacing w:val="-81"/>
        </w:rPr>
      </w:r>
      <w:r>
        <w:rPr>
          <w:spacing w:val="-1"/>
        </w:rPr>
        <w:t>大影响的，按照新的持股比例确认本公司应享有的被投资单位因增资扩股而增加净资产的份额，与应结转</w:t>
      </w:r>
      <w:r>
        <w:rPr>
          <w:spacing w:val="-81"/>
        </w:rPr>
        <w:t> </w:t>
      </w:r>
      <w:r>
        <w:rPr>
          <w:spacing w:val="-81"/>
        </w:rPr>
      </w:r>
      <w:r>
        <w:rPr>
          <w:spacing w:val="-1"/>
        </w:rPr>
        <w:t>持股比例下降部分所对应的长期股权投资原账面价值之间的差额计入当期损益；然后，按照新的持股比例</w:t>
      </w:r>
      <w:r>
        <w:rPr>
          <w:spacing w:val="-81"/>
        </w:rPr>
        <w:t> </w:t>
      </w:r>
      <w:r>
        <w:rPr>
          <w:spacing w:val="-81"/>
        </w:rPr>
      </w:r>
      <w:r>
        <w:rPr/>
        <w:t>视同自取得投资时即采用权益法核算进行调整。</w:t>
      </w:r>
    </w:p>
    <w:p>
      <w:pPr>
        <w:spacing w:line="240" w:lineRule="auto" w:before="0"/>
        <w:rPr>
          <w:rFonts w:ascii="宋体" w:hAnsi="宋体" w:cs="宋体" w:eastAsia="宋体" w:hint="default"/>
          <w:sz w:val="20"/>
          <w:szCs w:val="20"/>
        </w:rPr>
      </w:pPr>
    </w:p>
    <w:p>
      <w:pPr>
        <w:pStyle w:val="BodyText"/>
        <w:spacing w:line="408" w:lineRule="auto"/>
        <w:ind w:left="153" w:right="1131"/>
        <w:jc w:val="both"/>
      </w:pPr>
      <w:r>
        <w:rPr>
          <w:spacing w:val="-1"/>
        </w:rPr>
        <w:t>本集团与联营企业及合营企业之间发生的未实现内部交易损益按照持股比例计算归属于本集团的部分，在</w:t>
      </w:r>
      <w:r>
        <w:rPr>
          <w:spacing w:val="-81"/>
        </w:rPr>
        <w:t> </w:t>
      </w:r>
      <w:r>
        <w:rPr>
          <w:spacing w:val="-81"/>
        </w:rPr>
      </w:r>
      <w:r>
        <w:rPr>
          <w:spacing w:val="-1"/>
        </w:rPr>
        <w:t>抵销基础上确认投资损益。但本集团与被投资单位发生的未实现内部交易损失，属于所转让资产减值损失</w:t>
      </w:r>
      <w:r>
        <w:rPr>
          <w:spacing w:val="-81"/>
        </w:rPr>
        <w:t> </w:t>
      </w:r>
      <w:r>
        <w:rPr>
          <w:spacing w:val="-81"/>
        </w:rPr>
      </w:r>
      <w:r>
        <w:rPr/>
        <w:t>的，不予以抵销。</w:t>
      </w:r>
    </w:p>
    <w:p>
      <w:pPr>
        <w:spacing w:line="240" w:lineRule="auto" w:before="0"/>
        <w:rPr>
          <w:rFonts w:ascii="宋体" w:hAnsi="宋体" w:cs="宋体" w:eastAsia="宋体" w:hint="default"/>
          <w:sz w:val="20"/>
          <w:szCs w:val="20"/>
        </w:rPr>
      </w:pPr>
    </w:p>
    <w:p>
      <w:pPr>
        <w:pStyle w:val="BodyText"/>
        <w:spacing w:line="240" w:lineRule="auto"/>
        <w:ind w:left="153" w:right="0"/>
        <w:jc w:val="both"/>
      </w:pPr>
      <w:r>
        <w:rPr/>
        <w:t>（</w:t>
      </w:r>
      <w:r>
        <w:rPr>
          <w:rFonts w:ascii="Times New Roman" w:hAnsi="Times New Roman" w:cs="Times New Roman" w:eastAsia="Times New Roman" w:hint="default"/>
        </w:rPr>
        <w:t>3</w:t>
      </w:r>
      <w:r>
        <w:rPr/>
        <w:t>）确定对被投资单位具有共同控制、重大影响的依据</w:t>
      </w:r>
    </w:p>
    <w:p>
      <w:pPr>
        <w:spacing w:line="240" w:lineRule="auto" w:before="1"/>
        <w:rPr>
          <w:rFonts w:ascii="宋体" w:hAnsi="宋体" w:cs="宋体" w:eastAsia="宋体" w:hint="default"/>
          <w:sz w:val="30"/>
          <w:szCs w:val="30"/>
        </w:rPr>
      </w:pPr>
    </w:p>
    <w:p>
      <w:pPr>
        <w:pStyle w:val="BodyText"/>
        <w:spacing w:line="408" w:lineRule="auto"/>
        <w:ind w:right="1129"/>
        <w:jc w:val="both"/>
      </w:pPr>
      <w:r>
        <w:rPr>
          <w:spacing w:val="-1"/>
        </w:rPr>
        <w:t>共同控制，是指按照相关约定对某项安排所共有的控制，并且该安排的相关活动必须经过分享控制权的参</w:t>
      </w:r>
      <w:r>
        <w:rPr>
          <w:spacing w:val="-81"/>
        </w:rPr>
        <w:t> </w:t>
      </w:r>
      <w:r>
        <w:rPr>
          <w:spacing w:val="-81"/>
        </w:rPr>
      </w:r>
      <w:r>
        <w:rPr>
          <w:spacing w:val="-1"/>
        </w:rPr>
        <w:t>与方一致同意后才能决策。在判断是否存在共同控制时，首先判断是否由所有参与方或参与方组合集体控</w:t>
      </w:r>
    </w:p>
    <w:p>
      <w:pPr>
        <w:spacing w:after="0" w:line="408" w:lineRule="auto"/>
        <w:jc w:val="both"/>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153" w:right="1131"/>
        <w:jc w:val="both"/>
      </w:pPr>
      <w:r>
        <w:rPr>
          <w:spacing w:val="-1"/>
        </w:rPr>
        <w:t>制该安排，其次再判断该安排相关活动的决策是否必须经过这些集体控制该安排的参与方一致同意。如果</w:t>
      </w:r>
      <w:r>
        <w:rPr>
          <w:spacing w:val="-81"/>
        </w:rPr>
        <w:t> </w:t>
      </w:r>
      <w:r>
        <w:rPr>
          <w:spacing w:val="-81"/>
        </w:rPr>
      </w:r>
      <w:r>
        <w:rPr>
          <w:spacing w:val="-1"/>
        </w:rPr>
        <w:t>所有参与方或一组参与方必须一致行动才能决定某项安排的相关活动，则认为所有参与方或一组参与方集</w:t>
      </w:r>
      <w:r>
        <w:rPr>
          <w:spacing w:val="-81"/>
        </w:rPr>
        <w:t> </w:t>
      </w:r>
      <w:r>
        <w:rPr>
          <w:spacing w:val="-81"/>
        </w:rPr>
      </w:r>
      <w:r>
        <w:rPr>
          <w:spacing w:val="-1"/>
        </w:rPr>
        <w:t>体控制该安排；如果存在两个或两个以上的参与方组合能够集体控制某项安排的，不构成共同控制。判断</w:t>
      </w:r>
      <w:r>
        <w:rPr>
          <w:spacing w:val="-83"/>
        </w:rPr>
        <w:t> </w:t>
      </w:r>
      <w:r>
        <w:rPr>
          <w:spacing w:val="-83"/>
        </w:rPr>
      </w:r>
      <w:r>
        <w:rPr/>
        <w:t>是否存在共同控制时，不考虑享有的保护性权利。</w:t>
      </w:r>
    </w:p>
    <w:p>
      <w:pPr>
        <w:spacing w:line="240" w:lineRule="auto" w:before="0"/>
        <w:rPr>
          <w:rFonts w:ascii="宋体" w:hAnsi="宋体" w:cs="宋体" w:eastAsia="宋体" w:hint="default"/>
          <w:sz w:val="20"/>
          <w:szCs w:val="20"/>
        </w:rPr>
      </w:pPr>
    </w:p>
    <w:p>
      <w:pPr>
        <w:pStyle w:val="BodyText"/>
        <w:spacing w:line="408" w:lineRule="auto"/>
        <w:ind w:left="153" w:right="1122"/>
        <w:jc w:val="both"/>
      </w:pPr>
      <w:r>
        <w:rPr>
          <w:spacing w:val="-1"/>
        </w:rPr>
        <w:t>重大影响，是指投资方对被投资单位的财务和经营政策有参与决策的权力，但并不能够控制或者与其他方</w:t>
      </w:r>
      <w:r>
        <w:rPr>
          <w:spacing w:val="-81"/>
        </w:rPr>
        <w:t> </w:t>
      </w:r>
      <w:r>
        <w:rPr>
          <w:spacing w:val="-81"/>
        </w:rPr>
      </w:r>
      <w:r>
        <w:rPr>
          <w:spacing w:val="-1"/>
        </w:rPr>
        <w:t>一起共同控制这些政策的制定。在确定能否对被投资单位施加重大影响时，考虑投资方直接或间接持有被</w:t>
      </w:r>
      <w:r>
        <w:rPr>
          <w:spacing w:val="-81"/>
        </w:rPr>
        <w:t> </w:t>
      </w:r>
      <w:r>
        <w:rPr>
          <w:spacing w:val="-81"/>
        </w:rPr>
      </w:r>
      <w:r>
        <w:rPr>
          <w:spacing w:val="3"/>
        </w:rPr>
        <w:t>投资单位的表决权股份以及投资方及其他方持有的当期可执行潜在表决权在假定转换为对被投资方单位</w:t>
      </w:r>
      <w:r>
        <w:rPr>
          <w:spacing w:val="-78"/>
        </w:rPr>
        <w:t> </w:t>
      </w:r>
      <w:r>
        <w:rPr>
          <w:spacing w:val="-78"/>
        </w:rPr>
      </w:r>
      <w:r>
        <w:rPr>
          <w:spacing w:val="-1"/>
        </w:rPr>
        <w:t>的股权后产生的影响，包括被投资单位发行的当期可转换的认股权证、股份期权及可转换公司债券等的影</w:t>
      </w:r>
      <w:r>
        <w:rPr>
          <w:spacing w:val="-81"/>
        </w:rPr>
        <w:t> </w:t>
      </w:r>
      <w:r>
        <w:rPr>
          <w:spacing w:val="-81"/>
        </w:rPr>
      </w:r>
      <w:r>
        <w:rPr/>
        <w:t>响。</w:t>
      </w:r>
    </w:p>
    <w:p>
      <w:pPr>
        <w:spacing w:line="240" w:lineRule="auto" w:before="0"/>
        <w:rPr>
          <w:rFonts w:ascii="宋体" w:hAnsi="宋体" w:cs="宋体" w:eastAsia="宋体" w:hint="default"/>
          <w:sz w:val="20"/>
          <w:szCs w:val="20"/>
        </w:rPr>
      </w:pPr>
    </w:p>
    <w:p>
      <w:pPr>
        <w:pStyle w:val="BodyText"/>
        <w:spacing w:line="393" w:lineRule="auto"/>
        <w:ind w:left="153" w:right="1130"/>
        <w:jc w:val="both"/>
      </w:pPr>
      <w:r>
        <w:rPr/>
        <w:t>当本公司直接或通过子公司间接拥有被投资单位</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）以上但低于</w:t>
      </w:r>
      <w:r>
        <w:rPr>
          <w:rFonts w:ascii="Times New Roman" w:hAnsi="Times New Roman" w:cs="Times New Roman" w:eastAsia="Times New Roman" w:hint="default"/>
        </w:rPr>
        <w:t>50%</w:t>
      </w:r>
      <w:r>
        <w:rPr/>
        <w:t>的表决权股份时，一般认</w:t>
      </w:r>
      <w:r>
        <w:rPr>
          <w:spacing w:val="-40"/>
        </w:rPr>
        <w:t> </w:t>
      </w:r>
      <w:r>
        <w:rPr>
          <w:spacing w:val="-40"/>
        </w:rPr>
      </w:r>
      <w:r>
        <w:rPr>
          <w:spacing w:val="-1"/>
        </w:rPr>
        <w:t>为对被投资单位具有重大影响，除非有明确证据表明该种情况下不能参与被投资单位的生产经营决策，不</w:t>
      </w:r>
      <w:r>
        <w:rPr>
          <w:spacing w:val="-81"/>
        </w:rPr>
        <w:t> </w:t>
      </w:r>
      <w:r>
        <w:rPr>
          <w:spacing w:val="-81"/>
        </w:rPr>
      </w:r>
      <w:r>
        <w:rPr/>
        <w:t>形成重大影响；本集团拥有被投资单位</w:t>
      </w:r>
      <w:r>
        <w:rPr>
          <w:rFonts w:ascii="Times New Roman" w:hAnsi="Times New Roman" w:cs="Times New Roman" w:eastAsia="Times New Roman" w:hint="default"/>
        </w:rPr>
        <w:t>20%</w:t>
      </w:r>
      <w:r>
        <w:rPr/>
        <w:t>（不含）以下的表决权股份时，一般不认为对被投资单位具有</w:t>
      </w:r>
      <w:r>
        <w:rPr>
          <w:spacing w:val="-98"/>
        </w:rPr>
        <w:t> </w:t>
      </w:r>
      <w:r>
        <w:rPr>
          <w:spacing w:val="-98"/>
        </w:rPr>
      </w:r>
      <w:r>
        <w:rPr/>
        <w:t>重大影响，除非有明确证据表明该种情况下能够参与被投资单位的生产经营决策，形成重大影响。</w:t>
      </w:r>
    </w:p>
    <w:p>
      <w:pPr>
        <w:spacing w:line="240" w:lineRule="auto" w:before="13"/>
        <w:rPr>
          <w:rFonts w:ascii="宋体" w:hAnsi="宋体" w:cs="宋体" w:eastAsia="宋体" w:hint="default"/>
          <w:sz w:val="20"/>
          <w:szCs w:val="20"/>
        </w:rPr>
      </w:pPr>
    </w:p>
    <w:p>
      <w:pPr>
        <w:pStyle w:val="BodyText"/>
        <w:spacing w:line="566" w:lineRule="auto"/>
        <w:ind w:left="153" w:right="3611" w:hanging="1"/>
        <w:jc w:val="left"/>
        <w:rPr>
          <w:rFonts w:ascii="宋体" w:hAnsi="宋体" w:cs="宋体" w:eastAsia="宋体" w:hint="default"/>
        </w:rPr>
      </w:pPr>
      <w:r>
        <w:rPr/>
        <w:t>（</w:t>
      </w:r>
      <w:r>
        <w:rPr>
          <w:rFonts w:ascii="Times New Roman" w:hAnsi="Times New Roman" w:cs="Times New Roman" w:eastAsia="Times New Roman" w:hint="default"/>
        </w:rPr>
        <w:t>4</w:t>
      </w:r>
      <w:r>
        <w:rPr/>
        <w:t>）减值测试方法及减值准备计提方法 对子公司、联营企业及合营企业的投资，计提资产减值的方法见附注五、</w:t>
      </w:r>
      <w:r>
        <w:rPr>
          <w:rFonts w:ascii="Times New Roman" w:hAnsi="Times New Roman" w:cs="Times New Roman" w:eastAsia="Times New Roman" w:hint="default"/>
        </w:rPr>
        <w:t>22</w:t>
      </w:r>
      <w:r>
        <w:rPr/>
        <w:t>。 </w:t>
      </w:r>
      <w:r>
        <w:rPr>
          <w:rFonts w:ascii="Times New Roman" w:hAnsi="Times New Roman" w:cs="Times New Roman" w:eastAsia="Times New Roman" w:hint="default"/>
          <w:b/>
          <w:bCs/>
        </w:rPr>
        <w:t>15</w:t>
      </w:r>
      <w:r>
        <w:rPr>
          <w:rFonts w:ascii="宋体" w:hAnsi="宋体" w:cs="宋体" w:eastAsia="宋体" w:hint="default"/>
          <w:b/>
          <w:bCs/>
        </w:rPr>
        <w:t>、投资性房地产</w:t>
      </w:r>
      <w:r>
        <w:rPr>
          <w:rFonts w:ascii="宋体" w:hAnsi="宋体" w:cs="宋体" w:eastAsia="宋体" w:hint="default"/>
        </w:rPr>
      </w:r>
    </w:p>
    <w:p>
      <w:pPr>
        <w:spacing w:line="360" w:lineRule="auto" w:before="31"/>
        <w:ind w:left="153" w:right="8951"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408" w:lineRule="auto" w:before="77"/>
        <w:ind w:left="153" w:right="1131"/>
        <w:jc w:val="both"/>
      </w:pPr>
      <w:r>
        <w:rPr>
          <w:spacing w:val="-1"/>
        </w:rPr>
        <w:t>投资性房地产是指为赚取租金或资本增值，或两者兼有而持有的房地产。本集团投资性房地产包括已出租</w:t>
      </w:r>
      <w:r>
        <w:rPr>
          <w:spacing w:val="-81"/>
        </w:rPr>
        <w:t> </w:t>
      </w:r>
      <w:r>
        <w:rPr>
          <w:spacing w:val="-81"/>
        </w:rPr>
      </w:r>
      <w:r>
        <w:rPr/>
        <w:t>的土地使用权、持有并准备增值后转让的土地使用权、已出租的建筑物。</w:t>
      </w:r>
    </w:p>
    <w:p>
      <w:pPr>
        <w:spacing w:line="240" w:lineRule="auto" w:before="0"/>
        <w:rPr>
          <w:rFonts w:ascii="宋体" w:hAnsi="宋体" w:cs="宋体" w:eastAsia="宋体" w:hint="default"/>
          <w:sz w:val="20"/>
          <w:szCs w:val="20"/>
        </w:rPr>
      </w:pPr>
    </w:p>
    <w:p>
      <w:pPr>
        <w:pStyle w:val="BodyText"/>
        <w:spacing w:line="408" w:lineRule="auto"/>
        <w:ind w:left="153" w:right="1131"/>
        <w:jc w:val="both"/>
      </w:pPr>
      <w:r>
        <w:rPr>
          <w:spacing w:val="-1"/>
        </w:rPr>
        <w:t>本集团投资性房地产按照取得时的成本进行初始计量，并按照固定资产或无形资产的有关规定，按期计提</w:t>
      </w:r>
      <w:r>
        <w:rPr>
          <w:spacing w:val="-81"/>
        </w:rPr>
        <w:t> </w:t>
      </w:r>
      <w:r>
        <w:rPr>
          <w:spacing w:val="-81"/>
        </w:rPr>
      </w:r>
      <w:r>
        <w:rPr/>
        <w:t>折旧或摊销。本集团确定投资性房地产的年折旧率如下：</w:t>
      </w:r>
    </w:p>
    <w:p>
      <w:pPr>
        <w:spacing w:line="240" w:lineRule="auto" w:before="3"/>
        <w:rPr>
          <w:rFonts w:ascii="宋体" w:hAnsi="宋体" w:cs="宋体" w:eastAsia="宋体" w:hint="default"/>
          <w:sz w:val="15"/>
          <w:szCs w:val="15"/>
        </w:rPr>
      </w:pPr>
    </w:p>
    <w:tbl>
      <w:tblPr>
        <w:tblW w:w="0" w:type="auto"/>
        <w:jc w:val="left"/>
        <w:tblInd w:w="389" w:type="dxa"/>
        <w:tblLayout w:type="fixed"/>
        <w:tblCellMar>
          <w:top w:w="0" w:type="dxa"/>
          <w:left w:w="0" w:type="dxa"/>
          <w:bottom w:w="0" w:type="dxa"/>
          <w:right w:w="0" w:type="dxa"/>
        </w:tblCellMar>
        <w:tblLook w:val="01E0"/>
      </w:tblPr>
      <w:tblGrid>
        <w:gridCol w:w="2732"/>
        <w:gridCol w:w="2129"/>
        <w:gridCol w:w="2146"/>
        <w:gridCol w:w="2146"/>
      </w:tblGrid>
      <w:tr>
        <w:trPr>
          <w:trHeight w:val="347"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类</w:t>
            </w:r>
            <w:r>
              <w:rPr>
                <w:rFonts w:ascii="宋体" w:hAnsi="宋体" w:cs="宋体" w:eastAsia="宋体" w:hint="default"/>
                <w:b/>
                <w:bCs/>
                <w:spacing w:val="73"/>
                <w:sz w:val="21"/>
                <w:szCs w:val="21"/>
              </w:rPr>
              <w:t> </w:t>
            </w:r>
            <w:r>
              <w:rPr>
                <w:rFonts w:ascii="宋体" w:hAnsi="宋体" w:cs="宋体" w:eastAsia="宋体" w:hint="default"/>
                <w:b/>
                <w:bCs/>
                <w:sz w:val="21"/>
                <w:szCs w:val="21"/>
              </w:rPr>
              <w:t>别</w:t>
            </w:r>
            <w:r>
              <w:rPr>
                <w:rFonts w:ascii="宋体" w:hAnsi="宋体" w:cs="宋体" w:eastAsia="宋体" w:hint="default"/>
                <w:sz w:val="21"/>
                <w:szCs w:val="21"/>
              </w:rPr>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92" w:right="0"/>
              <w:jc w:val="left"/>
              <w:rPr>
                <w:rFonts w:ascii="宋体" w:hAnsi="宋体" w:cs="宋体" w:eastAsia="宋体" w:hint="default"/>
                <w:sz w:val="21"/>
                <w:szCs w:val="21"/>
              </w:rPr>
            </w:pPr>
            <w:r>
              <w:rPr>
                <w:rFonts w:ascii="宋体" w:hAnsi="宋体" w:cs="宋体" w:eastAsia="宋体" w:hint="default"/>
                <w:b/>
                <w:bCs/>
                <w:sz w:val="21"/>
                <w:szCs w:val="21"/>
              </w:rPr>
              <w:t>使用年限（年）</w:t>
            </w:r>
            <w:r>
              <w:rPr>
                <w:rFonts w:ascii="宋体" w:hAnsi="宋体" w:cs="宋体" w:eastAsia="宋体" w:hint="default"/>
                <w:sz w:val="21"/>
                <w:szCs w:val="21"/>
              </w:rPr>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885"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残值率</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779"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年折旧率</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348"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出租的建筑物</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51" w:right="0"/>
              <w:jc w:val="left"/>
              <w:rPr>
                <w:rFonts w:ascii="Times New Roman" w:hAnsi="Times New Roman" w:cs="Times New Roman" w:eastAsia="Times New Roman" w:hint="default"/>
                <w:sz w:val="21"/>
                <w:szCs w:val="21"/>
              </w:rPr>
            </w:pPr>
            <w:r>
              <w:rPr>
                <w:rFonts w:ascii="Times New Roman"/>
                <w:sz w:val="21"/>
              </w:rPr>
              <w:t>20-30</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1" w:right="0"/>
              <w:jc w:val="center"/>
              <w:rPr>
                <w:rFonts w:ascii="Times New Roman" w:hAnsi="Times New Roman" w:cs="Times New Roman" w:eastAsia="Times New Roman" w:hint="default"/>
                <w:sz w:val="21"/>
                <w:szCs w:val="21"/>
              </w:rPr>
            </w:pPr>
            <w:r>
              <w:rPr>
                <w:rFonts w:ascii="Times New Roman"/>
                <w:sz w:val="21"/>
              </w:rPr>
              <w:t>5</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89" w:right="0"/>
              <w:jc w:val="left"/>
              <w:rPr>
                <w:rFonts w:ascii="Times New Roman" w:hAnsi="Times New Roman" w:cs="Times New Roman" w:eastAsia="Times New Roman" w:hint="default"/>
                <w:sz w:val="21"/>
                <w:szCs w:val="21"/>
              </w:rPr>
            </w:pPr>
            <w:r>
              <w:rPr>
                <w:rFonts w:ascii="Times New Roman"/>
                <w:sz w:val="21"/>
              </w:rPr>
              <w:t>3.17-4.75</w:t>
            </w:r>
          </w:p>
        </w:tc>
      </w:tr>
    </w:tbl>
    <w:p>
      <w:pPr>
        <w:pStyle w:val="BodyText"/>
        <w:spacing w:line="240" w:lineRule="auto" w:before="63"/>
        <w:ind w:right="0"/>
        <w:jc w:val="left"/>
      </w:pPr>
      <w:r>
        <w:rPr/>
        <w:t>采用成本模式进行后续计量的投资性房地产，计提资产减值方法见附注五、</w:t>
      </w:r>
      <w:r>
        <w:rPr>
          <w:rFonts w:ascii="Times New Roman" w:hAnsi="Times New Roman" w:cs="Times New Roman" w:eastAsia="Times New Roman" w:hint="default"/>
        </w:rPr>
        <w:t>22</w:t>
      </w:r>
      <w:r>
        <w:rPr/>
        <w:t>。</w:t>
      </w:r>
    </w:p>
    <w:p>
      <w:pPr>
        <w:spacing w:line="240" w:lineRule="auto" w:before="1"/>
        <w:rPr>
          <w:rFonts w:ascii="宋体" w:hAnsi="宋体" w:cs="宋体" w:eastAsia="宋体" w:hint="default"/>
          <w:sz w:val="30"/>
          <w:szCs w:val="30"/>
        </w:rPr>
      </w:pPr>
    </w:p>
    <w:p>
      <w:pPr>
        <w:pStyle w:val="BodyText"/>
        <w:spacing w:line="240" w:lineRule="auto"/>
        <w:ind w:left="153" w:right="0"/>
        <w:jc w:val="left"/>
      </w:pPr>
      <w:r>
        <w:rPr/>
        <w:t>投资性房地产出售、转让、报废或毁损的处置收入扣除其账面价值和相关税费后的差额计入当期损益。</w:t>
      </w:r>
    </w:p>
    <w:p>
      <w:pPr>
        <w:spacing w:after="0" w:line="240" w:lineRule="auto"/>
        <w:jc w:val="left"/>
        <w:sectPr>
          <w:pgSz w:w="11910" w:h="16840"/>
          <w:pgMar w:header="747" w:footer="982" w:top="1060" w:bottom="118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both"/>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30"/>
          <w:szCs w:val="30"/>
        </w:rPr>
      </w:pPr>
    </w:p>
    <w:p>
      <w:pPr>
        <w:pStyle w:val="BodyText"/>
        <w:spacing w:line="410" w:lineRule="auto"/>
        <w:ind w:left="153" w:right="1130"/>
        <w:jc w:val="both"/>
      </w:pPr>
      <w:r>
        <w:rPr>
          <w:spacing w:val="-1"/>
        </w:rPr>
        <w:t>本集团固定资产是指为生产商品、提供劳务、出租或经营管理而持有的，使用寿命超过一个会计年度的有</w:t>
      </w:r>
      <w:r>
        <w:rPr>
          <w:spacing w:val="-83"/>
        </w:rPr>
        <w:t> </w:t>
      </w:r>
      <w:r>
        <w:rPr>
          <w:spacing w:val="-83"/>
        </w:rPr>
      </w:r>
      <w:r>
        <w:rPr>
          <w:spacing w:val="-1"/>
        </w:rPr>
        <w:t>形资产。与该固定资产有关的经济利益很可能流入企业，并且该固定资产的成本能够可靠地计量时，固定</w:t>
      </w:r>
      <w:r>
        <w:rPr>
          <w:spacing w:val="-83"/>
        </w:rPr>
        <w:t> </w:t>
      </w:r>
      <w:r>
        <w:rPr>
          <w:spacing w:val="-83"/>
        </w:rPr>
      </w:r>
      <w:r>
        <w:rPr/>
        <w:t>资产才能予以确认。本集团固定资产按照取得时的实际成本进行初始计量。</w:t>
      </w:r>
    </w:p>
    <w:p>
      <w:pPr>
        <w:spacing w:line="240" w:lineRule="auto" w:before="3"/>
        <w:rPr>
          <w:rFonts w:ascii="宋体" w:hAnsi="宋体" w:cs="宋体" w:eastAsia="宋体" w:hint="default"/>
          <w:sz w:val="20"/>
          <w:szCs w:val="20"/>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20-30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3.17%-4.75%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电子及办公设备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19%-31.67%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19%-23.75%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19%-31.67%</w:t>
            </w:r>
          </w:p>
        </w:tc>
      </w:tr>
    </w:tbl>
    <w:p>
      <w:pPr>
        <w:pStyle w:val="BodyText"/>
        <w:spacing w:line="408" w:lineRule="auto" w:before="63"/>
        <w:ind w:right="1131"/>
        <w:jc w:val="both"/>
      </w:pPr>
      <w:r>
        <w:rPr>
          <w:spacing w:val="-1"/>
        </w:rPr>
        <w:t>本集团采用年限平均法计提折旧。固定资产自达到预定可使用状态时开始计提折旧，终止确认时或划分为</w:t>
      </w:r>
      <w:r>
        <w:rPr>
          <w:spacing w:val="-81"/>
        </w:rPr>
        <w:t> </w:t>
      </w:r>
      <w:r>
        <w:rPr>
          <w:spacing w:val="-81"/>
        </w:rPr>
      </w:r>
      <w:r>
        <w:rPr>
          <w:spacing w:val="-1"/>
        </w:rPr>
        <w:t>持有待售非流动资产时停止计提折旧。在不考虑减值准备的情况下，按固定资产类别、预计使用寿命和预</w:t>
      </w:r>
      <w:r>
        <w:rPr>
          <w:spacing w:val="-83"/>
        </w:rPr>
        <w:t> </w:t>
      </w:r>
      <w:r>
        <w:rPr>
          <w:spacing w:val="-83"/>
        </w:rPr>
      </w:r>
      <w:r>
        <w:rPr/>
        <w:t>计残值。</w:t>
      </w:r>
    </w:p>
    <w:p>
      <w:pPr>
        <w:spacing w:line="240" w:lineRule="auto" w:before="0"/>
        <w:rPr>
          <w:rFonts w:ascii="宋体" w:hAnsi="宋体" w:cs="宋体" w:eastAsia="宋体" w:hint="default"/>
          <w:sz w:val="20"/>
          <w:szCs w:val="20"/>
        </w:rPr>
      </w:pPr>
    </w:p>
    <w:p>
      <w:pPr>
        <w:pStyle w:val="BodyText"/>
        <w:spacing w:line="240" w:lineRule="auto"/>
        <w:ind w:right="0"/>
        <w:jc w:val="both"/>
      </w:pPr>
      <w:r>
        <w:rPr/>
        <w:t>其中，已计提减值准备的固定资产，还应扣除已计提的固定资产减值准备累计金额计算确定折旧率。</w:t>
      </w:r>
    </w:p>
    <w:p>
      <w:pPr>
        <w:spacing w:line="240" w:lineRule="auto" w:before="0"/>
        <w:rPr>
          <w:rFonts w:ascii="宋体" w:hAnsi="宋体" w:cs="宋体" w:eastAsia="宋体" w:hint="default"/>
          <w:sz w:val="20"/>
          <w:szCs w:val="20"/>
        </w:rPr>
      </w:pPr>
    </w:p>
    <w:p>
      <w:pPr>
        <w:pStyle w:val="BodyText"/>
        <w:spacing w:line="240" w:lineRule="auto" w:before="147"/>
        <w:ind w:right="0"/>
        <w:jc w:val="both"/>
      </w:pPr>
      <w:r>
        <w:rPr/>
        <w:t>（</w:t>
      </w:r>
      <w:r>
        <w:rPr>
          <w:rFonts w:ascii="Times New Roman" w:hAnsi="Times New Roman" w:cs="Times New Roman" w:eastAsia="Times New Roman" w:hint="default"/>
        </w:rPr>
        <w:t>3</w:t>
      </w:r>
      <w:r>
        <w:rPr/>
        <w:t>）固定资产的减值测试方法、减值准备计提方法见附注五、</w:t>
      </w:r>
      <w:r>
        <w:rPr>
          <w:rFonts w:ascii="Times New Roman" w:hAnsi="Times New Roman" w:cs="Times New Roman" w:eastAsia="Times New Roman" w:hint="default"/>
        </w:rPr>
        <w:t>22</w:t>
      </w:r>
      <w:r>
        <w:rPr/>
        <w:t>。</w:t>
      </w:r>
    </w:p>
    <w:p>
      <w:pPr>
        <w:spacing w:line="240" w:lineRule="auto" w:before="1"/>
        <w:rPr>
          <w:rFonts w:ascii="宋体" w:hAnsi="宋体" w:cs="宋体" w:eastAsia="宋体" w:hint="default"/>
          <w:sz w:val="30"/>
          <w:szCs w:val="30"/>
        </w:rPr>
      </w:pPr>
    </w:p>
    <w:p>
      <w:pPr>
        <w:pStyle w:val="BodyText"/>
        <w:spacing w:line="240" w:lineRule="auto"/>
        <w:ind w:right="0"/>
        <w:jc w:val="both"/>
      </w:pPr>
      <w:r>
        <w:rPr/>
        <w:t>（</w:t>
      </w:r>
      <w:r>
        <w:rPr>
          <w:rFonts w:ascii="Times New Roman" w:hAnsi="Times New Roman" w:cs="Times New Roman" w:eastAsia="Times New Roman" w:hint="default"/>
        </w:rPr>
        <w:t>4</w:t>
      </w:r>
      <w:r>
        <w:rPr/>
        <w:t>）每年年度终了，本集团对固定资产的使用寿命、预计净残值和折旧方法进行复核。</w:t>
      </w:r>
    </w:p>
    <w:p>
      <w:pPr>
        <w:spacing w:line="240" w:lineRule="auto" w:before="1"/>
        <w:rPr>
          <w:rFonts w:ascii="宋体" w:hAnsi="宋体" w:cs="宋体" w:eastAsia="宋体" w:hint="default"/>
          <w:sz w:val="30"/>
          <w:szCs w:val="30"/>
        </w:rPr>
      </w:pPr>
    </w:p>
    <w:p>
      <w:pPr>
        <w:pStyle w:val="BodyText"/>
        <w:spacing w:line="408" w:lineRule="auto"/>
        <w:ind w:right="0"/>
        <w:jc w:val="left"/>
      </w:pPr>
      <w:r>
        <w:rPr>
          <w:spacing w:val="-1"/>
        </w:rPr>
        <w:t>使用寿命预计数与原先估计数有差异的，调整固定资产使用寿命；预计净残值预计数与原先估计数有差异</w:t>
      </w:r>
      <w:r>
        <w:rPr>
          <w:spacing w:val="-81"/>
        </w:rPr>
        <w:t> </w:t>
      </w:r>
      <w:r>
        <w:rPr>
          <w:spacing w:val="-81"/>
        </w:rPr>
      </w:r>
      <w:r>
        <w:rPr/>
        <w:t>的，调整预计净残值。</w:t>
      </w:r>
    </w:p>
    <w:p>
      <w:pPr>
        <w:spacing w:line="240" w:lineRule="auto" w:before="0"/>
        <w:rPr>
          <w:rFonts w:ascii="宋体" w:hAnsi="宋体" w:cs="宋体" w:eastAsia="宋体" w:hint="default"/>
          <w:sz w:val="20"/>
          <w:szCs w:val="20"/>
        </w:rPr>
      </w:pPr>
    </w:p>
    <w:p>
      <w:pPr>
        <w:pStyle w:val="BodyText"/>
        <w:spacing w:line="240" w:lineRule="auto"/>
        <w:ind w:right="0"/>
        <w:jc w:val="both"/>
      </w:pPr>
      <w:r>
        <w:rPr/>
        <w:t>（</w:t>
      </w:r>
      <w:r>
        <w:rPr>
          <w:rFonts w:ascii="Times New Roman" w:hAnsi="Times New Roman" w:cs="Times New Roman" w:eastAsia="Times New Roman" w:hint="default"/>
        </w:rPr>
        <w:t>5</w:t>
      </w:r>
      <w:r>
        <w:rPr/>
        <w:t>）大修理费用</w:t>
      </w:r>
    </w:p>
    <w:p>
      <w:pPr>
        <w:spacing w:line="240" w:lineRule="auto" w:before="1"/>
        <w:rPr>
          <w:rFonts w:ascii="宋体" w:hAnsi="宋体" w:cs="宋体" w:eastAsia="宋体" w:hint="default"/>
          <w:sz w:val="30"/>
          <w:szCs w:val="30"/>
        </w:rPr>
      </w:pPr>
    </w:p>
    <w:p>
      <w:pPr>
        <w:pStyle w:val="BodyText"/>
        <w:spacing w:line="408" w:lineRule="auto"/>
        <w:ind w:right="1090"/>
        <w:jc w:val="left"/>
      </w:pPr>
      <w:r>
        <w:rPr>
          <w:spacing w:val="-1"/>
        </w:rPr>
        <w:t>本集团对固定资产进行定期检查发生的大修理费用，有确凿证据表明符合固定资产确认条件的部分，计入</w:t>
      </w:r>
      <w:r>
        <w:rPr>
          <w:spacing w:val="-81"/>
        </w:rPr>
        <w:t> </w:t>
      </w:r>
      <w:r>
        <w:rPr>
          <w:spacing w:val="-81"/>
        </w:rPr>
      </w:r>
      <w:r>
        <w:rPr/>
        <w:t>固定资产成本，不符合固定资产确认条件的计入当期损益。固定资产在定期大修理间隔期间，照提折旧。</w:t>
      </w:r>
    </w:p>
    <w:p>
      <w:pPr>
        <w:spacing w:line="240" w:lineRule="auto" w:before="6"/>
        <w:rPr>
          <w:rFonts w:ascii="宋体" w:hAnsi="宋体" w:cs="宋体" w:eastAsia="宋体" w:hint="default"/>
          <w:sz w:val="20"/>
          <w:szCs w:val="20"/>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after="0"/>
        <w:jc w:val="both"/>
        <w:rPr>
          <w:rFonts w:ascii="宋体" w:hAnsi="宋体" w:cs="宋体" w:eastAsia="宋体" w:hint="default"/>
          <w:sz w:val="18"/>
          <w:szCs w:val="18"/>
        </w:rPr>
        <w:sectPr>
          <w:pgSz w:w="11910" w:h="16840"/>
          <w:pgMar w:header="747" w:footer="982" w:top="1060" w:bottom="118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spacing w:line="357" w:lineRule="auto" w:before="0"/>
        <w:ind w:left="153" w:right="7691"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pStyle w:val="BodyText"/>
        <w:spacing w:line="410" w:lineRule="auto" w:before="29"/>
        <w:ind w:left="153" w:right="0"/>
        <w:jc w:val="left"/>
      </w:pPr>
      <w:r>
        <w:rPr>
          <w:sz w:val="18"/>
          <w:szCs w:val="18"/>
        </w:rPr>
        <w:t>软件与信息技术服务业 </w:t>
      </w:r>
      <w:r>
        <w:rPr>
          <w:spacing w:val="-1"/>
        </w:rPr>
        <w:t>本集团在建工程成本按实际工程支出确定，包括在建期间发生的各项必要工程支出、工程达到预定可使用</w:t>
      </w:r>
      <w:r>
        <w:rPr>
          <w:spacing w:val="-81"/>
        </w:rPr>
        <w:t> </w:t>
      </w:r>
      <w:r>
        <w:rPr>
          <w:spacing w:val="-81"/>
        </w:rPr>
      </w:r>
      <w:r>
        <w:rPr/>
        <w:t>状态前的应予资本化的借款费用以及其他相关费用等。</w:t>
      </w:r>
    </w:p>
    <w:p>
      <w:pPr>
        <w:spacing w:line="240" w:lineRule="auto" w:before="11"/>
        <w:rPr>
          <w:rFonts w:ascii="宋体" w:hAnsi="宋体" w:cs="宋体" w:eastAsia="宋体" w:hint="default"/>
          <w:sz w:val="19"/>
          <w:szCs w:val="19"/>
        </w:rPr>
      </w:pPr>
    </w:p>
    <w:p>
      <w:pPr>
        <w:pStyle w:val="BodyText"/>
        <w:spacing w:line="583" w:lineRule="auto"/>
        <w:ind w:left="153" w:right="6131"/>
        <w:jc w:val="left"/>
        <w:rPr>
          <w:rFonts w:ascii="宋体" w:hAnsi="宋体" w:cs="宋体" w:eastAsia="宋体" w:hint="default"/>
        </w:rPr>
      </w:pPr>
      <w:r>
        <w:rPr/>
        <w:t>在建工程在达到预定可使用状态时转入固定资产。 在建工程计提资产减值方法见附注五、</w:t>
      </w:r>
      <w:r>
        <w:rPr>
          <w:rFonts w:ascii="Times New Roman" w:hAnsi="Times New Roman" w:cs="Times New Roman" w:eastAsia="Times New Roman" w:hint="default"/>
        </w:rPr>
        <w:t>22</w:t>
      </w:r>
      <w:r>
        <w:rPr/>
        <w:t>。 </w:t>
      </w:r>
      <w:r>
        <w:rPr>
          <w:rFonts w:ascii="Times New Roman" w:hAnsi="Times New Roman" w:cs="Times New Roman" w:eastAsia="Times New Roman" w:hint="default"/>
          <w:b/>
          <w:bCs/>
        </w:rPr>
        <w:t>18</w:t>
      </w:r>
      <w:r>
        <w:rPr>
          <w:rFonts w:ascii="宋体" w:hAnsi="宋体" w:cs="宋体" w:eastAsia="宋体" w:hint="default"/>
          <w:b/>
          <w:bCs/>
        </w:rPr>
        <w:t>、借款费用</w:t>
      </w:r>
      <w:r>
        <w:rPr>
          <w:rFonts w:ascii="宋体" w:hAnsi="宋体" w:cs="宋体" w:eastAsia="宋体" w:hint="default"/>
        </w:rPr>
      </w:r>
    </w:p>
    <w:p>
      <w:pPr>
        <w:spacing w:before="14"/>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spacing w:line="357" w:lineRule="auto" w:before="0"/>
        <w:ind w:left="153" w:right="7691"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9"/>
        <w:ind w:left="153" w:right="0"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line="240" w:lineRule="auto" w:before="10"/>
        <w:rPr>
          <w:rFonts w:ascii="宋体" w:hAnsi="宋体" w:cs="宋体" w:eastAsia="宋体" w:hint="default"/>
          <w:sz w:val="12"/>
          <w:szCs w:val="12"/>
        </w:rPr>
      </w:pPr>
    </w:p>
    <w:p>
      <w:pPr>
        <w:pStyle w:val="BodyText"/>
        <w:spacing w:line="240" w:lineRule="auto"/>
        <w:ind w:right="0"/>
        <w:jc w:val="left"/>
      </w:pPr>
      <w:r>
        <w:rPr/>
        <w:t>本集团无形资产包括计算机软件、商标权、开发支出、武汉大千无形资产评估增值等。</w:t>
      </w:r>
    </w:p>
    <w:p>
      <w:pPr>
        <w:spacing w:line="240" w:lineRule="auto" w:before="0"/>
        <w:rPr>
          <w:rFonts w:ascii="宋体" w:hAnsi="宋体" w:cs="宋体" w:eastAsia="宋体" w:hint="default"/>
          <w:sz w:val="20"/>
          <w:szCs w:val="20"/>
        </w:rPr>
      </w:pPr>
    </w:p>
    <w:p>
      <w:pPr>
        <w:pStyle w:val="BodyText"/>
        <w:spacing w:line="408" w:lineRule="auto" w:before="147"/>
        <w:ind w:left="153" w:right="1131"/>
        <w:jc w:val="both"/>
      </w:pPr>
      <w:r>
        <w:rPr>
          <w:spacing w:val="-1"/>
        </w:rPr>
        <w:t>无形资产按照成本进行初始计量，并于取得无形资产时分析判断其使用寿命。使用寿命为有限的，自无形</w:t>
      </w:r>
      <w:r>
        <w:rPr>
          <w:spacing w:val="-83"/>
        </w:rPr>
        <w:t> </w:t>
      </w:r>
      <w:r>
        <w:rPr>
          <w:spacing w:val="-83"/>
        </w:rPr>
      </w:r>
      <w:r>
        <w:rPr>
          <w:spacing w:val="-1"/>
        </w:rPr>
        <w:t>资产可供使用时起，采用能反映与该资产有关的经济利益的预期实现方式的摊销方法，在预计使用年限内</w:t>
      </w:r>
      <w:r>
        <w:rPr>
          <w:spacing w:val="-81"/>
        </w:rPr>
        <w:t> </w:t>
      </w:r>
      <w:r>
        <w:rPr>
          <w:spacing w:val="-81"/>
        </w:rPr>
      </w:r>
      <w:r>
        <w:rPr/>
        <w:t>摊销；无法可靠确定预期实现方式的，采用直线法摊销；使用寿命不确定的无形资产，不作摊销。</w:t>
      </w:r>
    </w:p>
    <w:p>
      <w:pPr>
        <w:spacing w:line="240" w:lineRule="auto" w:before="5"/>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4002"/>
        <w:gridCol w:w="1719"/>
        <w:gridCol w:w="2426"/>
        <w:gridCol w:w="1150"/>
      </w:tblGrid>
      <w:tr>
        <w:trPr>
          <w:trHeight w:val="585" w:hRule="exact"/>
        </w:trPr>
        <w:tc>
          <w:tcPr>
            <w:tcW w:w="4002" w:type="dxa"/>
            <w:tcBorders>
              <w:top w:val="nil" w:sz="6" w:space="0" w:color="auto"/>
              <w:left w:val="nil" w:sz="6" w:space="0" w:color="auto"/>
              <w:bottom w:val="single" w:sz="6" w:space="0" w:color="000000"/>
              <w:right w:val="nil" w:sz="6" w:space="0" w:color="auto"/>
            </w:tcBorders>
          </w:tcPr>
          <w:p>
            <w:pPr>
              <w:pStyle w:val="TableParagraph"/>
              <w:spacing w:line="240" w:lineRule="auto" w:before="35"/>
              <w:ind w:left="4" w:right="0"/>
              <w:jc w:val="left"/>
              <w:rPr>
                <w:rFonts w:ascii="宋体" w:hAnsi="宋体" w:cs="宋体" w:eastAsia="宋体" w:hint="default"/>
                <w:sz w:val="21"/>
                <w:szCs w:val="21"/>
              </w:rPr>
            </w:pPr>
            <w:r>
              <w:rPr>
                <w:rFonts w:ascii="宋体" w:hAnsi="宋体" w:cs="宋体" w:eastAsia="宋体" w:hint="default"/>
                <w:sz w:val="21"/>
                <w:szCs w:val="21"/>
              </w:rPr>
              <w:t>使用寿命有限的无形资产摊销方法如下：</w:t>
            </w:r>
          </w:p>
        </w:tc>
        <w:tc>
          <w:tcPr>
            <w:tcW w:w="5294" w:type="dxa"/>
            <w:gridSpan w:val="3"/>
            <w:tcBorders>
              <w:top w:val="nil" w:sz="6" w:space="0" w:color="auto"/>
              <w:left w:val="nil" w:sz="6" w:space="0" w:color="auto"/>
              <w:bottom w:val="single" w:sz="6" w:space="0" w:color="000000"/>
              <w:right w:val="nil" w:sz="6" w:space="0" w:color="auto"/>
            </w:tcBorders>
          </w:tcPr>
          <w:p>
            <w:pPr/>
          </w:p>
        </w:tc>
      </w:tr>
      <w:tr>
        <w:trPr>
          <w:trHeight w:val="347" w:hRule="exact"/>
        </w:trPr>
        <w:tc>
          <w:tcPr>
            <w:tcW w:w="4002" w:type="dxa"/>
            <w:tcBorders>
              <w:top w:val="single" w:sz="6" w:space="0" w:color="000000"/>
              <w:left w:val="nil" w:sz="6" w:space="0" w:color="auto"/>
              <w:bottom w:val="single" w:sz="6" w:space="0" w:color="000000"/>
              <w:right w:val="nil" w:sz="6" w:space="0" w:color="auto"/>
            </w:tcBorders>
          </w:tcPr>
          <w:p>
            <w:pPr>
              <w:pStyle w:val="TableParagraph"/>
              <w:spacing w:line="271" w:lineRule="exact"/>
              <w:ind w:left="25" w:right="0"/>
              <w:jc w:val="left"/>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1719" w:type="dxa"/>
            <w:tcBorders>
              <w:top w:val="single" w:sz="6" w:space="0" w:color="000000"/>
              <w:left w:val="nil" w:sz="6" w:space="0" w:color="auto"/>
              <w:bottom w:val="single" w:sz="6" w:space="0" w:color="000000"/>
              <w:right w:val="nil" w:sz="6" w:space="0" w:color="auto"/>
            </w:tcBorders>
          </w:tcPr>
          <w:p>
            <w:pPr>
              <w:pStyle w:val="TableParagraph"/>
              <w:spacing w:line="271" w:lineRule="exact"/>
              <w:ind w:right="655"/>
              <w:jc w:val="right"/>
              <w:rPr>
                <w:rFonts w:ascii="宋体" w:hAnsi="宋体" w:cs="宋体" w:eastAsia="宋体" w:hint="default"/>
                <w:sz w:val="21"/>
                <w:szCs w:val="21"/>
              </w:rPr>
            </w:pPr>
            <w:r>
              <w:rPr>
                <w:rFonts w:ascii="宋体" w:hAnsi="宋体" w:cs="宋体" w:eastAsia="宋体" w:hint="default"/>
                <w:b/>
                <w:bCs/>
                <w:sz w:val="21"/>
                <w:szCs w:val="21"/>
              </w:rPr>
              <w:t>使用寿命</w:t>
            </w:r>
            <w:r>
              <w:rPr>
                <w:rFonts w:ascii="宋体" w:hAnsi="宋体" w:cs="宋体" w:eastAsia="宋体" w:hint="default"/>
                <w:sz w:val="21"/>
                <w:szCs w:val="21"/>
              </w:rPr>
            </w:r>
          </w:p>
        </w:tc>
        <w:tc>
          <w:tcPr>
            <w:tcW w:w="2426" w:type="dxa"/>
            <w:tcBorders>
              <w:top w:val="single" w:sz="6" w:space="0" w:color="000000"/>
              <w:left w:val="nil" w:sz="6" w:space="0" w:color="auto"/>
              <w:bottom w:val="single" w:sz="6" w:space="0" w:color="000000"/>
              <w:right w:val="nil" w:sz="6" w:space="0" w:color="auto"/>
            </w:tcBorders>
          </w:tcPr>
          <w:p>
            <w:pPr>
              <w:pStyle w:val="TableParagraph"/>
              <w:spacing w:line="271" w:lineRule="exact"/>
              <w:ind w:right="715"/>
              <w:jc w:val="right"/>
              <w:rPr>
                <w:rFonts w:ascii="宋体" w:hAnsi="宋体" w:cs="宋体" w:eastAsia="宋体" w:hint="default"/>
                <w:sz w:val="21"/>
                <w:szCs w:val="21"/>
              </w:rPr>
            </w:pPr>
            <w:r>
              <w:rPr>
                <w:rFonts w:ascii="宋体" w:hAnsi="宋体" w:cs="宋体" w:eastAsia="宋体" w:hint="default"/>
                <w:b/>
                <w:bCs/>
                <w:sz w:val="21"/>
                <w:szCs w:val="21"/>
              </w:rPr>
              <w:t>摊销方法</w:t>
            </w:r>
            <w:r>
              <w:rPr>
                <w:rFonts w:ascii="宋体" w:hAnsi="宋体" w:cs="宋体" w:eastAsia="宋体" w:hint="default"/>
                <w:sz w:val="21"/>
                <w:szCs w:val="21"/>
              </w:rPr>
            </w:r>
          </w:p>
        </w:tc>
        <w:tc>
          <w:tcPr>
            <w:tcW w:w="1150" w:type="dxa"/>
            <w:tcBorders>
              <w:top w:val="single" w:sz="6" w:space="0" w:color="000000"/>
              <w:left w:val="nil" w:sz="6" w:space="0" w:color="auto"/>
              <w:bottom w:val="single" w:sz="6" w:space="0" w:color="000000"/>
              <w:right w:val="nil" w:sz="6" w:space="0" w:color="auto"/>
            </w:tcBorders>
          </w:tcPr>
          <w:p>
            <w:pPr>
              <w:pStyle w:val="TableParagraph"/>
              <w:spacing w:line="271" w:lineRule="exact"/>
              <w:ind w:left="717" w:right="0"/>
              <w:jc w:val="left"/>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348" w:hRule="exact"/>
        </w:trPr>
        <w:tc>
          <w:tcPr>
            <w:tcW w:w="4002" w:type="dxa"/>
            <w:tcBorders>
              <w:top w:val="single" w:sz="6" w:space="0" w:color="000000"/>
              <w:left w:val="nil" w:sz="6" w:space="0" w:color="auto"/>
              <w:bottom w:val="single" w:sz="6" w:space="0" w:color="000000"/>
              <w:right w:val="nil" w:sz="6" w:space="0" w:color="auto"/>
            </w:tcBorders>
          </w:tcPr>
          <w:p>
            <w:pPr>
              <w:pStyle w:val="TableParagraph"/>
              <w:spacing w:line="271" w:lineRule="exact"/>
              <w:ind w:left="25" w:right="0"/>
              <w:jc w:val="left"/>
              <w:rPr>
                <w:rFonts w:ascii="宋体" w:hAnsi="宋体" w:cs="宋体" w:eastAsia="宋体" w:hint="default"/>
                <w:sz w:val="21"/>
                <w:szCs w:val="21"/>
              </w:rPr>
            </w:pPr>
            <w:r>
              <w:rPr>
                <w:rFonts w:ascii="宋体" w:hAnsi="宋体" w:cs="宋体" w:eastAsia="宋体" w:hint="default"/>
                <w:sz w:val="21"/>
                <w:szCs w:val="21"/>
              </w:rPr>
              <w:t>计算机软件</w:t>
            </w:r>
          </w:p>
        </w:tc>
        <w:tc>
          <w:tcPr>
            <w:tcW w:w="1719" w:type="dxa"/>
            <w:tcBorders>
              <w:top w:val="single" w:sz="6" w:space="0" w:color="000000"/>
              <w:left w:val="nil" w:sz="6" w:space="0" w:color="auto"/>
              <w:bottom w:val="single" w:sz="6" w:space="0" w:color="000000"/>
              <w:right w:val="nil" w:sz="6" w:space="0" w:color="auto"/>
            </w:tcBorders>
          </w:tcPr>
          <w:p>
            <w:pPr>
              <w:pStyle w:val="TableParagraph"/>
              <w:spacing w:line="287" w:lineRule="exact"/>
              <w:ind w:right="656"/>
              <w:jc w:val="righ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w:t>
            </w:r>
          </w:p>
        </w:tc>
        <w:tc>
          <w:tcPr>
            <w:tcW w:w="2426" w:type="dxa"/>
            <w:tcBorders>
              <w:top w:val="single" w:sz="6" w:space="0" w:color="000000"/>
              <w:left w:val="nil" w:sz="6" w:space="0" w:color="auto"/>
              <w:bottom w:val="single" w:sz="6" w:space="0" w:color="000000"/>
              <w:right w:val="nil" w:sz="6" w:space="0" w:color="auto"/>
            </w:tcBorders>
          </w:tcPr>
          <w:p>
            <w:pPr>
              <w:pStyle w:val="TableParagraph"/>
              <w:spacing w:line="271" w:lineRule="exact"/>
              <w:ind w:right="716"/>
              <w:jc w:val="right"/>
              <w:rPr>
                <w:rFonts w:ascii="宋体" w:hAnsi="宋体" w:cs="宋体" w:eastAsia="宋体" w:hint="default"/>
                <w:sz w:val="21"/>
                <w:szCs w:val="21"/>
              </w:rPr>
            </w:pPr>
            <w:r>
              <w:rPr>
                <w:rFonts w:ascii="宋体" w:hAnsi="宋体" w:cs="宋体" w:eastAsia="宋体" w:hint="default"/>
                <w:sz w:val="21"/>
                <w:szCs w:val="21"/>
              </w:rPr>
              <w:t>年限平均法</w:t>
            </w:r>
          </w:p>
        </w:tc>
        <w:tc>
          <w:tcPr>
            <w:tcW w:w="1150" w:type="dxa"/>
            <w:tcBorders>
              <w:top w:val="single" w:sz="6" w:space="0" w:color="000000"/>
              <w:left w:val="nil" w:sz="6" w:space="0" w:color="auto"/>
              <w:bottom w:val="single" w:sz="6" w:space="0" w:color="000000"/>
              <w:right w:val="nil" w:sz="6" w:space="0" w:color="auto"/>
            </w:tcBorders>
          </w:tcPr>
          <w:p>
            <w:pPr/>
          </w:p>
        </w:tc>
      </w:tr>
    </w:tbl>
    <w:p>
      <w:pPr>
        <w:spacing w:after="0"/>
        <w:sectPr>
          <w:pgSz w:w="11910" w:h="16840"/>
          <w:pgMar w:header="747" w:footer="982" w:top="1060" w:bottom="1180" w:left="980" w:right="0"/>
        </w:sectPr>
      </w:pPr>
    </w:p>
    <w:p>
      <w:pPr>
        <w:spacing w:line="240" w:lineRule="auto" w:before="6"/>
        <w:rPr>
          <w:rFonts w:ascii="宋体" w:hAnsi="宋体" w:cs="宋体" w:eastAsia="宋体" w:hint="default"/>
          <w:sz w:val="28"/>
          <w:szCs w:val="28"/>
        </w:rPr>
      </w:pPr>
    </w:p>
    <w:p>
      <w:pPr>
        <w:spacing w:line="20" w:lineRule="exact"/>
        <w:ind w:left="156" w:right="0" w:firstLine="0"/>
        <w:rPr>
          <w:rFonts w:ascii="宋体" w:hAnsi="宋体" w:cs="宋体" w:eastAsia="宋体" w:hint="default"/>
          <w:sz w:val="2"/>
          <w:szCs w:val="2"/>
        </w:rPr>
      </w:pPr>
      <w:r>
        <w:rPr>
          <w:rFonts w:ascii="宋体" w:hAnsi="宋体" w:cs="宋体" w:eastAsia="宋体" w:hint="default"/>
          <w:sz w:val="2"/>
          <w:szCs w:val="2"/>
        </w:rPr>
        <w:pict>
          <v:group style="width:464.85pt;height:.75pt;mso-position-horizontal-relative:char;mso-position-vertical-relative:line" coordorigin="0,0" coordsize="9297,15">
            <v:group style="position:absolute;left:7;top:7;width:9282;height:2" coordorigin="7,7" coordsize="9282,2">
              <v:shape style="position:absolute;left:7;top:7;width:9282;height:2" coordorigin="7,7" coordsize="9282,0" path="m7,7l9289,7e" filled="false" stroked="true" strokeweight=".72003pt" strokecolor="#000000">
                <v:path arrowok="t"/>
              </v:shape>
            </v:group>
          </v:group>
        </w:pict>
      </w:r>
      <w:r>
        <w:rPr>
          <w:rFonts w:ascii="宋体" w:hAnsi="宋体" w:cs="宋体" w:eastAsia="宋体" w:hint="default"/>
          <w:sz w:val="2"/>
          <w:szCs w:val="2"/>
        </w:rPr>
      </w:r>
    </w:p>
    <w:p>
      <w:pPr>
        <w:pStyle w:val="BodyText"/>
        <w:tabs>
          <w:tab w:pos="4791" w:val="left" w:leader="none"/>
          <w:tab w:pos="6527" w:val="left" w:leader="none"/>
        </w:tabs>
        <w:spacing w:line="281" w:lineRule="exact"/>
        <w:ind w:left="174" w:right="0"/>
        <w:jc w:val="left"/>
      </w:pPr>
      <w:r>
        <w:rPr/>
        <w:t>商标权</w:t>
        <w:tab/>
      </w:r>
      <w:r>
        <w:rPr>
          <w:rFonts w:ascii="Times New Roman" w:hAnsi="Times New Roman" w:cs="Times New Roman" w:eastAsia="Times New Roman" w:hint="default"/>
        </w:rPr>
        <w:t>10</w:t>
      </w:r>
      <w:r>
        <w:rPr/>
        <w:t>年</w:t>
        <w:tab/>
        <w:t>年限平均法</w:t>
      </w:r>
    </w:p>
    <w:p>
      <w:pPr>
        <w:spacing w:line="240" w:lineRule="auto" w:before="7"/>
        <w:rPr>
          <w:rFonts w:ascii="宋体" w:hAnsi="宋体" w:cs="宋体" w:eastAsia="宋体" w:hint="default"/>
          <w:sz w:val="3"/>
          <w:szCs w:val="3"/>
        </w:rPr>
      </w:pPr>
    </w:p>
    <w:p>
      <w:pPr>
        <w:spacing w:line="20" w:lineRule="exact"/>
        <w:ind w:left="156" w:right="0" w:firstLine="0"/>
        <w:rPr>
          <w:rFonts w:ascii="宋体" w:hAnsi="宋体" w:cs="宋体" w:eastAsia="宋体" w:hint="default"/>
          <w:sz w:val="2"/>
          <w:szCs w:val="2"/>
        </w:rPr>
      </w:pPr>
      <w:r>
        <w:rPr>
          <w:rFonts w:ascii="宋体" w:hAnsi="宋体" w:cs="宋体" w:eastAsia="宋体" w:hint="default"/>
          <w:sz w:val="2"/>
          <w:szCs w:val="2"/>
        </w:rPr>
        <w:pict>
          <v:group style="width:464.85pt;height:.75pt;mso-position-horizontal-relative:char;mso-position-vertical-relative:line" coordorigin="0,0" coordsize="9297,15">
            <v:group style="position:absolute;left:7;top:7;width:9282;height:2" coordorigin="7,7" coordsize="9282,2">
              <v:shape style="position:absolute;left:7;top:7;width:9282;height:2" coordorigin="7,7" coordsize="9282,0" path="m7,7l9289,7e" filled="false" stroked="true" strokeweight=".71997pt" strokecolor="#000000">
                <v:path arrowok="t"/>
              </v:shape>
            </v:group>
          </v:group>
        </w:pict>
      </w:r>
      <w:r>
        <w:rPr>
          <w:rFonts w:ascii="宋体" w:hAnsi="宋体" w:cs="宋体" w:eastAsia="宋体" w:hint="default"/>
          <w:sz w:val="2"/>
          <w:szCs w:val="2"/>
        </w:rPr>
      </w:r>
    </w:p>
    <w:p>
      <w:pPr>
        <w:pStyle w:val="BodyText"/>
        <w:tabs>
          <w:tab w:pos="4897" w:val="left" w:leader="none"/>
          <w:tab w:pos="6527" w:val="left" w:leader="none"/>
        </w:tabs>
        <w:spacing w:line="240" w:lineRule="auto"/>
        <w:ind w:left="174" w:right="0"/>
        <w:jc w:val="left"/>
      </w:pPr>
      <w:r>
        <w:rPr/>
        <w:t>开发支出</w:t>
        <w:tab/>
      </w:r>
      <w:r>
        <w:rPr>
          <w:rFonts w:ascii="Times New Roman" w:hAnsi="Times New Roman" w:cs="Times New Roman" w:eastAsia="Times New Roman" w:hint="default"/>
        </w:rPr>
        <w:t>4</w:t>
      </w:r>
      <w:r>
        <w:rPr/>
        <w:t>年</w:t>
        <w:tab/>
        <w:t>年限平均法</w:t>
      </w:r>
    </w:p>
    <w:p>
      <w:pPr>
        <w:spacing w:line="240" w:lineRule="auto" w:before="7"/>
        <w:rPr>
          <w:rFonts w:ascii="宋体" w:hAnsi="宋体" w:cs="宋体" w:eastAsia="宋体" w:hint="default"/>
          <w:sz w:val="3"/>
          <w:szCs w:val="3"/>
        </w:rPr>
      </w:pPr>
    </w:p>
    <w:p>
      <w:pPr>
        <w:spacing w:line="20" w:lineRule="exact"/>
        <w:ind w:left="156" w:right="0" w:firstLine="0"/>
        <w:rPr>
          <w:rFonts w:ascii="宋体" w:hAnsi="宋体" w:cs="宋体" w:eastAsia="宋体" w:hint="default"/>
          <w:sz w:val="2"/>
          <w:szCs w:val="2"/>
        </w:rPr>
      </w:pPr>
      <w:r>
        <w:rPr>
          <w:rFonts w:ascii="宋体" w:hAnsi="宋体" w:cs="宋体" w:eastAsia="宋体" w:hint="default"/>
          <w:sz w:val="2"/>
          <w:szCs w:val="2"/>
        </w:rPr>
        <w:pict>
          <v:group style="width:464.85pt;height:.75pt;mso-position-horizontal-relative:char;mso-position-vertical-relative:line" coordorigin="0,0" coordsize="9297,15">
            <v:group style="position:absolute;left:7;top:7;width:9282;height:2" coordorigin="7,7" coordsize="9282,2">
              <v:shape style="position:absolute;left:7;top:7;width:9282;height:2" coordorigin="7,7" coordsize="9282,0" path="m7,7l9289,7e" filled="false" stroked="true" strokeweight=".71997pt" strokecolor="#000000">
                <v:path arrowok="t"/>
              </v:shape>
            </v:group>
          </v:group>
        </w:pict>
      </w:r>
      <w:r>
        <w:rPr>
          <w:rFonts w:ascii="宋体" w:hAnsi="宋体" w:cs="宋体" w:eastAsia="宋体" w:hint="default"/>
          <w:sz w:val="2"/>
          <w:szCs w:val="2"/>
        </w:rPr>
      </w:r>
    </w:p>
    <w:p>
      <w:pPr>
        <w:pStyle w:val="BodyText"/>
        <w:tabs>
          <w:tab w:pos="4897" w:val="left" w:leader="none"/>
          <w:tab w:pos="6527" w:val="left" w:leader="none"/>
        </w:tabs>
        <w:spacing w:line="343" w:lineRule="auto"/>
        <w:ind w:left="153" w:right="1025" w:firstLine="20"/>
        <w:jc w:val="left"/>
      </w:pPr>
      <w:r>
        <w:rPr/>
        <w:pict>
          <v:group style="position:absolute;margin-left:56.100014pt;margin-top:16.883986pt;width:465.55pt;height:.75pt;mso-position-horizontal-relative:page;mso-position-vertical-relative:paragraph;z-index:-1297984" coordorigin="1122,338" coordsize="9311,15">
            <v:group style="position:absolute;left:1129;top:345;width:3056;height:2" coordorigin="1129,345" coordsize="3056,2">
              <v:shape style="position:absolute;left:1129;top:345;width:3056;height:2" coordorigin="1129,345" coordsize="3056,0" path="m1129,345l4184,345e" filled="false" stroked="true" strokeweight=".71997pt" strokecolor="#000000">
                <v:path arrowok="t"/>
              </v:shape>
            </v:group>
            <v:group style="position:absolute;left:4170;top:345;width:2032;height:2" coordorigin="4170,345" coordsize="2032,2">
              <v:shape style="position:absolute;left:4170;top:345;width:2032;height:2" coordorigin="4170,345" coordsize="2032,0" path="m4170,345l6202,345e" filled="false" stroked="true" strokeweight=".71997pt" strokecolor="#000000">
                <v:path arrowok="t"/>
              </v:shape>
            </v:group>
            <v:group style="position:absolute;left:6187;top:345;width:2380;height:2" coordorigin="6187,345" coordsize="2380,2">
              <v:shape style="position:absolute;left:6187;top:345;width:2380;height:2" coordorigin="6187,345" coordsize="2380,0" path="m6187,345l8567,345e" filled="false" stroked="true" strokeweight=".71997pt" strokecolor="#000000">
                <v:path arrowok="t"/>
              </v:shape>
            </v:group>
            <v:group style="position:absolute;left:8552;top:345;width:1874;height:2" coordorigin="8552,345" coordsize="1874,2">
              <v:shape style="position:absolute;left:8552;top:345;width:1874;height:2" coordorigin="8552,345" coordsize="1874,0" path="m8552,345l10426,345e" filled="false" stroked="true" strokeweight=".71997pt" strokecolor="#000000">
                <v:path arrowok="t"/>
              </v:shape>
            </v:group>
            <w10:wrap type="none"/>
          </v:group>
        </w:pict>
      </w:r>
      <w:r>
        <w:rPr/>
        <w:t>武汉大千无形资产评估增值</w:t>
        <w:tab/>
      </w:r>
      <w:r>
        <w:rPr>
          <w:rFonts w:ascii="Times New Roman" w:hAnsi="Times New Roman" w:cs="Times New Roman" w:eastAsia="Times New Roman" w:hint="default"/>
        </w:rPr>
        <w:t>5</w:t>
      </w:r>
      <w:r>
        <w:rPr/>
        <w:t>年</w:t>
        <w:tab/>
        <w:t>年限平均法 </w:t>
      </w:r>
      <w:r>
        <w:rPr>
          <w:spacing w:val="-3"/>
        </w:rPr>
        <w:t>本集团于每年年度终了，对使用寿命有限的无形资产的使用寿命及摊销方法进行复核，与以前估计不同的，</w:t>
      </w:r>
    </w:p>
    <w:p>
      <w:pPr>
        <w:pStyle w:val="BodyText"/>
        <w:spacing w:line="240" w:lineRule="auto" w:before="103"/>
        <w:ind w:left="153" w:right="0"/>
        <w:jc w:val="left"/>
      </w:pPr>
      <w:r>
        <w:rPr/>
        <w:t>调整原先估计数，并按会计估计变更处理。</w:t>
      </w:r>
    </w:p>
    <w:p>
      <w:pPr>
        <w:spacing w:line="240" w:lineRule="auto" w:before="0"/>
        <w:rPr>
          <w:rFonts w:ascii="宋体" w:hAnsi="宋体" w:cs="宋体" w:eastAsia="宋体" w:hint="default"/>
          <w:sz w:val="20"/>
          <w:szCs w:val="20"/>
        </w:rPr>
      </w:pPr>
    </w:p>
    <w:p>
      <w:pPr>
        <w:pStyle w:val="BodyText"/>
        <w:spacing w:line="408" w:lineRule="auto" w:before="147"/>
        <w:ind w:left="153" w:right="0"/>
        <w:jc w:val="left"/>
      </w:pPr>
      <w:r>
        <w:rPr>
          <w:spacing w:val="-1"/>
        </w:rPr>
        <w:t>资产负债表日预计某项无形资产已经不能给企业带来未来经济利益的，将该项无形资产的账面价值全部转</w:t>
      </w:r>
      <w:r>
        <w:rPr>
          <w:spacing w:val="-81"/>
        </w:rPr>
        <w:t> </w:t>
      </w:r>
      <w:r>
        <w:rPr>
          <w:spacing w:val="-81"/>
        </w:rPr>
      </w:r>
      <w:r>
        <w:rPr/>
        <w:t>入当期损益。</w:t>
      </w:r>
    </w:p>
    <w:p>
      <w:pPr>
        <w:spacing w:line="240" w:lineRule="auto" w:before="0"/>
        <w:rPr>
          <w:rFonts w:ascii="宋体" w:hAnsi="宋体" w:cs="宋体" w:eastAsia="宋体" w:hint="default"/>
          <w:sz w:val="20"/>
          <w:szCs w:val="20"/>
        </w:rPr>
      </w:pPr>
    </w:p>
    <w:p>
      <w:pPr>
        <w:pStyle w:val="BodyText"/>
        <w:spacing w:line="240" w:lineRule="auto"/>
        <w:ind w:left="153" w:right="0"/>
        <w:jc w:val="left"/>
      </w:pPr>
      <w:r>
        <w:rPr/>
        <w:t>无形资产计提资产减值方法见附注五之</w:t>
      </w:r>
      <w:r>
        <w:rPr>
          <w:rFonts w:ascii="Times New Roman" w:hAnsi="Times New Roman" w:cs="Times New Roman" w:eastAsia="Times New Roman" w:hint="default"/>
        </w:rPr>
        <w:t>22</w:t>
      </w:r>
      <w:r>
        <w:rPr/>
        <w:t>。</w:t>
      </w:r>
    </w:p>
    <w:p>
      <w:pPr>
        <w:spacing w:line="240" w:lineRule="auto" w:before="7"/>
        <w:rPr>
          <w:rFonts w:ascii="宋体" w:hAnsi="宋体" w:cs="宋体" w:eastAsia="宋体" w:hint="default"/>
          <w:sz w:val="30"/>
          <w:szCs w:val="30"/>
        </w:rPr>
      </w:pPr>
    </w:p>
    <w:p>
      <w:pPr>
        <w:spacing w:line="583" w:lineRule="auto" w:before="0"/>
        <w:ind w:left="153" w:right="139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spacing w:val="1"/>
          <w:w w:val="99"/>
          <w:sz w:val="21"/>
          <w:szCs w:val="21"/>
        </w:rPr>
        <w:t> </w:t>
      </w:r>
      <w:r>
        <w:rPr>
          <w:rFonts w:ascii="宋体" w:hAnsi="宋体" w:cs="宋体" w:eastAsia="宋体" w:hint="default"/>
          <w:sz w:val="21"/>
          <w:szCs w:val="21"/>
        </w:rPr>
        <w:t>本集团将内部研究开发项目的支出，区分为研究阶段支出和开发阶段支出。 研究阶段的支出，于发生时计入当期损益。</w:t>
      </w:r>
    </w:p>
    <w:p>
      <w:pPr>
        <w:pStyle w:val="BodyText"/>
        <w:spacing w:line="408" w:lineRule="auto" w:before="109"/>
        <w:ind w:left="153" w:right="1025"/>
        <w:jc w:val="both"/>
      </w:pPr>
      <w:r>
        <w:rPr/>
        <w:t>开发阶段的支出，同时满足下列条件的，才能予以资本化，即：完成该无形资产以使其能够使用或出售在 技术上具有可行性；具有完成该无形资产并使用或出售的意图；无形资产产生经济利益的方式，包括能够 证明运用该无形资产生产的产品存在市场或无形资产自身存在市场，无形资产将在内部使用的，能够证明 其有用性；有足够的技术、财务资源和其他资源支持，以完成该无形资产的开发，并有能力使用或出售该 </w:t>
      </w:r>
      <w:r>
        <w:rPr>
          <w:spacing w:val="-3"/>
        </w:rPr>
        <w:t>无形资产；归属于该无形资产开发阶段的支出能够可靠地计量。不满足上述条件的开发支出计入当期损益。</w:t>
      </w:r>
    </w:p>
    <w:p>
      <w:pPr>
        <w:spacing w:line="240" w:lineRule="auto" w:before="0"/>
        <w:rPr>
          <w:rFonts w:ascii="宋体" w:hAnsi="宋体" w:cs="宋体" w:eastAsia="宋体" w:hint="default"/>
          <w:sz w:val="20"/>
          <w:szCs w:val="20"/>
        </w:rPr>
      </w:pPr>
    </w:p>
    <w:p>
      <w:pPr>
        <w:pStyle w:val="BodyText"/>
        <w:spacing w:line="408" w:lineRule="auto"/>
        <w:ind w:left="153" w:right="1117"/>
        <w:jc w:val="left"/>
      </w:pPr>
      <w:r>
        <w:rPr>
          <w:spacing w:val="-1"/>
        </w:rPr>
        <w:t>本集团研究开发项目在满足上述条件，通过技术可行性及经济可行性研究，形成项目立项后，进入开发阶</w:t>
      </w:r>
      <w:r>
        <w:rPr>
          <w:spacing w:val="-83"/>
        </w:rPr>
        <w:t> </w:t>
      </w:r>
      <w:r>
        <w:rPr>
          <w:spacing w:val="-83"/>
        </w:rPr>
      </w:r>
      <w:r>
        <w:rPr/>
        <w:t>段。</w:t>
      </w:r>
    </w:p>
    <w:p>
      <w:pPr>
        <w:spacing w:line="240" w:lineRule="auto" w:before="0"/>
        <w:rPr>
          <w:rFonts w:ascii="宋体" w:hAnsi="宋体" w:cs="宋体" w:eastAsia="宋体" w:hint="default"/>
          <w:sz w:val="20"/>
          <w:szCs w:val="20"/>
        </w:rPr>
      </w:pPr>
    </w:p>
    <w:p>
      <w:pPr>
        <w:pStyle w:val="BodyText"/>
        <w:spacing w:line="408" w:lineRule="auto"/>
        <w:ind w:left="153" w:right="1117"/>
        <w:jc w:val="left"/>
      </w:pPr>
      <w:r>
        <w:rPr>
          <w:spacing w:val="-1"/>
        </w:rPr>
        <w:t>已资本化的开发阶段的支出在资产负债表上列示为开发支出，自该项目达到预定可使用状态之日转为无形</w:t>
      </w:r>
      <w:r>
        <w:rPr>
          <w:spacing w:val="-81"/>
        </w:rPr>
        <w:t> </w:t>
      </w:r>
      <w:r>
        <w:rPr>
          <w:spacing w:val="-81"/>
        </w:rPr>
      </w:r>
      <w:r>
        <w:rPr/>
        <w:t>资产。</w:t>
      </w:r>
    </w:p>
    <w:p>
      <w:pPr>
        <w:spacing w:line="240" w:lineRule="auto" w:before="6"/>
        <w:rPr>
          <w:rFonts w:ascii="宋体" w:hAnsi="宋体" w:cs="宋体" w:eastAsia="宋体" w:hint="default"/>
          <w:sz w:val="20"/>
          <w:szCs w:val="20"/>
        </w:rPr>
      </w:pPr>
    </w:p>
    <w:p>
      <w:pPr>
        <w:pStyle w:val="Heading3"/>
        <w:spacing w:line="240" w:lineRule="auto"/>
        <w:ind w:left="153" w:right="0"/>
        <w:jc w:val="left"/>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left="153" w:right="1128" w:firstLine="420"/>
        <w:jc w:val="both"/>
      </w:pPr>
      <w:r>
        <w:rPr>
          <w:spacing w:val="-1"/>
        </w:rPr>
        <w:t>对子公司、联营企业和合营企业的长期股权投资、采用成本模式进行后续计量的投资性房地产、固定</w:t>
      </w:r>
      <w:r>
        <w:rPr/>
        <w:t> </w:t>
      </w:r>
      <w:r>
        <w:rPr>
          <w:spacing w:val="-1"/>
        </w:rPr>
        <w:t>资产、在建工程、无形资产、商誉等（存货、递延所得税资产、金融资产除外）的资产减值，按以下方法</w:t>
      </w:r>
      <w:r>
        <w:rPr>
          <w:spacing w:val="-84"/>
        </w:rPr>
        <w:t> </w:t>
      </w:r>
      <w:r>
        <w:rPr>
          <w:spacing w:val="-84"/>
        </w:rPr>
      </w:r>
      <w:r>
        <w:rPr/>
        <w:t>确定：</w:t>
      </w:r>
    </w:p>
    <w:p>
      <w:pPr>
        <w:spacing w:line="240" w:lineRule="auto" w:before="0"/>
        <w:rPr>
          <w:rFonts w:ascii="宋体" w:hAnsi="宋体" w:cs="宋体" w:eastAsia="宋体" w:hint="default"/>
          <w:sz w:val="20"/>
          <w:szCs w:val="20"/>
        </w:rPr>
      </w:pPr>
    </w:p>
    <w:p>
      <w:pPr>
        <w:pStyle w:val="BodyText"/>
        <w:spacing w:line="240" w:lineRule="auto"/>
        <w:ind w:left="573" w:right="0"/>
        <w:jc w:val="left"/>
      </w:pPr>
      <w:r>
        <w:rPr/>
        <w:t>于资产负债表日判断资产是否存在可能发生减值的迹象，存在减值迹象的，本集团将估计其可收回金</w:t>
      </w:r>
    </w:p>
    <w:p>
      <w:pPr>
        <w:spacing w:after="0" w:line="240"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0"/>
        <w:jc w:val="both"/>
      </w:pPr>
      <w:r>
        <w:rPr>
          <w:spacing w:val="-1"/>
        </w:rPr>
        <w:t>额，进行减值测试。对因企业合并所形成的商誉、使用寿命不确定的无形资产和尚未达到可使用状态的无</w:t>
      </w:r>
      <w:r>
        <w:rPr>
          <w:spacing w:val="-83"/>
        </w:rPr>
        <w:t> </w:t>
      </w:r>
      <w:r>
        <w:rPr>
          <w:spacing w:val="-83"/>
        </w:rPr>
      </w:r>
      <w:r>
        <w:rPr/>
        <w:t>形资产无论是否存在减值迹象，每年都进行减值测试。</w:t>
      </w:r>
    </w:p>
    <w:p>
      <w:pPr>
        <w:spacing w:line="240" w:lineRule="auto" w:before="0"/>
        <w:rPr>
          <w:rFonts w:ascii="宋体" w:hAnsi="宋体" w:cs="宋体" w:eastAsia="宋体" w:hint="default"/>
          <w:sz w:val="20"/>
          <w:szCs w:val="20"/>
        </w:rPr>
      </w:pPr>
    </w:p>
    <w:p>
      <w:pPr>
        <w:pStyle w:val="BodyText"/>
        <w:spacing w:line="408" w:lineRule="auto"/>
        <w:ind w:left="153" w:right="1127" w:firstLine="420"/>
        <w:jc w:val="both"/>
      </w:pPr>
      <w:r>
        <w:rPr>
          <w:spacing w:val="3"/>
        </w:rPr>
        <w:t>可收回金额根据资产的公允价值减去处置费用后的净额与资产预计未来现金流量的现值两者之间较</w:t>
      </w:r>
      <w:r>
        <w:rPr/>
        <w:t> </w:t>
      </w:r>
      <w:r>
        <w:rPr>
          <w:spacing w:val="-1"/>
        </w:rPr>
        <w:t>高者确定。本集团以单项资产为基础估计其可收回金额；难以对单项资产的可收回金额进行估计的，以该</w:t>
      </w:r>
      <w:r>
        <w:rPr>
          <w:spacing w:val="-83"/>
        </w:rPr>
        <w:t> </w:t>
      </w:r>
      <w:r>
        <w:rPr>
          <w:spacing w:val="-83"/>
        </w:rPr>
      </w:r>
      <w:r>
        <w:rPr>
          <w:spacing w:val="-1"/>
        </w:rPr>
        <w:t>资产所属的资产组为基础确定资产组的可收回金额。资产组的认定，以资产组产生的主要现金流入是否独</w:t>
      </w:r>
      <w:r>
        <w:rPr>
          <w:spacing w:val="-81"/>
        </w:rPr>
        <w:t> </w:t>
      </w:r>
      <w:r>
        <w:rPr>
          <w:spacing w:val="-81"/>
        </w:rPr>
      </w:r>
      <w:r>
        <w:rPr/>
        <w:t>立于其他资产或者资产组的现金流入为依据。</w:t>
      </w:r>
    </w:p>
    <w:p>
      <w:pPr>
        <w:spacing w:line="240" w:lineRule="auto" w:before="0"/>
        <w:rPr>
          <w:rFonts w:ascii="宋体" w:hAnsi="宋体" w:cs="宋体" w:eastAsia="宋体" w:hint="default"/>
          <w:sz w:val="20"/>
          <w:szCs w:val="20"/>
        </w:rPr>
      </w:pPr>
    </w:p>
    <w:p>
      <w:pPr>
        <w:pStyle w:val="BodyText"/>
        <w:spacing w:line="408" w:lineRule="auto"/>
        <w:ind w:left="153" w:right="0" w:firstLine="315"/>
        <w:jc w:val="left"/>
      </w:pPr>
      <w:r>
        <w:rPr/>
        <w:t>当资产或资产组的可收回金额低于其账面价值时，本集团将其账面价值减记至可收回金额，减记的金</w:t>
      </w:r>
      <w:r>
        <w:rPr>
          <w:spacing w:val="2"/>
        </w:rPr>
        <w:t> </w:t>
      </w:r>
      <w:r>
        <w:rPr/>
        <w:t>额计入当期损益，同时计提相应的资产减值准备。</w:t>
      </w:r>
    </w:p>
    <w:p>
      <w:pPr>
        <w:spacing w:line="240" w:lineRule="auto" w:before="0"/>
        <w:rPr>
          <w:rFonts w:ascii="宋体" w:hAnsi="宋体" w:cs="宋体" w:eastAsia="宋体" w:hint="default"/>
          <w:sz w:val="20"/>
          <w:szCs w:val="20"/>
        </w:rPr>
      </w:pPr>
    </w:p>
    <w:p>
      <w:pPr>
        <w:pStyle w:val="BodyText"/>
        <w:spacing w:line="408" w:lineRule="auto"/>
        <w:ind w:left="153" w:right="1130" w:firstLine="525"/>
        <w:jc w:val="both"/>
      </w:pPr>
      <w:r>
        <w:rPr/>
        <w:t>就商誉的减值测试而言，对于因企业合并形成的商誉的账面价值，自购买日起按照合理的方法分摊 </w:t>
      </w:r>
      <w:r>
        <w:rPr>
          <w:spacing w:val="-1"/>
        </w:rPr>
        <w:t>至相关的资产组；难以分摊至相关的资产组的，将其分摊至相关的资产组组合。相关的资产组或资产组组</w:t>
      </w:r>
      <w:r>
        <w:rPr>
          <w:spacing w:val="-83"/>
        </w:rPr>
        <w:t> </w:t>
      </w:r>
      <w:r>
        <w:rPr>
          <w:spacing w:val="-83"/>
        </w:rPr>
      </w:r>
      <w:r>
        <w:rPr/>
        <w:t>合，是能够从企业合并的协同效应中受益的资产组或者资产组组合，且不大于本集团确定的报告分部。</w:t>
      </w:r>
    </w:p>
    <w:p>
      <w:pPr>
        <w:spacing w:line="240" w:lineRule="auto" w:before="0"/>
        <w:rPr>
          <w:rFonts w:ascii="宋体" w:hAnsi="宋体" w:cs="宋体" w:eastAsia="宋体" w:hint="default"/>
          <w:sz w:val="20"/>
          <w:szCs w:val="20"/>
        </w:rPr>
      </w:pPr>
    </w:p>
    <w:p>
      <w:pPr>
        <w:pStyle w:val="BodyText"/>
        <w:spacing w:line="408" w:lineRule="auto"/>
        <w:ind w:right="1131" w:firstLine="420"/>
        <w:jc w:val="both"/>
      </w:pPr>
      <w:r>
        <w:rPr>
          <w:spacing w:val="-1"/>
        </w:rPr>
        <w:t>减值测试时，如与商誉相关的资产组或者资产组组合存在减值迹象的，首先对不包含商誉的资产组或</w:t>
      </w:r>
      <w:r>
        <w:rPr/>
        <w:t> </w:t>
      </w:r>
      <w:r>
        <w:rPr>
          <w:spacing w:val="-1"/>
        </w:rPr>
        <w:t>者资产组组合进行减值测试，计算可收回金额，确认相应的减值损失。然后对包含商誉的资产组或者资产</w:t>
      </w:r>
      <w:r>
        <w:rPr>
          <w:spacing w:val="-83"/>
        </w:rPr>
        <w:t> </w:t>
      </w:r>
      <w:r>
        <w:rPr>
          <w:spacing w:val="-83"/>
        </w:rPr>
      </w:r>
      <w:r>
        <w:rPr>
          <w:spacing w:val="-1"/>
        </w:rPr>
        <w:t>组组合进行减值测试，比较其账面价值与可收回金额，如可收回金额低于账面价值的，确认商誉的减值损</w:t>
      </w:r>
      <w:r>
        <w:rPr>
          <w:spacing w:val="-83"/>
        </w:rPr>
        <w:t> </w:t>
      </w:r>
      <w:r>
        <w:rPr>
          <w:spacing w:val="-83"/>
        </w:rPr>
      </w:r>
      <w:r>
        <w:rPr/>
        <w:t>失。资产减值损失一经确认，在以后会计期间不再转回。</w:t>
      </w:r>
    </w:p>
    <w:p>
      <w:pPr>
        <w:spacing w:line="240" w:lineRule="auto" w:before="6"/>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1131"/>
        <w:jc w:val="both"/>
      </w:pPr>
      <w:r>
        <w:rPr>
          <w:spacing w:val="-1"/>
        </w:rPr>
        <w:t>本集团发生的长期待摊费用按实际成本计价，并按预计受益期限平均摊销。对不能使以后会计期间受益的</w:t>
      </w:r>
      <w:r>
        <w:rPr>
          <w:spacing w:val="-81"/>
        </w:rPr>
        <w:t> </w:t>
      </w:r>
      <w:r>
        <w:rPr>
          <w:spacing w:val="-81"/>
        </w:rPr>
      </w:r>
      <w:r>
        <w:rPr/>
        <w:t>长期待摊费用项目，其摊余价值全部计入当期损益。</w:t>
      </w:r>
    </w:p>
    <w:p>
      <w:pPr>
        <w:spacing w:line="240" w:lineRule="auto" w:before="6"/>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left="153" w:right="1129"/>
        <w:jc w:val="both"/>
      </w:pPr>
      <w:r>
        <w:rPr>
          <w:spacing w:val="-1"/>
        </w:rPr>
        <w:t>职工薪酬，是指企业为获得职工提供的服务或解除劳动关系而给予的各种形式的报酬或补偿。职工薪酬包</w:t>
      </w:r>
      <w:r>
        <w:rPr>
          <w:spacing w:val="-81"/>
        </w:rPr>
        <w:t> </w:t>
      </w:r>
      <w:r>
        <w:rPr>
          <w:spacing w:val="-81"/>
        </w:rPr>
      </w:r>
      <w:r>
        <w:rPr>
          <w:spacing w:val="-1"/>
        </w:rPr>
        <w:t>括短期薪酬、离职后福利、辞退福利和其他长期职工福利。企业提供给职工配偶、子女、受赡养人、已故</w:t>
      </w:r>
      <w:r>
        <w:rPr>
          <w:spacing w:val="-83"/>
        </w:rPr>
        <w:t> </w:t>
      </w:r>
      <w:r>
        <w:rPr>
          <w:spacing w:val="-83"/>
        </w:rPr>
      </w:r>
      <w:r>
        <w:rPr/>
        <w:t>员工遗属及其他受益人等的福利，也属于职工薪酬。</w:t>
      </w:r>
    </w:p>
    <w:p>
      <w:pPr>
        <w:spacing w:line="240" w:lineRule="auto" w:before="0"/>
        <w:rPr>
          <w:rFonts w:ascii="宋体" w:hAnsi="宋体" w:cs="宋体" w:eastAsia="宋体" w:hint="default"/>
          <w:sz w:val="20"/>
          <w:szCs w:val="20"/>
        </w:rPr>
      </w:pPr>
    </w:p>
    <w:p>
      <w:pPr>
        <w:pStyle w:val="BodyText"/>
        <w:spacing w:line="240" w:lineRule="auto"/>
        <w:ind w:left="153" w:right="0"/>
        <w:jc w:val="both"/>
      </w:pPr>
      <w:r>
        <w:rPr/>
        <w:t>根据流动性，职工薪酬分别列示于资产负债表的</w:t>
      </w:r>
      <w:r>
        <w:rPr>
          <w:rFonts w:ascii="Times New Roman" w:hAnsi="Times New Roman" w:cs="Times New Roman" w:eastAsia="Times New Roman" w:hint="default"/>
        </w:rPr>
        <w:t>“</w:t>
      </w:r>
      <w:r>
        <w:rPr/>
        <w:t>应付职工薪酬</w:t>
      </w:r>
      <w:r>
        <w:rPr>
          <w:rFonts w:ascii="Times New Roman" w:hAnsi="Times New Roman" w:cs="Times New Roman" w:eastAsia="Times New Roman" w:hint="default"/>
        </w:rPr>
        <w:t>”</w:t>
      </w:r>
      <w:r>
        <w:rPr/>
        <w:t>项目和</w:t>
      </w:r>
      <w:r>
        <w:rPr>
          <w:rFonts w:ascii="Times New Roman" w:hAnsi="Times New Roman" w:cs="Times New Roman" w:eastAsia="Times New Roman" w:hint="default"/>
        </w:rPr>
        <w:t>“</w:t>
      </w:r>
      <w:r>
        <w:rPr/>
        <w:t>长期应付职工薪酬</w:t>
      </w: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项目。</w:t>
      </w:r>
    </w:p>
    <w:p>
      <w:pPr>
        <w:spacing w:line="240" w:lineRule="auto" w:before="1"/>
        <w:rPr>
          <w:rFonts w:ascii="宋体" w:hAnsi="宋体" w:cs="宋体" w:eastAsia="宋体" w:hint="default"/>
          <w:sz w:val="30"/>
          <w:szCs w:val="30"/>
        </w:rPr>
      </w:pPr>
    </w:p>
    <w:p>
      <w:pPr>
        <w:pStyle w:val="BodyText"/>
        <w:spacing w:line="240" w:lineRule="auto"/>
        <w:ind w:left="153" w:right="0"/>
        <w:jc w:val="both"/>
      </w:pPr>
      <w:r>
        <w:rPr/>
        <w:t>本集团在职工提供服务的会计期间，将实际发生的职工工资、奖金、按规定的基准和比例为职工缴纳的医</w:t>
      </w:r>
    </w:p>
    <w:p>
      <w:pPr>
        <w:spacing w:after="0" w:line="240" w:lineRule="auto"/>
        <w:jc w:val="both"/>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疗保险费、工伤保险费和生育保险费等社会保险费和住房公积金，确认为负债，并计入当期损益或相关资</w:t>
      </w:r>
      <w:r>
        <w:rPr>
          <w:spacing w:val="-83"/>
        </w:rPr>
        <w:t> </w:t>
      </w:r>
      <w:r>
        <w:rPr>
          <w:spacing w:val="-83"/>
        </w:rPr>
      </w:r>
      <w:r>
        <w:rPr>
          <w:spacing w:val="-1"/>
        </w:rPr>
        <w:t>产成本。如果该负债预期在职工提供相关服务的年度报告期结束后十二个月内不能完全支付，且财务影响</w:t>
      </w:r>
      <w:r>
        <w:rPr>
          <w:spacing w:val="-81"/>
        </w:rPr>
        <w:t> </w:t>
      </w:r>
      <w:r>
        <w:rPr>
          <w:spacing w:val="-81"/>
        </w:rPr>
      </w:r>
      <w:r>
        <w:rPr/>
        <w:t>重大的，则该负债将以折现后的金额计量。</w:t>
      </w:r>
    </w:p>
    <w:p>
      <w:pPr>
        <w:spacing w:line="240" w:lineRule="auto" w:before="6"/>
        <w:rPr>
          <w:rFonts w:ascii="宋体" w:hAnsi="宋体" w:cs="宋体" w:eastAsia="宋体" w:hint="default"/>
          <w:sz w:val="20"/>
          <w:szCs w:val="20"/>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1130"/>
        <w:jc w:val="both"/>
      </w:pPr>
      <w:r>
        <w:rPr>
          <w:spacing w:val="-1"/>
        </w:rPr>
        <w:t>离职后福利计划包括设定提存计划和设定受益计划。其中，设定提存计划，是指向独立的基金缴存固定费</w:t>
      </w:r>
      <w:r>
        <w:rPr>
          <w:spacing w:val="-83"/>
        </w:rPr>
        <w:t> </w:t>
      </w:r>
      <w:r>
        <w:rPr>
          <w:spacing w:val="-83"/>
        </w:rPr>
      </w:r>
      <w:r>
        <w:rPr>
          <w:spacing w:val="-1"/>
        </w:rPr>
        <w:t>用后，企业不再承担进一步支付义务的离职后福利计划；设定受益计划，是指除设定提存计划以外的离职</w:t>
      </w:r>
      <w:r>
        <w:rPr>
          <w:spacing w:val="-83"/>
        </w:rPr>
        <w:t> </w:t>
      </w:r>
      <w:r>
        <w:rPr>
          <w:spacing w:val="-83"/>
        </w:rPr>
      </w:r>
      <w:r>
        <w:rPr/>
        <w:t>后福利计划。</w:t>
      </w:r>
    </w:p>
    <w:p>
      <w:pPr>
        <w:spacing w:line="240" w:lineRule="auto" w:before="0"/>
        <w:rPr>
          <w:rFonts w:ascii="宋体" w:hAnsi="宋体" w:cs="宋体" w:eastAsia="宋体" w:hint="default"/>
          <w:sz w:val="20"/>
          <w:szCs w:val="20"/>
        </w:rPr>
      </w:pPr>
    </w:p>
    <w:p>
      <w:pPr>
        <w:pStyle w:val="BodyText"/>
        <w:spacing w:line="597" w:lineRule="auto"/>
        <w:ind w:right="4660"/>
        <w:jc w:val="left"/>
      </w:pPr>
      <w:r>
        <w:rPr/>
        <w:t>设定提存计划 设定提存计划包括基本养老保险、失业保险以及企业年金计划等。</w:t>
      </w:r>
    </w:p>
    <w:p>
      <w:pPr>
        <w:pStyle w:val="BodyText"/>
        <w:spacing w:line="408" w:lineRule="auto" w:before="96"/>
        <w:ind w:right="1131"/>
        <w:jc w:val="both"/>
      </w:pPr>
      <w:r>
        <w:rPr>
          <w:spacing w:val="-1"/>
        </w:rPr>
        <w:t>在职工提供服务的会计期间，根据设定提存计划计算的应缴存金额确认为负债，并计入当期损益或相关资</w:t>
      </w:r>
      <w:r>
        <w:rPr>
          <w:spacing w:val="-81"/>
        </w:rPr>
        <w:t> </w:t>
      </w:r>
      <w:r>
        <w:rPr>
          <w:spacing w:val="-81"/>
        </w:rPr>
      </w:r>
      <w:r>
        <w:rPr/>
        <w:t>产成本。</w:t>
      </w:r>
    </w:p>
    <w:p>
      <w:pPr>
        <w:spacing w:line="240" w:lineRule="auto" w:before="6"/>
        <w:rPr>
          <w:rFonts w:ascii="宋体" w:hAnsi="宋体" w:cs="宋体" w:eastAsia="宋体" w:hint="default"/>
          <w:sz w:val="20"/>
          <w:szCs w:val="20"/>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1108"/>
        <w:jc w:val="both"/>
      </w:pPr>
      <w:r>
        <w:rPr/>
        <w:t>本集团向职工提供辞退福利的，在下列两者孰早日确认辞退福利产生的职工薪酬负债，并计入当期损益： </w:t>
      </w:r>
      <w:r>
        <w:rPr>
          <w:spacing w:val="-1"/>
        </w:rPr>
        <w:t>本集团不能单方面撤回因解除劳动关系计划或裁减建议所提供的辞退福利时；本集团确认与涉及支付辞退</w:t>
      </w:r>
      <w:r>
        <w:rPr>
          <w:spacing w:val="-81"/>
        </w:rPr>
        <w:t> </w:t>
      </w:r>
      <w:r>
        <w:rPr>
          <w:spacing w:val="-81"/>
        </w:rPr>
      </w:r>
      <w:r>
        <w:rPr/>
        <w:t>福利的重组相关的成本或费用时。</w:t>
      </w:r>
    </w:p>
    <w:p>
      <w:pPr>
        <w:spacing w:line="240" w:lineRule="auto" w:before="0"/>
        <w:rPr>
          <w:rFonts w:ascii="宋体" w:hAnsi="宋体" w:cs="宋体" w:eastAsia="宋体" w:hint="default"/>
          <w:sz w:val="20"/>
          <w:szCs w:val="20"/>
        </w:rPr>
      </w:pPr>
    </w:p>
    <w:p>
      <w:pPr>
        <w:pStyle w:val="BodyText"/>
        <w:spacing w:line="408" w:lineRule="auto"/>
        <w:ind w:right="1131"/>
        <w:jc w:val="both"/>
      </w:pPr>
      <w:r>
        <w:rPr>
          <w:spacing w:val="-1"/>
        </w:rPr>
        <w:t>实行职工内部退休计划的，在正式退休日之前的经济补偿，属于辞退福利，自职工停止提供服务日至正常</w:t>
      </w:r>
      <w:r>
        <w:rPr>
          <w:spacing w:val="-83"/>
        </w:rPr>
        <w:t> </w:t>
      </w:r>
      <w:r>
        <w:rPr>
          <w:spacing w:val="-83"/>
        </w:rPr>
      </w:r>
      <w:r>
        <w:rPr>
          <w:spacing w:val="-1"/>
        </w:rPr>
        <w:t>退休日期间，拟支付的内退职工工资和缴纳的社会保险费等一次性计入当期损益。正式退休日期之后的经</w:t>
      </w:r>
      <w:r>
        <w:rPr>
          <w:spacing w:val="-81"/>
        </w:rPr>
        <w:t> </w:t>
      </w:r>
      <w:r>
        <w:rPr>
          <w:spacing w:val="-81"/>
        </w:rPr>
      </w:r>
      <w:r>
        <w:rPr/>
        <w:t>济补偿（如正常养老退休金），按照离职后福利处理。</w:t>
      </w:r>
    </w:p>
    <w:p>
      <w:pPr>
        <w:spacing w:line="240" w:lineRule="auto" w:before="6"/>
        <w:rPr>
          <w:rFonts w:ascii="宋体" w:hAnsi="宋体" w:cs="宋体" w:eastAsia="宋体" w:hint="default"/>
          <w:sz w:val="20"/>
          <w:szCs w:val="20"/>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1131"/>
        <w:jc w:val="both"/>
      </w:pPr>
      <w:r>
        <w:rPr>
          <w:spacing w:val="-1"/>
        </w:rPr>
        <w:t>本集团向职工提供的其他长期职工福利，符合设定提存计划条件的，按照上述关于设定提存计划的有关规</w:t>
      </w:r>
      <w:r>
        <w:rPr>
          <w:spacing w:val="-81"/>
        </w:rPr>
        <w:t> </w:t>
      </w:r>
      <w:r>
        <w:rPr>
          <w:spacing w:val="-81"/>
        </w:rPr>
      </w:r>
      <w:r>
        <w:rPr>
          <w:spacing w:val="-1"/>
        </w:rPr>
        <w:t>定进行处理。符合设定受益计划的，按照上述关于设定受益计划的有关规定进行处理，但相关职工薪酬成</w:t>
      </w:r>
      <w:r>
        <w:rPr>
          <w:spacing w:val="-83"/>
        </w:rPr>
        <w:t> </w:t>
      </w:r>
      <w:r>
        <w:rPr>
          <w:spacing w:val="-83"/>
        </w:rPr>
      </w:r>
      <w:r>
        <w:rPr/>
        <w:t>本中</w:t>
      </w:r>
      <w:r>
        <w:rPr>
          <w:rFonts w:ascii="Times New Roman" w:hAnsi="Times New Roman" w:cs="Times New Roman" w:eastAsia="Times New Roman" w:hint="default"/>
        </w:rPr>
        <w:t>“</w:t>
      </w:r>
      <w:r>
        <w:rPr/>
        <w:t>重新计量设定受益计划净负债或净资产所产生的变动</w:t>
      </w:r>
      <w:r>
        <w:rPr>
          <w:rFonts w:ascii="Times New Roman" w:hAnsi="Times New Roman" w:cs="Times New Roman" w:eastAsia="Times New Roman" w:hint="default"/>
        </w:rPr>
        <w:t>”</w:t>
      </w:r>
      <w:r>
        <w:rPr/>
        <w:t>部分计入当期损益或相关资产成本。</w:t>
      </w:r>
    </w:p>
    <w:p>
      <w:pPr>
        <w:spacing w:line="240" w:lineRule="auto" w:before="1"/>
        <w:rPr>
          <w:rFonts w:ascii="宋体" w:hAnsi="宋体" w:cs="宋体" w:eastAsia="宋体" w:hint="default"/>
          <w:sz w:val="18"/>
          <w:szCs w:val="18"/>
        </w:rPr>
      </w:pPr>
    </w:p>
    <w:p>
      <w:pPr>
        <w:pStyle w:val="Heading3"/>
        <w:spacing w:line="240" w:lineRule="auto"/>
        <w:ind w:right="0"/>
        <w:jc w:val="both"/>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6"/>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after="0"/>
        <w:jc w:val="both"/>
        <w:rPr>
          <w:rFonts w:ascii="宋体" w:hAnsi="宋体" w:cs="宋体" w:eastAsia="宋体" w:hint="default"/>
          <w:sz w:val="18"/>
          <w:szCs w:val="18"/>
        </w:rPr>
        <w:sectPr>
          <w:pgSz w:w="11910" w:h="16840"/>
          <w:pgMar w:header="747" w:footer="982" w:top="1060" w:bottom="118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both"/>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30"/>
          <w:szCs w:val="30"/>
        </w:rPr>
      </w:pPr>
    </w:p>
    <w:p>
      <w:pPr>
        <w:pStyle w:val="BodyText"/>
        <w:spacing w:line="564" w:lineRule="auto"/>
        <w:ind w:right="4240" w:hanging="1"/>
        <w:jc w:val="left"/>
      </w:pPr>
      <w:r>
        <w:rPr/>
        <w:t>（</w:t>
      </w:r>
      <w:r>
        <w:rPr>
          <w:rFonts w:ascii="Times New Roman" w:hAnsi="Times New Roman" w:cs="Times New Roman" w:eastAsia="Times New Roman" w:hint="default"/>
        </w:rPr>
        <w:t>1</w:t>
      </w:r>
      <w:r>
        <w:rPr/>
        <w:t>）股份支付的种类 本集团股份支付分为以权益结算的股份支付和以现金结算的股份支付。</w:t>
      </w:r>
    </w:p>
    <w:p>
      <w:pPr>
        <w:pStyle w:val="BodyText"/>
        <w:spacing w:line="240" w:lineRule="auto" w:before="125"/>
        <w:ind w:right="0"/>
        <w:jc w:val="both"/>
      </w:pPr>
      <w:r>
        <w:rPr/>
        <w:t>（</w:t>
      </w:r>
      <w:r>
        <w:rPr>
          <w:rFonts w:ascii="Times New Roman" w:hAnsi="Times New Roman" w:cs="Times New Roman" w:eastAsia="Times New Roman" w:hint="default"/>
        </w:rPr>
        <w:t>2</w:t>
      </w:r>
      <w:r>
        <w:rPr/>
        <w:t>）权益工具公允价值的确定方法</w:t>
      </w:r>
    </w:p>
    <w:p>
      <w:pPr>
        <w:spacing w:line="240" w:lineRule="auto" w:before="1"/>
        <w:rPr>
          <w:rFonts w:ascii="宋体" w:hAnsi="宋体" w:cs="宋体" w:eastAsia="宋体" w:hint="default"/>
          <w:sz w:val="30"/>
          <w:szCs w:val="30"/>
        </w:rPr>
      </w:pPr>
    </w:p>
    <w:p>
      <w:pPr>
        <w:pStyle w:val="BodyText"/>
        <w:spacing w:line="400" w:lineRule="auto"/>
        <w:ind w:right="1129"/>
        <w:jc w:val="both"/>
      </w:pPr>
      <w:r>
        <w:rPr>
          <w:spacing w:val="-1"/>
        </w:rPr>
        <w:t>本集团对于授予的存在活跃市场的期权等权益工具，按照活跃市场中的报价确定其公允价值。对于授予的</w:t>
      </w:r>
      <w:r>
        <w:rPr>
          <w:spacing w:val="-81"/>
        </w:rPr>
        <w:t> </w:t>
      </w:r>
      <w:r>
        <w:rPr>
          <w:spacing w:val="-81"/>
        </w:rPr>
      </w:r>
      <w:r>
        <w:rPr>
          <w:spacing w:val="-1"/>
        </w:rPr>
        <w:t>不存在活跃市场的期权等权益工具，采用期权定价模型等确定其公允价值。选用的期权定价模型考虑以下</w:t>
      </w:r>
      <w:r>
        <w:rPr>
          <w:spacing w:val="-81"/>
        </w:rPr>
        <w:t> </w:t>
      </w:r>
      <w:r>
        <w:rPr>
          <w:spacing w:val="-81"/>
        </w:rPr>
      </w:r>
      <w:r>
        <w:rPr>
          <w:spacing w:val="-3"/>
        </w:rPr>
        <w:t>因素：</w:t>
      </w:r>
      <w:r>
        <w:rPr>
          <w:rFonts w:ascii="Times New Roman" w:hAnsi="Times New Roman" w:cs="Times New Roman" w:eastAsia="Times New Roman" w:hint="default"/>
          <w:spacing w:val="-3"/>
        </w:rPr>
        <w:t>A</w:t>
      </w:r>
      <w:r>
        <w:rPr>
          <w:spacing w:val="-3"/>
        </w:rPr>
        <w:t>、期权的行权价格；</w:t>
      </w:r>
      <w:r>
        <w:rPr>
          <w:rFonts w:ascii="Times New Roman" w:hAnsi="Times New Roman" w:cs="Times New Roman" w:eastAsia="Times New Roman" w:hint="default"/>
          <w:spacing w:val="-3"/>
        </w:rPr>
        <w:t>B</w:t>
      </w:r>
      <w:r>
        <w:rPr>
          <w:spacing w:val="-3"/>
        </w:rPr>
        <w:t>、期权的有效期；</w:t>
      </w:r>
      <w:r>
        <w:rPr>
          <w:rFonts w:ascii="Times New Roman" w:hAnsi="Times New Roman" w:cs="Times New Roman" w:eastAsia="Times New Roman" w:hint="default"/>
          <w:spacing w:val="-3"/>
        </w:rPr>
        <w:t>C</w:t>
      </w:r>
      <w:r>
        <w:rPr>
          <w:spacing w:val="-3"/>
        </w:rPr>
        <w:t>、标的股份的现行价格；</w:t>
      </w:r>
      <w:r>
        <w:rPr>
          <w:rFonts w:ascii="Times New Roman" w:hAnsi="Times New Roman" w:cs="Times New Roman" w:eastAsia="Times New Roman" w:hint="default"/>
          <w:spacing w:val="-3"/>
        </w:rPr>
        <w:t>D</w:t>
      </w:r>
      <w:r>
        <w:rPr>
          <w:spacing w:val="-3"/>
        </w:rPr>
        <w:t>、股价预计波动率；</w:t>
      </w:r>
      <w:r>
        <w:rPr>
          <w:rFonts w:ascii="Times New Roman" w:hAnsi="Times New Roman" w:cs="Times New Roman" w:eastAsia="Times New Roman" w:hint="default"/>
          <w:spacing w:val="-3"/>
        </w:rPr>
        <w:t>E</w:t>
      </w:r>
      <w:r>
        <w:rPr>
          <w:spacing w:val="-3"/>
        </w:rPr>
        <w:t>、股份</w:t>
      </w:r>
      <w:r>
        <w:rPr>
          <w:spacing w:val="-70"/>
        </w:rPr>
        <w:t> </w:t>
      </w:r>
      <w:r>
        <w:rPr>
          <w:spacing w:val="-70"/>
        </w:rPr>
      </w:r>
      <w:r>
        <w:rPr/>
        <w:t>的预计股利；</w:t>
      </w:r>
      <w:r>
        <w:rPr>
          <w:rFonts w:ascii="Times New Roman" w:hAnsi="Times New Roman" w:cs="Times New Roman" w:eastAsia="Times New Roman" w:hint="default"/>
        </w:rPr>
        <w:t>F</w:t>
      </w:r>
      <w:r>
        <w:rPr/>
        <w:t>、期权有效期内的无风险利率。</w:t>
      </w:r>
    </w:p>
    <w:p>
      <w:pPr>
        <w:spacing w:line="240" w:lineRule="auto" w:before="2"/>
        <w:rPr>
          <w:rFonts w:ascii="宋体" w:hAnsi="宋体" w:cs="宋体" w:eastAsia="宋体" w:hint="default"/>
          <w:sz w:val="18"/>
          <w:szCs w:val="18"/>
        </w:rPr>
      </w:pPr>
    </w:p>
    <w:p>
      <w:pPr>
        <w:pStyle w:val="BodyText"/>
        <w:spacing w:line="240" w:lineRule="auto"/>
        <w:ind w:right="0"/>
        <w:jc w:val="both"/>
      </w:pPr>
      <w:r>
        <w:rPr/>
        <w:t>（</w:t>
      </w:r>
      <w:r>
        <w:rPr>
          <w:rFonts w:ascii="Times New Roman" w:hAnsi="Times New Roman" w:cs="Times New Roman" w:eastAsia="Times New Roman" w:hint="default"/>
        </w:rPr>
        <w:t>3</w:t>
      </w:r>
      <w:r>
        <w:rPr/>
        <w:t>）确认可行权权益工具最佳估计的依据</w:t>
      </w:r>
    </w:p>
    <w:p>
      <w:pPr>
        <w:spacing w:line="240" w:lineRule="auto" w:before="1"/>
        <w:rPr>
          <w:rFonts w:ascii="宋体" w:hAnsi="宋体" w:cs="宋体" w:eastAsia="宋体" w:hint="default"/>
          <w:sz w:val="30"/>
          <w:szCs w:val="30"/>
        </w:rPr>
      </w:pPr>
    </w:p>
    <w:p>
      <w:pPr>
        <w:pStyle w:val="BodyText"/>
        <w:spacing w:line="408" w:lineRule="auto"/>
        <w:ind w:right="1108"/>
        <w:jc w:val="both"/>
      </w:pPr>
      <w:r>
        <w:rPr>
          <w:spacing w:val="-1"/>
        </w:rPr>
        <w:t>等待期内每个资产负债表日，本集团根据最新取得的可行权职工人数变动等后续信息作出最佳估计，修正</w:t>
      </w:r>
      <w:r>
        <w:rPr>
          <w:spacing w:val="-81"/>
        </w:rPr>
        <w:t> </w:t>
      </w:r>
      <w:r>
        <w:rPr>
          <w:spacing w:val="-81"/>
        </w:rPr>
      </w:r>
      <w:r>
        <w:rPr/>
        <w:t>预计可行权的权益工具数量。在可行权日，最终预计可行权权益工具的数量应当与实际可行权数量一致。</w:t>
      </w:r>
    </w:p>
    <w:p>
      <w:pPr>
        <w:spacing w:line="240" w:lineRule="auto" w:before="0"/>
        <w:rPr>
          <w:rFonts w:ascii="宋体" w:hAnsi="宋体" w:cs="宋体" w:eastAsia="宋体" w:hint="default"/>
          <w:sz w:val="20"/>
          <w:szCs w:val="20"/>
        </w:rPr>
      </w:pPr>
    </w:p>
    <w:p>
      <w:pPr>
        <w:pStyle w:val="BodyText"/>
        <w:spacing w:line="240" w:lineRule="auto"/>
        <w:ind w:right="0"/>
        <w:jc w:val="both"/>
      </w:pPr>
      <w:r>
        <w:rPr/>
        <w:t>（</w:t>
      </w:r>
      <w:r>
        <w:rPr>
          <w:rFonts w:ascii="Times New Roman" w:hAnsi="Times New Roman" w:cs="Times New Roman" w:eastAsia="Times New Roman" w:hint="default"/>
        </w:rPr>
        <w:t>4</w:t>
      </w:r>
      <w:r>
        <w:rPr/>
        <w:t>）实施、修改、终止股份支付计划的相关会计处理</w:t>
      </w:r>
    </w:p>
    <w:p>
      <w:pPr>
        <w:spacing w:line="240" w:lineRule="auto" w:before="1"/>
        <w:rPr>
          <w:rFonts w:ascii="宋体" w:hAnsi="宋体" w:cs="宋体" w:eastAsia="宋体" w:hint="default"/>
          <w:sz w:val="30"/>
          <w:szCs w:val="30"/>
        </w:rPr>
      </w:pPr>
    </w:p>
    <w:p>
      <w:pPr>
        <w:pStyle w:val="BodyText"/>
        <w:spacing w:line="408" w:lineRule="auto"/>
        <w:ind w:right="1122"/>
        <w:jc w:val="both"/>
      </w:pPr>
      <w:r>
        <w:rPr>
          <w:spacing w:val="-1"/>
        </w:rPr>
        <w:t>以权益结算的股份支付，按授予职工权益工具的公允价值计量。授予后立即可行权的，在授予日按照权益</w:t>
      </w:r>
      <w:r>
        <w:rPr>
          <w:spacing w:val="-83"/>
        </w:rPr>
        <w:t> </w:t>
      </w:r>
      <w:r>
        <w:rPr>
          <w:spacing w:val="-83"/>
        </w:rPr>
      </w:r>
      <w:r>
        <w:rPr>
          <w:spacing w:val="-1"/>
        </w:rPr>
        <w:t>工具的公允价值计入相关成本或费用，相应增加资本公积。在完成等待期内的服务或达到规定业绩条件才</w:t>
      </w:r>
      <w:r>
        <w:rPr>
          <w:spacing w:val="-81"/>
        </w:rPr>
        <w:t> </w:t>
      </w:r>
      <w:r>
        <w:rPr>
          <w:spacing w:val="-81"/>
        </w:rPr>
      </w:r>
      <w:r>
        <w:rPr>
          <w:spacing w:val="-1"/>
        </w:rPr>
        <w:t>可行权的，在等待期内的每个资产负债表日，以对可行权权益工具数量的最佳估计为基础，按照权益工具</w:t>
      </w:r>
      <w:r>
        <w:rPr>
          <w:spacing w:val="-83"/>
        </w:rPr>
        <w:t> </w:t>
      </w:r>
      <w:r>
        <w:rPr>
          <w:spacing w:val="-83"/>
        </w:rPr>
      </w:r>
      <w:r>
        <w:rPr>
          <w:spacing w:val="-1"/>
        </w:rPr>
        <w:t>授予日的公允价值，将当期取得的服务计入相关成本或费用和资本公积。在可行权日之后不再对已确认的</w:t>
      </w:r>
      <w:r>
        <w:rPr>
          <w:spacing w:val="-81"/>
        </w:rPr>
        <w:t> </w:t>
      </w:r>
      <w:r>
        <w:rPr>
          <w:spacing w:val="-81"/>
        </w:rPr>
      </w:r>
      <w:r>
        <w:rPr/>
        <w:t>相关成本或费用和所有者权益总额进行调整。</w:t>
      </w:r>
    </w:p>
    <w:p>
      <w:pPr>
        <w:spacing w:line="240" w:lineRule="auto" w:before="0"/>
        <w:rPr>
          <w:rFonts w:ascii="宋体" w:hAnsi="宋体" w:cs="宋体" w:eastAsia="宋体" w:hint="default"/>
          <w:sz w:val="20"/>
          <w:szCs w:val="20"/>
        </w:rPr>
      </w:pPr>
    </w:p>
    <w:p>
      <w:pPr>
        <w:pStyle w:val="BodyText"/>
        <w:spacing w:line="408" w:lineRule="auto"/>
        <w:ind w:right="1108"/>
        <w:jc w:val="both"/>
      </w:pPr>
      <w:r>
        <w:rPr>
          <w:spacing w:val="3"/>
        </w:rPr>
        <w:t>以现金结算的股份支付，按照本集团承担的以股份或其他权益工具为基础计算确定的负债的公允价值计</w:t>
      </w:r>
      <w:r>
        <w:rPr>
          <w:spacing w:val="-78"/>
        </w:rPr>
        <w:t> </w:t>
      </w:r>
      <w:r>
        <w:rPr>
          <w:spacing w:val="-78"/>
        </w:rPr>
      </w:r>
      <w:r>
        <w:rPr/>
        <w:t>量。授予后立即可行权的，在授予日以本集团承担负债的公允价值计入相关成本或费用，相应增加负债。</w:t>
      </w:r>
      <w:r>
        <w:rPr/>
        <w:t> </w:t>
      </w:r>
      <w:r>
        <w:rPr>
          <w:spacing w:val="-1"/>
        </w:rPr>
        <w:t>在完成等待期内的服务或达到规定业绩条件以后才可行权的以现金结算的股份支付，在等待期内的每个资</w:t>
      </w:r>
      <w:r>
        <w:rPr>
          <w:spacing w:val="-81"/>
        </w:rPr>
        <w:t> </w:t>
      </w:r>
      <w:r>
        <w:rPr>
          <w:spacing w:val="-81"/>
        </w:rPr>
      </w:r>
      <w:r>
        <w:rPr>
          <w:spacing w:val="-1"/>
        </w:rPr>
        <w:t>产负债表日，以对可行权情况的最佳估计为基础，按照本集团承担负债的公允价值金额，将当期取得的服</w:t>
      </w:r>
      <w:r>
        <w:rPr>
          <w:spacing w:val="-83"/>
        </w:rPr>
        <w:t> </w:t>
      </w:r>
      <w:r>
        <w:rPr>
          <w:spacing w:val="-83"/>
        </w:rPr>
      </w:r>
      <w:r>
        <w:rPr>
          <w:spacing w:val="-1"/>
        </w:rPr>
        <w:t>务计入成本或费用和相应的负债。在相关负债结算前的每个资产负债表日以及结算日，对负债的公允价值</w:t>
      </w:r>
      <w:r>
        <w:rPr>
          <w:spacing w:val="-81"/>
        </w:rPr>
        <w:t> </w:t>
      </w:r>
      <w:r>
        <w:rPr>
          <w:spacing w:val="-81"/>
        </w:rPr>
      </w:r>
      <w:r>
        <w:rPr/>
        <w:t>重新计量，其变动计入当期损益。</w:t>
      </w:r>
    </w:p>
    <w:p>
      <w:pPr>
        <w:spacing w:line="240" w:lineRule="auto" w:before="0"/>
        <w:rPr>
          <w:rFonts w:ascii="宋体" w:hAnsi="宋体" w:cs="宋体" w:eastAsia="宋体" w:hint="default"/>
          <w:sz w:val="20"/>
          <w:szCs w:val="20"/>
        </w:rPr>
      </w:pPr>
    </w:p>
    <w:p>
      <w:pPr>
        <w:pStyle w:val="BodyText"/>
        <w:spacing w:line="408" w:lineRule="auto"/>
        <w:ind w:right="1129"/>
        <w:jc w:val="both"/>
      </w:pPr>
      <w:r>
        <w:rPr>
          <w:spacing w:val="-1"/>
        </w:rPr>
        <w:t>本集团对股份支付计划进行修改时，若修改增加了所授予权益工具的公允价值，按照权益工具公允价值的</w:t>
      </w:r>
      <w:r>
        <w:rPr>
          <w:spacing w:val="-81"/>
        </w:rPr>
        <w:t> </w:t>
      </w:r>
      <w:r>
        <w:rPr>
          <w:spacing w:val="-81"/>
        </w:rPr>
      </w:r>
      <w:r>
        <w:rPr>
          <w:spacing w:val="-1"/>
        </w:rPr>
        <w:t>增加相应地确认取得服务的增加；若修改增加了所授予权益工具的数量，则将增加的权益工具的公允价值</w:t>
      </w:r>
    </w:p>
    <w:p>
      <w:pPr>
        <w:spacing w:after="0" w:line="408" w:lineRule="auto"/>
        <w:jc w:val="both"/>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153" w:right="1130"/>
        <w:jc w:val="both"/>
      </w:pPr>
      <w:r>
        <w:rPr>
          <w:spacing w:val="-1"/>
        </w:rPr>
        <w:t>相应地确认为取得服务的增加。权益工具公允价值的增加是指修改前后的权益工具在修改日的公允价值之</w:t>
      </w:r>
      <w:r>
        <w:rPr>
          <w:spacing w:val="-81"/>
        </w:rPr>
        <w:t> </w:t>
      </w:r>
      <w:r>
        <w:rPr>
          <w:spacing w:val="-81"/>
        </w:rPr>
      </w:r>
      <w:r>
        <w:rPr>
          <w:spacing w:val="-1"/>
        </w:rPr>
        <w:t>间的差额。若修改减少了股份支付公允价值总额或采用了其他不利于职工的方式修改股份支付计划的条款</w:t>
      </w:r>
      <w:r>
        <w:rPr>
          <w:spacing w:val="-81"/>
        </w:rPr>
        <w:t> </w:t>
      </w:r>
      <w:r>
        <w:rPr>
          <w:spacing w:val="-81"/>
        </w:rPr>
      </w:r>
      <w:r>
        <w:rPr>
          <w:spacing w:val="-1"/>
        </w:rPr>
        <w:t>和条件，则仍继续对取得的服务进行会计处理，视同该变更从未发生，除非本集团取消了部分或全部已授</w:t>
      </w:r>
      <w:r>
        <w:rPr>
          <w:spacing w:val="-83"/>
        </w:rPr>
        <w:t> </w:t>
      </w:r>
      <w:r>
        <w:rPr>
          <w:spacing w:val="-83"/>
        </w:rPr>
      </w:r>
      <w:r>
        <w:rPr/>
        <w:t>予的权益工具。</w:t>
      </w:r>
    </w:p>
    <w:p>
      <w:pPr>
        <w:spacing w:line="240" w:lineRule="auto" w:before="0"/>
        <w:rPr>
          <w:rFonts w:ascii="宋体" w:hAnsi="宋体" w:cs="宋体" w:eastAsia="宋体" w:hint="default"/>
          <w:sz w:val="20"/>
          <w:szCs w:val="20"/>
        </w:rPr>
      </w:pPr>
    </w:p>
    <w:p>
      <w:pPr>
        <w:pStyle w:val="BodyText"/>
        <w:spacing w:line="408" w:lineRule="auto"/>
        <w:ind w:left="153" w:right="1131"/>
        <w:jc w:val="both"/>
      </w:pPr>
      <w:r>
        <w:rPr>
          <w:spacing w:val="-1"/>
        </w:rPr>
        <w:t>在等待期内，如果取消了授予的权益工具（因未满足可行权条件的非市场条件而被取消的除外），本集团</w:t>
      </w:r>
      <w:r>
        <w:rPr>
          <w:spacing w:val="-82"/>
        </w:rPr>
        <w:t> </w:t>
      </w:r>
      <w:r>
        <w:rPr>
          <w:spacing w:val="-82"/>
        </w:rPr>
      </w:r>
      <w:r>
        <w:rPr>
          <w:spacing w:val="-1"/>
        </w:rPr>
        <w:t>对取消所授予的权益性工具作为加速行权处理，将剩余等待期内应确认的金额立即计入当期损益，同时确</w:t>
      </w:r>
      <w:r>
        <w:rPr>
          <w:spacing w:val="-81"/>
        </w:rPr>
        <w:t> </w:t>
      </w:r>
      <w:r>
        <w:rPr>
          <w:spacing w:val="-81"/>
        </w:rPr>
      </w:r>
      <w:r>
        <w:rPr>
          <w:spacing w:val="-1"/>
        </w:rPr>
        <w:t>认资本公积。职工或其他方能够选择满足非可行权条件但在等待期内未满足的，本集团将其作为授予权益</w:t>
      </w:r>
      <w:r>
        <w:rPr>
          <w:spacing w:val="-81"/>
        </w:rPr>
        <w:t> </w:t>
      </w:r>
      <w:r>
        <w:rPr>
          <w:spacing w:val="-81"/>
        </w:rPr>
      </w:r>
      <w:r>
        <w:rPr/>
        <w:t>工具的取消处理。</w:t>
      </w:r>
    </w:p>
    <w:p>
      <w:pPr>
        <w:spacing w:line="240" w:lineRule="auto" w:before="6"/>
        <w:rPr>
          <w:rFonts w:ascii="宋体" w:hAnsi="宋体" w:cs="宋体" w:eastAsia="宋体" w:hint="default"/>
          <w:sz w:val="20"/>
          <w:szCs w:val="20"/>
        </w:rPr>
      </w:pPr>
    </w:p>
    <w:p>
      <w:pPr>
        <w:pStyle w:val="Heading3"/>
        <w:spacing w:line="240" w:lineRule="auto"/>
        <w:ind w:left="153" w:right="0"/>
        <w:jc w:val="both"/>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6"/>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spacing w:line="357" w:lineRule="auto" w:before="0"/>
        <w:ind w:left="153" w:right="7691"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9"/>
        <w:ind w:left="153" w:right="0" w:firstLine="0"/>
        <w:jc w:val="both"/>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before="116"/>
        <w:ind w:left="153" w:right="0" w:firstLine="0"/>
        <w:jc w:val="both"/>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pStyle w:val="BodyText"/>
        <w:spacing w:line="240" w:lineRule="auto" w:before="154"/>
        <w:ind w:right="0"/>
        <w:jc w:val="both"/>
      </w:pPr>
      <w:r>
        <w:rPr/>
        <w:t>（</w:t>
      </w:r>
      <w:r>
        <w:rPr>
          <w:rFonts w:ascii="Times New Roman" w:hAnsi="Times New Roman" w:cs="Times New Roman" w:eastAsia="Times New Roman" w:hint="default"/>
        </w:rPr>
        <w:t>1</w:t>
      </w:r>
      <w:r>
        <w:rPr/>
        <w:t>）销售商品</w:t>
      </w:r>
    </w:p>
    <w:p>
      <w:pPr>
        <w:spacing w:line="240" w:lineRule="auto" w:before="1"/>
        <w:rPr>
          <w:rFonts w:ascii="宋体" w:hAnsi="宋体" w:cs="宋体" w:eastAsia="宋体" w:hint="default"/>
          <w:sz w:val="30"/>
          <w:szCs w:val="30"/>
        </w:rPr>
      </w:pPr>
    </w:p>
    <w:p>
      <w:pPr>
        <w:pStyle w:val="BodyText"/>
        <w:spacing w:line="408" w:lineRule="auto"/>
        <w:ind w:right="1129"/>
        <w:jc w:val="both"/>
      </w:pPr>
      <w:r>
        <w:rPr>
          <w:spacing w:val="-1"/>
        </w:rPr>
        <w:t>在已将商品所有权上的主要风险和报酬转移给购货方，既没有保留通常与所有权相联系的继续管理权，也</w:t>
      </w:r>
      <w:r>
        <w:rPr>
          <w:spacing w:val="-81"/>
        </w:rPr>
        <w:t> </w:t>
      </w:r>
      <w:r>
        <w:rPr>
          <w:spacing w:val="-81"/>
        </w:rPr>
      </w:r>
      <w:r>
        <w:rPr>
          <w:spacing w:val="-1"/>
        </w:rPr>
        <w:t>没有对已售商品实施有效控制，收入的金额能够可靠地计量，相关的经济利益很可能流入企业，相关的已</w:t>
      </w:r>
      <w:r>
        <w:rPr>
          <w:spacing w:val="-83"/>
        </w:rPr>
        <w:t> </w:t>
      </w:r>
      <w:r>
        <w:rPr>
          <w:spacing w:val="-83"/>
        </w:rPr>
      </w:r>
      <w:r>
        <w:rPr/>
        <w:t>发生或将发生的成本能够可靠地计量时，确认商品销售收入的实现。具体方法如下：</w:t>
      </w:r>
    </w:p>
    <w:p>
      <w:pPr>
        <w:spacing w:line="240" w:lineRule="auto" w:before="0"/>
        <w:rPr>
          <w:rFonts w:ascii="宋体" w:hAnsi="宋体" w:cs="宋体" w:eastAsia="宋体" w:hint="default"/>
          <w:sz w:val="20"/>
          <w:szCs w:val="20"/>
        </w:rPr>
      </w:pPr>
    </w:p>
    <w:p>
      <w:pPr>
        <w:pStyle w:val="BodyText"/>
        <w:spacing w:line="403" w:lineRule="auto"/>
        <w:ind w:right="1129"/>
        <w:jc w:val="both"/>
      </w:pPr>
      <w:r>
        <w:rPr/>
        <w:t>本集团软硬件开发与销售（以下统称</w:t>
      </w:r>
      <w:r>
        <w:rPr>
          <w:rFonts w:ascii="Times New Roman" w:hAnsi="Times New Roman" w:cs="Times New Roman" w:eastAsia="Times New Roman" w:hint="default"/>
        </w:rPr>
        <w:t>“</w:t>
      </w:r>
      <w:r>
        <w:rPr/>
        <w:t>产品销售</w:t>
      </w:r>
      <w:r>
        <w:rPr>
          <w:rFonts w:ascii="Times New Roman" w:hAnsi="Times New Roman" w:cs="Times New Roman" w:eastAsia="Times New Roman" w:hint="default"/>
        </w:rPr>
        <w:t>”</w:t>
      </w:r>
      <w:r>
        <w:rPr/>
        <w:t>）包括销售电子数据取证、视频分析及专项执法装备、网 </w:t>
      </w:r>
      <w:r>
        <w:rPr>
          <w:spacing w:val="-1"/>
        </w:rPr>
        <w:t>络空间大搜索产品及大数据信息化产品平台，其中硬件产品包括自主开发硬件产品及外购配件商品，软件</w:t>
      </w:r>
      <w:r>
        <w:rPr>
          <w:spacing w:val="-81"/>
        </w:rPr>
        <w:t> </w:t>
      </w:r>
      <w:r>
        <w:rPr>
          <w:spacing w:val="-81"/>
        </w:rPr>
      </w:r>
      <w:r>
        <w:rPr>
          <w:spacing w:val="-1"/>
        </w:rPr>
        <w:t>产品包括自主开发标准软件产品和自主开发客户定制软件产品。自主开发标准软件产品指公司自行开发研</w:t>
      </w:r>
      <w:r>
        <w:rPr>
          <w:spacing w:val="-81"/>
        </w:rPr>
        <w:t> </w:t>
      </w:r>
      <w:r>
        <w:rPr>
          <w:spacing w:val="-81"/>
        </w:rPr>
      </w:r>
      <w:r>
        <w:rPr>
          <w:spacing w:val="-1"/>
        </w:rPr>
        <w:t>制的销售时不转让著作权的软件产品，由此开发出来的软件具有自主知识产权、无差异化、可批量复制的</w:t>
      </w:r>
      <w:r>
        <w:rPr>
          <w:spacing w:val="-83"/>
        </w:rPr>
        <w:t> </w:t>
      </w:r>
      <w:r>
        <w:rPr>
          <w:spacing w:val="-83"/>
        </w:rPr>
      </w:r>
      <w:r>
        <w:rPr>
          <w:spacing w:val="-1"/>
        </w:rPr>
        <w:t>特性；自主开发客户定制软件产品指公司根据客户的实际需求进行定制、开发的软件产品，由此开发出来</w:t>
      </w:r>
      <w:r>
        <w:rPr>
          <w:spacing w:val="-83"/>
        </w:rPr>
        <w:t> </w:t>
      </w:r>
      <w:r>
        <w:rPr>
          <w:spacing w:val="-83"/>
        </w:rPr>
      </w:r>
      <w:r>
        <w:rPr/>
        <w:t>的软件不具有通用性。</w:t>
      </w:r>
    </w:p>
    <w:p>
      <w:pPr>
        <w:spacing w:line="240" w:lineRule="auto" w:before="5"/>
        <w:rPr>
          <w:rFonts w:ascii="宋体" w:hAnsi="宋体" w:cs="宋体" w:eastAsia="宋体" w:hint="default"/>
          <w:sz w:val="20"/>
          <w:szCs w:val="20"/>
        </w:rPr>
      </w:pPr>
    </w:p>
    <w:p>
      <w:pPr>
        <w:pStyle w:val="BodyText"/>
        <w:spacing w:line="408" w:lineRule="auto"/>
        <w:ind w:right="1129"/>
        <w:jc w:val="both"/>
      </w:pPr>
      <w:r>
        <w:rPr>
          <w:spacing w:val="-1"/>
        </w:rPr>
        <w:t>本集团向客户销售软件产品的同时，为其提供软件应用所需的设备配件及安装服务，如果软件收入与设备</w:t>
      </w:r>
      <w:r>
        <w:rPr>
          <w:spacing w:val="-81"/>
        </w:rPr>
        <w:t> </w:t>
      </w:r>
      <w:r>
        <w:rPr>
          <w:spacing w:val="-81"/>
        </w:rPr>
      </w:r>
      <w:r>
        <w:rPr>
          <w:spacing w:val="-1"/>
        </w:rPr>
        <w:t>配件及安装服务收入能明确区分，则分别作为软件产品销售、硬件产品销售及技术服务进行核算；如果软</w:t>
      </w:r>
    </w:p>
    <w:p>
      <w:pPr>
        <w:spacing w:after="0" w:line="408" w:lineRule="auto"/>
        <w:jc w:val="both"/>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both"/>
      </w:pPr>
      <w:r>
        <w:rPr/>
        <w:t>件收入与设备配件及安装服务收入不能明确区分，则将其一并作为硬件产品销售进行核算。</w:t>
      </w:r>
    </w:p>
    <w:p>
      <w:pPr>
        <w:spacing w:line="240" w:lineRule="auto" w:before="0"/>
        <w:rPr>
          <w:rFonts w:ascii="宋体" w:hAnsi="宋体" w:cs="宋体" w:eastAsia="宋体" w:hint="default"/>
          <w:sz w:val="20"/>
          <w:szCs w:val="20"/>
        </w:rPr>
      </w:pPr>
    </w:p>
    <w:p>
      <w:pPr>
        <w:pStyle w:val="BodyText"/>
        <w:spacing w:line="408" w:lineRule="auto" w:before="147"/>
        <w:ind w:left="153" w:right="1131"/>
        <w:jc w:val="both"/>
      </w:pPr>
      <w:r>
        <w:rPr>
          <w:spacing w:val="-1"/>
        </w:rPr>
        <w:t>本集团产品销售收入确认的具体标准：无需安装调试的产品在交付并经客户验收合格后确认收入；需安装</w:t>
      </w:r>
      <w:r>
        <w:rPr>
          <w:spacing w:val="-81"/>
        </w:rPr>
        <w:t> </w:t>
      </w:r>
      <w:r>
        <w:rPr>
          <w:spacing w:val="-81"/>
        </w:rPr>
      </w:r>
      <w:r>
        <w:rPr>
          <w:spacing w:val="-1"/>
        </w:rPr>
        <w:t>调试的产品在项目实施完成并经客户验收合格取得对方签字的验收报告后确认收入；对需要分次交付验收</w:t>
      </w:r>
      <w:r>
        <w:rPr>
          <w:spacing w:val="-81"/>
        </w:rPr>
        <w:t> </w:t>
      </w:r>
      <w:r>
        <w:rPr>
          <w:spacing w:val="-81"/>
        </w:rPr>
      </w:r>
      <w:r>
        <w:rPr/>
        <w:t>的，在分次取得验收报告后确认收入。</w:t>
      </w:r>
    </w:p>
    <w:p>
      <w:pPr>
        <w:spacing w:line="240" w:lineRule="auto" w:before="0"/>
        <w:rPr>
          <w:rFonts w:ascii="宋体" w:hAnsi="宋体" w:cs="宋体" w:eastAsia="宋体" w:hint="default"/>
          <w:sz w:val="20"/>
          <w:szCs w:val="20"/>
        </w:rPr>
      </w:pPr>
    </w:p>
    <w:p>
      <w:pPr>
        <w:pStyle w:val="BodyText"/>
        <w:spacing w:line="240" w:lineRule="auto"/>
        <w:ind w:left="153" w:right="0"/>
        <w:jc w:val="both"/>
      </w:pPr>
      <w:r>
        <w:rPr/>
        <w:t>（</w:t>
      </w:r>
      <w:r>
        <w:rPr>
          <w:rFonts w:ascii="Times New Roman" w:hAnsi="Times New Roman" w:cs="Times New Roman" w:eastAsia="Times New Roman" w:hint="default"/>
        </w:rPr>
        <w:t>2</w:t>
      </w:r>
      <w:r>
        <w:rPr/>
        <w:t>）技术服务收入</w:t>
      </w:r>
    </w:p>
    <w:p>
      <w:pPr>
        <w:spacing w:line="240" w:lineRule="auto" w:before="1"/>
        <w:rPr>
          <w:rFonts w:ascii="宋体" w:hAnsi="宋体" w:cs="宋体" w:eastAsia="宋体" w:hint="default"/>
          <w:sz w:val="30"/>
          <w:szCs w:val="30"/>
        </w:rPr>
      </w:pPr>
    </w:p>
    <w:p>
      <w:pPr>
        <w:pStyle w:val="BodyText"/>
        <w:spacing w:line="408" w:lineRule="auto"/>
        <w:ind w:left="153" w:right="1022"/>
        <w:jc w:val="left"/>
      </w:pPr>
      <w:r>
        <w:rPr>
          <w:spacing w:val="-3"/>
        </w:rPr>
        <w:t>本集团在已根据合同约定提供了相应服务，取得明确的收款证据，相关成本能够可靠地计量时，确认收入。</w:t>
      </w:r>
      <w:r>
        <w:rPr>
          <w:spacing w:val="-90"/>
        </w:rPr>
        <w:t> </w:t>
      </w:r>
      <w:r>
        <w:rPr>
          <w:spacing w:val="-90"/>
        </w:rPr>
      </w:r>
      <w:r>
        <w:rPr>
          <w:spacing w:val="-3"/>
        </w:rPr>
        <w:t>技术服务收入包括向客户提供的技术支持、技术咨询以及技术培训服务收入等。合同明确约定服务期限的，</w:t>
      </w:r>
      <w:r>
        <w:rPr>
          <w:spacing w:val="-92"/>
        </w:rPr>
        <w:t> </w:t>
      </w:r>
      <w:r>
        <w:rPr>
          <w:spacing w:val="-92"/>
        </w:rPr>
      </w:r>
      <w:r>
        <w:rPr/>
        <w:t>在合同约定的服务期限内，按进度确认收入；合同明确约定服务成果需经客户验收确认的，在本集团提交</w:t>
      </w:r>
      <w:r>
        <w:rPr/>
        <w:t> </w:t>
      </w:r>
      <w:r>
        <w:rPr>
          <w:spacing w:val="-3"/>
        </w:rPr>
        <w:t>了相应的服务成果并通过验收，取得客户的验收报告，获得明确的收款证据，相关成本能够可靠地计量时，</w:t>
      </w:r>
      <w:r>
        <w:rPr>
          <w:spacing w:val="-90"/>
        </w:rPr>
        <w:t> </w:t>
      </w:r>
      <w:r>
        <w:rPr>
          <w:spacing w:val="-90"/>
        </w:rPr>
      </w:r>
      <w:r>
        <w:rPr/>
        <w:t>确认收入；其他服务在本集团提供了相应服务，取得明确的收款证据，相关成本能够可靠地计量时，确认</w:t>
      </w:r>
      <w:r>
        <w:rPr/>
        <w:t> 收入。同一合同中，既约定了产品销售金额又约定了服务费金额的，分别按照产品销售收入和服务收入确 认原则确认相应的收入；如果产品销售收入和服务收入不能区分，则将其一并作为产品销售进行核算。</w:t>
      </w:r>
    </w:p>
    <w:p>
      <w:pPr>
        <w:spacing w:line="240" w:lineRule="auto" w:before="0"/>
        <w:rPr>
          <w:rFonts w:ascii="宋体" w:hAnsi="宋体" w:cs="宋体" w:eastAsia="宋体" w:hint="default"/>
          <w:sz w:val="20"/>
          <w:szCs w:val="20"/>
        </w:rPr>
      </w:pPr>
    </w:p>
    <w:p>
      <w:pPr>
        <w:pStyle w:val="BodyText"/>
        <w:spacing w:line="564" w:lineRule="auto"/>
        <w:ind w:right="1930" w:hanging="1"/>
        <w:jc w:val="left"/>
      </w:pPr>
      <w:r>
        <w:rPr/>
        <w:t>（</w:t>
      </w:r>
      <w:r>
        <w:rPr>
          <w:rFonts w:ascii="Times New Roman" w:hAnsi="Times New Roman" w:cs="Times New Roman" w:eastAsia="Times New Roman" w:hint="default"/>
        </w:rPr>
        <w:t>3</w:t>
      </w:r>
      <w:r>
        <w:rPr/>
        <w:t>）让渡资产使用权 与资产使用权让渡相关的经济利益能够流入及收入的金额能够可靠地计量时，本集团确认收入。</w:t>
      </w:r>
    </w:p>
    <w:p>
      <w:pPr>
        <w:pStyle w:val="BodyText"/>
        <w:spacing w:line="240" w:lineRule="auto" w:before="125"/>
        <w:ind w:right="0"/>
        <w:jc w:val="both"/>
      </w:pPr>
      <w:r>
        <w:rPr/>
        <w:t>（</w:t>
      </w:r>
      <w:r>
        <w:rPr>
          <w:rFonts w:ascii="Times New Roman" w:hAnsi="Times New Roman" w:cs="Times New Roman" w:eastAsia="Times New Roman" w:hint="default"/>
        </w:rPr>
        <w:t>4</w:t>
      </w:r>
      <w:r>
        <w:rPr/>
        <w:t>）建造合同</w:t>
      </w:r>
    </w:p>
    <w:p>
      <w:pPr>
        <w:spacing w:line="240" w:lineRule="auto" w:before="1"/>
        <w:rPr>
          <w:rFonts w:ascii="宋体" w:hAnsi="宋体" w:cs="宋体" w:eastAsia="宋体" w:hint="default"/>
          <w:sz w:val="30"/>
          <w:szCs w:val="30"/>
        </w:rPr>
      </w:pPr>
    </w:p>
    <w:p>
      <w:pPr>
        <w:pStyle w:val="BodyText"/>
        <w:spacing w:line="408" w:lineRule="auto"/>
        <w:ind w:right="1129"/>
        <w:jc w:val="both"/>
      </w:pPr>
      <w:r>
        <w:rPr>
          <w:spacing w:val="-1"/>
        </w:rPr>
        <w:t>于资产负债表日，建造合同的结果能够可靠地估计的，本集团根据完工百分比法确认合同收入和费用。如</w:t>
      </w:r>
      <w:r>
        <w:rPr>
          <w:spacing w:val="-83"/>
        </w:rPr>
        <w:t> </w:t>
      </w:r>
      <w:r>
        <w:rPr>
          <w:spacing w:val="-83"/>
        </w:rPr>
      </w:r>
      <w:r>
        <w:rPr>
          <w:spacing w:val="-1"/>
        </w:rPr>
        <w:t>果建造合同的结果不能可靠地估计，则区别情况处理：如合同成本能够收回的，则合同收入根据能够收回</w:t>
      </w:r>
      <w:r>
        <w:rPr>
          <w:spacing w:val="-83"/>
        </w:rPr>
        <w:t> </w:t>
      </w:r>
      <w:r>
        <w:rPr>
          <w:spacing w:val="-83"/>
        </w:rPr>
      </w:r>
      <w:r>
        <w:rPr>
          <w:spacing w:val="-1"/>
        </w:rPr>
        <w:t>的实际合同成本加以确认，合同成本在其发生的当期作为费用；如合同成本不可能收回的，则在发生时作</w:t>
      </w:r>
      <w:r>
        <w:rPr>
          <w:spacing w:val="-83"/>
        </w:rPr>
        <w:t> </w:t>
      </w:r>
      <w:r>
        <w:rPr>
          <w:spacing w:val="-83"/>
        </w:rPr>
      </w:r>
      <w:r>
        <w:rPr/>
        <w:t>为费用，不确认收入。</w:t>
      </w:r>
    </w:p>
    <w:p>
      <w:pPr>
        <w:spacing w:line="240" w:lineRule="auto" w:before="0"/>
        <w:rPr>
          <w:rFonts w:ascii="宋体" w:hAnsi="宋体" w:cs="宋体" w:eastAsia="宋体" w:hint="default"/>
          <w:sz w:val="20"/>
          <w:szCs w:val="20"/>
        </w:rPr>
      </w:pPr>
    </w:p>
    <w:p>
      <w:pPr>
        <w:pStyle w:val="BodyText"/>
        <w:spacing w:line="240" w:lineRule="auto"/>
        <w:ind w:right="0"/>
        <w:jc w:val="both"/>
      </w:pPr>
      <w:r>
        <w:rPr/>
        <w:t>合同预计总成本超过合同总收入的，本集团将预计损失确认为当期费用。</w:t>
      </w:r>
    </w:p>
    <w:p>
      <w:pPr>
        <w:spacing w:line="240" w:lineRule="auto" w:before="0"/>
        <w:rPr>
          <w:rFonts w:ascii="宋体" w:hAnsi="宋体" w:cs="宋体" w:eastAsia="宋体" w:hint="default"/>
          <w:sz w:val="20"/>
          <w:szCs w:val="20"/>
        </w:rPr>
      </w:pPr>
    </w:p>
    <w:p>
      <w:pPr>
        <w:pStyle w:val="BodyText"/>
        <w:spacing w:line="240" w:lineRule="auto" w:before="147"/>
        <w:ind w:right="0"/>
        <w:jc w:val="both"/>
      </w:pPr>
      <w:r>
        <w:rPr/>
        <w:t>合同完工进度按已经完成的合同工作量占合同预计总工作量的比例确定。</w:t>
      </w:r>
    </w:p>
    <w:p>
      <w:pPr>
        <w:spacing w:line="240" w:lineRule="auto" w:before="0"/>
        <w:rPr>
          <w:rFonts w:ascii="宋体" w:hAnsi="宋体" w:cs="宋体" w:eastAsia="宋体" w:hint="default"/>
          <w:sz w:val="20"/>
          <w:szCs w:val="20"/>
        </w:rPr>
      </w:pPr>
    </w:p>
    <w:p>
      <w:pPr>
        <w:pStyle w:val="BodyText"/>
        <w:spacing w:line="386" w:lineRule="auto" w:before="147"/>
        <w:ind w:right="1131" w:hanging="1"/>
        <w:jc w:val="both"/>
      </w:pPr>
      <w:r>
        <w:rPr>
          <w:spacing w:val="-3"/>
        </w:rPr>
        <w:t>建造合同的结果能够可靠估计是指同时满足：</w:t>
      </w:r>
      <w:r>
        <w:rPr>
          <w:rFonts w:ascii="Times New Roman" w:hAnsi="Times New Roman" w:cs="Times New Roman" w:eastAsia="Times New Roman" w:hint="default"/>
          <w:spacing w:val="-3"/>
        </w:rPr>
        <w:t>A</w:t>
      </w:r>
      <w:r>
        <w:rPr>
          <w:spacing w:val="-3"/>
        </w:rPr>
        <w:t>、合同总收入能够可靠地计量；</w:t>
      </w:r>
      <w:r>
        <w:rPr>
          <w:rFonts w:ascii="Times New Roman" w:hAnsi="Times New Roman" w:cs="Times New Roman" w:eastAsia="Times New Roman" w:hint="default"/>
          <w:spacing w:val="-3"/>
        </w:rPr>
        <w:t>B</w:t>
      </w:r>
      <w:r>
        <w:rPr>
          <w:spacing w:val="-3"/>
        </w:rPr>
        <w:t>、与合同相关的经济利益</w:t>
      </w:r>
      <w:r>
        <w:rPr>
          <w:spacing w:val="-72"/>
        </w:rPr>
        <w:t> </w:t>
      </w:r>
      <w:r>
        <w:rPr>
          <w:spacing w:val="-72"/>
        </w:rPr>
      </w:r>
      <w:r>
        <w:rPr>
          <w:spacing w:val="-3"/>
        </w:rPr>
        <w:t>很可能流入企业；</w:t>
      </w:r>
      <w:r>
        <w:rPr>
          <w:rFonts w:ascii="Times New Roman" w:hAnsi="Times New Roman" w:cs="Times New Roman" w:eastAsia="Times New Roman" w:hint="default"/>
          <w:spacing w:val="-3"/>
        </w:rPr>
        <w:t>C</w:t>
      </w:r>
      <w:r>
        <w:rPr>
          <w:spacing w:val="-3"/>
        </w:rPr>
        <w:t>、实际发生的合同成本能够清楚地区分和可靠地计量；</w:t>
      </w:r>
      <w:r>
        <w:rPr>
          <w:rFonts w:ascii="Times New Roman" w:hAnsi="Times New Roman" w:cs="Times New Roman" w:eastAsia="Times New Roman" w:hint="default"/>
          <w:spacing w:val="-3"/>
        </w:rPr>
        <w:t>D</w:t>
      </w:r>
      <w:r>
        <w:rPr>
          <w:spacing w:val="-3"/>
        </w:rPr>
        <w:t>、合同完工进度和为完成合同</w:t>
      </w:r>
      <w:r>
        <w:rPr>
          <w:spacing w:val="-73"/>
        </w:rPr>
        <w:t> </w:t>
      </w:r>
      <w:r>
        <w:rPr>
          <w:spacing w:val="-73"/>
        </w:rPr>
      </w:r>
      <w:r>
        <w:rPr/>
        <w:t>尚需发生的成本能够可靠地确定。</w:t>
      </w:r>
    </w:p>
    <w:p>
      <w:pPr>
        <w:spacing w:after="0" w:line="386" w:lineRule="auto"/>
        <w:jc w:val="both"/>
        <w:sectPr>
          <w:pgSz w:w="11910" w:h="16840"/>
          <w:pgMar w:header="747" w:footer="982" w:top="1060" w:bottom="118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both"/>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30"/>
          <w:szCs w:val="30"/>
        </w:rPr>
      </w:pPr>
    </w:p>
    <w:p>
      <w:pPr>
        <w:pStyle w:val="BodyText"/>
        <w:spacing w:line="240" w:lineRule="auto"/>
        <w:ind w:left="153" w:right="0"/>
        <w:jc w:val="both"/>
      </w:pPr>
      <w:r>
        <w:rPr/>
        <w:t>政府补助在满足政府补助所附条件并能够收到时确认。</w:t>
      </w:r>
    </w:p>
    <w:p>
      <w:pPr>
        <w:spacing w:line="240" w:lineRule="auto" w:before="0"/>
        <w:rPr>
          <w:rFonts w:ascii="宋体" w:hAnsi="宋体" w:cs="宋体" w:eastAsia="宋体" w:hint="default"/>
          <w:sz w:val="20"/>
          <w:szCs w:val="20"/>
        </w:rPr>
      </w:pPr>
    </w:p>
    <w:p>
      <w:pPr>
        <w:pStyle w:val="BodyText"/>
        <w:spacing w:line="408" w:lineRule="auto" w:before="147"/>
        <w:ind w:left="153" w:right="0"/>
        <w:jc w:val="left"/>
      </w:pPr>
      <w:r>
        <w:rPr/>
        <w:t>对于货币性资产的政府补助，按照收到或应收的金额计量。对于非货币性资产的政府补助，按照公允价值 计量；公允价值不能够可靠取得的，按照名义金额</w:t>
      </w:r>
      <w:r>
        <w:rPr>
          <w:rFonts w:ascii="Times New Roman" w:hAnsi="Times New Roman" w:cs="Times New Roman" w:eastAsia="Times New Roman" w:hint="default"/>
        </w:rPr>
        <w:t>1</w:t>
      </w:r>
      <w:r>
        <w:rPr/>
        <w:t>元计量。</w:t>
      </w:r>
    </w:p>
    <w:p>
      <w:pPr>
        <w:spacing w:line="240" w:lineRule="auto" w:before="8"/>
        <w:rPr>
          <w:rFonts w:ascii="宋体" w:hAnsi="宋体" w:cs="宋体" w:eastAsia="宋体" w:hint="default"/>
          <w:sz w:val="17"/>
          <w:szCs w:val="17"/>
        </w:rPr>
      </w:pPr>
    </w:p>
    <w:p>
      <w:pPr>
        <w:pStyle w:val="BodyText"/>
        <w:spacing w:line="408" w:lineRule="auto"/>
        <w:ind w:right="1021"/>
        <w:jc w:val="left"/>
      </w:pPr>
      <w:r>
        <w:rPr>
          <w:spacing w:val="-3"/>
        </w:rPr>
        <w:t>与资产相关的政府补助，是指本集团取得的、用于购建或以其他方式形成长期资产的政府补助；除此之外，</w:t>
      </w:r>
      <w:r>
        <w:rPr>
          <w:spacing w:val="-90"/>
        </w:rPr>
        <w:t> </w:t>
      </w:r>
      <w:r>
        <w:rPr>
          <w:spacing w:val="-90"/>
        </w:rPr>
      </w:r>
      <w:r>
        <w:rPr/>
        <w:t>作为与收益相关的政府补助。</w:t>
      </w:r>
    </w:p>
    <w:p>
      <w:pPr>
        <w:spacing w:line="240" w:lineRule="auto" w:before="0"/>
        <w:rPr>
          <w:rFonts w:ascii="宋体" w:hAnsi="宋体" w:cs="宋体" w:eastAsia="宋体" w:hint="default"/>
          <w:sz w:val="20"/>
          <w:szCs w:val="20"/>
        </w:rPr>
      </w:pPr>
    </w:p>
    <w:p>
      <w:pPr>
        <w:pStyle w:val="BodyText"/>
        <w:spacing w:line="408" w:lineRule="auto"/>
        <w:ind w:right="1131"/>
        <w:jc w:val="both"/>
      </w:pPr>
      <w:r>
        <w:rPr>
          <w:spacing w:val="-1"/>
        </w:rPr>
        <w:t>对于政府文件未明确规定补助对象的，能够形成长期资产的，与资产价值相对应的政府补助部分作为与资</w:t>
      </w:r>
      <w:r>
        <w:rPr>
          <w:spacing w:val="-81"/>
        </w:rPr>
        <w:t> </w:t>
      </w:r>
      <w:r>
        <w:rPr>
          <w:spacing w:val="-81"/>
        </w:rPr>
      </w:r>
      <w:r>
        <w:rPr>
          <w:spacing w:val="-1"/>
        </w:rPr>
        <w:t>产相关的政府补助，其余部分作为与收益相关的政府补助；难以区分的，将政府补助整体作为与收益相关</w:t>
      </w:r>
      <w:r>
        <w:rPr>
          <w:spacing w:val="-83"/>
        </w:rPr>
        <w:t> </w:t>
      </w:r>
      <w:r>
        <w:rPr>
          <w:spacing w:val="-83"/>
        </w:rPr>
      </w:r>
      <w:r>
        <w:rPr/>
        <w:t>的政府补助。</w:t>
      </w:r>
    </w:p>
    <w:p>
      <w:pPr>
        <w:spacing w:line="240" w:lineRule="auto" w:before="0"/>
        <w:rPr>
          <w:rFonts w:ascii="宋体" w:hAnsi="宋体" w:cs="宋体" w:eastAsia="宋体" w:hint="default"/>
          <w:sz w:val="20"/>
          <w:szCs w:val="20"/>
        </w:rPr>
      </w:pPr>
    </w:p>
    <w:p>
      <w:pPr>
        <w:pStyle w:val="BodyText"/>
        <w:spacing w:line="408" w:lineRule="auto"/>
        <w:ind w:right="1131"/>
        <w:jc w:val="both"/>
      </w:pPr>
      <w:r>
        <w:rPr>
          <w:spacing w:val="-1"/>
        </w:rPr>
        <w:t>与资产相关的政府补助，冲减相关资产的账面价值，或者确认为递延收益并在能够满足政府补助所附条件</w:t>
      </w:r>
      <w:r>
        <w:rPr>
          <w:spacing w:val="-81"/>
        </w:rPr>
        <w:t> </w:t>
      </w:r>
      <w:r>
        <w:rPr>
          <w:spacing w:val="-81"/>
        </w:rPr>
      </w:r>
      <w:r>
        <w:rPr/>
        <w:t>后，在相关资产使用期限内按照合理、系统的方法分期计入损益。</w:t>
      </w:r>
    </w:p>
    <w:p>
      <w:pPr>
        <w:spacing w:line="240" w:lineRule="auto" w:before="0"/>
        <w:rPr>
          <w:rFonts w:ascii="宋体" w:hAnsi="宋体" w:cs="宋体" w:eastAsia="宋体" w:hint="default"/>
          <w:sz w:val="20"/>
          <w:szCs w:val="20"/>
        </w:rPr>
      </w:pPr>
    </w:p>
    <w:p>
      <w:pPr>
        <w:pStyle w:val="BodyText"/>
        <w:spacing w:line="408" w:lineRule="auto"/>
        <w:ind w:right="1130"/>
        <w:jc w:val="both"/>
      </w:pPr>
      <w:r>
        <w:rPr>
          <w:spacing w:val="-1"/>
        </w:rPr>
        <w:t>与日常活动相关的政府补助，按照经济业务实质，计入其他收益或冲减相关成本费用。与日常活动无关的</w:t>
      </w:r>
      <w:r>
        <w:rPr>
          <w:spacing w:val="-83"/>
        </w:rPr>
        <w:t> </w:t>
      </w:r>
      <w:r>
        <w:rPr>
          <w:spacing w:val="-83"/>
        </w:rPr>
      </w:r>
      <w:r>
        <w:rPr/>
        <w:t>政府补助，计入营业外收支。</w:t>
      </w:r>
    </w:p>
    <w:p>
      <w:pPr>
        <w:spacing w:line="240" w:lineRule="auto" w:before="0"/>
        <w:rPr>
          <w:rFonts w:ascii="宋体" w:hAnsi="宋体" w:cs="宋体" w:eastAsia="宋体" w:hint="default"/>
          <w:sz w:val="20"/>
          <w:szCs w:val="20"/>
        </w:rPr>
      </w:pPr>
    </w:p>
    <w:p>
      <w:pPr>
        <w:pStyle w:val="BodyText"/>
        <w:spacing w:line="408" w:lineRule="auto"/>
        <w:ind w:right="1021"/>
        <w:jc w:val="left"/>
      </w:pPr>
      <w:r>
        <w:rPr/>
        <w:t>已确认的政府补助需要返还时，初始确认时冲减相关资产账面价值的，调整资产账面价值；存在相关递延 </w:t>
      </w:r>
      <w:r>
        <w:rPr>
          <w:spacing w:val="-3"/>
        </w:rPr>
        <w:t>收益余额的，冲减相关递延收益账面余额，超出部分计入当期损益；属于其他情况的，直接计入当期损益。</w:t>
      </w:r>
    </w:p>
    <w:p>
      <w:pPr>
        <w:spacing w:line="240" w:lineRule="auto" w:before="6"/>
        <w:rPr>
          <w:rFonts w:ascii="宋体" w:hAnsi="宋体" w:cs="宋体" w:eastAsia="宋体" w:hint="default"/>
          <w:sz w:val="20"/>
          <w:szCs w:val="20"/>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1131"/>
        <w:jc w:val="both"/>
      </w:pPr>
      <w:r>
        <w:rPr>
          <w:spacing w:val="-1"/>
        </w:rPr>
        <w:t>对于政府文件未明确规定补助对象的，能够形成长期资产的，与资产价值相对应的政府补助部分作为与资</w:t>
      </w:r>
      <w:r>
        <w:rPr>
          <w:spacing w:val="-81"/>
        </w:rPr>
        <w:t> </w:t>
      </w:r>
      <w:r>
        <w:rPr>
          <w:spacing w:val="-81"/>
        </w:rPr>
      </w:r>
      <w:r>
        <w:rPr>
          <w:spacing w:val="-1"/>
        </w:rPr>
        <w:t>产相关的政府补助，其余部分作为与收益相关的政府补助；难以区分的，将政府补助整体作为与收益相关</w:t>
      </w:r>
      <w:r>
        <w:rPr>
          <w:spacing w:val="-83"/>
        </w:rPr>
        <w:t> </w:t>
      </w:r>
      <w:r>
        <w:rPr>
          <w:spacing w:val="-83"/>
        </w:rPr>
      </w:r>
      <w:r>
        <w:rPr/>
        <w:t>的政府补助。</w:t>
      </w:r>
    </w:p>
    <w:p>
      <w:pPr>
        <w:spacing w:line="240" w:lineRule="auto" w:before="0"/>
        <w:rPr>
          <w:rFonts w:ascii="宋体" w:hAnsi="宋体" w:cs="宋体" w:eastAsia="宋体" w:hint="default"/>
          <w:sz w:val="20"/>
          <w:szCs w:val="20"/>
        </w:rPr>
      </w:pPr>
    </w:p>
    <w:p>
      <w:pPr>
        <w:pStyle w:val="BodyText"/>
        <w:spacing w:line="408" w:lineRule="auto"/>
        <w:ind w:right="1108"/>
        <w:jc w:val="both"/>
      </w:pPr>
      <w:r>
        <w:rPr>
          <w:spacing w:val="-1"/>
        </w:rPr>
        <w:t>与收益相关的政府补助，用于补偿已发生的相关成本费用或损失的，计入当期损益或冲减相关成本；用于</w:t>
      </w:r>
      <w:r>
        <w:rPr>
          <w:spacing w:val="-83"/>
        </w:rPr>
        <w:t> </w:t>
      </w:r>
      <w:r>
        <w:rPr>
          <w:spacing w:val="-83"/>
        </w:rPr>
      </w:r>
      <w:r>
        <w:rPr>
          <w:spacing w:val="-1"/>
        </w:rPr>
        <w:t>补偿以后期间的相关成本费用或损失的，则计入递延收益，在能够满足政府补助所附条件后，于相关成本</w:t>
      </w:r>
      <w:r>
        <w:rPr>
          <w:spacing w:val="-83"/>
        </w:rPr>
        <w:t> </w:t>
      </w:r>
      <w:r>
        <w:rPr>
          <w:spacing w:val="-83"/>
        </w:rPr>
      </w:r>
      <w:r>
        <w:rPr/>
        <w:t>费用或损失确认期间计入当期损益或冲减相关成本。按照名义金额计量的政府补助，直接计入当期损益。 本集团对相同或类似的政府补助业务，采用一致的方法处理。</w:t>
      </w:r>
    </w:p>
    <w:p>
      <w:pPr>
        <w:spacing w:after="0" w:line="408" w:lineRule="auto"/>
        <w:jc w:val="both"/>
        <w:sectPr>
          <w:pgSz w:w="11910" w:h="16840"/>
          <w:pgMar w:header="747" w:footer="982" w:top="1060" w:bottom="118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both"/>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1129"/>
        <w:jc w:val="both"/>
      </w:pPr>
      <w:r>
        <w:rPr>
          <w:spacing w:val="-1"/>
        </w:rPr>
        <w:t>所得税包括当期所得税和递延所得税。除由于企业合并产生的调整商誉，或与直接计入所有者权益的交易</w:t>
      </w:r>
      <w:r>
        <w:rPr>
          <w:spacing w:val="-81"/>
        </w:rPr>
        <w:t> </w:t>
      </w:r>
      <w:r>
        <w:rPr>
          <w:spacing w:val="-81"/>
        </w:rPr>
      </w:r>
      <w:r>
        <w:rPr/>
        <w:t>或者事项相关的递延所得税计入所有者权益外，均作为所得税费用计入当期损益。</w:t>
      </w:r>
    </w:p>
    <w:p>
      <w:pPr>
        <w:spacing w:line="240" w:lineRule="auto" w:before="0"/>
        <w:rPr>
          <w:rFonts w:ascii="宋体" w:hAnsi="宋体" w:cs="宋体" w:eastAsia="宋体" w:hint="default"/>
          <w:sz w:val="20"/>
          <w:szCs w:val="20"/>
        </w:rPr>
      </w:pPr>
    </w:p>
    <w:p>
      <w:pPr>
        <w:pStyle w:val="BodyText"/>
        <w:spacing w:line="408" w:lineRule="auto"/>
        <w:ind w:right="1108"/>
        <w:jc w:val="both"/>
      </w:pPr>
      <w:r>
        <w:rPr>
          <w:spacing w:val="-1"/>
        </w:rPr>
        <w:t>本集团根据资产、负债于资产负债表日的账面价值与计税基础之间的暂时性差异，采用资产负债表债务法</w:t>
      </w:r>
      <w:r>
        <w:rPr>
          <w:spacing w:val="-81"/>
        </w:rPr>
        <w:t> </w:t>
      </w:r>
      <w:r>
        <w:rPr>
          <w:spacing w:val="-81"/>
        </w:rPr>
      </w:r>
      <w:r>
        <w:rPr/>
        <w:t>确认递延所得税。</w:t>
      </w:r>
    </w:p>
    <w:p>
      <w:pPr>
        <w:spacing w:line="240" w:lineRule="auto" w:before="0"/>
        <w:rPr>
          <w:rFonts w:ascii="宋体" w:hAnsi="宋体" w:cs="宋体" w:eastAsia="宋体" w:hint="default"/>
          <w:sz w:val="20"/>
          <w:szCs w:val="20"/>
        </w:rPr>
      </w:pPr>
    </w:p>
    <w:p>
      <w:pPr>
        <w:pStyle w:val="BodyText"/>
        <w:spacing w:line="240" w:lineRule="auto"/>
        <w:ind w:right="0"/>
        <w:jc w:val="both"/>
      </w:pPr>
      <w:r>
        <w:rPr/>
        <w:t>各项应纳税暂时性差异均确认相关的递延所得税负债，除非该应纳税暂时性差异是在以下交易中产生的：</w:t>
      </w:r>
    </w:p>
    <w:p>
      <w:pPr>
        <w:spacing w:line="240" w:lineRule="auto" w:before="0"/>
        <w:rPr>
          <w:rFonts w:ascii="宋体" w:hAnsi="宋体" w:cs="宋体" w:eastAsia="宋体" w:hint="default"/>
          <w:sz w:val="20"/>
          <w:szCs w:val="20"/>
        </w:rPr>
      </w:pPr>
    </w:p>
    <w:p>
      <w:pPr>
        <w:pStyle w:val="BodyText"/>
        <w:spacing w:line="386" w:lineRule="auto" w:before="147"/>
        <w:ind w:right="0"/>
        <w:jc w:val="left"/>
      </w:pPr>
      <w:r>
        <w:rPr>
          <w:spacing w:val="-1"/>
        </w:rPr>
        <w:t>（</w:t>
      </w:r>
      <w:r>
        <w:rPr>
          <w:rFonts w:ascii="Times New Roman" w:hAnsi="Times New Roman" w:cs="Times New Roman" w:eastAsia="Times New Roman" w:hint="default"/>
          <w:spacing w:val="-1"/>
        </w:rPr>
        <w:t>1</w:t>
      </w:r>
      <w:r>
        <w:rPr>
          <w:spacing w:val="-1"/>
        </w:rPr>
        <w:t>）商誉的初始确认，或者具有以下特征的交易中产生的资产或负债的初始确认：该交易不是企业合并，</w:t>
      </w:r>
      <w:r>
        <w:rPr>
          <w:spacing w:val="-84"/>
        </w:rPr>
        <w:t> </w:t>
      </w:r>
      <w:r>
        <w:rPr>
          <w:spacing w:val="-84"/>
        </w:rPr>
      </w:r>
      <w:r>
        <w:rPr/>
        <w:t>并且交易发生时既不影响会计利润也不影响应纳税所得额；</w:t>
      </w:r>
    </w:p>
    <w:p>
      <w:pPr>
        <w:spacing w:line="240" w:lineRule="auto" w:before="6"/>
        <w:rPr>
          <w:rFonts w:ascii="宋体" w:hAnsi="宋体" w:cs="宋体" w:eastAsia="宋体" w:hint="default"/>
          <w:sz w:val="21"/>
          <w:szCs w:val="21"/>
        </w:rPr>
      </w:pPr>
    </w:p>
    <w:p>
      <w:pPr>
        <w:pStyle w:val="BodyText"/>
        <w:spacing w:line="386" w:lineRule="auto"/>
        <w:ind w:right="1127"/>
        <w:jc w:val="both"/>
      </w:pPr>
      <w:r>
        <w:rPr/>
        <w:t>（</w:t>
      </w:r>
      <w:r>
        <w:rPr>
          <w:rFonts w:ascii="Times New Roman" w:hAnsi="Times New Roman" w:cs="Times New Roman" w:eastAsia="Times New Roman" w:hint="default"/>
        </w:rPr>
        <w:t>2</w:t>
      </w:r>
      <w:r>
        <w:rPr/>
        <w:t>）对于与子公司、合营企业及联营企业投资相关的应纳税暂时性差异，该暂时性差异转回的时间能够</w:t>
      </w:r>
      <w:r>
        <w:rPr>
          <w:spacing w:val="-35"/>
        </w:rPr>
        <w:t> </w:t>
      </w:r>
      <w:r>
        <w:rPr>
          <w:spacing w:val="-35"/>
        </w:rPr>
      </w:r>
      <w:r>
        <w:rPr/>
        <w:t>控制并且该暂时性差异在可预见的未来很可能不会转回。</w:t>
      </w:r>
    </w:p>
    <w:p>
      <w:pPr>
        <w:spacing w:line="240" w:lineRule="auto" w:before="6"/>
        <w:rPr>
          <w:rFonts w:ascii="宋体" w:hAnsi="宋体" w:cs="宋体" w:eastAsia="宋体" w:hint="default"/>
          <w:sz w:val="21"/>
          <w:szCs w:val="21"/>
        </w:rPr>
      </w:pPr>
    </w:p>
    <w:p>
      <w:pPr>
        <w:pStyle w:val="BodyText"/>
        <w:spacing w:line="408" w:lineRule="auto"/>
        <w:ind w:right="1129"/>
        <w:jc w:val="both"/>
      </w:pPr>
      <w:r>
        <w:rPr>
          <w:spacing w:val="-1"/>
        </w:rPr>
        <w:t>对于可抵扣暂时性差异、能够结转以后年度的可抵扣亏损和税款抵减，本集团以很可能取得用来抵扣可抵</w:t>
      </w:r>
      <w:r>
        <w:rPr>
          <w:spacing w:val="-81"/>
        </w:rPr>
        <w:t> </w:t>
      </w:r>
      <w:r>
        <w:rPr>
          <w:spacing w:val="-81"/>
        </w:rPr>
      </w:r>
      <w:r>
        <w:rPr>
          <w:spacing w:val="-1"/>
        </w:rPr>
        <w:t>扣暂时性差异、可抵扣亏损和税款抵减的未来应纳税所得额为限，确认由此产生的递延所得税资产，除非</w:t>
      </w:r>
      <w:r>
        <w:rPr>
          <w:spacing w:val="-83"/>
        </w:rPr>
        <w:t> </w:t>
      </w:r>
      <w:r>
        <w:rPr>
          <w:spacing w:val="-83"/>
        </w:rPr>
      </w:r>
      <w:r>
        <w:rPr/>
        <w:t>该可抵扣暂时性差异是在以下交易中产生的：</w:t>
      </w:r>
    </w:p>
    <w:p>
      <w:pPr>
        <w:spacing w:line="240" w:lineRule="auto" w:before="0"/>
        <w:rPr>
          <w:rFonts w:ascii="宋体" w:hAnsi="宋体" w:cs="宋体" w:eastAsia="宋体" w:hint="default"/>
          <w:sz w:val="20"/>
          <w:szCs w:val="20"/>
        </w:rPr>
      </w:pPr>
    </w:p>
    <w:p>
      <w:pPr>
        <w:pStyle w:val="BodyText"/>
        <w:spacing w:line="240" w:lineRule="auto"/>
        <w:ind w:right="0"/>
        <w:jc w:val="both"/>
      </w:pPr>
      <w:r>
        <w:rPr/>
        <w:t>（</w:t>
      </w:r>
      <w:r>
        <w:rPr>
          <w:rFonts w:ascii="Times New Roman" w:hAnsi="Times New Roman" w:cs="Times New Roman" w:eastAsia="Times New Roman" w:hint="default"/>
        </w:rPr>
        <w:t>1</w:t>
      </w:r>
      <w:r>
        <w:rPr/>
        <w:t>）该交易不是企业合并，并且交易发生时既不影响会计利润也不影响应纳税所得额；</w:t>
      </w:r>
    </w:p>
    <w:p>
      <w:pPr>
        <w:spacing w:line="240" w:lineRule="auto" w:before="1"/>
        <w:rPr>
          <w:rFonts w:ascii="宋体" w:hAnsi="宋体" w:cs="宋体" w:eastAsia="宋体" w:hint="default"/>
          <w:sz w:val="30"/>
          <w:szCs w:val="30"/>
        </w:rPr>
      </w:pPr>
    </w:p>
    <w:p>
      <w:pPr>
        <w:pStyle w:val="BodyText"/>
        <w:spacing w:line="398" w:lineRule="auto"/>
        <w:ind w:right="1127"/>
        <w:jc w:val="both"/>
      </w:pPr>
      <w:r>
        <w:rPr/>
        <w:t>（</w:t>
      </w:r>
      <w:r>
        <w:rPr>
          <w:rFonts w:ascii="Times New Roman" w:hAnsi="Times New Roman" w:cs="Times New Roman" w:eastAsia="Times New Roman" w:hint="default"/>
        </w:rPr>
        <w:t>2</w:t>
      </w:r>
      <w:r>
        <w:rPr/>
        <w:t>）对于与子公司、合营企业及联营企业投资相关的可抵扣暂时性差异，同时满足下列条件的，确认相</w:t>
      </w:r>
      <w:r>
        <w:rPr>
          <w:spacing w:val="-35"/>
        </w:rPr>
        <w:t> </w:t>
      </w:r>
      <w:r>
        <w:rPr>
          <w:spacing w:val="-35"/>
        </w:rPr>
      </w:r>
      <w:r>
        <w:rPr>
          <w:spacing w:val="-1"/>
        </w:rPr>
        <w:t>应的递延所得税资产：暂时性差异在可预见的未来很可能转回，且未来很可能获得用来抵扣可抵扣暂时性</w:t>
      </w:r>
      <w:r>
        <w:rPr>
          <w:spacing w:val="-81"/>
        </w:rPr>
        <w:t> </w:t>
      </w:r>
      <w:r>
        <w:rPr>
          <w:spacing w:val="-81"/>
        </w:rPr>
      </w:r>
      <w:r>
        <w:rPr/>
        <w:t>差异的应纳税所得额。</w:t>
      </w:r>
    </w:p>
    <w:p>
      <w:pPr>
        <w:spacing w:line="240" w:lineRule="auto" w:before="9"/>
        <w:rPr>
          <w:rFonts w:ascii="宋体" w:hAnsi="宋体" w:cs="宋体" w:eastAsia="宋体" w:hint="default"/>
          <w:sz w:val="20"/>
          <w:szCs w:val="20"/>
        </w:rPr>
      </w:pPr>
    </w:p>
    <w:p>
      <w:pPr>
        <w:pStyle w:val="BodyText"/>
        <w:spacing w:line="408" w:lineRule="auto"/>
        <w:ind w:right="1129"/>
        <w:jc w:val="both"/>
      </w:pPr>
      <w:r>
        <w:rPr>
          <w:spacing w:val="-1"/>
        </w:rPr>
        <w:t>于资产负债表日，本集团对递延所得税资产和递延所得税负债，按照预期收回该资产或清偿该负债期间的</w:t>
      </w:r>
      <w:r>
        <w:rPr>
          <w:spacing w:val="-81"/>
        </w:rPr>
        <w:t> </w:t>
      </w:r>
      <w:r>
        <w:rPr>
          <w:spacing w:val="-81"/>
        </w:rPr>
      </w:r>
      <w:r>
        <w:rPr/>
        <w:t>适用税率计量，并反映资产负债表日预期收回资产或清偿负债方式的所得税影响。</w:t>
      </w:r>
    </w:p>
    <w:p>
      <w:pPr>
        <w:spacing w:line="240" w:lineRule="auto" w:before="0"/>
        <w:rPr>
          <w:rFonts w:ascii="宋体" w:hAnsi="宋体" w:cs="宋体" w:eastAsia="宋体" w:hint="default"/>
          <w:sz w:val="20"/>
          <w:szCs w:val="20"/>
        </w:rPr>
      </w:pPr>
    </w:p>
    <w:p>
      <w:pPr>
        <w:pStyle w:val="BodyText"/>
        <w:spacing w:line="408" w:lineRule="auto"/>
        <w:ind w:right="1129"/>
        <w:jc w:val="both"/>
      </w:pPr>
      <w:r>
        <w:rPr>
          <w:spacing w:val="-1"/>
        </w:rPr>
        <w:t>于资产负债表日，本集团对递延所得税资产的账面价值进行复核。如果未来期间很可能无法获得足够的应</w:t>
      </w:r>
      <w:r>
        <w:rPr>
          <w:spacing w:val="-81"/>
        </w:rPr>
        <w:t> </w:t>
      </w:r>
      <w:r>
        <w:rPr>
          <w:spacing w:val="-81"/>
        </w:rPr>
      </w:r>
      <w:r>
        <w:rPr>
          <w:spacing w:val="-1"/>
        </w:rPr>
        <w:t>纳税所得额用以抵扣递延所得税资产的利益，减记递延所得税资产的账面价值。在很可能获得足够的应纳</w:t>
      </w:r>
      <w:r>
        <w:rPr>
          <w:spacing w:val="-81"/>
        </w:rPr>
        <w:t> </w:t>
      </w:r>
      <w:r>
        <w:rPr>
          <w:spacing w:val="-81"/>
        </w:rPr>
      </w:r>
      <w:r>
        <w:rPr/>
        <w:t>税所得额时，减记的金额予以转回。</w:t>
      </w:r>
    </w:p>
    <w:p>
      <w:pPr>
        <w:spacing w:after="0" w:line="408" w:lineRule="auto"/>
        <w:jc w:val="both"/>
        <w:sectPr>
          <w:pgSz w:w="11910" w:h="16840"/>
          <w:pgMar w:header="747" w:footer="982" w:top="1060" w:bottom="118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both"/>
        <w:rPr>
          <w:b w:val="0"/>
          <w:bCs w:val="0"/>
        </w:rPr>
      </w:pPr>
      <w:r>
        <w:rPr>
          <w:rFonts w:ascii="Times New Roman" w:hAnsi="Times New Roman" w:cs="Times New Roman" w:eastAsia="Times New Roman" w:hint="default"/>
        </w:rPr>
        <w:t>31</w:t>
      </w:r>
      <w:r>
        <w:rPr/>
        <w:t>、租赁</w:t>
      </w:r>
      <w:r>
        <w:rPr>
          <w:b w:val="0"/>
          <w:bCs w:val="0"/>
        </w:rPr>
      </w:r>
    </w:p>
    <w:p>
      <w:pPr>
        <w:spacing w:line="240" w:lineRule="auto" w:before="7"/>
        <w:rPr>
          <w:rFonts w:ascii="宋体" w:hAnsi="宋体" w:cs="宋体" w:eastAsia="宋体" w:hint="default"/>
          <w:b/>
          <w:bCs/>
          <w:sz w:val="30"/>
          <w:szCs w:val="30"/>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89"/>
        <w:ind w:left="153" w:right="1130"/>
        <w:jc w:val="both"/>
      </w:pPr>
      <w:r>
        <w:rPr>
          <w:spacing w:val="-1"/>
        </w:rPr>
        <w:t>本集团将实质上转移了与资产所有权有关的全部风险和报酬的租赁确认为融资租赁，除融资租赁之外的其</w:t>
      </w:r>
      <w:r>
        <w:rPr>
          <w:spacing w:val="-81"/>
        </w:rPr>
        <w:t> </w:t>
      </w:r>
      <w:r>
        <w:rPr>
          <w:spacing w:val="-81"/>
        </w:rPr>
      </w:r>
      <w:r>
        <w:rPr/>
        <w:t>他租赁确认为经营租赁。</w:t>
      </w:r>
    </w:p>
    <w:p>
      <w:pPr>
        <w:spacing w:line="240" w:lineRule="auto" w:before="0"/>
        <w:rPr>
          <w:rFonts w:ascii="宋体" w:hAnsi="宋体" w:cs="宋体" w:eastAsia="宋体" w:hint="default"/>
          <w:sz w:val="20"/>
          <w:szCs w:val="20"/>
        </w:rPr>
      </w:pPr>
    </w:p>
    <w:p>
      <w:pPr>
        <w:pStyle w:val="BodyText"/>
        <w:spacing w:line="240" w:lineRule="auto"/>
        <w:ind w:left="153" w:right="0"/>
        <w:jc w:val="both"/>
      </w:pPr>
      <w:r>
        <w:rPr>
          <w:rFonts w:ascii="Times New Roman" w:hAnsi="Times New Roman" w:cs="Times New Roman" w:eastAsia="Times New Roman" w:hint="default"/>
        </w:rPr>
        <w:t>1</w:t>
      </w:r>
      <w:r>
        <w:rPr/>
        <w:t>）本集团作为出租人</w:t>
      </w:r>
    </w:p>
    <w:p>
      <w:pPr>
        <w:spacing w:line="240" w:lineRule="auto" w:before="1"/>
        <w:rPr>
          <w:rFonts w:ascii="宋体" w:hAnsi="宋体" w:cs="宋体" w:eastAsia="宋体" w:hint="default"/>
          <w:sz w:val="30"/>
          <w:szCs w:val="30"/>
        </w:rPr>
      </w:pPr>
    </w:p>
    <w:p>
      <w:pPr>
        <w:pStyle w:val="BodyText"/>
        <w:spacing w:line="408" w:lineRule="auto"/>
        <w:ind w:right="1131"/>
        <w:jc w:val="both"/>
      </w:pPr>
      <w:r>
        <w:rPr>
          <w:spacing w:val="-1"/>
        </w:rPr>
        <w:t>经营租赁中的租金，本集团在租赁期内各个期间按照直线法确认当期损益。发生的初始直接费用，计入当</w:t>
      </w:r>
      <w:r>
        <w:rPr>
          <w:spacing w:val="-83"/>
        </w:rPr>
        <w:t> </w:t>
      </w:r>
      <w:r>
        <w:rPr>
          <w:spacing w:val="-83"/>
        </w:rPr>
      </w:r>
      <w:r>
        <w:rPr/>
        <w:t>期损益。</w:t>
      </w:r>
    </w:p>
    <w:p>
      <w:pPr>
        <w:spacing w:line="240" w:lineRule="auto" w:before="0"/>
        <w:rPr>
          <w:rFonts w:ascii="宋体" w:hAnsi="宋体" w:cs="宋体" w:eastAsia="宋体" w:hint="default"/>
          <w:sz w:val="20"/>
          <w:szCs w:val="20"/>
        </w:rPr>
      </w:pPr>
    </w:p>
    <w:p>
      <w:pPr>
        <w:pStyle w:val="BodyText"/>
        <w:spacing w:line="240" w:lineRule="auto"/>
        <w:ind w:right="0"/>
        <w:jc w:val="both"/>
      </w:pPr>
      <w:r>
        <w:rPr>
          <w:rFonts w:ascii="Times New Roman" w:hAnsi="Times New Roman" w:cs="Times New Roman" w:eastAsia="Times New Roman" w:hint="default"/>
        </w:rPr>
        <w:t>2</w:t>
      </w:r>
      <w:r>
        <w:rPr/>
        <w:t>）本集团作为承租人</w:t>
      </w:r>
    </w:p>
    <w:p>
      <w:pPr>
        <w:spacing w:line="240" w:lineRule="auto" w:before="1"/>
        <w:rPr>
          <w:rFonts w:ascii="宋体" w:hAnsi="宋体" w:cs="宋体" w:eastAsia="宋体" w:hint="default"/>
          <w:sz w:val="30"/>
          <w:szCs w:val="30"/>
        </w:rPr>
      </w:pPr>
    </w:p>
    <w:p>
      <w:pPr>
        <w:pStyle w:val="BodyText"/>
        <w:spacing w:line="408" w:lineRule="auto"/>
        <w:ind w:right="1129"/>
        <w:jc w:val="both"/>
      </w:pPr>
      <w:r>
        <w:rPr>
          <w:spacing w:val="-1"/>
        </w:rPr>
        <w:t>经营租赁中的租金，本集团在租赁期内各个期间按照直线法计入相关资产成本或当期损益；发生的初始直</w:t>
      </w:r>
      <w:r>
        <w:rPr>
          <w:spacing w:val="-81"/>
        </w:rPr>
        <w:t> </w:t>
      </w:r>
      <w:r>
        <w:rPr>
          <w:spacing w:val="-81"/>
        </w:rPr>
      </w:r>
      <w:r>
        <w:rPr/>
        <w:t>接费用，计入当期损益。</w:t>
      </w:r>
    </w:p>
    <w:p>
      <w:pPr>
        <w:spacing w:line="240" w:lineRule="auto" w:before="6"/>
        <w:rPr>
          <w:rFonts w:ascii="宋体" w:hAnsi="宋体" w:cs="宋体" w:eastAsia="宋体" w:hint="default"/>
          <w:sz w:val="26"/>
          <w:szCs w:val="26"/>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89"/>
        <w:ind w:right="0"/>
        <w:jc w:val="both"/>
      </w:pPr>
      <w:r>
        <w:rPr>
          <w:rFonts w:ascii="Times New Roman" w:hAnsi="Times New Roman" w:cs="Times New Roman" w:eastAsia="Times New Roman" w:hint="default"/>
        </w:rPr>
        <w:t>1</w:t>
      </w:r>
      <w:r>
        <w:rPr/>
        <w:t>）本集团作为出租人</w:t>
      </w:r>
    </w:p>
    <w:p>
      <w:pPr>
        <w:spacing w:line="240" w:lineRule="auto" w:before="1"/>
        <w:rPr>
          <w:rFonts w:ascii="宋体" w:hAnsi="宋体" w:cs="宋体" w:eastAsia="宋体" w:hint="default"/>
          <w:sz w:val="30"/>
          <w:szCs w:val="30"/>
        </w:rPr>
      </w:pPr>
    </w:p>
    <w:p>
      <w:pPr>
        <w:pStyle w:val="BodyText"/>
        <w:spacing w:line="408" w:lineRule="auto"/>
        <w:ind w:right="1129"/>
        <w:jc w:val="both"/>
      </w:pPr>
      <w:r>
        <w:rPr>
          <w:spacing w:val="-1"/>
        </w:rPr>
        <w:t>融资租赁中，在租赁期开始日本集团按最低租赁收款额与初始直接费用之和作为应收融资租赁款的入账价</w:t>
      </w:r>
      <w:r>
        <w:rPr>
          <w:spacing w:val="-81"/>
        </w:rPr>
        <w:t> </w:t>
      </w:r>
      <w:r>
        <w:rPr>
          <w:spacing w:val="-81"/>
        </w:rPr>
      </w:r>
      <w:r>
        <w:rPr>
          <w:spacing w:val="-1"/>
        </w:rPr>
        <w:t>值，同时记录未担保余值；将最低租赁收款额、初始直接费用及未担保余值之和与其现值之和的差额确认</w:t>
      </w:r>
      <w:r>
        <w:rPr>
          <w:spacing w:val="-83"/>
        </w:rPr>
        <w:t> </w:t>
      </w:r>
      <w:r>
        <w:rPr>
          <w:spacing w:val="-83"/>
        </w:rPr>
      </w:r>
      <w:r>
        <w:rPr/>
        <w:t>为未实现融资收益。未实现融资收益在租赁期内各个期间采用实际利率法计算确认当期的融资收入。</w:t>
      </w:r>
    </w:p>
    <w:p>
      <w:pPr>
        <w:spacing w:line="240" w:lineRule="auto" w:before="6"/>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30"/>
          <w:szCs w:val="30"/>
        </w:rPr>
      </w:pPr>
    </w:p>
    <w:p>
      <w:pPr>
        <w:pStyle w:val="BodyText"/>
        <w:spacing w:line="240" w:lineRule="auto"/>
        <w:ind w:right="0"/>
        <w:jc w:val="both"/>
      </w:pPr>
      <w:r>
        <w:rPr/>
        <w:t>（</w:t>
      </w:r>
      <w:r>
        <w:rPr>
          <w:rFonts w:ascii="Times New Roman" w:hAnsi="Times New Roman" w:cs="Times New Roman" w:eastAsia="Times New Roman" w:hint="default"/>
        </w:rPr>
        <w:t>1</w:t>
      </w:r>
      <w:r>
        <w:rPr/>
        <w:t>）公允价值计量</w:t>
      </w:r>
    </w:p>
    <w:p>
      <w:pPr>
        <w:spacing w:line="240" w:lineRule="auto" w:before="1"/>
        <w:rPr>
          <w:rFonts w:ascii="宋体" w:hAnsi="宋体" w:cs="宋体" w:eastAsia="宋体" w:hint="default"/>
          <w:sz w:val="30"/>
          <w:szCs w:val="30"/>
        </w:rPr>
      </w:pPr>
    </w:p>
    <w:p>
      <w:pPr>
        <w:pStyle w:val="BodyText"/>
        <w:spacing w:line="408" w:lineRule="auto"/>
        <w:ind w:right="1129"/>
        <w:jc w:val="both"/>
      </w:pPr>
      <w:r>
        <w:rPr>
          <w:spacing w:val="-1"/>
        </w:rPr>
        <w:t>公允价值是指市场参与者在计量日发生的有序交易中，出售一项资产所能收到或者转移一项负债所需支付</w:t>
      </w:r>
      <w:r>
        <w:rPr>
          <w:spacing w:val="-81"/>
        </w:rPr>
        <w:t> </w:t>
      </w:r>
      <w:r>
        <w:rPr>
          <w:spacing w:val="-81"/>
        </w:rPr>
      </w:r>
      <w:r>
        <w:rPr/>
        <w:t>的价格。</w:t>
      </w:r>
    </w:p>
    <w:p>
      <w:pPr>
        <w:spacing w:line="240" w:lineRule="auto" w:before="0"/>
        <w:rPr>
          <w:rFonts w:ascii="宋体" w:hAnsi="宋体" w:cs="宋体" w:eastAsia="宋体" w:hint="default"/>
          <w:sz w:val="20"/>
          <w:szCs w:val="20"/>
        </w:rPr>
      </w:pPr>
    </w:p>
    <w:p>
      <w:pPr>
        <w:pStyle w:val="BodyText"/>
        <w:spacing w:line="408" w:lineRule="auto"/>
        <w:ind w:right="1129"/>
        <w:jc w:val="both"/>
      </w:pPr>
      <w:r>
        <w:rPr>
          <w:spacing w:val="-1"/>
        </w:rPr>
        <w:t>本集团以公允价值计量相关资产或负债，假定出售资产或者转移负债的有序交易在相关资产或负债的主要</w:t>
      </w:r>
      <w:r>
        <w:rPr>
          <w:spacing w:val="-81"/>
        </w:rPr>
        <w:t> </w:t>
      </w:r>
      <w:r>
        <w:rPr>
          <w:spacing w:val="-81"/>
        </w:rPr>
      </w:r>
      <w:r>
        <w:rPr>
          <w:spacing w:val="-1"/>
        </w:rPr>
        <w:t>市场进行；不存在主要市场的，本集团假定该交易在相关资产或负债的最有利市场进行。主要市场（或最</w:t>
      </w:r>
      <w:r>
        <w:rPr>
          <w:spacing w:val="-82"/>
        </w:rPr>
        <w:t> </w:t>
      </w:r>
      <w:r>
        <w:rPr>
          <w:spacing w:val="-82"/>
        </w:rPr>
      </w:r>
      <w:r>
        <w:rPr>
          <w:spacing w:val="-1"/>
        </w:rPr>
        <w:t>有利市场）是本集团在计量日能够进入的交易市场。本集团采用市场参与者在对该资产或负债定价时为实</w:t>
      </w:r>
      <w:r>
        <w:rPr>
          <w:spacing w:val="-81"/>
        </w:rPr>
        <w:t> </w:t>
      </w:r>
      <w:r>
        <w:rPr>
          <w:spacing w:val="-81"/>
        </w:rPr>
      </w:r>
      <w:r>
        <w:rPr/>
        <w:t>现其经济利益最大化所使用的假设。</w:t>
      </w:r>
    </w:p>
    <w:p>
      <w:pPr>
        <w:spacing w:after="0" w:line="408" w:lineRule="auto"/>
        <w:jc w:val="both"/>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153" w:right="1131"/>
        <w:jc w:val="both"/>
      </w:pPr>
      <w:r>
        <w:rPr>
          <w:spacing w:val="-1"/>
        </w:rPr>
        <w:t>存在活跃市场的金融资产或金融负债，本集团采用活跃市场中的报价确定其公允价值。金融工具不存在活</w:t>
      </w:r>
      <w:r>
        <w:rPr>
          <w:spacing w:val="-81"/>
        </w:rPr>
        <w:t> </w:t>
      </w:r>
      <w:r>
        <w:rPr>
          <w:spacing w:val="-81"/>
        </w:rPr>
      </w:r>
      <w:r>
        <w:rPr/>
        <w:t>跃市场的，本集团采用估值技术确定其公允价值。</w:t>
      </w:r>
    </w:p>
    <w:p>
      <w:pPr>
        <w:spacing w:line="240" w:lineRule="auto" w:before="0"/>
        <w:rPr>
          <w:rFonts w:ascii="宋体" w:hAnsi="宋体" w:cs="宋体" w:eastAsia="宋体" w:hint="default"/>
          <w:sz w:val="20"/>
          <w:szCs w:val="20"/>
        </w:rPr>
      </w:pPr>
    </w:p>
    <w:p>
      <w:pPr>
        <w:pStyle w:val="BodyText"/>
        <w:spacing w:line="408" w:lineRule="auto"/>
        <w:ind w:left="153" w:right="1131"/>
        <w:jc w:val="both"/>
      </w:pPr>
      <w:r>
        <w:rPr>
          <w:spacing w:val="-1"/>
        </w:rPr>
        <w:t>以公允价值计量非金融资产的，考虑市场参与者将该资产用于最佳用途产生经济利益的能力，或者将该资</w:t>
      </w:r>
      <w:r>
        <w:rPr>
          <w:spacing w:val="-81"/>
        </w:rPr>
        <w:t> </w:t>
      </w:r>
      <w:r>
        <w:rPr>
          <w:spacing w:val="-81"/>
        </w:rPr>
      </w:r>
      <w:r>
        <w:rPr/>
        <w:t>产出售给能够用于最佳用途的其他市场参与者产生经济利益的能力。</w:t>
      </w:r>
    </w:p>
    <w:p>
      <w:pPr>
        <w:spacing w:line="240" w:lineRule="auto" w:before="0"/>
        <w:rPr>
          <w:rFonts w:ascii="宋体" w:hAnsi="宋体" w:cs="宋体" w:eastAsia="宋体" w:hint="default"/>
          <w:sz w:val="20"/>
          <w:szCs w:val="20"/>
        </w:rPr>
      </w:pPr>
    </w:p>
    <w:p>
      <w:pPr>
        <w:pStyle w:val="BodyText"/>
        <w:spacing w:line="408" w:lineRule="auto"/>
        <w:ind w:left="153" w:right="1130"/>
        <w:jc w:val="both"/>
      </w:pPr>
      <w:r>
        <w:rPr>
          <w:spacing w:val="-1"/>
        </w:rPr>
        <w:t>本集团采用在当前情况下适用并且有足够可利用数据和其他信息支持的估值技术，优先使用相关可观察输</w:t>
      </w:r>
      <w:r>
        <w:rPr>
          <w:spacing w:val="-81"/>
        </w:rPr>
        <w:t> </w:t>
      </w:r>
      <w:r>
        <w:rPr>
          <w:spacing w:val="-81"/>
        </w:rPr>
      </w:r>
      <w:r>
        <w:rPr/>
        <w:t>入值，只有在可观察输入值无法取得或取得不切实可行的情况下，才使用不可观察输入值。</w:t>
      </w:r>
    </w:p>
    <w:p>
      <w:pPr>
        <w:spacing w:line="240" w:lineRule="auto" w:before="0"/>
        <w:rPr>
          <w:rFonts w:ascii="宋体" w:hAnsi="宋体" w:cs="宋体" w:eastAsia="宋体" w:hint="default"/>
          <w:sz w:val="20"/>
          <w:szCs w:val="20"/>
        </w:rPr>
      </w:pPr>
    </w:p>
    <w:p>
      <w:pPr>
        <w:pStyle w:val="BodyText"/>
        <w:spacing w:line="408" w:lineRule="auto"/>
        <w:ind w:left="153" w:right="1131"/>
        <w:jc w:val="both"/>
      </w:pPr>
      <w:r>
        <w:rPr>
          <w:spacing w:val="-1"/>
        </w:rPr>
        <w:t>在财务报表中以公允价值计量或披露的资产和负债，根据对公允价值计量整体而言具有重要意义的最低层</w:t>
      </w:r>
      <w:r>
        <w:rPr>
          <w:spacing w:val="-81"/>
        </w:rPr>
        <w:t> </w:t>
      </w:r>
      <w:r>
        <w:rPr>
          <w:spacing w:val="-81"/>
        </w:rPr>
      </w:r>
      <w:r>
        <w:rPr>
          <w:spacing w:val="-1"/>
        </w:rPr>
        <w:t>次输入值，确定所属的公允价值层次：第一层次输入值，是在计量日能够取得的相同资产或负债在活跃市</w:t>
      </w:r>
      <w:r>
        <w:rPr>
          <w:spacing w:val="-83"/>
        </w:rPr>
        <w:t> </w:t>
      </w:r>
      <w:r>
        <w:rPr>
          <w:spacing w:val="-83"/>
        </w:rPr>
      </w:r>
      <w:r>
        <w:rPr>
          <w:spacing w:val="-1"/>
        </w:rPr>
        <w:t>场上未经调整的报价；第二层次输入值，是除第一层次输入值外相关资产或负债直接或间接可观察的输入</w:t>
      </w:r>
      <w:r>
        <w:rPr>
          <w:spacing w:val="-81"/>
        </w:rPr>
        <w:t> </w:t>
      </w:r>
      <w:r>
        <w:rPr>
          <w:spacing w:val="-81"/>
        </w:rPr>
      </w:r>
      <w:r>
        <w:rPr/>
        <w:t>值；第三层次输入值，是相关资产或负债的不可观察输入值。</w:t>
      </w:r>
    </w:p>
    <w:p>
      <w:pPr>
        <w:spacing w:line="240" w:lineRule="auto" w:before="0"/>
        <w:rPr>
          <w:rFonts w:ascii="宋体" w:hAnsi="宋体" w:cs="宋体" w:eastAsia="宋体" w:hint="default"/>
          <w:sz w:val="20"/>
          <w:szCs w:val="20"/>
        </w:rPr>
      </w:pPr>
    </w:p>
    <w:p>
      <w:pPr>
        <w:pStyle w:val="BodyText"/>
        <w:spacing w:line="408" w:lineRule="auto"/>
        <w:ind w:left="153" w:right="1131"/>
        <w:jc w:val="both"/>
      </w:pPr>
      <w:r>
        <w:rPr>
          <w:spacing w:val="-1"/>
        </w:rPr>
        <w:t>每个资产负债表日，本集团对在财务报表中确认的持续以公允价值计量的资产和负债进行重新评估，以确</w:t>
      </w:r>
      <w:r>
        <w:rPr>
          <w:spacing w:val="-81"/>
        </w:rPr>
        <w:t> </w:t>
      </w:r>
      <w:r>
        <w:rPr>
          <w:spacing w:val="-81"/>
        </w:rPr>
      </w:r>
      <w:r>
        <w:rPr/>
        <w:t>定是否在公允价值计量层次之间发生转换。</w:t>
      </w:r>
    </w:p>
    <w:p>
      <w:pPr>
        <w:spacing w:line="240" w:lineRule="auto" w:before="0"/>
        <w:rPr>
          <w:rFonts w:ascii="宋体" w:hAnsi="宋体" w:cs="宋体" w:eastAsia="宋体" w:hint="default"/>
          <w:sz w:val="20"/>
          <w:szCs w:val="20"/>
        </w:rPr>
      </w:pPr>
    </w:p>
    <w:p>
      <w:pPr>
        <w:pStyle w:val="BodyText"/>
        <w:spacing w:line="240" w:lineRule="auto"/>
        <w:ind w:left="153" w:right="0"/>
        <w:jc w:val="both"/>
      </w:pPr>
      <w:r>
        <w:rPr/>
        <w:t>（</w:t>
      </w:r>
      <w:r>
        <w:rPr>
          <w:rFonts w:ascii="Times New Roman" w:hAnsi="Times New Roman" w:cs="Times New Roman" w:eastAsia="Times New Roman" w:hint="default"/>
        </w:rPr>
        <w:t>2</w:t>
      </w:r>
      <w:r>
        <w:rPr/>
        <w:t>）回购股份</w:t>
      </w:r>
    </w:p>
    <w:p>
      <w:pPr>
        <w:spacing w:line="240" w:lineRule="auto" w:before="1"/>
        <w:rPr>
          <w:rFonts w:ascii="宋体" w:hAnsi="宋体" w:cs="宋体" w:eastAsia="宋体" w:hint="default"/>
          <w:sz w:val="30"/>
          <w:szCs w:val="30"/>
        </w:rPr>
      </w:pPr>
    </w:p>
    <w:p>
      <w:pPr>
        <w:pStyle w:val="BodyText"/>
        <w:spacing w:line="408" w:lineRule="auto"/>
        <w:ind w:right="1131"/>
        <w:jc w:val="both"/>
      </w:pPr>
      <w:r>
        <w:rPr>
          <w:spacing w:val="-1"/>
        </w:rPr>
        <w:t>本公司回购的股份在注销或者转让之前，作为库存股管理，回购股份的全部支出转作库存股成本。股份回</w:t>
      </w:r>
      <w:r>
        <w:rPr>
          <w:spacing w:val="-83"/>
        </w:rPr>
        <w:t> </w:t>
      </w:r>
      <w:r>
        <w:rPr>
          <w:spacing w:val="-83"/>
        </w:rPr>
      </w:r>
      <w:r>
        <w:rPr/>
        <w:t>购中支付的对价和交易费用减少所有者权益，回购、转让或注销本公司股份时，不确认利得或损失。</w:t>
      </w:r>
    </w:p>
    <w:p>
      <w:pPr>
        <w:spacing w:line="240" w:lineRule="auto" w:before="0"/>
        <w:rPr>
          <w:rFonts w:ascii="宋体" w:hAnsi="宋体" w:cs="宋体" w:eastAsia="宋体" w:hint="default"/>
          <w:sz w:val="20"/>
          <w:szCs w:val="20"/>
        </w:rPr>
      </w:pPr>
    </w:p>
    <w:p>
      <w:pPr>
        <w:pStyle w:val="BodyText"/>
        <w:spacing w:line="408" w:lineRule="auto"/>
        <w:ind w:right="1131"/>
        <w:jc w:val="both"/>
      </w:pPr>
      <w:r>
        <w:rPr>
          <w:spacing w:val="-1"/>
        </w:rPr>
        <w:t>转让库存股，按实际收到的金额与库存股账面金额的差额，计入资本公积，资本公积不足冲减的，冲减盈</w:t>
      </w:r>
      <w:r>
        <w:rPr>
          <w:spacing w:val="-82"/>
        </w:rPr>
        <w:t> </w:t>
      </w:r>
      <w:r>
        <w:rPr>
          <w:spacing w:val="-82"/>
        </w:rPr>
      </w:r>
      <w:r>
        <w:rPr>
          <w:spacing w:val="-1"/>
        </w:rPr>
        <w:t>余公积和未分配利润。注销库存股，按股票面值和注销股数减少股本，按注销库存股的账面余额与面值的</w:t>
      </w:r>
      <w:r>
        <w:rPr>
          <w:spacing w:val="-83"/>
        </w:rPr>
        <w:t> </w:t>
      </w:r>
      <w:r>
        <w:rPr>
          <w:spacing w:val="-83"/>
        </w:rPr>
      </w:r>
      <w:r>
        <w:rPr/>
        <w:t>差额，冲减资本公积，资本公积不足冲减的，冲减盈余公积和未分配利润。</w:t>
      </w:r>
    </w:p>
    <w:p>
      <w:pPr>
        <w:spacing w:line="240" w:lineRule="auto" w:before="0"/>
        <w:rPr>
          <w:rFonts w:ascii="宋体" w:hAnsi="宋体" w:cs="宋体" w:eastAsia="宋体" w:hint="default"/>
          <w:sz w:val="20"/>
          <w:szCs w:val="20"/>
        </w:rPr>
      </w:pPr>
    </w:p>
    <w:p>
      <w:pPr>
        <w:pStyle w:val="BodyText"/>
        <w:spacing w:line="240" w:lineRule="auto"/>
        <w:ind w:right="0"/>
        <w:jc w:val="both"/>
      </w:pPr>
      <w:r>
        <w:rPr/>
        <w:t>（</w:t>
      </w:r>
      <w:r>
        <w:rPr>
          <w:rFonts w:ascii="Times New Roman" w:hAnsi="Times New Roman" w:cs="Times New Roman" w:eastAsia="Times New Roman" w:hint="default"/>
        </w:rPr>
        <w:t>3</w:t>
      </w:r>
      <w:r>
        <w:rPr/>
        <w:t>）限制性股票</w:t>
      </w:r>
    </w:p>
    <w:p>
      <w:pPr>
        <w:spacing w:line="240" w:lineRule="auto" w:before="1"/>
        <w:rPr>
          <w:rFonts w:ascii="宋体" w:hAnsi="宋体" w:cs="宋体" w:eastAsia="宋体" w:hint="default"/>
          <w:sz w:val="30"/>
          <w:szCs w:val="30"/>
        </w:rPr>
      </w:pPr>
    </w:p>
    <w:p>
      <w:pPr>
        <w:pStyle w:val="BodyText"/>
        <w:spacing w:line="408" w:lineRule="auto"/>
        <w:ind w:right="1129"/>
        <w:jc w:val="both"/>
      </w:pPr>
      <w:r>
        <w:rPr>
          <w:spacing w:val="-1"/>
        </w:rPr>
        <w:t>股权激励计划中，本公司授予被激励对象限制性股票，被激励对象先认购股票，如果后续未达到股权激励</w:t>
      </w:r>
      <w:r>
        <w:rPr>
          <w:spacing w:val="-83"/>
        </w:rPr>
        <w:t> </w:t>
      </w:r>
      <w:r>
        <w:rPr>
          <w:spacing w:val="-83"/>
        </w:rPr>
      </w:r>
      <w:r>
        <w:rPr>
          <w:spacing w:val="-1"/>
        </w:rPr>
        <w:t>计划规定的解锁条件，则本公司按照事先约定的价格回购股票。向职工发行的限制性股票按有关规定履行</w:t>
      </w:r>
      <w:r>
        <w:rPr>
          <w:spacing w:val="-81"/>
        </w:rPr>
        <w:t> </w:t>
      </w:r>
      <w:r>
        <w:rPr>
          <w:spacing w:val="-81"/>
        </w:rPr>
      </w:r>
      <w:r>
        <w:rPr>
          <w:spacing w:val="-1"/>
        </w:rPr>
        <w:t>了注册登记等增资手续的，在授予日，本公司根据收到的职工缴纳的认股款确认股本和资本公积（股本溢</w:t>
      </w:r>
      <w:r>
        <w:rPr>
          <w:spacing w:val="-83"/>
        </w:rPr>
        <w:t> </w:t>
      </w:r>
      <w:r>
        <w:rPr>
          <w:spacing w:val="-83"/>
        </w:rPr>
      </w:r>
      <w:r>
        <w:rPr/>
        <w:t>价）；同时就回购义务确认库存股和其他应付款。</w:t>
      </w:r>
    </w:p>
    <w:p>
      <w:pPr>
        <w:spacing w:line="240" w:lineRule="auto" w:before="0"/>
        <w:rPr>
          <w:rFonts w:ascii="宋体" w:hAnsi="宋体" w:cs="宋体" w:eastAsia="宋体" w:hint="default"/>
          <w:sz w:val="20"/>
          <w:szCs w:val="20"/>
        </w:rPr>
      </w:pPr>
    </w:p>
    <w:p>
      <w:pPr>
        <w:pStyle w:val="BodyText"/>
        <w:spacing w:line="240" w:lineRule="auto"/>
        <w:ind w:right="0"/>
        <w:jc w:val="both"/>
      </w:pPr>
      <w:r>
        <w:rPr/>
        <w:t>（</w:t>
      </w:r>
      <w:r>
        <w:rPr>
          <w:rFonts w:ascii="Times New Roman" w:hAnsi="Times New Roman" w:cs="Times New Roman" w:eastAsia="Times New Roman" w:hint="default"/>
        </w:rPr>
        <w:t>4</w:t>
      </w:r>
      <w:r>
        <w:rPr/>
        <w:t>）重大会计判断和估计</w:t>
      </w:r>
    </w:p>
    <w:p>
      <w:pPr>
        <w:spacing w:after="0" w:line="240" w:lineRule="auto"/>
        <w:jc w:val="both"/>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jc w:val="left"/>
      </w:pPr>
      <w:r>
        <w:rPr>
          <w:spacing w:val="-1"/>
        </w:rPr>
        <w:t>本集团根据历史经验和其它因素，包括对未来事项的合理预期，对所采用的重要会计估计和关键假设进行</w:t>
      </w:r>
      <w:r>
        <w:rPr>
          <w:spacing w:val="-81"/>
        </w:rPr>
        <w:t> </w:t>
      </w:r>
      <w:r>
        <w:rPr>
          <w:spacing w:val="-81"/>
        </w:rPr>
      </w:r>
      <w:r>
        <w:rPr/>
        <w:t>持续的评价。</w:t>
      </w:r>
    </w:p>
    <w:p>
      <w:pPr>
        <w:spacing w:line="240" w:lineRule="auto" w:before="0"/>
        <w:rPr>
          <w:rFonts w:ascii="宋体" w:hAnsi="宋体" w:cs="宋体" w:eastAsia="宋体" w:hint="default"/>
          <w:sz w:val="20"/>
          <w:szCs w:val="20"/>
        </w:rPr>
      </w:pPr>
    </w:p>
    <w:p>
      <w:pPr>
        <w:pStyle w:val="BodyText"/>
        <w:spacing w:line="240" w:lineRule="auto"/>
        <w:ind w:right="0"/>
        <w:jc w:val="left"/>
      </w:pPr>
      <w:r>
        <w:rPr/>
        <w:t>很可能导致下一会计年度资产和负债的账面价值出现重大调整风险的重要会计估计和关键假设列示如下：</w:t>
      </w:r>
    </w:p>
    <w:p>
      <w:pPr>
        <w:spacing w:line="240" w:lineRule="auto" w:before="0"/>
        <w:rPr>
          <w:rFonts w:ascii="宋体" w:hAnsi="宋体" w:cs="宋体" w:eastAsia="宋体" w:hint="default"/>
          <w:sz w:val="20"/>
          <w:szCs w:val="20"/>
        </w:rPr>
      </w:pPr>
    </w:p>
    <w:p>
      <w:pPr>
        <w:pStyle w:val="BodyText"/>
        <w:spacing w:line="240" w:lineRule="auto" w:before="147"/>
        <w:ind w:left="153" w:right="0"/>
        <w:jc w:val="left"/>
      </w:pPr>
      <w:r>
        <w:rPr/>
        <w:t>（</w:t>
      </w:r>
      <w:r>
        <w:rPr>
          <w:rFonts w:ascii="Times New Roman" w:hAnsi="Times New Roman" w:cs="Times New Roman" w:eastAsia="Times New Roman" w:hint="default"/>
        </w:rPr>
        <w:t>5</w:t>
      </w:r>
      <w:r>
        <w:rPr/>
        <w:t>）商誉减值</w:t>
      </w:r>
    </w:p>
    <w:p>
      <w:pPr>
        <w:spacing w:line="240" w:lineRule="auto" w:before="1"/>
        <w:rPr>
          <w:rFonts w:ascii="宋体" w:hAnsi="宋体" w:cs="宋体" w:eastAsia="宋体" w:hint="default"/>
          <w:sz w:val="30"/>
          <w:szCs w:val="30"/>
        </w:rPr>
      </w:pPr>
    </w:p>
    <w:p>
      <w:pPr>
        <w:pStyle w:val="BodyText"/>
        <w:spacing w:line="408" w:lineRule="auto"/>
        <w:ind w:right="0"/>
        <w:jc w:val="left"/>
      </w:pPr>
      <w:r>
        <w:rPr>
          <w:spacing w:val="-1"/>
        </w:rPr>
        <w:t>本集团至少每年评估商誉是否发生减值。这要求对分配了商誉的资产组的使用价值进行估计。估计使用价</w:t>
      </w:r>
      <w:r>
        <w:rPr>
          <w:spacing w:val="-81"/>
        </w:rPr>
        <w:t> </w:t>
      </w:r>
      <w:r>
        <w:rPr>
          <w:spacing w:val="-81"/>
        </w:rPr>
      </w:r>
      <w:r>
        <w:rPr/>
        <w:t>值时，本集团需要估计未来来自资产组的现金流量，同时选择恰当的折现率计算未来现金流量的现值。</w:t>
      </w:r>
    </w:p>
    <w:p>
      <w:pPr>
        <w:spacing w:line="240" w:lineRule="auto" w:before="0"/>
        <w:rPr>
          <w:rFonts w:ascii="宋体" w:hAnsi="宋体" w:cs="宋体" w:eastAsia="宋体" w:hint="default"/>
          <w:sz w:val="20"/>
          <w:szCs w:val="20"/>
        </w:rPr>
      </w:pPr>
    </w:p>
    <w:p>
      <w:pPr>
        <w:pStyle w:val="BodyText"/>
        <w:spacing w:line="240" w:lineRule="auto"/>
        <w:ind w:right="0"/>
        <w:jc w:val="left"/>
      </w:pPr>
      <w:r>
        <w:rPr/>
        <w:t>（</w:t>
      </w:r>
      <w:r>
        <w:rPr>
          <w:rFonts w:ascii="Times New Roman" w:hAnsi="Times New Roman" w:cs="Times New Roman" w:eastAsia="Times New Roman" w:hint="default"/>
        </w:rPr>
        <w:t>6</w:t>
      </w:r>
      <w:r>
        <w:rPr/>
        <w:t>）开发支出</w:t>
      </w:r>
    </w:p>
    <w:p>
      <w:pPr>
        <w:spacing w:line="240" w:lineRule="auto" w:before="1"/>
        <w:rPr>
          <w:rFonts w:ascii="宋体" w:hAnsi="宋体" w:cs="宋体" w:eastAsia="宋体" w:hint="default"/>
          <w:sz w:val="30"/>
          <w:szCs w:val="30"/>
        </w:rPr>
      </w:pPr>
    </w:p>
    <w:p>
      <w:pPr>
        <w:pStyle w:val="BodyText"/>
        <w:spacing w:line="408" w:lineRule="auto"/>
        <w:ind w:right="1117"/>
        <w:jc w:val="left"/>
      </w:pPr>
      <w:r>
        <w:rPr>
          <w:spacing w:val="-1"/>
        </w:rPr>
        <w:t>确定资本化的金额时，管理层必须做出有关资产的预期未来现金的产生、应采用的折现率以及预计受益期</w:t>
      </w:r>
      <w:r>
        <w:rPr>
          <w:spacing w:val="-81"/>
        </w:rPr>
        <w:t> </w:t>
      </w:r>
      <w:r>
        <w:rPr>
          <w:spacing w:val="-81"/>
        </w:rPr>
      </w:r>
      <w:r>
        <w:rPr/>
        <w:t>间的假设。</w:t>
      </w:r>
    </w:p>
    <w:p>
      <w:pPr>
        <w:spacing w:line="240" w:lineRule="auto" w:before="0"/>
        <w:rPr>
          <w:rFonts w:ascii="宋体" w:hAnsi="宋体" w:cs="宋体" w:eastAsia="宋体" w:hint="default"/>
          <w:sz w:val="20"/>
          <w:szCs w:val="20"/>
        </w:rPr>
      </w:pPr>
    </w:p>
    <w:p>
      <w:pPr>
        <w:pStyle w:val="BodyText"/>
        <w:spacing w:line="240" w:lineRule="auto"/>
        <w:ind w:right="0"/>
        <w:jc w:val="left"/>
      </w:pPr>
      <w:r>
        <w:rPr/>
        <w:t>（</w:t>
      </w:r>
      <w:r>
        <w:rPr>
          <w:rFonts w:ascii="Times New Roman" w:hAnsi="Times New Roman" w:cs="Times New Roman" w:eastAsia="Times New Roman" w:hint="default"/>
        </w:rPr>
        <w:t>7</w:t>
      </w:r>
      <w:r>
        <w:rPr/>
        <w:t>）递延所得税资产</w:t>
      </w:r>
    </w:p>
    <w:p>
      <w:pPr>
        <w:spacing w:line="240" w:lineRule="auto" w:before="1"/>
        <w:rPr>
          <w:rFonts w:ascii="宋体" w:hAnsi="宋体" w:cs="宋体" w:eastAsia="宋体" w:hint="default"/>
          <w:sz w:val="30"/>
          <w:szCs w:val="30"/>
        </w:rPr>
      </w:pPr>
    </w:p>
    <w:p>
      <w:pPr>
        <w:pStyle w:val="BodyText"/>
        <w:spacing w:line="408" w:lineRule="auto"/>
        <w:ind w:right="1108"/>
        <w:jc w:val="both"/>
      </w:pPr>
      <w:r>
        <w:rPr/>
        <w:t>在很有可能有足够的应纳税利润来抵扣亏损的限度内，应就所有未利用的税务亏损确认递延所得税资产。 </w:t>
      </w:r>
      <w:r>
        <w:rPr>
          <w:spacing w:val="-1"/>
        </w:rPr>
        <w:t>这需要管理层运用大量的判断来估计未来应纳税利润发生的时间和金额，结合纳税筹划策略，以决定应确</w:t>
      </w:r>
      <w:r>
        <w:rPr>
          <w:spacing w:val="-81"/>
        </w:rPr>
        <w:t> </w:t>
      </w:r>
      <w:r>
        <w:rPr>
          <w:spacing w:val="-81"/>
        </w:rPr>
      </w:r>
      <w:r>
        <w:rPr/>
        <w:t>认的递延所得税资产的金额。</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3"/>
        <w:ind w:left="153" w:right="0"/>
        <w:jc w:val="left"/>
      </w:pPr>
      <w:r>
        <w:rPr/>
        <w:t>①根据财政部《关于修订印发</w:t>
      </w:r>
      <w:r>
        <w:rPr>
          <w:rFonts w:ascii="Times New Roman" w:hAnsi="Times New Roman" w:cs="Times New Roman" w:eastAsia="Times New Roman" w:hint="default"/>
        </w:rPr>
        <w:t>2018</w:t>
      </w:r>
      <w:r>
        <w:rPr/>
        <w:t>年度一般企业财务报表格式的通知》（财会</w:t>
      </w:r>
      <w:r>
        <w:rPr>
          <w:rFonts w:ascii="Times New Roman" w:hAnsi="Times New Roman" w:cs="Times New Roman" w:eastAsia="Times New Roman" w:hint="default"/>
        </w:rPr>
        <w:t>[2018]15</w:t>
      </w:r>
      <w:r>
        <w:rPr/>
        <w:t>号），经本公司第</w:t>
      </w:r>
      <w:r>
        <w:rPr>
          <w:spacing w:val="-71"/>
        </w:rPr>
        <w:t> </w:t>
      </w:r>
      <w:r>
        <w:rPr>
          <w:spacing w:val="-71"/>
        </w:rPr>
      </w:r>
      <w:r>
        <w:rPr/>
        <w:t>四届董事会第五次决议通过，本集团对财务报表格式进行以下修订：</w:t>
      </w:r>
    </w:p>
    <w:p>
      <w:pPr>
        <w:spacing w:line="240" w:lineRule="auto" w:before="6"/>
        <w:rPr>
          <w:rFonts w:ascii="宋体" w:hAnsi="宋体" w:cs="宋体" w:eastAsia="宋体" w:hint="default"/>
          <w:sz w:val="21"/>
          <w:szCs w:val="21"/>
        </w:rPr>
      </w:pPr>
    </w:p>
    <w:p>
      <w:pPr>
        <w:pStyle w:val="BodyText"/>
        <w:spacing w:line="564" w:lineRule="auto"/>
        <w:ind w:left="153" w:right="4522"/>
        <w:jc w:val="left"/>
      </w:pPr>
      <w:r>
        <w:rPr>
          <w:rFonts w:ascii="Times New Roman" w:hAnsi="Times New Roman" w:cs="Times New Roman" w:eastAsia="Times New Roman" w:hint="default"/>
        </w:rPr>
        <w:t>A</w:t>
      </w:r>
      <w:r>
        <w:rPr/>
        <w:t>、资产负债表 将原</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行项目整合为</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t>； 将原</w:t>
      </w:r>
      <w:r>
        <w:rPr>
          <w:rFonts w:ascii="Times New Roman" w:hAnsi="Times New Roman" w:cs="Times New Roman" w:eastAsia="Times New Roman" w:hint="default"/>
        </w:rPr>
        <w:t>“</w:t>
      </w:r>
      <w:r>
        <w:rPr/>
        <w:t>应收利息</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应收股利</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其他应收款</w:t>
      </w:r>
      <w:r>
        <w:rPr>
          <w:rFonts w:ascii="Times New Roman" w:hAnsi="Times New Roman" w:cs="Times New Roman" w:eastAsia="Times New Roman" w:hint="default"/>
        </w:rPr>
        <w:t>”</w:t>
      </w:r>
      <w:r>
        <w:rPr/>
        <w:t>； 将原</w:t>
      </w:r>
      <w:r>
        <w:rPr>
          <w:rFonts w:ascii="Times New Roman" w:hAnsi="Times New Roman" w:cs="Times New Roman" w:eastAsia="Times New Roman" w:hint="default"/>
        </w:rPr>
        <w:t>“</w:t>
      </w:r>
      <w:r>
        <w:rPr/>
        <w:t>固定资产清理</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固定资产</w:t>
      </w:r>
      <w:r>
        <w:rPr>
          <w:rFonts w:ascii="Times New Roman" w:hAnsi="Times New Roman" w:cs="Times New Roman" w:eastAsia="Times New Roman" w:hint="default"/>
        </w:rPr>
        <w:t>”</w:t>
      </w:r>
      <w:r>
        <w:rPr/>
        <w:t>； 将原</w:t>
      </w:r>
      <w:r>
        <w:rPr>
          <w:rFonts w:ascii="Times New Roman" w:hAnsi="Times New Roman" w:cs="Times New Roman" w:eastAsia="Times New Roman" w:hint="default"/>
        </w:rPr>
        <w:t>“</w:t>
      </w:r>
      <w:r>
        <w:rPr/>
        <w:t>工程物资</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在建工程</w:t>
      </w:r>
      <w:r>
        <w:rPr>
          <w:rFonts w:ascii="Times New Roman" w:hAnsi="Times New Roman" w:cs="Times New Roman" w:eastAsia="Times New Roman" w:hint="default"/>
        </w:rPr>
        <w:t>”</w:t>
      </w:r>
      <w:r>
        <w:rPr/>
        <w:t>；</w:t>
      </w:r>
    </w:p>
    <w:p>
      <w:pPr>
        <w:spacing w:after="0" w:line="564"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564" w:lineRule="auto" w:before="174"/>
        <w:ind w:left="153" w:right="4102"/>
        <w:jc w:val="left"/>
      </w:pPr>
      <w:r>
        <w:rPr/>
        <w:t>将原</w:t>
      </w: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行项目整合为</w:t>
      </w:r>
      <w:r>
        <w:rPr>
          <w:rFonts w:ascii="Times New Roman" w:hAnsi="Times New Roman" w:cs="Times New Roman" w:eastAsia="Times New Roman" w:hint="default"/>
        </w:rPr>
        <w:t>“</w:t>
      </w:r>
      <w:r>
        <w:rPr/>
        <w:t>应付票据及应付账款</w:t>
      </w:r>
      <w:r>
        <w:rPr>
          <w:rFonts w:ascii="Times New Roman" w:hAnsi="Times New Roman" w:cs="Times New Roman" w:eastAsia="Times New Roman" w:hint="default"/>
        </w:rPr>
        <w:t>”</w:t>
      </w:r>
      <w:r>
        <w:rPr/>
        <w:t>项目； 将原</w:t>
      </w:r>
      <w:r>
        <w:rPr>
          <w:rFonts w:ascii="Times New Roman" w:hAnsi="Times New Roman" w:cs="Times New Roman" w:eastAsia="Times New Roman" w:hint="default"/>
        </w:rPr>
        <w:t>“</w:t>
      </w:r>
      <w:r>
        <w:rPr/>
        <w:t>应付利息</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应付股利</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其他应付款</w:t>
      </w:r>
      <w:r>
        <w:rPr>
          <w:rFonts w:ascii="Times New Roman" w:hAnsi="Times New Roman" w:cs="Times New Roman" w:eastAsia="Times New Roman" w:hint="default"/>
        </w:rPr>
        <w:t>”</w:t>
      </w:r>
      <w:r>
        <w:rPr/>
        <w:t>； 将原</w:t>
      </w:r>
      <w:r>
        <w:rPr>
          <w:rFonts w:ascii="Times New Roman" w:hAnsi="Times New Roman" w:cs="Times New Roman" w:eastAsia="Times New Roman" w:hint="default"/>
        </w:rPr>
        <w:t>“</w:t>
      </w:r>
      <w:r>
        <w:rPr/>
        <w:t>专项应付款</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长期应付款</w:t>
      </w:r>
      <w:r>
        <w:rPr>
          <w:rFonts w:ascii="Times New Roman" w:hAnsi="Times New Roman" w:cs="Times New Roman" w:eastAsia="Times New Roman" w:hint="default"/>
        </w:rPr>
        <w:t>”</w:t>
      </w:r>
      <w:r>
        <w:rPr/>
        <w:t>。</w:t>
      </w:r>
    </w:p>
    <w:p>
      <w:pPr>
        <w:pStyle w:val="BodyText"/>
        <w:spacing w:line="564" w:lineRule="auto" w:before="79"/>
        <w:ind w:left="153" w:right="7228"/>
        <w:jc w:val="left"/>
      </w:pPr>
      <w:r>
        <w:rPr>
          <w:rFonts w:ascii="Times New Roman" w:hAnsi="Times New Roman" w:cs="Times New Roman" w:eastAsia="Times New Roman" w:hint="default"/>
        </w:rPr>
        <w:t>B</w:t>
      </w:r>
      <w:r>
        <w:rPr/>
        <w:t>、利润表 从原</w:t>
      </w:r>
      <w:r>
        <w:rPr>
          <w:rFonts w:ascii="Times New Roman" w:hAnsi="Times New Roman" w:cs="Times New Roman" w:eastAsia="Times New Roman" w:hint="default"/>
        </w:rPr>
        <w:t>“</w:t>
      </w:r>
      <w:r>
        <w:rPr/>
        <w:t>管理费用</w:t>
      </w:r>
      <w:r>
        <w:rPr>
          <w:rFonts w:ascii="Times New Roman" w:hAnsi="Times New Roman" w:cs="Times New Roman" w:eastAsia="Times New Roman" w:hint="default"/>
        </w:rPr>
        <w:t>”</w:t>
      </w:r>
      <w:r>
        <w:rPr/>
        <w:t>中分拆出</w:t>
      </w:r>
      <w:r>
        <w:rPr>
          <w:rFonts w:ascii="Times New Roman" w:hAnsi="Times New Roman" w:cs="Times New Roman" w:eastAsia="Times New Roman" w:hint="default"/>
        </w:rPr>
        <w:t>“</w:t>
      </w:r>
      <w:r>
        <w:rPr/>
        <w:t>研发费用</w:t>
      </w:r>
      <w:r>
        <w:rPr>
          <w:rFonts w:ascii="Times New Roman" w:hAnsi="Times New Roman" w:cs="Times New Roman" w:eastAsia="Times New Roman" w:hint="default"/>
        </w:rPr>
        <w:t>”</w:t>
      </w:r>
      <w:r>
        <w:rPr/>
        <w:t>；</w:t>
      </w:r>
    </w:p>
    <w:p>
      <w:pPr>
        <w:pStyle w:val="BodyText"/>
        <w:spacing w:line="240" w:lineRule="auto" w:before="79"/>
        <w:ind w:left="153" w:right="0"/>
        <w:jc w:val="left"/>
      </w:pPr>
      <w:r>
        <w:rPr/>
        <w:t>在</w:t>
      </w:r>
      <w:r>
        <w:rPr>
          <w:rFonts w:ascii="Times New Roman" w:hAnsi="Times New Roman" w:cs="Times New Roman" w:eastAsia="Times New Roman" w:hint="default"/>
        </w:rPr>
        <w:t>“</w:t>
      </w:r>
      <w:r>
        <w:rPr/>
        <w:t>财务费用</w:t>
      </w:r>
      <w:r>
        <w:rPr>
          <w:rFonts w:ascii="Times New Roman" w:hAnsi="Times New Roman" w:cs="Times New Roman" w:eastAsia="Times New Roman" w:hint="default"/>
        </w:rPr>
        <w:t>”</w:t>
      </w:r>
      <w:r>
        <w:rPr/>
        <w:t>行项目下分别列示</w:t>
      </w:r>
      <w:r>
        <w:rPr>
          <w:rFonts w:ascii="Times New Roman" w:hAnsi="Times New Roman" w:cs="Times New Roman" w:eastAsia="Times New Roman" w:hint="default"/>
        </w:rPr>
        <w:t>“</w:t>
      </w:r>
      <w:r>
        <w:rPr/>
        <w:t>利息费用</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利息收入</w:t>
      </w:r>
      <w:r>
        <w:rPr>
          <w:rFonts w:ascii="Times New Roman" w:hAnsi="Times New Roman" w:cs="Times New Roman" w:eastAsia="Times New Roman" w:hint="default"/>
        </w:rPr>
        <w:t>”</w:t>
      </w:r>
      <w:r>
        <w:rPr/>
        <w:t>明细项目；</w:t>
      </w:r>
    </w:p>
    <w:p>
      <w:pPr>
        <w:spacing w:line="240" w:lineRule="auto" w:before="1"/>
        <w:rPr>
          <w:rFonts w:ascii="宋体" w:hAnsi="宋体" w:cs="宋体" w:eastAsia="宋体" w:hint="default"/>
          <w:sz w:val="30"/>
          <w:szCs w:val="30"/>
        </w:rPr>
      </w:pPr>
    </w:p>
    <w:p>
      <w:pPr>
        <w:pStyle w:val="BodyText"/>
        <w:spacing w:line="240" w:lineRule="auto"/>
        <w:ind w:left="153" w:right="0"/>
        <w:jc w:val="left"/>
      </w:pPr>
      <w:r>
        <w:rPr>
          <w:rFonts w:ascii="Times New Roman" w:hAnsi="Times New Roman" w:cs="Times New Roman" w:eastAsia="Times New Roman" w:hint="default"/>
        </w:rPr>
        <w:t>C</w:t>
      </w:r>
      <w:r>
        <w:rPr/>
        <w:t>、股东权益变动表</w:t>
      </w:r>
    </w:p>
    <w:p>
      <w:pPr>
        <w:spacing w:line="240" w:lineRule="auto" w:before="1"/>
        <w:rPr>
          <w:rFonts w:ascii="宋体" w:hAnsi="宋体" w:cs="宋体" w:eastAsia="宋体" w:hint="default"/>
          <w:sz w:val="30"/>
          <w:szCs w:val="30"/>
        </w:rPr>
      </w:pPr>
    </w:p>
    <w:p>
      <w:pPr>
        <w:pStyle w:val="BodyText"/>
        <w:spacing w:line="386" w:lineRule="auto"/>
        <w:ind w:left="153" w:right="0"/>
        <w:jc w:val="left"/>
      </w:pPr>
      <w:r>
        <w:rPr>
          <w:spacing w:val="-2"/>
        </w:rPr>
        <w:t>在</w:t>
      </w:r>
      <w:r>
        <w:rPr>
          <w:rFonts w:ascii="Times New Roman" w:hAnsi="Times New Roman" w:cs="Times New Roman" w:eastAsia="Times New Roman" w:hint="default"/>
          <w:spacing w:val="-2"/>
        </w:rPr>
        <w:t>“</w:t>
      </w:r>
      <w:r>
        <w:rPr>
          <w:spacing w:val="-2"/>
        </w:rPr>
        <w:t>股东权益内部结转</w:t>
      </w:r>
      <w:r>
        <w:rPr>
          <w:rFonts w:ascii="Times New Roman" w:hAnsi="Times New Roman" w:cs="Times New Roman" w:eastAsia="Times New Roman" w:hint="default"/>
          <w:spacing w:val="-2"/>
        </w:rPr>
        <w:t>”</w:t>
      </w:r>
      <w:r>
        <w:rPr>
          <w:spacing w:val="-2"/>
        </w:rPr>
        <w:t>行项目下，将原</w:t>
      </w:r>
      <w:r>
        <w:rPr>
          <w:rFonts w:ascii="Times New Roman" w:hAnsi="Times New Roman" w:cs="Times New Roman" w:eastAsia="Times New Roman" w:hint="default"/>
          <w:spacing w:val="-2"/>
        </w:rPr>
        <w:t>“</w:t>
      </w:r>
      <w:r>
        <w:rPr>
          <w:spacing w:val="-2"/>
        </w:rPr>
        <w:t>结转重新计量设定受益计划净负债或净资产所产生的变动</w:t>
      </w:r>
      <w:r>
        <w:rPr>
          <w:rFonts w:ascii="Times New Roman" w:hAnsi="Times New Roman" w:cs="Times New Roman" w:eastAsia="Times New Roman" w:hint="default"/>
          <w:spacing w:val="-2"/>
        </w:rPr>
        <w:t>”</w:t>
      </w:r>
      <w:r>
        <w:rPr>
          <w:spacing w:val="-2"/>
        </w:rPr>
        <w:t>改为</w:t>
      </w:r>
      <w:r>
        <w:rPr>
          <w:rFonts w:ascii="Times New Roman" w:hAnsi="Times New Roman" w:cs="Times New Roman" w:eastAsia="Times New Roman" w:hint="default"/>
          <w:spacing w:val="-2"/>
        </w:rPr>
        <w:t>“</w:t>
      </w:r>
      <w:r>
        <w:rPr>
          <w:spacing w:val="-2"/>
        </w:rPr>
        <w:t>设</w:t>
      </w:r>
      <w:r>
        <w:rPr>
          <w:spacing w:val="-77"/>
        </w:rPr>
        <w:t> </w:t>
      </w:r>
      <w:r>
        <w:rPr/>
        <w:t>定受益计划变动额结转留存收益</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19"/>
          <w:szCs w:val="19"/>
        </w:rPr>
      </w:pPr>
    </w:p>
    <w:p>
      <w:pPr>
        <w:pStyle w:val="BodyText"/>
        <w:spacing w:line="240" w:lineRule="auto"/>
        <w:ind w:left="153" w:right="0"/>
        <w:jc w:val="left"/>
      </w:pPr>
      <w:r>
        <w:rPr/>
        <w:t>财务报表格式的修订对本集团的资产总额、负债总额、净利润、其他综合收益等无影响。</w:t>
      </w:r>
    </w:p>
    <w:p>
      <w:pPr>
        <w:spacing w:line="240" w:lineRule="auto" w:before="0"/>
        <w:rPr>
          <w:rFonts w:ascii="宋体" w:hAnsi="宋体" w:cs="宋体" w:eastAsia="宋体" w:hint="default"/>
          <w:sz w:val="20"/>
          <w:szCs w:val="20"/>
        </w:rPr>
      </w:pPr>
    </w:p>
    <w:p>
      <w:pPr>
        <w:pStyle w:val="BodyText"/>
        <w:spacing w:line="386" w:lineRule="auto" w:before="147"/>
        <w:ind w:left="153" w:right="1129"/>
        <w:jc w:val="both"/>
      </w:pPr>
      <w:r>
        <w:rPr>
          <w:spacing w:val="-1"/>
        </w:rPr>
        <w:t>②根据财政部《关于</w:t>
      </w:r>
      <w:r>
        <w:rPr>
          <w:rFonts w:ascii="Times New Roman" w:hAnsi="Times New Roman" w:cs="Times New Roman" w:eastAsia="Times New Roman" w:hint="default"/>
          <w:spacing w:val="-1"/>
        </w:rPr>
        <w:t>2018</w:t>
      </w:r>
      <w:r>
        <w:rPr>
          <w:spacing w:val="-1"/>
        </w:rPr>
        <w:t>年度一般企业财务报表格式有关问题的解读》，本集团作为个人所得税的扣缴义</w:t>
      </w:r>
      <w:r>
        <w:rPr>
          <w:spacing w:val="-85"/>
        </w:rPr>
        <w:t> </w:t>
      </w:r>
      <w:r>
        <w:rPr>
          <w:spacing w:val="-85"/>
        </w:rPr>
      </w:r>
      <w:r>
        <w:rPr/>
        <w:t>务人，根据《中华人民共和国个人所得税法》收到的扣缴税款手续费在</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中填列，对可比期间的 比较数据进行调整，调增</w:t>
      </w:r>
      <w:r>
        <w:rPr>
          <w:rFonts w:ascii="Times New Roman" w:hAnsi="Times New Roman" w:cs="Times New Roman" w:eastAsia="Times New Roman" w:hint="default"/>
        </w:rPr>
        <w:t>2017</w:t>
      </w:r>
      <w:r>
        <w:rPr/>
        <w:t>年度其他收益</w:t>
      </w:r>
      <w:r>
        <w:rPr>
          <w:rFonts w:ascii="Times New Roman" w:hAnsi="Times New Roman" w:cs="Times New Roman" w:eastAsia="Times New Roman" w:hint="default"/>
        </w:rPr>
        <w:t>841,356.49</w:t>
      </w:r>
      <w:r>
        <w:rPr/>
        <w:t>，调减</w:t>
      </w:r>
      <w:r>
        <w:rPr>
          <w:rFonts w:ascii="Times New Roman" w:hAnsi="Times New Roman" w:cs="Times New Roman" w:eastAsia="Times New Roman" w:hint="default"/>
        </w:rPr>
        <w:t>2017</w:t>
      </w:r>
      <w:r>
        <w:rPr/>
        <w:t>年度营业外收入</w:t>
      </w:r>
      <w:r>
        <w:rPr>
          <w:rFonts w:ascii="Times New Roman" w:hAnsi="Times New Roman" w:cs="Times New Roman" w:eastAsia="Times New Roman" w:hint="default"/>
        </w:rPr>
        <w:t>841,356.49</w:t>
      </w:r>
      <w:r>
        <w:rPr/>
        <w:t>。</w:t>
      </w:r>
    </w:p>
    <w:p>
      <w:pPr>
        <w:spacing w:line="240" w:lineRule="auto" w:before="3"/>
        <w:rPr>
          <w:rFonts w:ascii="宋体" w:hAnsi="宋体" w:cs="宋体" w:eastAsia="宋体" w:hint="default"/>
          <w:sz w:val="19"/>
          <w:szCs w:val="19"/>
        </w:rPr>
      </w:pPr>
    </w:p>
    <w:p>
      <w:pPr>
        <w:pStyle w:val="BodyText"/>
        <w:spacing w:line="408" w:lineRule="auto"/>
        <w:ind w:right="0"/>
        <w:jc w:val="left"/>
      </w:pPr>
      <w:r>
        <w:rPr>
          <w:spacing w:val="-1"/>
        </w:rPr>
        <w:t>本集团实际收到的政府补助，无论是与资产相关还是与收益相关，在编制现金流量表时均作为经营活动产</w:t>
      </w:r>
      <w:r>
        <w:rPr>
          <w:spacing w:val="-81"/>
        </w:rPr>
        <w:t> </w:t>
      </w:r>
      <w:r>
        <w:rPr>
          <w:spacing w:val="-81"/>
        </w:rPr>
      </w:r>
      <w:r>
        <w:rPr/>
        <w:t>生的现金流量列报，</w:t>
      </w:r>
      <w:r>
        <w:rPr>
          <w:rFonts w:ascii="Times New Roman" w:hAnsi="Times New Roman" w:cs="Times New Roman" w:eastAsia="Times New Roman" w:hint="default"/>
        </w:rPr>
        <w:t>2017</w:t>
      </w:r>
      <w:r>
        <w:rPr/>
        <w:t>年度政府补助现金流量本公司均作为经营活动产生的现金流量，无需调整。</w:t>
      </w:r>
    </w:p>
    <w:p>
      <w:pPr>
        <w:spacing w:line="240" w:lineRule="auto" w:before="8"/>
        <w:rPr>
          <w:rFonts w:ascii="宋体" w:hAnsi="宋体" w:cs="宋体" w:eastAsia="宋体" w:hint="default"/>
          <w:sz w:val="17"/>
          <w:szCs w:val="17"/>
        </w:rPr>
      </w:pPr>
    </w:p>
    <w:p>
      <w:pPr>
        <w:pStyle w:val="BodyText"/>
        <w:spacing w:line="240" w:lineRule="auto"/>
        <w:ind w:right="0"/>
        <w:jc w:val="left"/>
      </w:pPr>
      <w:r>
        <w:rPr/>
        <w:t>上述会计政策的对期初净资产、期末净资产、净利润、资本公积、其他综合收益均无影响。</w:t>
      </w:r>
    </w:p>
    <w:p>
      <w:pPr>
        <w:spacing w:line="240" w:lineRule="auto" w:before="0"/>
        <w:rPr>
          <w:rFonts w:ascii="宋体" w:hAnsi="宋体" w:cs="宋体" w:eastAsia="宋体" w:hint="default"/>
          <w:sz w:val="20"/>
          <w:szCs w:val="20"/>
        </w:rPr>
      </w:pPr>
    </w:p>
    <w:p>
      <w:pPr>
        <w:pStyle w:val="Heading3"/>
        <w:spacing w:line="240" w:lineRule="auto" w:before="153"/>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line="484" w:lineRule="auto" w:before="0"/>
        <w:ind w:left="154" w:right="896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7"/>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厦门市美亚柏科信息股份有限公司北京分公司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厦门美亚柏科信息安全研究所有限公司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珠海市新德汇信息技术有限公司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厦门美亚中敏科技有限公司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香港鼎永泰克科技有限公司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厦门安胜网络科技有限公司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武汉大千信息技术有限公司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江苏税软软件科技有限公司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无锡博盾信息科技有限公司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北京美亚宏数科技有限责任公司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北京国信宏数科技有限责任公司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北京美亚智讯信息技术有限公司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厦门美亚商鼎信息科技有限公司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厦门美亚天信会议服务有限公司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北京美亚京安科技有限公司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福建美亚榕安科技有限公司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厦门美银智投科技有限公司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厦门美亚亿安信息科技有限公司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、税收优惠</w:t>
      </w:r>
      <w:r>
        <w:rPr>
          <w:b w:val="0"/>
          <w:bCs w:val="0"/>
        </w:rPr>
      </w:r>
    </w:p>
    <w:p>
      <w:pPr>
        <w:pStyle w:val="BodyText"/>
        <w:spacing w:line="580" w:lineRule="atLeast" w:before="110"/>
        <w:ind w:right="0" w:firstLine="1"/>
        <w:jc w:val="left"/>
      </w:pPr>
      <w:r>
        <w:rPr/>
        <w:t>（</w:t>
      </w:r>
      <w:r>
        <w:rPr>
          <w:rFonts w:ascii="Times New Roman" w:hAnsi="Times New Roman" w:cs="Times New Roman" w:eastAsia="Times New Roman" w:hint="default"/>
        </w:rPr>
        <w:t>1</w:t>
      </w:r>
      <w:r>
        <w:rPr/>
        <w:t>）增值税 </w:t>
      </w:r>
      <w:r>
        <w:rPr>
          <w:spacing w:val="-1"/>
        </w:rPr>
        <w:t>根据《国务院关于印发进一步鼓励软件产业和集成电路产业发展若干政策的通知》（国发〔</w:t>
      </w:r>
      <w:r>
        <w:rPr>
          <w:rFonts w:ascii="Times New Roman" w:hAnsi="Times New Roman" w:cs="Times New Roman" w:eastAsia="Times New Roman" w:hint="default"/>
          <w:spacing w:val="-1"/>
        </w:rPr>
        <w:t>2011</w:t>
      </w:r>
      <w:r>
        <w:rPr>
          <w:spacing w:val="-1"/>
        </w:rPr>
        <w:t>〕</w:t>
      </w:r>
      <w:r>
        <w:rPr>
          <w:rFonts w:ascii="Times New Roman" w:hAnsi="Times New Roman" w:cs="Times New Roman" w:eastAsia="Times New Roman" w:hint="default"/>
          <w:spacing w:val="-1"/>
        </w:rPr>
        <w:t>4</w:t>
      </w:r>
      <w:r>
        <w:rPr>
          <w:spacing w:val="-1"/>
        </w:rPr>
        <w:t>号）、</w:t>
      </w:r>
    </w:p>
    <w:p>
      <w:pPr>
        <w:pStyle w:val="BodyText"/>
        <w:spacing w:line="386" w:lineRule="auto" w:before="177"/>
        <w:ind w:right="0"/>
        <w:jc w:val="left"/>
      </w:pPr>
      <w:r>
        <w:rPr>
          <w:spacing w:val="-2"/>
        </w:rPr>
        <w:t>《关于软件产品增值税政策的通知》（财税</w:t>
      </w:r>
      <w:r>
        <w:rPr>
          <w:rFonts w:ascii="Times New Roman" w:hAnsi="Times New Roman" w:cs="Times New Roman" w:eastAsia="Times New Roman" w:hint="default"/>
          <w:spacing w:val="-2"/>
        </w:rPr>
        <w:t>[2011]100</w:t>
      </w:r>
      <w:r>
        <w:rPr>
          <w:spacing w:val="-2"/>
        </w:rPr>
        <w:t>号）规定，对增值税一般纳税人销售其自行开发生产</w:t>
      </w:r>
      <w:r>
        <w:rPr>
          <w:spacing w:val="-68"/>
        </w:rPr>
        <w:t> </w:t>
      </w:r>
      <w:r>
        <w:rPr>
          <w:spacing w:val="-68"/>
        </w:rPr>
      </w:r>
      <w:r>
        <w:rPr/>
        <w:t>的软件产品，按</w:t>
      </w:r>
      <w:r>
        <w:rPr>
          <w:rFonts w:ascii="Times New Roman" w:hAnsi="Times New Roman" w:cs="Times New Roman" w:eastAsia="Times New Roman" w:hint="default"/>
        </w:rPr>
        <w:t>17</w:t>
      </w:r>
      <w:r>
        <w:rPr/>
        <w:t>％的法定税率征收增值税后，对其增值税实际税负超过</w:t>
      </w:r>
      <w:r>
        <w:rPr>
          <w:rFonts w:ascii="Times New Roman" w:hAnsi="Times New Roman" w:cs="Times New Roman" w:eastAsia="Times New Roman" w:hint="default"/>
        </w:rPr>
        <w:t>3</w:t>
      </w:r>
      <w:r>
        <w:rPr/>
        <w:t>％的部分实行即征即退政策。</w:t>
      </w:r>
    </w:p>
    <w:p>
      <w:pPr>
        <w:pStyle w:val="BodyText"/>
        <w:spacing w:line="386" w:lineRule="auto" w:before="155"/>
        <w:ind w:right="0"/>
        <w:jc w:val="left"/>
      </w:pPr>
      <w:r>
        <w:rPr>
          <w:spacing w:val="-1"/>
        </w:rPr>
        <w:t>根据《关于鼓励软件产业和集成电路产业发展有关税收政策问题的通知》（财税【</w:t>
      </w:r>
      <w:r>
        <w:rPr>
          <w:rFonts w:ascii="Times New Roman" w:hAnsi="Times New Roman" w:cs="Times New Roman" w:eastAsia="Times New Roman" w:hint="default"/>
          <w:spacing w:val="-1"/>
        </w:rPr>
        <w:t>2000</w:t>
      </w:r>
      <w:r>
        <w:rPr>
          <w:spacing w:val="-1"/>
        </w:rPr>
        <w:t>】</w:t>
      </w:r>
      <w:r>
        <w:rPr>
          <w:rFonts w:ascii="Times New Roman" w:hAnsi="Times New Roman" w:cs="Times New Roman" w:eastAsia="Times New Roman" w:hint="default"/>
          <w:spacing w:val="-1"/>
        </w:rPr>
        <w:t>25</w:t>
      </w:r>
      <w:r>
        <w:rPr>
          <w:spacing w:val="-1"/>
        </w:rPr>
        <w:t>号）规定，销</w:t>
      </w:r>
      <w:r>
        <w:rPr>
          <w:spacing w:val="-85"/>
        </w:rPr>
        <w:t> </w:t>
      </w:r>
      <w:r>
        <w:rPr>
          <w:spacing w:val="-85"/>
        </w:rPr>
      </w:r>
      <w:r>
        <w:rPr/>
        <w:t>售自行开发生产的软件产品，其增值税实际税负超过</w:t>
      </w:r>
      <w:r>
        <w:rPr>
          <w:rFonts w:ascii="Times New Roman" w:hAnsi="Times New Roman" w:cs="Times New Roman" w:eastAsia="Times New Roman" w:hint="default"/>
        </w:rPr>
        <w:t>3</w:t>
      </w:r>
      <w:r>
        <w:rPr/>
        <w:t>％享受即征即退政策部分的所退税款，用于企业研</w:t>
      </w:r>
    </w:p>
    <w:p>
      <w:pPr>
        <w:spacing w:after="0" w:line="386"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究开发软件产品和扩大再生产，不作为企业所得税应税收入，不征收企业所得税。</w:t>
      </w:r>
    </w:p>
    <w:p>
      <w:pPr>
        <w:spacing w:line="240" w:lineRule="auto" w:before="12"/>
        <w:rPr>
          <w:rFonts w:ascii="宋体" w:hAnsi="宋体" w:cs="宋体" w:eastAsia="宋体" w:hint="default"/>
          <w:sz w:val="23"/>
          <w:szCs w:val="23"/>
        </w:rPr>
      </w:pPr>
    </w:p>
    <w:p>
      <w:pPr>
        <w:pStyle w:val="BodyText"/>
        <w:spacing w:line="240" w:lineRule="auto"/>
        <w:ind w:left="155" w:right="0"/>
        <w:jc w:val="left"/>
      </w:pPr>
      <w:r>
        <w:rPr/>
        <w:t>（</w:t>
      </w:r>
      <w:r>
        <w:rPr>
          <w:rFonts w:ascii="Times New Roman" w:hAnsi="Times New Roman" w:cs="Times New Roman" w:eastAsia="Times New Roman" w:hint="default"/>
        </w:rPr>
        <w:t>2</w:t>
      </w:r>
      <w:r>
        <w:rPr/>
        <w:t>）企业所得税</w:t>
      </w:r>
    </w:p>
    <w:p>
      <w:pPr>
        <w:spacing w:line="240" w:lineRule="auto" w:before="9"/>
        <w:rPr>
          <w:rFonts w:ascii="宋体" w:hAnsi="宋体" w:cs="宋体" w:eastAsia="宋体" w:hint="default"/>
          <w:sz w:val="22"/>
          <w:szCs w:val="22"/>
        </w:rPr>
      </w:pPr>
    </w:p>
    <w:p>
      <w:pPr>
        <w:pStyle w:val="BodyText"/>
        <w:spacing w:line="386" w:lineRule="auto"/>
        <w:ind w:left="153" w:right="1016"/>
        <w:jc w:val="left"/>
      </w:pPr>
      <w:r>
        <w:rPr/>
        <w:t>①</w:t>
      </w:r>
      <w:r>
        <w:rPr>
          <w:rFonts w:ascii="Times New Roman" w:hAnsi="Times New Roman" w:cs="Times New Roman" w:eastAsia="Times New Roman" w:hint="default"/>
        </w:rPr>
        <w:t>2008</w:t>
      </w:r>
      <w:r>
        <w:rPr>
          <w:rFonts w:ascii="Times New Roman" w:hAnsi="Times New Roman" w:cs="Times New Roman" w:eastAsia="Times New Roman" w:hint="default"/>
          <w:spacing w:val="36"/>
        </w:rPr>
        <w:t> </w:t>
      </w:r>
      <w:r>
        <w:rPr>
          <w:spacing w:val="-7"/>
        </w:rPr>
        <w:t>年</w:t>
      </w:r>
      <w:r>
        <w:rPr>
          <w:rFonts w:ascii="Times New Roman" w:hAnsi="Times New Roman" w:cs="Times New Roman" w:eastAsia="Times New Roman" w:hint="default"/>
          <w:spacing w:val="-7"/>
        </w:rPr>
        <w:t>9</w:t>
      </w:r>
      <w:r>
        <w:rPr>
          <w:spacing w:val="-7"/>
        </w:rPr>
        <w:t>月，本公司经厦门市科学技术局、厦门市财政局、厦门市国税局、厦门市地税局以厦科联【</w:t>
      </w:r>
      <w:r>
        <w:rPr>
          <w:rFonts w:ascii="Times New Roman" w:hAnsi="Times New Roman" w:cs="Times New Roman" w:eastAsia="Times New Roman" w:hint="default"/>
          <w:spacing w:val="-7"/>
        </w:rPr>
        <w:t>2008</w:t>
      </w:r>
      <w:r>
        <w:rPr>
          <w:spacing w:val="-7"/>
        </w:rPr>
        <w:t>】</w:t>
      </w:r>
      <w:r>
        <w:rPr/>
        <w:t> </w:t>
      </w:r>
      <w:r>
        <w:rPr>
          <w:rFonts w:ascii="Times New Roman" w:hAnsi="Times New Roman" w:cs="Times New Roman" w:eastAsia="Times New Roman" w:hint="default"/>
        </w:rPr>
        <w:t>65</w:t>
      </w:r>
      <w:r>
        <w:rPr>
          <w:rFonts w:ascii="Times New Roman" w:hAnsi="Times New Roman" w:cs="Times New Roman" w:eastAsia="Times New Roman" w:hint="default"/>
          <w:spacing w:val="29"/>
        </w:rPr>
        <w:t> </w:t>
      </w:r>
      <w:r>
        <w:rPr/>
        <w:t>号文获得高新技术企业认定，高新技术企业证书认定有效期三年；</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月，本公司再次获得高新技 </w:t>
      </w:r>
      <w:r>
        <w:rPr>
          <w:spacing w:val="-1"/>
        </w:rPr>
        <w:t>术企业认定，于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26</w:t>
      </w:r>
      <w:r>
        <w:rPr>
          <w:spacing w:val="-1"/>
        </w:rPr>
        <w:t>日取得高新技术企业证书，认定有效期三年。根据国科火字【</w:t>
      </w:r>
      <w:r>
        <w:rPr>
          <w:rFonts w:ascii="Times New Roman" w:hAnsi="Times New Roman" w:cs="Times New Roman" w:eastAsia="Times New Roman" w:hint="default"/>
          <w:spacing w:val="-1"/>
        </w:rPr>
        <w:t>2015</w:t>
      </w:r>
      <w:r>
        <w:rPr>
          <w:spacing w:val="-1"/>
        </w:rPr>
        <w:t>】</w:t>
      </w:r>
      <w:r>
        <w:rPr>
          <w:rFonts w:ascii="Times New Roman" w:hAnsi="Times New Roman" w:cs="Times New Roman" w:eastAsia="Times New Roman" w:hint="default"/>
          <w:spacing w:val="-1"/>
        </w:rPr>
        <w:t>28</w:t>
      </w:r>
      <w:r>
        <w:rPr>
          <w:spacing w:val="-1"/>
        </w:rPr>
        <w:t>号文，</w:t>
      </w:r>
      <w:r>
        <w:rPr>
          <w:spacing w:val="-84"/>
        </w:rPr>
        <w:t> </w:t>
      </w:r>
      <w:r>
        <w:rPr>
          <w:spacing w:val="-84"/>
        </w:rPr>
      </w:r>
      <w:r>
        <w:rPr/>
        <w:t>本公司再次获得高新技术企业认定，发证日期为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日，证书编号</w:t>
      </w:r>
      <w:r>
        <w:rPr>
          <w:rFonts w:ascii="Times New Roman" w:hAnsi="Times New Roman" w:cs="Times New Roman" w:eastAsia="Times New Roman" w:hint="default"/>
        </w:rPr>
        <w:t>GR201435100149</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 </w:t>
      </w:r>
      <w:r>
        <w:rPr>
          <w:rFonts w:ascii="Times New Roman" w:hAnsi="Times New Roman" w:cs="Times New Roman" w:eastAsia="Times New Roman" w:hint="default"/>
          <w:spacing w:val="-3"/>
        </w:rPr>
        <w:t>10</w:t>
      </w:r>
      <w:r>
        <w:rPr>
          <w:spacing w:val="-3"/>
        </w:rPr>
        <w:t>日，本公司再次获得高新技术企业认定，证书编号：</w:t>
      </w:r>
      <w:r>
        <w:rPr>
          <w:rFonts w:ascii="Times New Roman" w:hAnsi="Times New Roman" w:cs="Times New Roman" w:eastAsia="Times New Roman" w:hint="default"/>
          <w:spacing w:val="-3"/>
        </w:rPr>
        <w:t>GR201735100074</w:t>
      </w:r>
      <w:r>
        <w:rPr>
          <w:spacing w:val="-3"/>
        </w:rPr>
        <w:t>，本公司根据有关规定，高新技术</w:t>
      </w:r>
      <w:r>
        <w:rPr>
          <w:spacing w:val="-59"/>
        </w:rPr>
        <w:t> </w:t>
      </w:r>
      <w:r>
        <w:rPr>
          <w:spacing w:val="-59"/>
        </w:rPr>
      </w:r>
      <w:r>
        <w:rPr/>
        <w:t>企业享受减按</w:t>
      </w:r>
      <w:r>
        <w:rPr>
          <w:rFonts w:ascii="Times New Roman" w:hAnsi="Times New Roman" w:cs="Times New Roman" w:eastAsia="Times New Roman" w:hint="default"/>
        </w:rPr>
        <w:t>15%</w:t>
      </w:r>
      <w:r>
        <w:rPr/>
        <w:t>的税率征收企业所得税。</w:t>
      </w:r>
    </w:p>
    <w:p>
      <w:pPr>
        <w:pStyle w:val="BodyText"/>
        <w:spacing w:line="391" w:lineRule="auto" w:before="155"/>
        <w:ind w:left="153" w:right="0"/>
        <w:jc w:val="left"/>
      </w:pPr>
      <w:r>
        <w:rPr>
          <w:spacing w:val="-7"/>
        </w:rPr>
        <w:t>根据《财税【</w:t>
      </w:r>
      <w:r>
        <w:rPr>
          <w:rFonts w:ascii="Times New Roman" w:hAnsi="Times New Roman" w:cs="Times New Roman" w:eastAsia="Times New Roman" w:hint="default"/>
          <w:spacing w:val="-7"/>
        </w:rPr>
        <w:t>2016</w:t>
      </w:r>
      <w:r>
        <w:rPr>
          <w:spacing w:val="-7"/>
        </w:rPr>
        <w:t>】</w:t>
      </w:r>
      <w:r>
        <w:rPr>
          <w:rFonts w:ascii="Times New Roman" w:hAnsi="Times New Roman" w:cs="Times New Roman" w:eastAsia="Times New Roman" w:hint="default"/>
          <w:spacing w:val="-7"/>
        </w:rPr>
        <w:t>49</w:t>
      </w:r>
      <w:r>
        <w:rPr>
          <w:spacing w:val="-7"/>
        </w:rPr>
        <w:t>号关于软件和集成电路产业企业所得税优惠政策有关问题的通知》，享受财税〔</w:t>
      </w:r>
      <w:r>
        <w:rPr>
          <w:rFonts w:ascii="Times New Roman" w:hAnsi="Times New Roman" w:cs="Times New Roman" w:eastAsia="Times New Roman" w:hint="default"/>
          <w:spacing w:val="-7"/>
        </w:rPr>
        <w:t>2012</w:t>
      </w:r>
      <w:r>
        <w:rPr>
          <w:spacing w:val="-7"/>
        </w:rPr>
        <w:t>〕</w:t>
      </w:r>
      <w:r>
        <w:rPr>
          <w:spacing w:val="-81"/>
        </w:rPr>
        <w:t> </w:t>
      </w:r>
      <w:r>
        <w:rPr>
          <w:rFonts w:ascii="Times New Roman" w:hAnsi="Times New Roman" w:cs="Times New Roman" w:eastAsia="Times New Roman" w:hint="default"/>
          <w:spacing w:val="-5"/>
        </w:rPr>
        <w:t>27</w:t>
      </w:r>
      <w:r>
        <w:rPr>
          <w:spacing w:val="-5"/>
        </w:rPr>
        <w:t>号文件规定的税收优惠政策的软件、集成电路企业，每年汇算清缴时应按照《国家税务总局关于发布〈企</w:t>
      </w:r>
      <w:r>
        <w:rPr>
          <w:spacing w:val="-99"/>
        </w:rPr>
        <w:t> </w:t>
      </w:r>
      <w:r>
        <w:rPr>
          <w:spacing w:val="-99"/>
        </w:rPr>
      </w:r>
      <w:r>
        <w:rPr/>
        <w:t>业所得税优惠政策事项办理办法〉的公告》（国家税务总局公告</w:t>
      </w:r>
      <w:r>
        <w:rPr>
          <w:rFonts w:ascii="Times New Roman" w:hAnsi="Times New Roman" w:cs="Times New Roman" w:eastAsia="Times New Roman" w:hint="default"/>
        </w:rPr>
        <w:t>2015</w:t>
      </w:r>
      <w:r>
        <w:rPr/>
        <w:t>年第</w:t>
      </w:r>
      <w:r>
        <w:rPr>
          <w:rFonts w:ascii="Times New Roman" w:hAnsi="Times New Roman" w:cs="Times New Roman" w:eastAsia="Times New Roman" w:hint="default"/>
        </w:rPr>
        <w:t>76</w:t>
      </w:r>
      <w:r>
        <w:rPr/>
        <w:t>号）规定向税务机关备案，同 时提交《享受企业所得税优惠政策的软件和集成电路企业备案资料明细表》规定的备案资料。本公司预计 能够符合财税〔</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27</w:t>
      </w:r>
      <w:r>
        <w:rPr/>
        <w:t>号文件规定的税收优惠政策，故</w:t>
      </w:r>
      <w:r>
        <w:rPr>
          <w:rFonts w:ascii="Times New Roman" w:hAnsi="Times New Roman" w:cs="Times New Roman" w:eastAsia="Times New Roman" w:hint="default"/>
        </w:rPr>
        <w:t>2018</w:t>
      </w:r>
      <w:r>
        <w:rPr/>
        <w:t>年度企业所得税按</w:t>
      </w:r>
      <w:r>
        <w:rPr>
          <w:rFonts w:ascii="Times New Roman" w:hAnsi="Times New Roman" w:cs="Times New Roman" w:eastAsia="Times New Roman" w:hint="default"/>
        </w:rPr>
        <w:t>10%</w:t>
      </w:r>
      <w:r>
        <w:rPr/>
        <w:t>的税率确认。</w:t>
      </w:r>
    </w:p>
    <w:p>
      <w:pPr>
        <w:pStyle w:val="BodyText"/>
        <w:spacing w:line="386" w:lineRule="auto" w:before="150"/>
        <w:ind w:left="153" w:right="1126"/>
        <w:jc w:val="both"/>
      </w:pPr>
      <w:r>
        <w:rPr/>
        <w:t>②</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日，子公司美亚研究所经厦门市科学技术局、厦门市财政局、厦门市国家税务局、福建省</w:t>
      </w:r>
      <w:r>
        <w:rPr>
          <w:spacing w:val="-36"/>
        </w:rPr>
        <w:t> </w:t>
      </w:r>
      <w:r>
        <w:rPr>
          <w:spacing w:val="-36"/>
        </w:rPr>
      </w:r>
      <w:r>
        <w:rPr>
          <w:spacing w:val="-3"/>
        </w:rPr>
        <w:t>厦门市地方税务局认定为高新技术企业，证书编号：</w:t>
      </w:r>
      <w:r>
        <w:rPr>
          <w:rFonts w:ascii="Times New Roman" w:hAnsi="Times New Roman" w:cs="Times New Roman" w:eastAsia="Times New Roman" w:hint="default"/>
          <w:spacing w:val="-3"/>
        </w:rPr>
        <w:t>GR201435100154</w:t>
      </w:r>
      <w:r>
        <w:rPr>
          <w:spacing w:val="-3"/>
        </w:rPr>
        <w:t>；</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10</w:t>
      </w:r>
      <w:r>
        <w:rPr>
          <w:spacing w:val="-3"/>
        </w:rPr>
        <w:t>日，美亚研究所再次</w:t>
      </w:r>
      <w:r>
        <w:rPr>
          <w:spacing w:val="-54"/>
        </w:rPr>
        <w:t> </w:t>
      </w:r>
      <w:r>
        <w:rPr>
          <w:spacing w:val="-54"/>
        </w:rPr>
      </w:r>
      <w:r>
        <w:rPr/>
        <w:t>获得高新技术企业认定，证书编号：</w:t>
      </w:r>
      <w:r>
        <w:rPr>
          <w:rFonts w:ascii="Times New Roman" w:hAnsi="Times New Roman" w:cs="Times New Roman" w:eastAsia="Times New Roman" w:hint="default"/>
        </w:rPr>
        <w:t>GR201735100130</w:t>
      </w:r>
      <w:r>
        <w:rPr/>
        <w:t>，根据有关规定， </w:t>
      </w:r>
      <w:r>
        <w:rPr>
          <w:rFonts w:ascii="Times New Roman" w:hAnsi="Times New Roman" w:cs="Times New Roman" w:eastAsia="Times New Roman" w:hint="default"/>
        </w:rPr>
        <w:t>2018</w:t>
      </w:r>
      <w:r>
        <w:rPr/>
        <w:t>年度享受减按</w:t>
      </w:r>
      <w:r>
        <w:rPr>
          <w:rFonts w:ascii="Times New Roman" w:hAnsi="Times New Roman" w:cs="Times New Roman" w:eastAsia="Times New Roman" w:hint="default"/>
        </w:rPr>
        <w:t>15%</w:t>
      </w:r>
      <w:r>
        <w:rPr/>
        <w:t>的税率征</w:t>
      </w:r>
      <w:r>
        <w:rPr>
          <w:spacing w:val="-91"/>
        </w:rPr>
        <w:t> </w:t>
      </w:r>
      <w:r>
        <w:rPr>
          <w:spacing w:val="-91"/>
        </w:rPr>
      </w:r>
      <w:r>
        <w:rPr/>
        <w:t>收企业所得税。</w:t>
      </w:r>
    </w:p>
    <w:p>
      <w:pPr>
        <w:spacing w:line="240" w:lineRule="auto" w:before="2"/>
        <w:rPr>
          <w:rFonts w:ascii="宋体" w:hAnsi="宋体" w:cs="宋体" w:eastAsia="宋体" w:hint="default"/>
          <w:sz w:val="14"/>
          <w:szCs w:val="14"/>
        </w:rPr>
      </w:pPr>
    </w:p>
    <w:p>
      <w:pPr>
        <w:pStyle w:val="BodyText"/>
        <w:spacing w:line="386" w:lineRule="auto"/>
        <w:ind w:right="0"/>
        <w:jc w:val="left"/>
      </w:pPr>
      <w:r>
        <w:rPr/>
        <w:t>③</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17</w:t>
      </w:r>
      <w:r>
        <w:rPr/>
        <w:t>日，子公司珠海新德汇经广东省科学技术厅、广东省财政厅、广东省国家税务局、广东省 地方税务局认定为高新技术企业，证书编号：</w:t>
      </w:r>
      <w:r>
        <w:rPr>
          <w:rFonts w:ascii="Times New Roman" w:hAnsi="Times New Roman" w:cs="Times New Roman" w:eastAsia="Times New Roman" w:hint="default"/>
        </w:rPr>
        <w:t>GR201144000598</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日再次获得高新技术企业认 </w:t>
      </w:r>
      <w:r>
        <w:rPr>
          <w:spacing w:val="-2"/>
        </w:rPr>
        <w:t>定，证书编号：</w:t>
      </w:r>
      <w:r>
        <w:rPr>
          <w:rFonts w:ascii="Times New Roman" w:hAnsi="Times New Roman" w:cs="Times New Roman" w:eastAsia="Times New Roman" w:hint="default"/>
          <w:spacing w:val="-2"/>
        </w:rPr>
        <w:t>GR201444000050</w:t>
      </w:r>
      <w:r>
        <w:rPr>
          <w:spacing w:val="-2"/>
        </w:rPr>
        <w:t>；</w:t>
      </w:r>
      <w:r>
        <w:rPr>
          <w:spacing w:val="-13"/>
        </w:rPr>
        <w:t> </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11</w:t>
      </w:r>
      <w:r>
        <w:rPr>
          <w:spacing w:val="-2"/>
        </w:rPr>
        <w:t>日，珠海新德汇再次获得高新技术企业认定，证书编号：</w:t>
      </w:r>
      <w:r>
        <w:rPr>
          <w:spacing w:val="-97"/>
        </w:rPr>
        <w:t> </w:t>
      </w:r>
      <w:r>
        <w:rPr>
          <w:spacing w:val="-97"/>
        </w:rPr>
      </w:r>
      <w:r>
        <w:rPr>
          <w:rFonts w:ascii="Times New Roman" w:hAnsi="Times New Roman" w:cs="Times New Roman" w:eastAsia="Times New Roman" w:hint="default"/>
        </w:rPr>
        <w:t>GR201744006210</w:t>
      </w:r>
      <w:r>
        <w:rPr/>
        <w:t>，根据有关规定，</w:t>
      </w:r>
      <w:r>
        <w:rPr>
          <w:spacing w:val="-34"/>
        </w:rPr>
        <w:t> </w:t>
      </w:r>
      <w:r>
        <w:rPr>
          <w:rFonts w:ascii="Times New Roman" w:hAnsi="Times New Roman" w:cs="Times New Roman" w:eastAsia="Times New Roman" w:hint="default"/>
        </w:rPr>
        <w:t>2018</w:t>
      </w:r>
      <w:r>
        <w:rPr/>
        <w:t>年度享受减按</w:t>
      </w:r>
      <w:r>
        <w:rPr>
          <w:rFonts w:ascii="Times New Roman" w:hAnsi="Times New Roman" w:cs="Times New Roman" w:eastAsia="Times New Roman" w:hint="default"/>
        </w:rPr>
        <w:t>15%</w:t>
      </w:r>
      <w:r>
        <w:rPr/>
        <w:t>的税率征收企业所得税。</w:t>
      </w:r>
    </w:p>
    <w:p>
      <w:pPr>
        <w:pStyle w:val="BodyText"/>
        <w:spacing w:line="386" w:lineRule="auto" w:before="155"/>
        <w:ind w:right="0"/>
        <w:jc w:val="left"/>
      </w:pPr>
      <w:r>
        <w:rPr/>
        <w:t>④</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29</w:t>
      </w:r>
      <w:r>
        <w:rPr/>
        <w:t>日，子公司美亚中敏经厦门市科学技术局、厦门市财政局、厦门市国家税务局、厦门市地 </w:t>
      </w:r>
      <w:r>
        <w:rPr>
          <w:spacing w:val="-6"/>
        </w:rPr>
        <w:t>方税务局认定为高新技术企业；</w:t>
      </w:r>
      <w:r>
        <w:rPr>
          <w:rFonts w:ascii="Times New Roman" w:hAnsi="Times New Roman" w:cs="Times New Roman" w:eastAsia="Times New Roman" w:hint="default"/>
          <w:spacing w:val="-6"/>
        </w:rPr>
        <w:t>2015</w:t>
      </w:r>
      <w:r>
        <w:rPr>
          <w:spacing w:val="-6"/>
        </w:rPr>
        <w:t>年</w:t>
      </w:r>
      <w:r>
        <w:rPr>
          <w:rFonts w:ascii="Times New Roman" w:hAnsi="Times New Roman" w:cs="Times New Roman" w:eastAsia="Times New Roman" w:hint="default"/>
          <w:spacing w:val="-6"/>
        </w:rPr>
        <w:t>6</w:t>
      </w:r>
      <w:r>
        <w:rPr>
          <w:spacing w:val="-6"/>
        </w:rPr>
        <w:t>月</w:t>
      </w:r>
      <w:r>
        <w:rPr>
          <w:rFonts w:ascii="Times New Roman" w:hAnsi="Times New Roman" w:cs="Times New Roman" w:eastAsia="Times New Roman" w:hint="default"/>
          <w:spacing w:val="-6"/>
        </w:rPr>
        <w:t>29</w:t>
      </w:r>
      <w:r>
        <w:rPr>
          <w:spacing w:val="-6"/>
        </w:rPr>
        <w:t>日，再次获得高新技术企业认定，证书编号：</w:t>
      </w:r>
      <w:r>
        <w:rPr>
          <w:rFonts w:ascii="Times New Roman" w:hAnsi="Times New Roman" w:cs="Times New Roman" w:eastAsia="Times New Roman" w:hint="default"/>
          <w:spacing w:val="-6"/>
        </w:rPr>
        <w:t>GF201535100002</w:t>
      </w:r>
      <w:r>
        <w:rPr>
          <w:spacing w:val="-6"/>
        </w:rPr>
        <w:t>；</w:t>
      </w:r>
      <w:r>
        <w:rPr>
          <w:spacing w:val="-62"/>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日，美亚中敏取得全国高新技术企业认定管理工作小组办公室《关于厦门市</w:t>
      </w:r>
      <w:r>
        <w:rPr>
          <w:rFonts w:ascii="Times New Roman" w:hAnsi="Times New Roman" w:cs="Times New Roman" w:eastAsia="Times New Roman" w:hint="default"/>
        </w:rPr>
        <w:t>2018</w:t>
      </w:r>
      <w:r>
        <w:rPr/>
        <w:t>年第二批高</w:t>
      </w:r>
      <w:r>
        <w:rPr>
          <w:spacing w:val="-40"/>
        </w:rPr>
        <w:t> </w:t>
      </w:r>
      <w:r>
        <w:rPr>
          <w:spacing w:val="-40"/>
        </w:rPr>
      </w:r>
      <w:r>
        <w:rPr/>
        <w:t>新技术企业备案的复函》（国科火字（</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35</w:t>
      </w:r>
      <w:r>
        <w:rPr/>
        <w:t>号），美亚中敏被认定为高新技术企业；根据有关规定， </w:t>
      </w:r>
      <w:r>
        <w:rPr>
          <w:rFonts w:ascii="Times New Roman" w:hAnsi="Times New Roman" w:cs="Times New Roman" w:eastAsia="Times New Roman" w:hint="default"/>
        </w:rPr>
        <w:t>2018</w:t>
      </w:r>
      <w:r>
        <w:rPr/>
        <w:t>年度享受减按</w:t>
      </w:r>
      <w:r>
        <w:rPr>
          <w:rFonts w:ascii="Times New Roman" w:hAnsi="Times New Roman" w:cs="Times New Roman" w:eastAsia="Times New Roman" w:hint="default"/>
        </w:rPr>
        <w:t>15%</w:t>
      </w:r>
      <w:r>
        <w:rPr/>
        <w:t>的税率征收企业所得税。</w:t>
      </w:r>
    </w:p>
    <w:p>
      <w:pPr>
        <w:pStyle w:val="BodyText"/>
        <w:spacing w:line="386" w:lineRule="auto" w:before="155"/>
        <w:ind w:left="153" w:right="1122"/>
        <w:jc w:val="left"/>
        <w:rPr>
          <w:rFonts w:ascii="Times New Roman" w:hAnsi="Times New Roman" w:cs="Times New Roman" w:eastAsia="Times New Roman" w:hint="default"/>
        </w:rPr>
      </w:pPr>
      <w:r>
        <w:rPr/>
        <w:t>⑤</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日，子公司安胜科技经厦门市科学技术局、厦门市财政局、厦门市国家税务局、福建省厦</w:t>
      </w:r>
      <w:r>
        <w:rPr>
          <w:spacing w:val="-36"/>
        </w:rPr>
        <w:t> </w:t>
      </w:r>
      <w:r>
        <w:rPr>
          <w:spacing w:val="-36"/>
        </w:rPr>
      </w:r>
      <w:r>
        <w:rPr>
          <w:spacing w:val="-3"/>
        </w:rPr>
        <w:t>门市地方税务局认定为高新技术企业，证书编号：</w:t>
      </w:r>
      <w:r>
        <w:rPr>
          <w:rFonts w:ascii="Times New Roman" w:hAnsi="Times New Roman" w:cs="Times New Roman" w:eastAsia="Times New Roman" w:hint="default"/>
          <w:spacing w:val="-3"/>
        </w:rPr>
        <w:t>GR201635100333</w:t>
      </w:r>
      <w:r>
        <w:rPr>
          <w:spacing w:val="-3"/>
        </w:rPr>
        <w:t>，根据有关规定，</w:t>
      </w:r>
      <w:r>
        <w:rPr>
          <w:spacing w:val="-51"/>
        </w:rPr>
        <w:t> </w:t>
      </w:r>
      <w:r>
        <w:rPr/>
        <w:t>安胜科技可享受</w:t>
      </w:r>
      <w:r>
        <w:rPr>
          <w:rFonts w:ascii="Times New Roman" w:hAnsi="Times New Roman" w:cs="Times New Roman" w:eastAsia="Times New Roman" w:hint="default"/>
        </w:rPr>
        <w:t>15%</w:t>
      </w:r>
    </w:p>
    <w:p>
      <w:pPr>
        <w:spacing w:after="0" w:line="386" w:lineRule="auto"/>
        <w:jc w:val="left"/>
        <w:rPr>
          <w:rFonts w:ascii="Times New Roman" w:hAnsi="Times New Roman" w:cs="Times New Roman" w:eastAsia="Times New Roman" w:hint="default"/>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p>
      <w:pPr>
        <w:pStyle w:val="BodyText"/>
        <w:spacing w:line="240" w:lineRule="auto"/>
        <w:ind w:right="0"/>
        <w:jc w:val="left"/>
      </w:pPr>
      <w:r>
        <w:rPr/>
        <w:t>的税率征收企业所得税。</w:t>
      </w:r>
    </w:p>
    <w:p>
      <w:pPr>
        <w:spacing w:line="240" w:lineRule="auto" w:before="0"/>
        <w:rPr>
          <w:rFonts w:ascii="宋体" w:hAnsi="宋体" w:cs="宋体" w:eastAsia="宋体" w:hint="default"/>
          <w:sz w:val="20"/>
          <w:szCs w:val="20"/>
        </w:rPr>
      </w:pPr>
    </w:p>
    <w:p>
      <w:pPr>
        <w:pStyle w:val="BodyText"/>
        <w:spacing w:line="386" w:lineRule="auto" w:before="147"/>
        <w:ind w:right="1020" w:hanging="1"/>
        <w:jc w:val="left"/>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26</w:t>
      </w:r>
      <w:r>
        <w:rPr>
          <w:spacing w:val="-1"/>
        </w:rPr>
        <w:t>日，子公司安胜科技取得厦门市软件行业协会颁发的</w:t>
      </w:r>
      <w:r>
        <w:rPr>
          <w:rFonts w:ascii="Times New Roman" w:hAnsi="Times New Roman" w:cs="Times New Roman" w:eastAsia="Times New Roman" w:hint="default"/>
          <w:spacing w:val="-1"/>
        </w:rPr>
        <w:t>“</w:t>
      </w:r>
      <w:r>
        <w:rPr>
          <w:spacing w:val="-1"/>
        </w:rPr>
        <w:t>厦</w:t>
      </w:r>
      <w:r>
        <w:rPr>
          <w:rFonts w:ascii="Times New Roman" w:hAnsi="Times New Roman" w:cs="Times New Roman" w:eastAsia="Times New Roman" w:hint="default"/>
          <w:spacing w:val="-1"/>
        </w:rPr>
        <w:t>RQ-2017-0053</w:t>
      </w:r>
      <w:r>
        <w:rPr>
          <w:spacing w:val="-1"/>
        </w:rPr>
        <w:t>号</w:t>
      </w:r>
      <w:r>
        <w:rPr>
          <w:rFonts w:ascii="Times New Roman" w:hAnsi="Times New Roman" w:cs="Times New Roman" w:eastAsia="Times New Roman" w:hint="default"/>
          <w:spacing w:val="-1"/>
        </w:rPr>
        <w:t>”</w:t>
      </w:r>
      <w:r>
        <w:rPr>
          <w:spacing w:val="-1"/>
        </w:rPr>
        <w:t>《软件企业证书》，</w:t>
      </w:r>
      <w:r>
        <w:rPr>
          <w:spacing w:val="-70"/>
        </w:rPr>
        <w:t> </w:t>
      </w:r>
      <w:r>
        <w:rPr>
          <w:spacing w:val="-70"/>
        </w:rPr>
      </w:r>
      <w:r>
        <w:rPr>
          <w:spacing w:val="-7"/>
        </w:rPr>
        <w:t>被认定为软件企业。根据《关于鼓励软件产业和集成电路产业发展有关税收政策问题的通知》（财税【</w:t>
      </w:r>
      <w:r>
        <w:rPr>
          <w:rFonts w:ascii="Times New Roman" w:hAnsi="Times New Roman" w:cs="Times New Roman" w:eastAsia="Times New Roman" w:hint="default"/>
          <w:spacing w:val="-7"/>
        </w:rPr>
        <w:t>2000</w:t>
      </w:r>
      <w:r>
        <w:rPr>
          <w:spacing w:val="-7"/>
        </w:rPr>
        <w:t>】</w:t>
      </w:r>
      <w:r>
        <w:rPr>
          <w:spacing w:val="-97"/>
        </w:rPr>
        <w:t> </w:t>
      </w:r>
      <w:r>
        <w:rPr>
          <w:rFonts w:ascii="Times New Roman" w:hAnsi="Times New Roman" w:cs="Times New Roman" w:eastAsia="Times New Roman" w:hint="default"/>
        </w:rPr>
        <w:t>25</w:t>
      </w:r>
      <w:r>
        <w:rPr/>
        <w:t>号）规定，对新办集成电路设计企业和符合条件的软件企业，经认定后，自获利年度起，享受企业所得 税</w:t>
      </w:r>
      <w:r>
        <w:rPr>
          <w:rFonts w:ascii="Times New Roman" w:hAnsi="Times New Roman" w:cs="Times New Roman" w:eastAsia="Times New Roman" w:hint="default"/>
        </w:rPr>
        <w:t>“</w:t>
      </w:r>
      <w:r>
        <w:rPr/>
        <w:t>两免三减半</w:t>
      </w:r>
      <w:r>
        <w:rPr>
          <w:rFonts w:ascii="Times New Roman" w:hAnsi="Times New Roman" w:cs="Times New Roman" w:eastAsia="Times New Roman" w:hint="default"/>
        </w:rPr>
        <w:t>”</w:t>
      </w:r>
      <w:r>
        <w:rPr/>
        <w:t>优惠政策。</w:t>
      </w:r>
      <w:r>
        <w:rPr>
          <w:rFonts w:ascii="Times New Roman" w:hAnsi="Times New Roman" w:cs="Times New Roman" w:eastAsia="Times New Roman" w:hint="default"/>
        </w:rPr>
        <w:t>2015</w:t>
      </w:r>
      <w:r>
        <w:rPr/>
        <w:t>年为首个获利年度，</w:t>
      </w:r>
      <w:r>
        <w:rPr>
          <w:rFonts w:ascii="Times New Roman" w:hAnsi="Times New Roman" w:cs="Times New Roman" w:eastAsia="Times New Roman" w:hint="default"/>
        </w:rPr>
        <w:t>2018</w:t>
      </w:r>
      <w:r>
        <w:rPr/>
        <w:t>年度享受减按</w:t>
      </w:r>
      <w:r>
        <w:rPr>
          <w:rFonts w:ascii="Times New Roman" w:hAnsi="Times New Roman" w:cs="Times New Roman" w:eastAsia="Times New Roman" w:hint="default"/>
        </w:rPr>
        <w:t>12.5%</w:t>
      </w:r>
      <w:r>
        <w:rPr/>
        <w:t>的税率征收企业所得税。</w:t>
      </w:r>
    </w:p>
    <w:p>
      <w:pPr>
        <w:pStyle w:val="BodyText"/>
        <w:spacing w:line="391" w:lineRule="auto" w:before="155"/>
        <w:ind w:right="1127"/>
        <w:jc w:val="both"/>
      </w:pPr>
      <w:r>
        <w:rPr>
          <w:spacing w:val="-2"/>
        </w:rPr>
        <w:t>⑥</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28</w:t>
      </w:r>
      <w:r>
        <w:rPr>
          <w:spacing w:val="-2"/>
        </w:rPr>
        <w:t>日，子公司武汉大千取得湖北省经济和信息化委员会</w:t>
      </w:r>
      <w:r>
        <w:rPr>
          <w:rFonts w:ascii="Times New Roman" w:hAnsi="Times New Roman" w:cs="Times New Roman" w:eastAsia="Times New Roman" w:hint="default"/>
          <w:spacing w:val="-2"/>
        </w:rPr>
        <w:t>“</w:t>
      </w:r>
      <w:r>
        <w:rPr>
          <w:spacing w:val="-2"/>
        </w:rPr>
        <w:t>鄂</w:t>
      </w:r>
      <w:r>
        <w:rPr>
          <w:rFonts w:ascii="Times New Roman" w:hAnsi="Times New Roman" w:cs="Times New Roman" w:eastAsia="Times New Roman" w:hint="default"/>
          <w:spacing w:val="-2"/>
        </w:rPr>
        <w:t>R-2014-0457</w:t>
      </w:r>
      <w:r>
        <w:rPr>
          <w:spacing w:val="-2"/>
        </w:rPr>
        <w:t>号</w:t>
      </w:r>
      <w:r>
        <w:rPr>
          <w:rFonts w:ascii="Times New Roman" w:hAnsi="Times New Roman" w:cs="Times New Roman" w:eastAsia="Times New Roman" w:hint="default"/>
          <w:spacing w:val="-2"/>
        </w:rPr>
        <w:t>”</w:t>
      </w:r>
      <w:r>
        <w:rPr>
          <w:spacing w:val="-2"/>
        </w:rPr>
        <w:t>《软件企业认定证</w:t>
      </w:r>
      <w:r>
        <w:rPr>
          <w:spacing w:val="-73"/>
        </w:rPr>
        <w:t> </w:t>
      </w:r>
      <w:r>
        <w:rPr>
          <w:spacing w:val="-73"/>
        </w:rPr>
      </w:r>
      <w:r>
        <w:rPr>
          <w:spacing w:val="-1"/>
        </w:rPr>
        <w:t>书》，被认定为软件企业。根据《关于鼓励软件产业和集成电路产业发展有关税收政策问题的通知》（财</w:t>
      </w:r>
      <w:r>
        <w:rPr>
          <w:spacing w:val="-83"/>
        </w:rPr>
        <w:t> </w:t>
      </w:r>
      <w:r>
        <w:rPr>
          <w:spacing w:val="-83"/>
        </w:rPr>
      </w:r>
      <w:r>
        <w:rPr>
          <w:spacing w:val="-1"/>
        </w:rPr>
        <w:t>税【</w:t>
      </w:r>
      <w:r>
        <w:rPr>
          <w:rFonts w:ascii="Times New Roman" w:hAnsi="Times New Roman" w:cs="Times New Roman" w:eastAsia="Times New Roman" w:hint="default"/>
          <w:spacing w:val="-1"/>
        </w:rPr>
        <w:t>2000</w:t>
      </w:r>
      <w:r>
        <w:rPr>
          <w:spacing w:val="-1"/>
        </w:rPr>
        <w:t>】</w:t>
      </w:r>
      <w:r>
        <w:rPr>
          <w:rFonts w:ascii="Times New Roman" w:hAnsi="Times New Roman" w:cs="Times New Roman" w:eastAsia="Times New Roman" w:hint="default"/>
          <w:spacing w:val="-1"/>
        </w:rPr>
        <w:t>25</w:t>
      </w:r>
      <w:r>
        <w:rPr>
          <w:spacing w:val="-1"/>
        </w:rPr>
        <w:t>号）规定，对新办集成电路设计企业和符合条件的软件企业，经认定后，自获利年度起，享</w:t>
      </w:r>
      <w:r>
        <w:rPr>
          <w:spacing w:val="-85"/>
        </w:rPr>
        <w:t> </w:t>
      </w:r>
      <w:r>
        <w:rPr>
          <w:spacing w:val="-85"/>
        </w:rPr>
      </w:r>
      <w:r>
        <w:rPr/>
        <w:t>受企业所得税</w:t>
      </w:r>
      <w:r>
        <w:rPr>
          <w:rFonts w:ascii="Times New Roman" w:hAnsi="Times New Roman" w:cs="Times New Roman" w:eastAsia="Times New Roman" w:hint="default"/>
        </w:rPr>
        <w:t>“</w:t>
      </w:r>
      <w:r>
        <w:rPr/>
        <w:t>两免三减半</w:t>
      </w:r>
      <w:r>
        <w:rPr>
          <w:rFonts w:ascii="Times New Roman" w:hAnsi="Times New Roman" w:cs="Times New Roman" w:eastAsia="Times New Roman" w:hint="default"/>
        </w:rPr>
        <w:t>”</w:t>
      </w:r>
      <w:r>
        <w:rPr/>
        <w:t>优惠政策。</w:t>
      </w:r>
      <w:r>
        <w:rPr>
          <w:rFonts w:ascii="Times New Roman" w:hAnsi="Times New Roman" w:cs="Times New Roman" w:eastAsia="Times New Roman" w:hint="default"/>
        </w:rPr>
        <w:t>2014</w:t>
      </w:r>
      <w:r>
        <w:rPr/>
        <w:t>年为首个获利年度，</w:t>
      </w:r>
      <w:r>
        <w:rPr>
          <w:rFonts w:ascii="Times New Roman" w:hAnsi="Times New Roman" w:cs="Times New Roman" w:eastAsia="Times New Roman" w:hint="default"/>
        </w:rPr>
        <w:t>2018</w:t>
      </w:r>
      <w:r>
        <w:rPr/>
        <w:t>年度享受减按</w:t>
      </w:r>
      <w:r>
        <w:rPr>
          <w:rFonts w:ascii="Times New Roman" w:hAnsi="Times New Roman" w:cs="Times New Roman" w:eastAsia="Times New Roman" w:hint="default"/>
        </w:rPr>
        <w:t>12.5%</w:t>
      </w:r>
      <w:r>
        <w:rPr/>
        <w:t>的税率征收企业</w:t>
      </w:r>
      <w:r>
        <w:rPr>
          <w:spacing w:val="-36"/>
        </w:rPr>
        <w:t> </w:t>
      </w:r>
      <w:r>
        <w:rPr>
          <w:spacing w:val="-36"/>
        </w:rPr>
      </w:r>
      <w:r>
        <w:rPr/>
        <w:t>所得税。</w:t>
      </w:r>
    </w:p>
    <w:p>
      <w:pPr>
        <w:spacing w:line="240" w:lineRule="auto" w:before="11"/>
        <w:rPr>
          <w:rFonts w:ascii="宋体" w:hAnsi="宋体" w:cs="宋体" w:eastAsia="宋体" w:hint="default"/>
          <w:sz w:val="13"/>
          <w:szCs w:val="13"/>
        </w:rPr>
      </w:pPr>
    </w:p>
    <w:p>
      <w:pPr>
        <w:pStyle w:val="BodyText"/>
        <w:spacing w:line="386" w:lineRule="auto"/>
        <w:ind w:right="1129"/>
        <w:jc w:val="both"/>
      </w:pPr>
      <w:r>
        <w:rPr>
          <w:spacing w:val="-1"/>
        </w:rPr>
        <w:t>⑦</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30</w:t>
      </w:r>
      <w:r>
        <w:rPr>
          <w:spacing w:val="-1"/>
        </w:rPr>
        <w:t>日，子公司江苏税软经江苏省科技厅、江苏省财政厅、江苏省国家税务局、江苏省地方税</w:t>
      </w:r>
      <w:r>
        <w:rPr>
          <w:spacing w:val="-84"/>
        </w:rPr>
        <w:t> </w:t>
      </w:r>
      <w:r>
        <w:rPr>
          <w:spacing w:val="-84"/>
        </w:rPr>
      </w:r>
      <w:r>
        <w:rPr>
          <w:spacing w:val="-3"/>
        </w:rPr>
        <w:t>务局认定为高新技术企业，证书编号：</w:t>
      </w:r>
      <w:r>
        <w:rPr>
          <w:rFonts w:ascii="Times New Roman" w:hAnsi="Times New Roman" w:cs="Times New Roman" w:eastAsia="Times New Roman" w:hint="default"/>
          <w:spacing w:val="-3"/>
        </w:rPr>
        <w:t>GR201632001848</w:t>
      </w:r>
      <w:r>
        <w:rPr>
          <w:spacing w:val="-3"/>
        </w:rPr>
        <w:t>，有效期三年；根据有关规定，</w:t>
      </w:r>
      <w:r>
        <w:rPr>
          <w:rFonts w:ascii="Times New Roman" w:hAnsi="Times New Roman" w:cs="Times New Roman" w:eastAsia="Times New Roman" w:hint="default"/>
          <w:spacing w:val="-3"/>
        </w:rPr>
        <w:t>2018</w:t>
      </w:r>
      <w:r>
        <w:rPr>
          <w:spacing w:val="-3"/>
        </w:rPr>
        <w:t>年度享受减按</w:t>
      </w:r>
      <w:r>
        <w:rPr>
          <w:spacing w:val="-57"/>
        </w:rPr>
        <w:t> </w:t>
      </w:r>
      <w:r>
        <w:rPr>
          <w:spacing w:val="-57"/>
        </w:rPr>
      </w:r>
      <w:r>
        <w:rPr>
          <w:rFonts w:ascii="Times New Roman" w:hAnsi="Times New Roman" w:cs="Times New Roman" w:eastAsia="Times New Roman" w:hint="default"/>
        </w:rPr>
        <w:t>15%</w:t>
      </w:r>
      <w:r>
        <w:rPr/>
        <w:t>的税率征收企业所得税。</w:t>
      </w:r>
    </w:p>
    <w:p>
      <w:pPr>
        <w:pStyle w:val="BodyText"/>
        <w:spacing w:line="386" w:lineRule="auto" w:before="155"/>
        <w:ind w:left="153" w:right="0"/>
        <w:jc w:val="left"/>
      </w:pPr>
      <w:r>
        <w:rPr/>
        <w:t>⑧</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日，子公司无锡博盾通过了江苏省软件行业协会软件企业认证，取得</w:t>
      </w:r>
      <w:r>
        <w:rPr>
          <w:rFonts w:ascii="Times New Roman" w:hAnsi="Times New Roman" w:cs="Times New Roman" w:eastAsia="Times New Roman" w:hint="default"/>
        </w:rPr>
        <w:t>“</w:t>
      </w:r>
      <w:r>
        <w:rPr/>
        <w:t>苏</w:t>
      </w:r>
      <w:r>
        <w:rPr>
          <w:rFonts w:ascii="Times New Roman" w:hAnsi="Times New Roman" w:cs="Times New Roman" w:eastAsia="Times New Roman" w:hint="default"/>
        </w:rPr>
        <w:t>RQ-2016-B0264”</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t>软件企业证书。</w:t>
      </w:r>
    </w:p>
    <w:p>
      <w:pPr>
        <w:spacing w:line="240" w:lineRule="auto" w:before="2"/>
        <w:rPr>
          <w:rFonts w:ascii="宋体" w:hAnsi="宋体" w:cs="宋体" w:eastAsia="宋体" w:hint="default"/>
          <w:sz w:val="14"/>
          <w:szCs w:val="14"/>
        </w:rPr>
      </w:pPr>
    </w:p>
    <w:p>
      <w:pPr>
        <w:pStyle w:val="BodyText"/>
        <w:spacing w:line="386" w:lineRule="auto"/>
        <w:ind w:left="153" w:right="0"/>
        <w:jc w:val="left"/>
      </w:pPr>
      <w:r>
        <w:rPr>
          <w:spacing w:val="-3"/>
        </w:rPr>
        <w:t>根据《关于进一步鼓励软件产业和集成电路产业发展企业所得税政策的通知》（财税【</w:t>
      </w:r>
      <w:r>
        <w:rPr>
          <w:rFonts w:ascii="Times New Roman" w:hAnsi="Times New Roman" w:cs="Times New Roman" w:eastAsia="Times New Roman" w:hint="default"/>
          <w:spacing w:val="-3"/>
        </w:rPr>
        <w:t>2012</w:t>
      </w:r>
      <w:r>
        <w:rPr>
          <w:spacing w:val="-3"/>
        </w:rPr>
        <w:t>】</w:t>
      </w:r>
      <w:r>
        <w:rPr>
          <w:rFonts w:ascii="Times New Roman" w:hAnsi="Times New Roman" w:cs="Times New Roman" w:eastAsia="Times New Roman" w:hint="default"/>
          <w:spacing w:val="-3"/>
        </w:rPr>
        <w:t>27</w:t>
      </w:r>
      <w:r>
        <w:rPr>
          <w:spacing w:val="-3"/>
        </w:rPr>
        <w:t>号）规定，</w:t>
      </w:r>
      <w:r>
        <w:rPr>
          <w:spacing w:val="-88"/>
        </w:rPr>
        <w:t> </w:t>
      </w:r>
      <w:r>
        <w:rPr>
          <w:spacing w:val="-88"/>
        </w:rPr>
      </w:r>
      <w:r>
        <w:rPr/>
        <w:t>对新办集成电路设计企业和符合条件的软件企业，经认定后，在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日前自获利年度起，享受企 业所得税</w:t>
      </w:r>
      <w:r>
        <w:rPr>
          <w:rFonts w:ascii="Times New Roman" w:hAnsi="Times New Roman" w:cs="Times New Roman" w:eastAsia="Times New Roman" w:hint="default"/>
        </w:rPr>
        <w:t>“</w:t>
      </w:r>
      <w:r>
        <w:rPr/>
        <w:t>两免三减半</w:t>
      </w:r>
      <w:r>
        <w:rPr>
          <w:rFonts w:ascii="Times New Roman" w:hAnsi="Times New Roman" w:cs="Times New Roman" w:eastAsia="Times New Roman" w:hint="default"/>
        </w:rPr>
        <w:t>”</w:t>
      </w:r>
      <w:r>
        <w:rPr/>
        <w:t>优惠政策。无锡博盾尚未盈利，尚未开始享受两免三减半政策。</w:t>
      </w:r>
    </w:p>
    <w:p>
      <w:pPr>
        <w:spacing w:line="240" w:lineRule="auto" w:before="3"/>
        <w:rPr>
          <w:rFonts w:ascii="宋体" w:hAnsi="宋体" w:cs="宋体" w:eastAsia="宋体" w:hint="default"/>
          <w:sz w:val="19"/>
          <w:szCs w:val="19"/>
        </w:rPr>
      </w:pPr>
    </w:p>
    <w:p>
      <w:pPr>
        <w:pStyle w:val="BodyText"/>
        <w:spacing w:line="386" w:lineRule="auto"/>
        <w:ind w:right="1127"/>
        <w:jc w:val="both"/>
      </w:pPr>
      <w:r>
        <w:rPr>
          <w:spacing w:val="-1"/>
        </w:rPr>
        <w:t>⑨</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25</w:t>
      </w:r>
      <w:r>
        <w:rPr>
          <w:spacing w:val="-1"/>
        </w:rPr>
        <w:t>日，子公司国信宏数经北京市科学技术委员会、北京市财政局、北京市国家税务局、北京</w:t>
      </w:r>
      <w:r>
        <w:rPr>
          <w:spacing w:val="-84"/>
        </w:rPr>
        <w:t> </w:t>
      </w:r>
      <w:r>
        <w:rPr>
          <w:spacing w:val="-84"/>
        </w:rPr>
      </w:r>
      <w:r>
        <w:rPr/>
        <w:t>市地方税务局认定为高新技术企业，证书编号</w:t>
      </w:r>
      <w:r>
        <w:rPr>
          <w:rFonts w:ascii="Times New Roman" w:hAnsi="Times New Roman" w:cs="Times New Roman" w:eastAsia="Times New Roman" w:hint="default"/>
        </w:rPr>
        <w:t>GR201711003458”</w:t>
      </w:r>
      <w:r>
        <w:rPr/>
        <w:t>，有效期三年；根据有关规定，</w:t>
      </w:r>
      <w:r>
        <w:rPr>
          <w:rFonts w:ascii="Times New Roman" w:hAnsi="Times New Roman" w:cs="Times New Roman" w:eastAsia="Times New Roman" w:hint="default"/>
        </w:rPr>
        <w:t>2018</w:t>
      </w:r>
      <w:r>
        <w:rPr/>
        <w:t>年度</w:t>
      </w:r>
      <w:r>
        <w:rPr>
          <w:spacing w:val="-102"/>
        </w:rPr>
        <w:t> </w:t>
      </w:r>
      <w:r>
        <w:rPr/>
        <w:t>享受减按</w:t>
      </w:r>
      <w:r>
        <w:rPr>
          <w:rFonts w:ascii="Times New Roman" w:hAnsi="Times New Roman" w:cs="Times New Roman" w:eastAsia="Times New Roman" w:hint="default"/>
        </w:rPr>
        <w:t>15%</w:t>
      </w:r>
      <w:r>
        <w:rPr/>
        <w:t>的税率征收企业所得税。</w:t>
      </w:r>
    </w:p>
    <w:p>
      <w:pPr>
        <w:spacing w:line="240" w:lineRule="auto" w:before="3"/>
        <w:rPr>
          <w:rFonts w:ascii="宋体" w:hAnsi="宋体" w:cs="宋体" w:eastAsia="宋体" w:hint="default"/>
          <w:sz w:val="19"/>
          <w:szCs w:val="19"/>
        </w:rPr>
      </w:pPr>
    </w:p>
    <w:p>
      <w:pPr>
        <w:pStyle w:val="BodyText"/>
        <w:spacing w:line="386" w:lineRule="auto"/>
        <w:ind w:left="153" w:right="1117"/>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日，子公司美亚商鼎通过了厦门市软件行业协会软件企业认证，取得</w:t>
      </w:r>
      <w:r>
        <w:rPr>
          <w:rFonts w:ascii="Times New Roman" w:hAnsi="Times New Roman" w:cs="Times New Roman" w:eastAsia="Times New Roman" w:hint="default"/>
        </w:rPr>
        <w:t>“</w:t>
      </w:r>
      <w:r>
        <w:rPr/>
        <w:t>厦</w:t>
      </w:r>
      <w:r>
        <w:rPr>
          <w:rFonts w:ascii="Times New Roman" w:hAnsi="Times New Roman" w:cs="Times New Roman" w:eastAsia="Times New Roman" w:hint="default"/>
        </w:rPr>
        <w:t>RQ-2018-0128”</w:t>
      </w:r>
      <w:r>
        <w:rPr/>
        <w:t>软件</w:t>
      </w:r>
      <w:r>
        <w:rPr>
          <w:spacing w:val="-31"/>
        </w:rPr>
        <w:t> </w:t>
      </w:r>
      <w:r>
        <w:rPr/>
        <w:t>企业证书。</w:t>
      </w:r>
    </w:p>
    <w:p>
      <w:pPr>
        <w:spacing w:line="240" w:lineRule="auto" w:before="2"/>
        <w:rPr>
          <w:rFonts w:ascii="宋体" w:hAnsi="宋体" w:cs="宋体" w:eastAsia="宋体" w:hint="default"/>
          <w:sz w:val="14"/>
          <w:szCs w:val="14"/>
        </w:rPr>
      </w:pPr>
    </w:p>
    <w:p>
      <w:pPr>
        <w:pStyle w:val="BodyText"/>
        <w:spacing w:line="386" w:lineRule="auto"/>
        <w:ind w:left="153" w:right="0"/>
        <w:jc w:val="left"/>
      </w:pPr>
      <w:r>
        <w:rPr>
          <w:spacing w:val="-3"/>
        </w:rPr>
        <w:t>根据《关于进一步鼓励软件产业和集成电路产业发展企业所得税政策的通知》（财税【</w:t>
      </w:r>
      <w:r>
        <w:rPr>
          <w:rFonts w:ascii="Times New Roman" w:hAnsi="Times New Roman" w:cs="Times New Roman" w:eastAsia="Times New Roman" w:hint="default"/>
          <w:spacing w:val="-3"/>
        </w:rPr>
        <w:t>2012</w:t>
      </w:r>
      <w:r>
        <w:rPr>
          <w:spacing w:val="-3"/>
        </w:rPr>
        <w:t>】</w:t>
      </w:r>
      <w:r>
        <w:rPr>
          <w:rFonts w:ascii="Times New Roman" w:hAnsi="Times New Roman" w:cs="Times New Roman" w:eastAsia="Times New Roman" w:hint="default"/>
          <w:spacing w:val="-3"/>
        </w:rPr>
        <w:t>27</w:t>
      </w:r>
      <w:r>
        <w:rPr>
          <w:spacing w:val="-3"/>
        </w:rPr>
        <w:t>号）规定，</w:t>
      </w:r>
      <w:r>
        <w:rPr>
          <w:spacing w:val="-88"/>
        </w:rPr>
        <w:t> </w:t>
      </w:r>
      <w:r>
        <w:rPr>
          <w:spacing w:val="-88"/>
        </w:rPr>
      </w:r>
      <w:r>
        <w:rPr/>
        <w:t>对新办集成电路设计企业和符合条件的软件企业，经认定后，在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日前自获利年度起，享受企 业所得税</w:t>
      </w:r>
      <w:r>
        <w:rPr>
          <w:rFonts w:ascii="Times New Roman" w:hAnsi="Times New Roman" w:cs="Times New Roman" w:eastAsia="Times New Roman" w:hint="default"/>
        </w:rPr>
        <w:t>“</w:t>
      </w:r>
      <w:r>
        <w:rPr/>
        <w:t>两免三减半</w:t>
      </w:r>
      <w:r>
        <w:rPr>
          <w:rFonts w:ascii="Times New Roman" w:hAnsi="Times New Roman" w:cs="Times New Roman" w:eastAsia="Times New Roman" w:hint="default"/>
        </w:rPr>
        <w:t>”</w:t>
      </w:r>
      <w:r>
        <w:rPr/>
        <w:t>优惠政策。美亚商鼎</w:t>
      </w:r>
      <w:r>
        <w:rPr>
          <w:rFonts w:ascii="Times New Roman" w:hAnsi="Times New Roman" w:cs="Times New Roman" w:eastAsia="Times New Roman" w:hint="default"/>
        </w:rPr>
        <w:t>2018</w:t>
      </w:r>
      <w:r>
        <w:rPr/>
        <w:t>年开始享受两免三减半政策，</w:t>
      </w:r>
      <w:r>
        <w:rPr>
          <w:rFonts w:ascii="Times New Roman" w:hAnsi="Times New Roman" w:cs="Times New Roman" w:eastAsia="Times New Roman" w:hint="default"/>
        </w:rPr>
        <w:t>2018</w:t>
      </w:r>
      <w:r>
        <w:rPr/>
        <w:t>年免交企业所得税。</w:t>
      </w:r>
    </w:p>
    <w:p>
      <w:pPr>
        <w:spacing w:line="240" w:lineRule="auto" w:before="4"/>
        <w:rPr>
          <w:rFonts w:ascii="宋体" w:hAnsi="宋体" w:cs="宋体" w:eastAsia="宋体" w:hint="default"/>
          <w:sz w:val="15"/>
          <w:szCs w:val="15"/>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after="0"/>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4"/>
          <w:szCs w:val="24"/>
        </w:rPr>
      </w:pPr>
    </w:p>
    <w:p>
      <w:pPr>
        <w:pStyle w:val="Heading2"/>
        <w:spacing w:line="240" w:lineRule="auto"/>
        <w:ind w:right="0"/>
        <w:jc w:val="left"/>
        <w:rPr>
          <w:b w:val="0"/>
          <w:bCs w:val="0"/>
        </w:rPr>
      </w:pP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24,996.08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31,434.34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906,816,315.88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1,049,715,981.21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28,900,099.99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34,886,112.95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935,741,411.95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1,084,633,528.50</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9"/>
          <w:szCs w:val="19"/>
        </w:rPr>
      </w:pPr>
    </w:p>
    <w:p>
      <w:pPr>
        <w:pStyle w:val="BodyText"/>
        <w:spacing w:line="386" w:lineRule="auto"/>
        <w:ind w:right="0"/>
        <w:jc w:val="left"/>
      </w:pPr>
      <w:r>
        <w:rPr>
          <w:spacing w:val="-1"/>
        </w:rPr>
        <w:t>（</w:t>
      </w:r>
      <w:r>
        <w:rPr>
          <w:rFonts w:ascii="Times New Roman" w:hAnsi="Times New Roman" w:cs="Times New Roman" w:eastAsia="Times New Roman" w:hint="default"/>
          <w:spacing w:val="-1"/>
        </w:rPr>
        <w:t>1</w:t>
      </w:r>
      <w:r>
        <w:rPr>
          <w:spacing w:val="-1"/>
        </w:rPr>
        <w:t>）银行存款年末余额</w:t>
      </w:r>
      <w:r>
        <w:rPr>
          <w:rFonts w:ascii="Times New Roman" w:hAnsi="Times New Roman" w:cs="Times New Roman" w:eastAsia="Times New Roman" w:hint="default"/>
          <w:spacing w:val="-1"/>
        </w:rPr>
        <w:t>906,816,315.88</w:t>
      </w:r>
      <w:r>
        <w:rPr>
          <w:spacing w:val="-1"/>
        </w:rPr>
        <w:t>元，其中定期存款</w:t>
      </w:r>
      <w:r>
        <w:rPr>
          <w:rFonts w:ascii="Times New Roman" w:hAnsi="Times New Roman" w:cs="Times New Roman" w:eastAsia="Times New Roman" w:hint="default"/>
          <w:spacing w:val="-1"/>
        </w:rPr>
        <w:t>629,833,906.51</w:t>
      </w:r>
      <w:r>
        <w:rPr>
          <w:spacing w:val="-1"/>
        </w:rPr>
        <w:t>元，在编制现金流量表时不作为现</w:t>
      </w:r>
      <w:r>
        <w:rPr>
          <w:spacing w:val="-82"/>
        </w:rPr>
        <w:t> </w:t>
      </w:r>
      <w:r>
        <w:rPr>
          <w:spacing w:val="-82"/>
        </w:rPr>
      </w:r>
      <w:r>
        <w:rPr/>
        <w:t>金及现金等价物。</w:t>
      </w:r>
    </w:p>
    <w:p>
      <w:pPr>
        <w:spacing w:line="240" w:lineRule="auto" w:before="6"/>
        <w:rPr>
          <w:rFonts w:ascii="宋体" w:hAnsi="宋体" w:cs="宋体" w:eastAsia="宋体" w:hint="default"/>
          <w:sz w:val="21"/>
          <w:szCs w:val="21"/>
        </w:rPr>
      </w:pPr>
    </w:p>
    <w:p>
      <w:pPr>
        <w:pStyle w:val="BodyText"/>
        <w:spacing w:line="386" w:lineRule="auto"/>
        <w:ind w:left="153" w:right="1116"/>
        <w:jc w:val="both"/>
      </w:pPr>
      <w:r>
        <w:rPr>
          <w:spacing w:val="6"/>
        </w:rPr>
        <w:t>（</w:t>
      </w:r>
      <w:r>
        <w:rPr>
          <w:rFonts w:ascii="Times New Roman" w:hAnsi="Times New Roman" w:cs="Times New Roman" w:eastAsia="Times New Roman" w:hint="default"/>
          <w:spacing w:val="6"/>
        </w:rPr>
        <w:t>2</w:t>
      </w:r>
      <w:r>
        <w:rPr>
          <w:spacing w:val="6"/>
        </w:rPr>
        <w:t>）其他货币资金年末余额</w:t>
      </w:r>
      <w:r>
        <w:rPr>
          <w:rFonts w:ascii="Times New Roman" w:hAnsi="Times New Roman" w:cs="Times New Roman" w:eastAsia="Times New Roman" w:hint="default"/>
          <w:spacing w:val="6"/>
        </w:rPr>
        <w:t>28,900,099.99</w:t>
      </w:r>
      <w:r>
        <w:rPr>
          <w:spacing w:val="6"/>
        </w:rPr>
        <w:t>元，其中保函保证金</w:t>
      </w:r>
      <w:r>
        <w:rPr>
          <w:rFonts w:ascii="Times New Roman" w:hAnsi="Times New Roman" w:cs="Times New Roman" w:eastAsia="Times New Roman" w:hint="default"/>
          <w:spacing w:val="6"/>
        </w:rPr>
        <w:t>28,483,071.66</w:t>
      </w:r>
      <w:r>
        <w:rPr>
          <w:spacing w:val="6"/>
        </w:rPr>
        <w:t>元，银行承兑汇票保证金</w:t>
      </w:r>
      <w:r>
        <w:rPr>
          <w:spacing w:val="-66"/>
        </w:rPr>
        <w:t> </w:t>
      </w:r>
      <w:r>
        <w:rPr>
          <w:spacing w:val="-66"/>
        </w:rPr>
      </w:r>
      <w:r>
        <w:rPr>
          <w:rFonts w:ascii="Times New Roman" w:hAnsi="Times New Roman" w:cs="Times New Roman" w:eastAsia="Times New Roman" w:hint="default"/>
          <w:spacing w:val="-1"/>
        </w:rPr>
        <w:t>290,000.00</w:t>
      </w:r>
      <w:r>
        <w:rPr>
          <w:spacing w:val="-1"/>
        </w:rPr>
        <w:t>元，在编制现金流量表时不作为现金及现金等价物。本集团定期存单质押19,000,000.00元。除</w:t>
      </w:r>
      <w:r>
        <w:rPr>
          <w:spacing w:val="-78"/>
        </w:rPr>
        <w:t> </w:t>
      </w:r>
      <w:r>
        <w:rPr>
          <w:spacing w:val="-78"/>
        </w:rPr>
      </w:r>
      <w:r>
        <w:rPr>
          <w:spacing w:val="-1"/>
        </w:rPr>
        <w:t>此以外，截至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日止，本集团不存在抵押、质押或冻结、或存放在境外且资金汇回受到限制的</w:t>
      </w:r>
      <w:r>
        <w:rPr>
          <w:spacing w:val="-84"/>
        </w:rPr>
        <w:t> </w:t>
      </w:r>
      <w:r>
        <w:rPr>
          <w:spacing w:val="-84"/>
        </w:rPr>
      </w:r>
      <w:r>
        <w:rPr/>
        <w:t>款项。</w:t>
      </w:r>
    </w:p>
    <w:p>
      <w:pPr>
        <w:spacing w:line="240" w:lineRule="auto" w:before="12"/>
        <w:rPr>
          <w:rFonts w:ascii="宋体" w:hAnsi="宋体" w:cs="宋体" w:eastAsia="宋体" w:hint="default"/>
          <w:sz w:val="21"/>
          <w:szCs w:val="21"/>
        </w:rPr>
      </w:pPr>
    </w:p>
    <w:p>
      <w:pPr>
        <w:pStyle w:val="Heading3"/>
        <w:spacing w:line="240" w:lineRule="auto"/>
        <w:ind w:left="153" w:right="0"/>
        <w:jc w:val="both"/>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4</w:t>
      </w:r>
      <w:r>
        <w:rPr/>
        <w:t>、应收票据及应收账款</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335,945.60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625,000,672.55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339,930,465.16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625,000,672.55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340,266,410.76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335,945.60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335,945.60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说明：年末，本集团无应收票据。</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4,383,00</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4,383,00</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4,383,0</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1.12%</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4,383,000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698,270,</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148.98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99.38%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73,269,4</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76.43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10.49%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625,000,6</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72.55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388,646</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,898.74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98.87%</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48,716,43</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3.58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12.53%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339,930,46</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5.16</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35,000.00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702,688,</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148.98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77,687,4</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76.43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center"/>
              <w:rPr>
                <w:rFonts w:ascii="Times New Roman" w:hAnsi="Times New Roman" w:cs="Times New Roman" w:eastAsia="Times New Roman" w:hint="default"/>
                <w:sz w:val="18"/>
                <w:szCs w:val="18"/>
              </w:rPr>
            </w:pPr>
            <w:r>
              <w:rPr>
                <w:rFonts w:ascii="Times New Roman"/>
                <w:sz w:val="18"/>
              </w:rPr>
              <w:t>11.06%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625,000,6</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72.55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393,064</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,898.74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53,134,43</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3.58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13.52%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339,930,46</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5.16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360" w:lineRule="auto" w:before="51"/>
        <w:ind w:left="153" w:right="-19"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 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0"/>
          <w:cols w:num="2" w:equalWidth="0">
            <w:col w:w="4295" w:space="4534"/>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94"/>
        <w:gridCol w:w="1984"/>
        <w:gridCol w:w="1560"/>
        <w:gridCol w:w="1418"/>
        <w:gridCol w:w="1914"/>
      </w:tblGrid>
      <w:tr>
        <w:trPr>
          <w:trHeight w:val="402" w:hRule="exact"/>
        </w:trPr>
        <w:tc>
          <w:tcPr>
            <w:tcW w:w="26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3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687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694" w:type="dxa"/>
            <w:vMerge/>
            <w:tcBorders>
              <w:left w:val="single" w:sz="4" w:space="0" w:color="000000"/>
              <w:bottom w:val="single" w:sz="4" w:space="0" w:color="000000"/>
              <w:right w:val="single" w:sz="4" w:space="0" w:color="000000"/>
            </w:tcBorders>
            <w:shd w:val="clear" w:color="auto" w:fill="D3D3D3"/>
          </w:tcPr>
          <w:p>
            <w:pPr/>
          </w:p>
        </w:tc>
        <w:tc>
          <w:tcPr>
            <w:tcW w:w="1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4"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北京瑞邦一网科技发展有限公司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4,383,000.00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4,383,000.00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1" w:right="0"/>
              <w:jc w:val="lef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款项无法回收</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4,383,000.00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4,383,000.00</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80" w:left="980" w:right="0"/>
        </w:sectPr>
      </w:pPr>
    </w:p>
    <w:p>
      <w:pPr>
        <w:spacing w:line="360" w:lineRule="auto" w:before="51"/>
        <w:ind w:left="153" w:right="-19"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 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0"/>
          <w:cols w:num="2" w:equalWidth="0">
            <w:col w:w="4115" w:space="4714"/>
            <w:col w:w="2101"/>
          </w:cols>
        </w:sectPr>
      </w:pPr>
    </w:p>
    <w:p>
      <w:pPr>
        <w:spacing w:line="240" w:lineRule="auto" w:before="6"/>
        <w:rPr>
          <w:rFonts w:ascii="宋体" w:hAnsi="宋体" w:cs="宋体" w:eastAsia="宋体" w:hint="default"/>
          <w:sz w:val="28"/>
          <w:szCs w:val="28"/>
        </w:rPr>
      </w:pPr>
    </w:p>
    <w:tbl>
      <w:tblPr>
        <w:tblW w:w="0" w:type="auto"/>
        <w:jc w:val="left"/>
        <w:tblInd w:w="2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552,759,031.83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27,637,951.59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552,759,031.83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27,637,951.59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75,922,618.71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7,592,261.88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31,293,211.16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9,387,963.35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15,824,835.74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7,912,417.88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8,657,849.10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6,926,279.29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13,812,602.44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13,812,602.44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698,270,148.98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73,269,476.43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10.49%</w:t>
            </w:r>
          </w:p>
        </w:tc>
      </w:tr>
    </w:tbl>
    <w:p>
      <w:pPr>
        <w:spacing w:line="360" w:lineRule="auto" w:before="51"/>
        <w:ind w:left="213" w:right="6431"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 不适用 组合中，采用其他方法计提坏账准备的应收账款： 不适用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40" w:lineRule="auto" w:before="2"/>
        <w:ind w:left="213" w:right="4377"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24,553,042.85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 其中本期坏账准备收回或转回金额重要的：</w:t>
      </w:r>
    </w:p>
    <w:p>
      <w:pPr>
        <w:spacing w:line="348" w:lineRule="auto" w:before="39"/>
        <w:ind w:left="213" w:right="8261" w:firstLine="0"/>
        <w:jc w:val="left"/>
        <w:rPr>
          <w:rFonts w:ascii="宋体" w:hAnsi="宋体" w:cs="宋体" w:eastAsia="宋体" w:hint="default"/>
          <w:sz w:val="18"/>
          <w:szCs w:val="18"/>
        </w:rPr>
      </w:pPr>
      <w:r>
        <w:rPr>
          <w:rFonts w:ascii="宋体" w:hAnsi="宋体" w:cs="宋体" w:eastAsia="宋体" w:hint="default"/>
          <w:sz w:val="18"/>
          <w:szCs w:val="18"/>
        </w:rPr>
        <w:t>无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本期实际核销的应收账款情况 无</w:t>
      </w:r>
    </w:p>
    <w:p>
      <w:pPr>
        <w:spacing w:line="338" w:lineRule="auto" w:before="36"/>
        <w:ind w:left="213" w:right="68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 公司是否需要遵守特殊行业的披露要求</w:t>
      </w:r>
    </w:p>
    <w:p>
      <w:pPr>
        <w:spacing w:line="357" w:lineRule="auto" w:before="43"/>
        <w:ind w:left="213" w:right="8951" w:firstLine="0"/>
        <w:jc w:val="left"/>
        <w:rPr>
          <w:rFonts w:ascii="宋体" w:hAnsi="宋体" w:cs="宋体" w:eastAsia="宋体" w:hint="default"/>
          <w:sz w:val="18"/>
          <w:szCs w:val="18"/>
        </w:rPr>
      </w:pPr>
      <w:r>
        <w:rPr>
          <w:rFonts w:ascii="宋体" w:hAnsi="宋体" w:cs="宋体" w:eastAsia="宋体" w:hint="default"/>
          <w:sz w:val="18"/>
          <w:szCs w:val="18"/>
        </w:rPr>
        <w:t>是 软件与信息技术服务业</w:t>
      </w:r>
    </w:p>
    <w:p>
      <w:pPr>
        <w:spacing w:line="240" w:lineRule="auto" w:before="6"/>
        <w:rPr>
          <w:rFonts w:ascii="宋体" w:hAnsi="宋体" w:cs="宋体" w:eastAsia="宋体" w:hint="default"/>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2464"/>
        <w:gridCol w:w="2462"/>
        <w:gridCol w:w="2464"/>
        <w:gridCol w:w="2465"/>
      </w:tblGrid>
      <w:tr>
        <w:trPr>
          <w:trHeight w:val="635"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72"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02" w:right="0"/>
              <w:jc w:val="left"/>
              <w:rPr>
                <w:rFonts w:ascii="宋体" w:hAnsi="宋体" w:cs="宋体" w:eastAsia="宋体" w:hint="default"/>
                <w:sz w:val="18"/>
                <w:szCs w:val="18"/>
              </w:rPr>
            </w:pPr>
            <w:r>
              <w:rPr>
                <w:rFonts w:ascii="宋体" w:hAnsi="宋体" w:cs="宋体" w:eastAsia="宋体" w:hint="default"/>
                <w:b/>
                <w:bCs/>
                <w:sz w:val="18"/>
                <w:szCs w:val="18"/>
              </w:rPr>
              <w:t>应收账款年末余额</w:t>
            </w:r>
            <w:r>
              <w:rPr>
                <w:rFonts w:ascii="宋体" w:hAnsi="宋体" w:cs="宋体" w:eastAsia="宋体" w:hint="default"/>
                <w:sz w:val="18"/>
                <w:szCs w:val="18"/>
              </w:rPr>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865" w:right="141" w:hanging="723"/>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占应收账款年末余额合计数</w:t>
            </w:r>
            <w:r>
              <w:rPr>
                <w:rFonts w:ascii="宋体" w:hAnsi="宋体" w:cs="宋体" w:eastAsia="宋体" w:hint="default"/>
                <w:b/>
                <w:bCs/>
                <w:w w:val="99"/>
                <w:sz w:val="18"/>
                <w:szCs w:val="18"/>
              </w:rPr>
              <w:t> </w:t>
            </w:r>
            <w:r>
              <w:rPr>
                <w:rFonts w:ascii="宋体" w:hAnsi="宋体" w:cs="宋体" w:eastAsia="宋体" w:hint="default"/>
                <w:b/>
                <w:bCs/>
                <w:sz w:val="18"/>
                <w:szCs w:val="18"/>
              </w:rPr>
              <w:t>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03" w:right="0"/>
              <w:jc w:val="left"/>
              <w:rPr>
                <w:rFonts w:ascii="宋体" w:hAnsi="宋体" w:cs="宋体" w:eastAsia="宋体" w:hint="default"/>
                <w:sz w:val="18"/>
                <w:szCs w:val="18"/>
              </w:rPr>
            </w:pPr>
            <w:r>
              <w:rPr>
                <w:rFonts w:ascii="宋体" w:hAnsi="宋体" w:cs="宋体" w:eastAsia="宋体" w:hint="default"/>
                <w:b/>
                <w:bCs/>
                <w:sz w:val="18"/>
                <w:szCs w:val="18"/>
              </w:rPr>
              <w:t>坏账准备年末余额</w:t>
            </w:r>
            <w:r>
              <w:rPr>
                <w:rFonts w:ascii="宋体" w:hAnsi="宋体" w:cs="宋体" w:eastAsia="宋体" w:hint="default"/>
                <w:sz w:val="18"/>
                <w:szCs w:val="18"/>
              </w:rPr>
            </w:r>
          </w:p>
        </w:tc>
      </w:tr>
      <w:tr>
        <w:trPr>
          <w:trHeight w:val="322"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6"/>
              <w:jc w:val="right"/>
              <w:rPr>
                <w:rFonts w:ascii="Times New Roman" w:hAnsi="Times New Roman" w:cs="Times New Roman" w:eastAsia="Times New Roman" w:hint="default"/>
                <w:sz w:val="18"/>
                <w:szCs w:val="18"/>
              </w:rPr>
            </w:pPr>
            <w:r>
              <w:rPr>
                <w:rFonts w:ascii="Times New Roman"/>
                <w:spacing w:val="-1"/>
                <w:sz w:val="18"/>
              </w:rPr>
              <w:t>40,500,000.00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5.76</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2,025,000.00</w:t>
            </w:r>
          </w:p>
        </w:tc>
      </w:tr>
      <w:tr>
        <w:trPr>
          <w:trHeight w:val="322"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6"/>
              <w:jc w:val="right"/>
              <w:rPr>
                <w:rFonts w:ascii="Times New Roman" w:hAnsi="Times New Roman" w:cs="Times New Roman" w:eastAsia="Times New Roman" w:hint="default"/>
                <w:sz w:val="18"/>
                <w:szCs w:val="18"/>
              </w:rPr>
            </w:pPr>
            <w:r>
              <w:rPr>
                <w:rFonts w:ascii="Times New Roman"/>
                <w:spacing w:val="-1"/>
                <w:sz w:val="18"/>
              </w:rPr>
              <w:t>38,544,800.00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5.49</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1,927,240.00</w:t>
            </w:r>
          </w:p>
        </w:tc>
      </w:tr>
      <w:tr>
        <w:trPr>
          <w:trHeight w:val="323"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6"/>
              <w:jc w:val="right"/>
              <w:rPr>
                <w:rFonts w:ascii="Times New Roman" w:hAnsi="Times New Roman" w:cs="Times New Roman" w:eastAsia="Times New Roman" w:hint="default"/>
                <w:sz w:val="18"/>
                <w:szCs w:val="18"/>
              </w:rPr>
            </w:pPr>
            <w:r>
              <w:rPr>
                <w:rFonts w:ascii="Times New Roman"/>
                <w:spacing w:val="-1"/>
                <w:sz w:val="18"/>
              </w:rPr>
              <w:t>22,560,000.00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3.21</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1,128,000.00</w:t>
            </w:r>
          </w:p>
        </w:tc>
      </w:tr>
      <w:tr>
        <w:trPr>
          <w:trHeight w:val="322"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6"/>
              <w:jc w:val="right"/>
              <w:rPr>
                <w:rFonts w:ascii="Times New Roman" w:hAnsi="Times New Roman" w:cs="Times New Roman" w:eastAsia="Times New Roman" w:hint="default"/>
                <w:sz w:val="18"/>
                <w:szCs w:val="18"/>
              </w:rPr>
            </w:pPr>
            <w:r>
              <w:rPr>
                <w:rFonts w:ascii="Times New Roman"/>
                <w:spacing w:val="-1"/>
                <w:sz w:val="18"/>
              </w:rPr>
              <w:t>22,417,648.25</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3.19</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1,120,882.41</w:t>
            </w:r>
          </w:p>
        </w:tc>
      </w:tr>
      <w:tr>
        <w:trPr>
          <w:trHeight w:val="322"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6"/>
              <w:jc w:val="right"/>
              <w:rPr>
                <w:rFonts w:ascii="Times New Roman" w:hAnsi="Times New Roman" w:cs="Times New Roman" w:eastAsia="Times New Roman" w:hint="default"/>
                <w:sz w:val="18"/>
                <w:szCs w:val="18"/>
              </w:rPr>
            </w:pPr>
            <w:r>
              <w:rPr>
                <w:rFonts w:ascii="Times New Roman"/>
                <w:spacing w:val="-1"/>
                <w:sz w:val="18"/>
              </w:rPr>
              <w:t>20,674,920.44</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2.94</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1,033,746.02</w:t>
            </w:r>
          </w:p>
        </w:tc>
      </w:tr>
      <w:tr>
        <w:trPr>
          <w:trHeight w:val="323"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2"/>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36"/>
              <w:jc w:val="right"/>
              <w:rPr>
                <w:rFonts w:ascii="Times New Roman" w:hAnsi="Times New Roman" w:cs="Times New Roman" w:eastAsia="Times New Roman" w:hint="default"/>
                <w:sz w:val="18"/>
                <w:szCs w:val="18"/>
              </w:rPr>
            </w:pPr>
            <w:r>
              <w:rPr>
                <w:rFonts w:ascii="Times New Roman"/>
                <w:b/>
                <w:spacing w:val="-1"/>
                <w:sz w:val="18"/>
              </w:rPr>
              <w:t>144,697,368.69</w:t>
            </w:r>
            <w:r>
              <w:rPr>
                <w:rFonts w:ascii="Times New Roman"/>
                <w:spacing w:val="-1"/>
                <w:sz w:val="18"/>
              </w:rPr>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9"/>
              <w:jc w:val="right"/>
              <w:rPr>
                <w:rFonts w:ascii="Times New Roman" w:hAnsi="Times New Roman" w:cs="Times New Roman" w:eastAsia="Times New Roman" w:hint="default"/>
                <w:sz w:val="18"/>
                <w:szCs w:val="18"/>
              </w:rPr>
            </w:pPr>
            <w:r>
              <w:rPr>
                <w:rFonts w:ascii="Times New Roman"/>
                <w:b/>
                <w:sz w:val="18"/>
              </w:rPr>
              <w:t>20.59</w:t>
            </w:r>
            <w:r>
              <w:rPr>
                <w:rFonts w:ascii="Times New Roman"/>
                <w:sz w:val="18"/>
              </w:rPr>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b/>
                <w:spacing w:val="-1"/>
                <w:sz w:val="18"/>
              </w:rPr>
              <w:t>7,234,868.43</w:t>
            </w:r>
            <w:r>
              <w:rPr>
                <w:rFonts w:ascii="Times New Roman"/>
                <w:spacing w:val="-1"/>
                <w:sz w:val="18"/>
              </w:rPr>
            </w:r>
          </w:p>
        </w:tc>
      </w:tr>
    </w:tbl>
    <w:p>
      <w:pPr>
        <w:spacing w:line="240" w:lineRule="auto" w:before="5"/>
        <w:rPr>
          <w:rFonts w:ascii="宋体" w:hAnsi="宋体" w:cs="宋体" w:eastAsia="宋体" w:hint="default"/>
          <w:sz w:val="24"/>
          <w:szCs w:val="24"/>
        </w:rPr>
      </w:pPr>
    </w:p>
    <w:p>
      <w:pPr>
        <w:spacing w:line="338" w:lineRule="auto" w:before="44"/>
        <w:ind w:left="213" w:right="754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因金融资产转移而终止确认的应收账款 无</w:t>
      </w:r>
    </w:p>
    <w:p>
      <w:pPr>
        <w:spacing w:before="43"/>
        <w:ind w:left="213"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转移应收账款且继续涉入形成的资产、负债金额</w:t>
      </w:r>
    </w:p>
    <w:p>
      <w:pPr>
        <w:spacing w:after="0"/>
        <w:jc w:val="left"/>
        <w:rPr>
          <w:rFonts w:ascii="宋体" w:hAnsi="宋体" w:cs="宋体" w:eastAsia="宋体" w:hint="default"/>
          <w:sz w:val="18"/>
          <w:szCs w:val="18"/>
        </w:rPr>
        <w:sectPr>
          <w:pgSz w:w="11910" w:h="16840"/>
          <w:pgMar w:header="747" w:footer="982" w:top="1060" w:bottom="1180" w:left="920" w:right="0"/>
        </w:sectPr>
      </w:pPr>
    </w:p>
    <w:p>
      <w:pPr>
        <w:spacing w:line="240" w:lineRule="auto" w:before="12"/>
        <w:rPr>
          <w:rFonts w:ascii="宋体" w:hAnsi="宋体" w:cs="宋体" w:eastAsia="宋体" w:hint="default"/>
          <w:sz w:val="25"/>
          <w:szCs w:val="25"/>
        </w:rPr>
      </w:pPr>
    </w:p>
    <w:p>
      <w:pPr>
        <w:spacing w:before="44"/>
        <w:ind w:left="213" w:right="1021"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left="214" w:right="1021"/>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214" w:right="1021"/>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84,494,210.88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33,535,657.29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91.01%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6,384,879.99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2,250,407.87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6.11%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1,540,682.49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733,276.26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618,787.11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328,370.46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0.89%</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93,038,560.47</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36,847,711.88</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214" w:right="1021"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9"/>
        <w:rPr>
          <w:rFonts w:ascii="宋体" w:hAnsi="宋体" w:cs="宋体" w:eastAsia="宋体" w:hint="default"/>
          <w:sz w:val="25"/>
          <w:szCs w:val="25"/>
        </w:rPr>
      </w:pPr>
    </w:p>
    <w:p>
      <w:pPr>
        <w:pStyle w:val="Heading3"/>
        <w:spacing w:line="240" w:lineRule="auto"/>
        <w:ind w:left="214" w:right="1021"/>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
        <w:rPr>
          <w:rFonts w:ascii="宋体" w:hAnsi="宋体" w:cs="宋体" w:eastAsia="宋体" w:hint="default"/>
          <w:b/>
          <w:bCs/>
          <w:sz w:val="23"/>
          <w:szCs w:val="23"/>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2004"/>
        <w:gridCol w:w="3390"/>
        <w:gridCol w:w="4460"/>
      </w:tblGrid>
      <w:tr>
        <w:trPr>
          <w:trHeight w:val="322"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41"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67" w:right="0"/>
              <w:jc w:val="left"/>
              <w:rPr>
                <w:rFonts w:ascii="宋体" w:hAnsi="宋体" w:cs="宋体" w:eastAsia="宋体" w:hint="default"/>
                <w:sz w:val="18"/>
                <w:szCs w:val="18"/>
              </w:rPr>
            </w:pPr>
            <w:r>
              <w:rPr>
                <w:rFonts w:ascii="宋体" w:hAnsi="宋体" w:cs="宋体" w:eastAsia="宋体" w:hint="default"/>
                <w:b/>
                <w:bCs/>
                <w:sz w:val="18"/>
                <w:szCs w:val="18"/>
              </w:rPr>
              <w:t>预付款项年末余额</w:t>
            </w:r>
            <w:r>
              <w:rPr>
                <w:rFonts w:ascii="宋体" w:hAnsi="宋体" w:cs="宋体" w:eastAsia="宋体" w:hint="default"/>
                <w:sz w:val="18"/>
                <w:szCs w:val="18"/>
              </w:rPr>
            </w:r>
          </w:p>
        </w:tc>
        <w:tc>
          <w:tcPr>
            <w:tcW w:w="4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79"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占预付款项年末余额合计数的比例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23"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5"/>
              <w:jc w:val="right"/>
              <w:rPr>
                <w:rFonts w:ascii="Times New Roman" w:hAnsi="Times New Roman" w:cs="Times New Roman" w:eastAsia="Times New Roman" w:hint="default"/>
                <w:sz w:val="18"/>
                <w:szCs w:val="18"/>
              </w:rPr>
            </w:pPr>
            <w:r>
              <w:rPr>
                <w:rFonts w:ascii="Times New Roman"/>
                <w:spacing w:val="-1"/>
                <w:sz w:val="18"/>
              </w:rPr>
              <w:t>37,773,058.51</w:t>
            </w:r>
          </w:p>
        </w:tc>
        <w:tc>
          <w:tcPr>
            <w:tcW w:w="4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6"/>
              <w:jc w:val="right"/>
              <w:rPr>
                <w:rFonts w:ascii="Times New Roman" w:hAnsi="Times New Roman" w:cs="Times New Roman" w:eastAsia="Times New Roman" w:hint="default"/>
                <w:sz w:val="18"/>
                <w:szCs w:val="18"/>
              </w:rPr>
            </w:pPr>
            <w:r>
              <w:rPr>
                <w:rFonts w:ascii="Times New Roman"/>
                <w:sz w:val="18"/>
              </w:rPr>
              <w:t>40.60</w:t>
            </w:r>
          </w:p>
        </w:tc>
      </w:tr>
      <w:tr>
        <w:trPr>
          <w:trHeight w:val="322"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7"/>
              <w:jc w:val="right"/>
              <w:rPr>
                <w:rFonts w:ascii="Times New Roman" w:hAnsi="Times New Roman" w:cs="Times New Roman" w:eastAsia="Times New Roman" w:hint="default"/>
                <w:sz w:val="18"/>
                <w:szCs w:val="18"/>
              </w:rPr>
            </w:pPr>
            <w:r>
              <w:rPr>
                <w:rFonts w:ascii="Times New Roman"/>
                <w:spacing w:val="-1"/>
                <w:sz w:val="18"/>
              </w:rPr>
              <w:t>13,025,282.69</w:t>
            </w:r>
          </w:p>
        </w:tc>
        <w:tc>
          <w:tcPr>
            <w:tcW w:w="4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7"/>
              <w:jc w:val="right"/>
              <w:rPr>
                <w:rFonts w:ascii="Times New Roman" w:hAnsi="Times New Roman" w:cs="Times New Roman" w:eastAsia="Times New Roman" w:hint="default"/>
                <w:sz w:val="18"/>
                <w:szCs w:val="18"/>
              </w:rPr>
            </w:pPr>
            <w:r>
              <w:rPr>
                <w:rFonts w:ascii="Times New Roman"/>
                <w:sz w:val="18"/>
              </w:rPr>
              <w:t>14.00</w:t>
            </w:r>
          </w:p>
        </w:tc>
      </w:tr>
      <w:tr>
        <w:trPr>
          <w:trHeight w:val="322"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7"/>
              <w:jc w:val="right"/>
              <w:rPr>
                <w:rFonts w:ascii="Times New Roman" w:hAnsi="Times New Roman" w:cs="Times New Roman" w:eastAsia="Times New Roman" w:hint="default"/>
                <w:sz w:val="18"/>
                <w:szCs w:val="18"/>
              </w:rPr>
            </w:pPr>
            <w:r>
              <w:rPr>
                <w:rFonts w:ascii="Times New Roman"/>
                <w:spacing w:val="-1"/>
                <w:sz w:val="18"/>
              </w:rPr>
              <w:t>6,428,800.00</w:t>
            </w:r>
          </w:p>
        </w:tc>
        <w:tc>
          <w:tcPr>
            <w:tcW w:w="4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7"/>
              <w:jc w:val="right"/>
              <w:rPr>
                <w:rFonts w:ascii="Times New Roman" w:hAnsi="Times New Roman" w:cs="Times New Roman" w:eastAsia="Times New Roman" w:hint="default"/>
                <w:sz w:val="18"/>
                <w:szCs w:val="18"/>
              </w:rPr>
            </w:pPr>
            <w:r>
              <w:rPr>
                <w:rFonts w:ascii="Times New Roman"/>
                <w:sz w:val="18"/>
              </w:rPr>
              <w:t>6.91</w:t>
            </w:r>
          </w:p>
        </w:tc>
      </w:tr>
      <w:tr>
        <w:trPr>
          <w:trHeight w:val="323"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7"/>
              <w:jc w:val="right"/>
              <w:rPr>
                <w:rFonts w:ascii="Times New Roman" w:hAnsi="Times New Roman" w:cs="Times New Roman" w:eastAsia="Times New Roman" w:hint="default"/>
                <w:sz w:val="18"/>
                <w:szCs w:val="18"/>
              </w:rPr>
            </w:pPr>
            <w:r>
              <w:rPr>
                <w:rFonts w:ascii="Times New Roman"/>
                <w:spacing w:val="-1"/>
                <w:sz w:val="18"/>
              </w:rPr>
              <w:t>2,967,329.79</w:t>
            </w:r>
          </w:p>
        </w:tc>
        <w:tc>
          <w:tcPr>
            <w:tcW w:w="4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7"/>
              <w:jc w:val="right"/>
              <w:rPr>
                <w:rFonts w:ascii="Times New Roman" w:hAnsi="Times New Roman" w:cs="Times New Roman" w:eastAsia="Times New Roman" w:hint="default"/>
                <w:sz w:val="18"/>
                <w:szCs w:val="18"/>
              </w:rPr>
            </w:pPr>
            <w:r>
              <w:rPr>
                <w:rFonts w:ascii="Times New Roman"/>
                <w:sz w:val="18"/>
              </w:rPr>
              <w:t>3.19</w:t>
            </w:r>
          </w:p>
        </w:tc>
      </w:tr>
      <w:tr>
        <w:trPr>
          <w:trHeight w:val="322"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7"/>
              <w:jc w:val="right"/>
              <w:rPr>
                <w:rFonts w:ascii="Times New Roman" w:hAnsi="Times New Roman" w:cs="Times New Roman" w:eastAsia="Times New Roman" w:hint="default"/>
                <w:sz w:val="18"/>
                <w:szCs w:val="18"/>
              </w:rPr>
            </w:pPr>
            <w:r>
              <w:rPr>
                <w:rFonts w:ascii="Times New Roman"/>
                <w:spacing w:val="-1"/>
                <w:sz w:val="18"/>
              </w:rPr>
              <w:t>2,339,316.24</w:t>
            </w:r>
          </w:p>
        </w:tc>
        <w:tc>
          <w:tcPr>
            <w:tcW w:w="4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7"/>
              <w:jc w:val="right"/>
              <w:rPr>
                <w:rFonts w:ascii="Times New Roman" w:hAnsi="Times New Roman" w:cs="Times New Roman" w:eastAsia="Times New Roman" w:hint="default"/>
                <w:sz w:val="18"/>
                <w:szCs w:val="18"/>
              </w:rPr>
            </w:pPr>
            <w:r>
              <w:rPr>
                <w:rFonts w:ascii="Times New Roman"/>
                <w:sz w:val="18"/>
              </w:rPr>
              <w:t>2.51</w:t>
            </w:r>
          </w:p>
        </w:tc>
      </w:tr>
      <w:tr>
        <w:trPr>
          <w:trHeight w:val="323"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2"/>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5"/>
              <w:jc w:val="right"/>
              <w:rPr>
                <w:rFonts w:ascii="Times New Roman" w:hAnsi="Times New Roman" w:cs="Times New Roman" w:eastAsia="Times New Roman" w:hint="default"/>
                <w:sz w:val="18"/>
                <w:szCs w:val="18"/>
              </w:rPr>
            </w:pPr>
            <w:r>
              <w:rPr>
                <w:rFonts w:ascii="Times New Roman"/>
                <w:b/>
                <w:spacing w:val="-1"/>
                <w:sz w:val="18"/>
              </w:rPr>
              <w:t>62,533,787.23</w:t>
            </w:r>
            <w:r>
              <w:rPr>
                <w:rFonts w:ascii="Times New Roman"/>
                <w:spacing w:val="-1"/>
                <w:sz w:val="18"/>
              </w:rPr>
            </w:r>
          </w:p>
        </w:tc>
        <w:tc>
          <w:tcPr>
            <w:tcW w:w="4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6"/>
              <w:jc w:val="right"/>
              <w:rPr>
                <w:rFonts w:ascii="Times New Roman" w:hAnsi="Times New Roman" w:cs="Times New Roman" w:eastAsia="Times New Roman" w:hint="default"/>
                <w:sz w:val="18"/>
                <w:szCs w:val="18"/>
              </w:rPr>
            </w:pPr>
            <w:r>
              <w:rPr>
                <w:rFonts w:ascii="Times New Roman"/>
                <w:sz w:val="18"/>
              </w:rPr>
              <w:t>67.21</w:t>
            </w:r>
          </w:p>
        </w:tc>
      </w:tr>
    </w:tbl>
    <w:p>
      <w:pPr>
        <w:spacing w:line="240" w:lineRule="auto" w:before="5"/>
        <w:rPr>
          <w:rFonts w:ascii="宋体" w:hAnsi="宋体" w:cs="宋体" w:eastAsia="宋体" w:hint="default"/>
          <w:sz w:val="24"/>
          <w:szCs w:val="24"/>
        </w:rPr>
      </w:pPr>
    </w:p>
    <w:p>
      <w:pPr>
        <w:spacing w:before="44"/>
        <w:ind w:left="214" w:right="1021"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left="214" w:right="1021"/>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1,581,027.56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2,902,673.90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69,966,574.38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46,741,026.17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71,547,601.94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49,643,700.07</w:t>
            </w:r>
          </w:p>
        </w:tc>
      </w:tr>
    </w:tbl>
    <w:p>
      <w:pPr>
        <w:spacing w:line="240" w:lineRule="auto" w:before="1"/>
        <w:rPr>
          <w:rFonts w:ascii="宋体" w:hAnsi="宋体" w:cs="宋体" w:eastAsia="宋体" w:hint="default"/>
          <w:sz w:val="19"/>
          <w:szCs w:val="19"/>
        </w:rPr>
      </w:pPr>
    </w:p>
    <w:p>
      <w:pPr>
        <w:pStyle w:val="Heading3"/>
        <w:spacing w:line="240" w:lineRule="auto" w:before="35"/>
        <w:ind w:left="214" w:right="1021"/>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spacing w:before="44"/>
        <w:ind w:left="214"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应收利息分类</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82" w:top="1060" w:bottom="1180" w:left="920" w:right="0"/>
        </w:sectPr>
      </w:pPr>
    </w:p>
    <w:p>
      <w:pPr>
        <w:spacing w:line="240" w:lineRule="auto" w:before="6"/>
        <w:rPr>
          <w:rFonts w:ascii="宋体" w:hAnsi="宋体" w:cs="宋体" w:eastAsia="宋体" w:hint="default"/>
          <w:sz w:val="28"/>
          <w:szCs w:val="28"/>
        </w:rPr>
      </w:pPr>
    </w:p>
    <w:tbl>
      <w:tblPr>
        <w:tblW w:w="0" w:type="auto"/>
        <w:jc w:val="left"/>
        <w:tblInd w:w="209" w:type="dxa"/>
        <w:tblLayout w:type="fixed"/>
        <w:tblCellMar>
          <w:top w:w="0" w:type="dxa"/>
          <w:left w:w="0" w:type="dxa"/>
          <w:bottom w:w="0" w:type="dxa"/>
          <w:right w:w="0" w:type="dxa"/>
        </w:tblCellMar>
        <w:tblLook w:val="01E0"/>
      </w:tblPr>
      <w:tblGrid>
        <w:gridCol w:w="3190"/>
        <w:gridCol w:w="3191"/>
        <w:gridCol w:w="318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1,581,027.56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2,902,673.90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1,581,027.56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2,902,673.90</w:t>
            </w:r>
          </w:p>
        </w:tc>
      </w:tr>
    </w:tbl>
    <w:p>
      <w:pPr>
        <w:spacing w:before="51"/>
        <w:ind w:left="214"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重要逾期利息</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2"/>
        <w:ind w:left="214" w:right="1021"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left="214" w:right="1021"/>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8"/>
        <w:rPr>
          <w:rFonts w:ascii="宋体" w:hAnsi="宋体" w:cs="宋体" w:eastAsia="宋体" w:hint="default"/>
          <w:b/>
          <w:bCs/>
          <w:sz w:val="26"/>
          <w:szCs w:val="26"/>
        </w:rPr>
      </w:pPr>
    </w:p>
    <w:p>
      <w:pPr>
        <w:spacing w:before="0"/>
        <w:ind w:left="214" w:right="1021"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left="214" w:right="1021"/>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3"/>
        <w:rPr>
          <w:rFonts w:ascii="宋体" w:hAnsi="宋体" w:cs="宋体" w:eastAsia="宋体" w:hint="default"/>
          <w:b/>
          <w:bCs/>
          <w:sz w:val="23"/>
          <w:szCs w:val="23"/>
        </w:rPr>
      </w:pPr>
    </w:p>
    <w:p>
      <w:pPr>
        <w:spacing w:before="44"/>
        <w:ind w:left="214"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90,402,2</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14.37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20,435,6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39.99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22.61%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69,966,57</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4.38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62,787,</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890.33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16,046,86</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4.16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25.56%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46,741,026.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17</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90,402,2</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14.37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20,435,6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39.99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22.61%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69,966,57</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4.38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62,787,</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890.33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16,046,86</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4.16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25.56%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46,741,026.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20" w:right="0"/>
        </w:sectPr>
      </w:pPr>
    </w:p>
    <w:p>
      <w:pPr>
        <w:spacing w:before="51"/>
        <w:ind w:left="21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21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2"/>
        <w:ind w:left="21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2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20" w:right="0"/>
          <w:cols w:num="2" w:equalWidth="0">
            <w:col w:w="4535" w:space="4294"/>
            <w:col w:w="2161"/>
          </w:cols>
        </w:sectPr>
      </w:pP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44,286,994.37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2,214,349.72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44,286,994.37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2,214,349.72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13,053,341.94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1,305,334.20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6,376,739.75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1,913,021.93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20" w:right="0"/>
        </w:sectPr>
      </w:pPr>
    </w:p>
    <w:p>
      <w:pPr>
        <w:spacing w:line="240" w:lineRule="auto" w:before="6"/>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3,670,031.89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1,835,015.95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3,579,509.20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2,863,607.36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10,304,310.83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10,304,310.83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81,270,927.98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20,435,639.99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25.15%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20" w:right="0"/>
        </w:sectPr>
      </w:pPr>
    </w:p>
    <w:p>
      <w:pPr>
        <w:spacing w:line="360" w:lineRule="auto" w:before="51"/>
        <w:ind w:left="213" w:right="-19"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6"/>
        <w:ind w:left="214" w:right="34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0"/>
        <w:ind w:left="214"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21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20" w:right="0"/>
          <w:cols w:num="2" w:equalWidth="0">
            <w:col w:w="4715" w:space="4204"/>
            <w:col w:w="2071"/>
          </w:cols>
        </w:sectPr>
      </w:pPr>
    </w:p>
    <w:p>
      <w:pPr>
        <w:spacing w:line="240" w:lineRule="auto" w:before="1"/>
        <w:rPr>
          <w:rFonts w:ascii="宋体" w:hAnsi="宋体" w:cs="宋体" w:eastAsia="宋体" w:hint="default"/>
          <w:sz w:val="8"/>
          <w:szCs w:val="8"/>
        </w:rPr>
      </w:pPr>
    </w:p>
    <w:tbl>
      <w:tblPr>
        <w:tblW w:w="0" w:type="auto"/>
        <w:jc w:val="left"/>
        <w:tblInd w:w="206" w:type="dxa"/>
        <w:tblLayout w:type="fixed"/>
        <w:tblCellMar>
          <w:top w:w="0" w:type="dxa"/>
          <w:left w:w="0" w:type="dxa"/>
          <w:bottom w:w="0" w:type="dxa"/>
          <w:right w:w="0" w:type="dxa"/>
        </w:tblCellMar>
        <w:tblLook w:val="01E0"/>
      </w:tblPr>
      <w:tblGrid>
        <w:gridCol w:w="2560"/>
        <w:gridCol w:w="2368"/>
        <w:gridCol w:w="2532"/>
        <w:gridCol w:w="2162"/>
      </w:tblGrid>
      <w:tr>
        <w:trPr>
          <w:trHeight w:val="347" w:hRule="exact"/>
        </w:trPr>
        <w:tc>
          <w:tcPr>
            <w:tcW w:w="2560" w:type="dxa"/>
            <w:vMerge w:val="restart"/>
            <w:tcBorders>
              <w:top w:val="single" w:sz="6" w:space="0" w:color="000000"/>
              <w:left w:val="single" w:sz="6" w:space="0" w:color="000000"/>
              <w:right w:val="single" w:sz="6" w:space="0" w:color="000000"/>
            </w:tcBorders>
            <w:shd w:val="clear" w:color="auto" w:fill="D3D3D3"/>
          </w:tcPr>
          <w:p>
            <w:pPr>
              <w:pStyle w:val="TableParagraph"/>
              <w:spacing w:line="240" w:lineRule="auto" w:before="20"/>
              <w:ind w:left="1121"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7062" w:type="dxa"/>
            <w:gridSpan w:val="3"/>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20"/>
              <w:ind w:left="42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7" w:hRule="exact"/>
        </w:trPr>
        <w:tc>
          <w:tcPr>
            <w:tcW w:w="2560" w:type="dxa"/>
            <w:vMerge/>
            <w:tcBorders>
              <w:left w:val="single" w:sz="6" w:space="0" w:color="000000"/>
              <w:bottom w:val="single" w:sz="6" w:space="0" w:color="000000"/>
              <w:right w:val="single" w:sz="6" w:space="0" w:color="000000"/>
            </w:tcBorders>
            <w:shd w:val="clear" w:color="auto" w:fill="D3D3D3"/>
          </w:tcPr>
          <w:p>
            <w:pPr/>
          </w:p>
        </w:tc>
        <w:tc>
          <w:tcPr>
            <w:tcW w:w="236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21"/>
              <w:ind w:left="93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3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21"/>
              <w:ind w:left="11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6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21"/>
              <w:ind w:left="922"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427" w:hRule="exact"/>
        </w:trPr>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2" w:right="0"/>
              <w:jc w:val="left"/>
              <w:rPr>
                <w:rFonts w:ascii="宋体" w:hAnsi="宋体" w:cs="宋体" w:eastAsia="宋体" w:hint="default"/>
                <w:sz w:val="18"/>
                <w:szCs w:val="18"/>
              </w:rPr>
            </w:pPr>
            <w:r>
              <w:rPr>
                <w:rFonts w:ascii="宋体" w:hAnsi="宋体" w:cs="宋体" w:eastAsia="宋体" w:hint="default"/>
                <w:sz w:val="18"/>
                <w:szCs w:val="18"/>
              </w:rPr>
              <w:t>员工暂借款及其他</w:t>
            </w:r>
          </w:p>
        </w:tc>
        <w:tc>
          <w:tcPr>
            <w:tcW w:w="2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7,041,820.18</w:t>
            </w:r>
          </w:p>
        </w:tc>
        <w:tc>
          <w:tcPr>
            <w:tcW w:w="2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w:t>
            </w:r>
          </w:p>
        </w:tc>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w:t>
            </w:r>
          </w:p>
        </w:tc>
      </w:tr>
      <w:tr>
        <w:trPr>
          <w:trHeight w:val="432" w:hRule="exact"/>
        </w:trPr>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2" w:right="0"/>
              <w:jc w:val="left"/>
              <w:rPr>
                <w:rFonts w:ascii="宋体" w:hAnsi="宋体" w:cs="宋体" w:eastAsia="宋体" w:hint="default"/>
                <w:sz w:val="18"/>
                <w:szCs w:val="18"/>
              </w:rPr>
            </w:pPr>
            <w:r>
              <w:rPr>
                <w:rFonts w:ascii="宋体" w:hAnsi="宋体" w:cs="宋体" w:eastAsia="宋体" w:hint="default"/>
                <w:sz w:val="18"/>
                <w:szCs w:val="18"/>
              </w:rPr>
              <w:t>应收软件增值税退税款</w:t>
            </w:r>
          </w:p>
        </w:tc>
        <w:tc>
          <w:tcPr>
            <w:tcW w:w="2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2,089,466.21</w:t>
            </w:r>
          </w:p>
        </w:tc>
        <w:tc>
          <w:tcPr>
            <w:tcW w:w="2532" w:type="dxa"/>
            <w:tcBorders>
              <w:top w:val="single" w:sz="6" w:space="0" w:color="000000"/>
              <w:left w:val="single" w:sz="6" w:space="0" w:color="000000"/>
              <w:bottom w:val="single" w:sz="6" w:space="0" w:color="000000"/>
              <w:right w:val="single" w:sz="6" w:space="0" w:color="000000"/>
            </w:tcBorders>
          </w:tcPr>
          <w:p>
            <w:pPr/>
          </w:p>
        </w:tc>
        <w:tc>
          <w:tcPr>
            <w:tcW w:w="2162" w:type="dxa"/>
            <w:tcBorders>
              <w:top w:val="single" w:sz="6" w:space="0" w:color="000000"/>
              <w:left w:val="single" w:sz="6" w:space="0" w:color="000000"/>
              <w:bottom w:val="single" w:sz="6" w:space="0" w:color="000000"/>
              <w:right w:val="single" w:sz="6" w:space="0" w:color="000000"/>
            </w:tcBorders>
          </w:tcPr>
          <w:p>
            <w:pPr/>
          </w:p>
        </w:tc>
      </w:tr>
      <w:tr>
        <w:trPr>
          <w:trHeight w:val="422" w:hRule="exact"/>
        </w:trPr>
        <w:tc>
          <w:tcPr>
            <w:tcW w:w="256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5"/>
              <w:ind w:left="4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6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9,131,286.39</w:t>
            </w:r>
          </w:p>
        </w:tc>
        <w:tc>
          <w:tcPr>
            <w:tcW w:w="253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z w:val="18"/>
              </w:rPr>
              <w:t>0</w:t>
            </w:r>
          </w:p>
        </w:tc>
        <w:tc>
          <w:tcPr>
            <w:tcW w:w="216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20" w:right="0"/>
        </w:sectPr>
      </w:pPr>
    </w:p>
    <w:p>
      <w:pPr>
        <w:spacing w:before="52"/>
        <w:ind w:left="214"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before="103"/>
        <w:ind w:left="213" w:right="-17"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4,388,775.83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w:t>
      </w:r>
    </w:p>
    <w:p>
      <w:pPr>
        <w:spacing w:line="348" w:lineRule="auto" w:before="102"/>
        <w:ind w:left="214" w:right="360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本期实际核销的其他应收款情况 无 </w:t>
      </w: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2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20" w:right="0"/>
          <w:cols w:num="2" w:equalWidth="0">
            <w:col w:w="6505" w:space="2323"/>
            <w:col w:w="2162"/>
          </w:cols>
        </w:sectPr>
      </w:pPr>
    </w:p>
    <w:p>
      <w:pPr>
        <w:spacing w:line="240" w:lineRule="auto" w:before="0"/>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187"/>
        <w:gridCol w:w="3191"/>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2,677,948.58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1,311,343.28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61,921,929.83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51,640,850.64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单位与个人往来款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19,422,448.79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6,157,592.46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代收代垫款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3,820,424.31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3,296,209.89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469,996.65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381,894.06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应收软件退税款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2,089,466.21</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90,402,214.37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62,787,890.33</w:t>
            </w:r>
          </w:p>
        </w:tc>
      </w:tr>
    </w:tbl>
    <w:p>
      <w:pPr>
        <w:spacing w:before="51"/>
        <w:ind w:left="214"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按欠款方归集的期末余额前五名的其他应收款情况</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994"/>
        <w:gridCol w:w="1134"/>
        <w:gridCol w:w="1416"/>
        <w:gridCol w:w="2832"/>
        <w:gridCol w:w="1596"/>
        <w:gridCol w:w="1595"/>
      </w:tblGrid>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8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履约质保金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8,187,350.00</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5,775,060.00</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631,650.00</w:t>
            </w:r>
            <w:r>
              <w:rPr>
                <w:rFonts w:ascii="宋体" w:hAnsi="宋体" w:cs="宋体" w:eastAsia="宋体" w:hint="default"/>
                <w:sz w:val="18"/>
                <w:szCs w:val="18"/>
              </w:rPr>
              <w:t>；</w:t>
            </w:r>
            <w:r>
              <w:rPr>
                <w:rFonts w:ascii="Times New Roman" w:hAnsi="Times New Roman" w:cs="Times New Roman" w:eastAsia="Times New Roman" w:hint="default"/>
                <w:sz w:val="18"/>
                <w:szCs w:val="18"/>
              </w:rPr>
              <w:t>4-5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1,780,640.00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1,776,430.00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业绩补偿款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4,884,906.00</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244,245.30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2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94"/>
        <w:gridCol w:w="1134"/>
        <w:gridCol w:w="1416"/>
        <w:gridCol w:w="2832"/>
        <w:gridCol w:w="1596"/>
        <w:gridCol w:w="1595"/>
      </w:tblGrid>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履约质保金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4,567,000.00</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4,160,000.00</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398,000.00</w:t>
            </w:r>
            <w:r>
              <w:rPr>
                <w:rFonts w:ascii="宋体" w:hAnsi="宋体" w:cs="宋体" w:eastAsia="宋体" w:hint="default"/>
                <w:sz w:val="18"/>
                <w:szCs w:val="18"/>
              </w:rPr>
              <w:t>；</w:t>
            </w: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256,800.00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履约质保金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3,400,000.00</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340,000.00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履约质保金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3,340,000.00</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3,340,000.00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24,379,256.00</w:t>
            </w:r>
          </w:p>
        </w:tc>
        <w:tc>
          <w:tcPr>
            <w:tcW w:w="28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5,957,475.30</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涉及政府补助的应收款项</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83" w:right="50"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集美区国税局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4"/>
              <w:jc w:val="center"/>
              <w:rPr>
                <w:rFonts w:ascii="宋体" w:hAnsi="宋体" w:cs="宋体" w:eastAsia="宋体" w:hint="default"/>
                <w:sz w:val="18"/>
                <w:szCs w:val="18"/>
              </w:rPr>
            </w:pPr>
            <w:r>
              <w:rPr>
                <w:rFonts w:ascii="宋体" w:hAnsi="宋体" w:cs="宋体" w:eastAsia="宋体" w:hint="default"/>
                <w:sz w:val="18"/>
                <w:szCs w:val="18"/>
              </w:rPr>
              <w:t>应收软件增值税退税款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7" w:right="0"/>
              <w:jc w:val="left"/>
              <w:rPr>
                <w:rFonts w:ascii="Times New Roman" w:hAnsi="Times New Roman" w:cs="Times New Roman" w:eastAsia="Times New Roman" w:hint="default"/>
                <w:sz w:val="18"/>
                <w:szCs w:val="18"/>
              </w:rPr>
            </w:pPr>
            <w:r>
              <w:rPr>
                <w:rFonts w:ascii="Times New Roman"/>
                <w:sz w:val="18"/>
              </w:rPr>
              <w:t>2,089,466.21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月份已收回款项</w:t>
            </w:r>
          </w:p>
        </w:tc>
      </w:tr>
    </w:tbl>
    <w:p>
      <w:pPr>
        <w:spacing w:line="338" w:lineRule="auto" w:before="51"/>
        <w:ind w:left="153" w:right="73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因金融资产转移而终止确认的其他应收款 无</w:t>
      </w:r>
    </w:p>
    <w:p>
      <w:pPr>
        <w:spacing w:line="338" w:lineRule="auto" w:before="43"/>
        <w:ind w:left="153" w:right="664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转移其他应收款且继续涉入形成的资产、负债金额 无</w:t>
      </w:r>
    </w:p>
    <w:p>
      <w:pPr>
        <w:spacing w:before="4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7"/>
        <w:rPr>
          <w:rFonts w:ascii="宋体" w:hAnsi="宋体" w:cs="宋体" w:eastAsia="宋体" w:hint="default"/>
          <w:b/>
          <w:bCs/>
          <w:sz w:val="26"/>
          <w:szCs w:val="26"/>
        </w:rPr>
      </w:pPr>
    </w:p>
    <w:p>
      <w:pPr>
        <w:spacing w:line="360" w:lineRule="auto" w:before="0"/>
        <w:ind w:left="153" w:right="7511"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54,672,891.63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2,007,572.72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52,665,318.91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45,557,433.73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2,117,063.75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43,440,369.98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6,224,445.93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85,663.50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6,138,782.43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11,247,405.62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239,303.66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11,008,101.96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99,650,828.52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832,964.64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98,817,863.88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71,379,978.54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984,837.98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70,395,140.56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211,658,281.51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9,445,455.44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202,212,826.07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246,623,041.87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18,177,712.53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228,445,329.34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685,604.52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685,604.52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573,187.71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573,187.71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372,892,052.11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12,371,656.30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360,520,395.81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375,381,047.47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21,518,917.92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353,862,129.55</w:t>
            </w:r>
          </w:p>
        </w:tc>
      </w:tr>
    </w:tbl>
    <w:p>
      <w:pPr>
        <w:spacing w:line="340" w:lineRule="auto" w:before="51"/>
        <w:ind w:left="154" w:right="2472"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上市公司从事种业、种植业务》的披露要求 否</w:t>
      </w:r>
    </w:p>
    <w:p>
      <w:pPr>
        <w:spacing w:line="340" w:lineRule="auto" w:before="40"/>
        <w:ind w:left="154" w:right="1572"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上市公司从事广播电影电视业务》的披露要求 否</w:t>
      </w:r>
    </w:p>
    <w:p>
      <w:pPr>
        <w:spacing w:line="338" w:lineRule="auto" w:before="40"/>
        <w:ind w:left="154" w:right="1752"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after="0" w:line="338"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13"/>
        <w:rPr>
          <w:rFonts w:ascii="宋体" w:hAnsi="宋体" w:cs="宋体" w:eastAsia="宋体" w:hint="default"/>
          <w:sz w:val="25"/>
          <w:szCs w:val="25"/>
        </w:rPr>
      </w:pPr>
    </w:p>
    <w:p>
      <w:pPr>
        <w:spacing w:line="338" w:lineRule="auto" w:before="44"/>
        <w:ind w:left="214" w:right="2750"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上市公司从事珠宝相关业务》的披露要求 否</w:t>
      </w:r>
    </w:p>
    <w:p>
      <w:pPr>
        <w:spacing w:line="240" w:lineRule="auto" w:before="2"/>
        <w:rPr>
          <w:rFonts w:ascii="宋体" w:hAnsi="宋体" w:cs="宋体" w:eastAsia="宋体" w:hint="default"/>
          <w:sz w:val="21"/>
          <w:szCs w:val="21"/>
        </w:rPr>
      </w:pPr>
    </w:p>
    <w:p>
      <w:pPr>
        <w:pStyle w:val="Heading3"/>
        <w:spacing w:line="240" w:lineRule="auto"/>
        <w:ind w:left="214" w:right="1021"/>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403"/>
        <w:gridCol w:w="1404"/>
        <w:gridCol w:w="1403"/>
        <w:gridCol w:w="1402"/>
        <w:gridCol w:w="1402"/>
        <w:gridCol w:w="1403"/>
        <w:gridCol w:w="1402"/>
      </w:tblGrid>
      <w:tr>
        <w:trPr>
          <w:trHeight w:val="402" w:hRule="exact"/>
        </w:trPr>
        <w:tc>
          <w:tcPr>
            <w:tcW w:w="1403" w:type="dxa"/>
            <w:vMerge w:val="restart"/>
            <w:tcBorders>
              <w:top w:val="single" w:sz="4" w:space="0" w:color="000000"/>
              <w:left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04" w:type="dxa"/>
            <w:vMerge w:val="restart"/>
            <w:tcBorders>
              <w:top w:val="single" w:sz="4" w:space="0" w:color="000000"/>
              <w:left w:val="single" w:sz="4" w:space="0" w:color="000000"/>
              <w:right w:val="single" w:sz="4" w:space="0" w:color="000000"/>
            </w:tcBorders>
          </w:tcPr>
          <w:p>
            <w:pPr>
              <w:pStyle w:val="TableParagraph"/>
              <w:spacing w:line="240" w:lineRule="auto" w:before="51"/>
              <w:ind w:left="33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8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8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6"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402" w:type="dxa"/>
            <w:vMerge w:val="restart"/>
            <w:tcBorders>
              <w:top w:val="single" w:sz="4" w:space="0" w:color="000000"/>
              <w:left w:val="single" w:sz="4" w:space="0" w:color="000000"/>
              <w:right w:val="single" w:sz="4" w:space="0" w:color="000000"/>
            </w:tcBorders>
          </w:tcPr>
          <w:p>
            <w:pPr>
              <w:pStyle w:val="TableParagraph"/>
              <w:spacing w:line="240" w:lineRule="auto" w:before="51"/>
              <w:ind w:left="33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403" w:type="dxa"/>
            <w:vMerge/>
            <w:tcBorders>
              <w:left w:val="single" w:sz="4" w:space="0" w:color="000000"/>
              <w:bottom w:val="single" w:sz="4" w:space="0" w:color="000000"/>
              <w:right w:val="single" w:sz="4" w:space="0" w:color="000000"/>
            </w:tcBorders>
          </w:tcPr>
          <w:p>
            <w:pPr/>
          </w:p>
        </w:tc>
        <w:tc>
          <w:tcPr>
            <w:tcW w:w="1404" w:type="dxa"/>
            <w:vMerge/>
            <w:tcBorders>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6"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402" w:type="dxa"/>
            <w:vMerge/>
            <w:tcBorders>
              <w:left w:val="single" w:sz="4" w:space="0" w:color="000000"/>
              <w:bottom w:val="single" w:sz="4" w:space="0" w:color="000000"/>
              <w:right w:val="single" w:sz="4" w:space="0" w:color="000000"/>
            </w:tcBorders>
          </w:tcPr>
          <w:p>
            <w:pPr/>
          </w:p>
        </w:tc>
      </w:tr>
      <w:tr>
        <w:trPr>
          <w:trHeight w:val="402"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2,117,063.75</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1,190,970.72</w:t>
            </w:r>
          </w:p>
        </w:tc>
        <w:tc>
          <w:tcPr>
            <w:tcW w:w="1402"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1,300,461.75</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2,007,572.72</w:t>
            </w:r>
          </w:p>
        </w:tc>
      </w:tr>
      <w:tr>
        <w:trPr>
          <w:trHeight w:val="402"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239,303.66</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84,743.69</w:t>
            </w:r>
          </w:p>
        </w:tc>
        <w:tc>
          <w:tcPr>
            <w:tcW w:w="1402"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238,383.85</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85,663.50</w:t>
            </w:r>
          </w:p>
        </w:tc>
      </w:tr>
      <w:tr>
        <w:trPr>
          <w:trHeight w:val="402"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984,837.98</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831,487.66</w:t>
            </w:r>
          </w:p>
        </w:tc>
        <w:tc>
          <w:tcPr>
            <w:tcW w:w="1402"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983,361.00</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832,964.64</w:t>
            </w:r>
          </w:p>
        </w:tc>
      </w:tr>
      <w:tr>
        <w:trPr>
          <w:trHeight w:val="402"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18,177,712.53</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7,629,944.79</w:t>
            </w:r>
          </w:p>
        </w:tc>
        <w:tc>
          <w:tcPr>
            <w:tcW w:w="1402"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16,362,201.88</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9,445,455.44</w:t>
            </w:r>
          </w:p>
        </w:tc>
      </w:tr>
      <w:tr>
        <w:trPr>
          <w:trHeight w:val="402"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21,518,917.92</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9,737,146.86</w:t>
            </w:r>
          </w:p>
        </w:tc>
        <w:tc>
          <w:tcPr>
            <w:tcW w:w="1402"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18,884,408.48</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12,371,656.30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tbl>
      <w:tblPr>
        <w:tblW w:w="0" w:type="auto"/>
        <w:jc w:val="left"/>
        <w:tblInd w:w="101" w:type="dxa"/>
        <w:tblLayout w:type="fixed"/>
        <w:tblCellMar>
          <w:top w:w="0" w:type="dxa"/>
          <w:left w:w="0" w:type="dxa"/>
          <w:bottom w:w="0" w:type="dxa"/>
          <w:right w:w="0" w:type="dxa"/>
        </w:tblCellMar>
        <w:tblLook w:val="01E0"/>
      </w:tblPr>
      <w:tblGrid>
        <w:gridCol w:w="1505"/>
        <w:gridCol w:w="4776"/>
        <w:gridCol w:w="3574"/>
      </w:tblGrid>
      <w:tr>
        <w:trPr>
          <w:trHeight w:val="63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存货种类</w:t>
            </w:r>
            <w:r>
              <w:rPr>
                <w:rFonts w:ascii="宋体" w:hAnsi="宋体" w:cs="宋体" w:eastAsia="宋体" w:hint="default"/>
                <w:sz w:val="18"/>
                <w:szCs w:val="18"/>
              </w:rPr>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确定可变现净值的具体依据</w:t>
            </w:r>
            <w:r>
              <w:rPr>
                <w:rFonts w:ascii="宋体" w:hAnsi="宋体" w:cs="宋体" w:eastAsia="宋体" w:hint="default"/>
                <w:sz w:val="18"/>
                <w:szCs w:val="18"/>
              </w:rPr>
            </w:r>
          </w:p>
        </w:tc>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968" w:right="966" w:firstLine="181"/>
              <w:jc w:val="left"/>
              <w:rPr>
                <w:rFonts w:ascii="宋体" w:hAnsi="宋体" w:cs="宋体" w:eastAsia="宋体" w:hint="default"/>
                <w:sz w:val="18"/>
                <w:szCs w:val="18"/>
              </w:rPr>
            </w:pPr>
            <w:r>
              <w:rPr>
                <w:rFonts w:ascii="宋体" w:hAnsi="宋体" w:cs="宋体" w:eastAsia="宋体" w:hint="default"/>
                <w:b/>
                <w:bCs/>
                <w:sz w:val="18"/>
                <w:szCs w:val="18"/>
              </w:rPr>
              <w:t>本年转回或转销</w:t>
            </w:r>
            <w:r>
              <w:rPr>
                <w:rFonts w:ascii="宋体" w:hAnsi="宋体" w:cs="宋体" w:eastAsia="宋体" w:hint="default"/>
                <w:b/>
                <w:bCs/>
                <w:w w:val="99"/>
                <w:sz w:val="18"/>
                <w:szCs w:val="18"/>
              </w:rPr>
              <w:t> </w:t>
            </w:r>
            <w:r>
              <w:rPr>
                <w:rFonts w:ascii="宋体" w:hAnsi="宋体" w:cs="宋体" w:eastAsia="宋体" w:hint="default"/>
                <w:b/>
                <w:bCs/>
                <w:sz w:val="18"/>
                <w:szCs w:val="18"/>
              </w:rPr>
              <w:t>存货跌价准备的原因</w:t>
            </w:r>
            <w:r>
              <w:rPr>
                <w:rFonts w:ascii="宋体" w:hAnsi="宋体" w:cs="宋体" w:eastAsia="宋体" w:hint="default"/>
                <w:sz w:val="18"/>
                <w:szCs w:val="18"/>
              </w:rPr>
            </w:r>
          </w:p>
        </w:tc>
      </w:tr>
      <w:tr>
        <w:trPr>
          <w:trHeight w:val="635"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594" w:right="236" w:hanging="1492"/>
              <w:jc w:val="left"/>
              <w:rPr>
                <w:rFonts w:ascii="宋体" w:hAnsi="宋体" w:cs="宋体" w:eastAsia="宋体" w:hint="default"/>
                <w:sz w:val="18"/>
                <w:szCs w:val="18"/>
              </w:rPr>
            </w:pPr>
            <w:r>
              <w:rPr>
                <w:rFonts w:ascii="宋体" w:hAnsi="宋体" w:cs="宋体" w:eastAsia="宋体" w:hint="default"/>
                <w:spacing w:val="-4"/>
                <w:sz w:val="18"/>
                <w:szCs w:val="18"/>
              </w:rPr>
              <w:t>估计售价减去至完工时估计将要发生的成本、估计的销售</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费用以及相关税费</w:t>
            </w:r>
          </w:p>
        </w:tc>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计提跌价的原材料已领用</w:t>
            </w:r>
          </w:p>
        </w:tc>
      </w:tr>
      <w:tr>
        <w:trPr>
          <w:trHeight w:val="63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在产品</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594" w:right="236" w:hanging="1492"/>
              <w:jc w:val="left"/>
              <w:rPr>
                <w:rFonts w:ascii="宋体" w:hAnsi="宋体" w:cs="宋体" w:eastAsia="宋体" w:hint="default"/>
                <w:sz w:val="18"/>
                <w:szCs w:val="18"/>
              </w:rPr>
            </w:pPr>
            <w:r>
              <w:rPr>
                <w:rFonts w:ascii="宋体" w:hAnsi="宋体" w:cs="宋体" w:eastAsia="宋体" w:hint="default"/>
                <w:spacing w:val="-4"/>
                <w:sz w:val="18"/>
                <w:szCs w:val="18"/>
              </w:rPr>
              <w:t>估计售价减去至完工时估计将要发生的成本、估计的销售</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费用以及相关税费</w:t>
            </w:r>
          </w:p>
        </w:tc>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计提跌价的在产品已销售</w:t>
            </w:r>
          </w:p>
        </w:tc>
      </w:tr>
      <w:tr>
        <w:trPr>
          <w:trHeight w:val="322"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库存商品</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4"/>
              <w:jc w:val="center"/>
              <w:rPr>
                <w:rFonts w:ascii="宋体" w:hAnsi="宋体" w:cs="宋体" w:eastAsia="宋体" w:hint="default"/>
                <w:sz w:val="18"/>
                <w:szCs w:val="18"/>
              </w:rPr>
            </w:pPr>
            <w:r>
              <w:rPr>
                <w:rFonts w:ascii="宋体" w:hAnsi="宋体" w:cs="宋体" w:eastAsia="宋体" w:hint="default"/>
                <w:sz w:val="18"/>
                <w:szCs w:val="18"/>
              </w:rPr>
              <w:t>估计售价减去估计的销售费用以及相关税费</w:t>
            </w:r>
          </w:p>
        </w:tc>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计提跌价的库存商品已销售</w:t>
            </w:r>
          </w:p>
        </w:tc>
      </w:tr>
      <w:tr>
        <w:trPr>
          <w:trHeight w:val="323"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发出商品</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4"/>
              <w:jc w:val="center"/>
              <w:rPr>
                <w:rFonts w:ascii="宋体" w:hAnsi="宋体" w:cs="宋体" w:eastAsia="宋体" w:hint="default"/>
                <w:sz w:val="18"/>
                <w:szCs w:val="18"/>
              </w:rPr>
            </w:pPr>
            <w:r>
              <w:rPr>
                <w:rFonts w:ascii="宋体" w:hAnsi="宋体" w:cs="宋体" w:eastAsia="宋体" w:hint="default"/>
                <w:sz w:val="18"/>
                <w:szCs w:val="18"/>
              </w:rPr>
              <w:t>估计售价减去估计的销售费用以及相关税费</w:t>
            </w:r>
          </w:p>
        </w:tc>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计提跌价的发出商品已销售</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left="214" w:right="1021"/>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6"/>
          <w:szCs w:val="26"/>
        </w:rPr>
      </w:pPr>
    </w:p>
    <w:p>
      <w:pPr>
        <w:spacing w:before="0"/>
        <w:ind w:left="214" w:right="1021"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left="214" w:right="1021"/>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7"/>
        <w:rPr>
          <w:rFonts w:ascii="宋体" w:hAnsi="宋体" w:cs="宋体" w:eastAsia="宋体" w:hint="default"/>
          <w:b/>
          <w:bCs/>
          <w:sz w:val="26"/>
          <w:szCs w:val="26"/>
        </w:rPr>
      </w:pPr>
    </w:p>
    <w:p>
      <w:pPr>
        <w:spacing w:before="0"/>
        <w:ind w:left="214" w:right="1021"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left="214" w:right="1021"/>
        <w:jc w:val="left"/>
        <w:rPr>
          <w:b w:val="0"/>
          <w:bCs w:val="0"/>
        </w:rPr>
      </w:pPr>
      <w:r>
        <w:rPr>
          <w:rFonts w:ascii="Times New Roman" w:hAnsi="Times New Roman" w:cs="Times New Roman" w:eastAsia="Times New Roman" w:hint="default"/>
        </w:rPr>
        <w:t>8</w:t>
      </w:r>
      <w:r>
        <w:rPr/>
        <w:t>、持有待售资产</w:t>
      </w:r>
      <w:r>
        <w:rPr>
          <w:b w:val="0"/>
          <w:bCs w:val="0"/>
        </w:rPr>
      </w:r>
    </w:p>
    <w:p>
      <w:pPr>
        <w:spacing w:line="240" w:lineRule="auto" w:before="7"/>
        <w:rPr>
          <w:rFonts w:ascii="宋体" w:hAnsi="宋体" w:cs="宋体" w:eastAsia="宋体" w:hint="default"/>
          <w:b/>
          <w:bCs/>
          <w:sz w:val="26"/>
          <w:szCs w:val="26"/>
        </w:rPr>
      </w:pPr>
    </w:p>
    <w:p>
      <w:pPr>
        <w:spacing w:before="0"/>
        <w:ind w:left="214" w:right="1021"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left="214" w:right="1021"/>
        <w:jc w:val="left"/>
        <w:rPr>
          <w:b w:val="0"/>
          <w:bCs w:val="0"/>
        </w:rPr>
      </w:pPr>
      <w:r>
        <w:rPr>
          <w:rFonts w:ascii="Times New Roman" w:hAnsi="Times New Roman" w:cs="Times New Roman" w:eastAsia="Times New Roman" w:hint="default"/>
        </w:rPr>
        <w:t>9</w:t>
      </w:r>
      <w:r>
        <w:rPr/>
        <w:t>、一年内到期的非流动资产</w:t>
      </w:r>
      <w:r>
        <w:rPr>
          <w:b w:val="0"/>
          <w:bCs w:val="0"/>
        </w:rPr>
      </w:r>
    </w:p>
    <w:p>
      <w:pPr>
        <w:spacing w:line="240" w:lineRule="auto" w:before="7"/>
        <w:rPr>
          <w:rFonts w:ascii="宋体" w:hAnsi="宋体" w:cs="宋体" w:eastAsia="宋体" w:hint="default"/>
          <w:b/>
          <w:bCs/>
          <w:sz w:val="26"/>
          <w:szCs w:val="26"/>
        </w:rPr>
      </w:pPr>
    </w:p>
    <w:p>
      <w:pPr>
        <w:spacing w:before="0"/>
        <w:ind w:left="214" w:right="1021"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82" w:top="1060" w:bottom="1180" w:left="92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Arial Narrow" w:hAnsi="Arial Narrow" w:cs="Arial Narrow" w:eastAsia="Arial Narrow" w:hint="default"/>
                <w:sz w:val="18"/>
                <w:szCs w:val="18"/>
              </w:rPr>
            </w:pPr>
            <w:r>
              <w:rPr>
                <w:rFonts w:ascii="Arial Narrow"/>
                <w:spacing w:val="-1"/>
                <w:sz w:val="18"/>
              </w:rPr>
              <w:t>29,320.32</w:t>
            </w:r>
            <w:r>
              <w:rPr>
                <w:rFonts w:ascii="Arial Narrow"/>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17,809,480.86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待认证进项税额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Narrow" w:hAnsi="Arial Narrow" w:cs="Arial Narrow" w:eastAsia="Arial Narrow" w:hint="default"/>
                <w:sz w:val="18"/>
                <w:szCs w:val="18"/>
              </w:rPr>
            </w:pPr>
            <w:r>
              <w:rPr>
                <w:rFonts w:ascii="Arial Narrow"/>
                <w:spacing w:val="-1"/>
                <w:sz w:val="18"/>
              </w:rPr>
              <w:t>21,056,733.99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199,779.93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Arial Narrow" w:hAnsi="Arial Narrow" w:cs="Arial Narrow" w:eastAsia="Arial Narrow" w:hint="default"/>
                <w:sz w:val="18"/>
                <w:szCs w:val="18"/>
              </w:rPr>
            </w:pPr>
            <w:r>
              <w:rPr>
                <w:rFonts w:ascii="Arial Narrow"/>
                <w:spacing w:val="-1"/>
                <w:sz w:val="18"/>
              </w:rPr>
              <w:t>2,352,140.59</w:t>
            </w:r>
            <w:r>
              <w:rPr>
                <w:rFonts w:ascii="Arial Narrow"/>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915,260.34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增值税留抵税额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Arial Narrow" w:hAnsi="Arial Narrow" w:cs="Arial Narrow" w:eastAsia="Arial Narrow" w:hint="default"/>
                <w:sz w:val="18"/>
                <w:szCs w:val="18"/>
              </w:rPr>
            </w:pPr>
            <w:r>
              <w:rPr>
                <w:rFonts w:ascii="Arial Narrow"/>
                <w:spacing w:val="-1"/>
                <w:sz w:val="18"/>
              </w:rPr>
              <w:t>2,018,181.19</w:t>
            </w:r>
            <w:r>
              <w:rPr>
                <w:rFonts w:ascii="Arial Narrow"/>
                <w:sz w:val="18"/>
              </w:rPr>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25,456,376.09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18,924,521.13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00"/>
        <w:gridCol w:w="1195"/>
        <w:gridCol w:w="1195"/>
        <w:gridCol w:w="1196"/>
        <w:gridCol w:w="1248"/>
        <w:gridCol w:w="1367"/>
        <w:gridCol w:w="1367"/>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000"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243,047,486.94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8" w:right="0"/>
              <w:jc w:val="left"/>
              <w:rPr>
                <w:rFonts w:ascii="Times New Roman" w:hAnsi="Times New Roman" w:cs="Times New Roman" w:eastAsia="Times New Roman" w:hint="default"/>
                <w:sz w:val="18"/>
                <w:szCs w:val="18"/>
              </w:rPr>
            </w:pPr>
            <w:r>
              <w:rPr>
                <w:rFonts w:ascii="Times New Roman"/>
                <w:sz w:val="18"/>
              </w:rPr>
              <w:t>1,595,218.93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241,452,268.01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 w:right="0"/>
              <w:jc w:val="center"/>
              <w:rPr>
                <w:rFonts w:ascii="Times New Roman" w:hAnsi="Times New Roman" w:cs="Times New Roman" w:eastAsia="Times New Roman" w:hint="default"/>
                <w:sz w:val="18"/>
                <w:szCs w:val="18"/>
              </w:rPr>
            </w:pPr>
            <w:r>
              <w:rPr>
                <w:rFonts w:ascii="Times New Roman"/>
                <w:sz w:val="18"/>
              </w:rPr>
              <w:t>290,305,000.00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290,305,000.00</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179,369,486.94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179,369,486.94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 w:right="0"/>
              <w:jc w:val="center"/>
              <w:rPr>
                <w:rFonts w:ascii="Times New Roman" w:hAnsi="Times New Roman" w:cs="Times New Roman" w:eastAsia="Times New Roman" w:hint="default"/>
                <w:sz w:val="18"/>
                <w:szCs w:val="18"/>
              </w:rPr>
            </w:pPr>
            <w:r>
              <w:rPr>
                <w:rFonts w:ascii="Times New Roman"/>
                <w:sz w:val="18"/>
              </w:rPr>
              <w:t>230,625,000.00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230,625,000.00</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63,678,000.00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8" w:right="0"/>
              <w:jc w:val="left"/>
              <w:rPr>
                <w:rFonts w:ascii="Times New Roman" w:hAnsi="Times New Roman" w:cs="Times New Roman" w:eastAsia="Times New Roman" w:hint="default"/>
                <w:sz w:val="18"/>
                <w:szCs w:val="18"/>
              </w:rPr>
            </w:pPr>
            <w:r>
              <w:rPr>
                <w:rFonts w:ascii="Times New Roman"/>
                <w:sz w:val="18"/>
              </w:rPr>
              <w:t>1,595,218.93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62,082,781.07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7" w:right="0"/>
              <w:jc w:val="center"/>
              <w:rPr>
                <w:rFonts w:ascii="Times New Roman" w:hAnsi="Times New Roman" w:cs="Times New Roman" w:eastAsia="Times New Roman" w:hint="default"/>
                <w:sz w:val="18"/>
                <w:szCs w:val="18"/>
              </w:rPr>
            </w:pPr>
            <w:r>
              <w:rPr>
                <w:rFonts w:ascii="Times New Roman"/>
                <w:sz w:val="18"/>
              </w:rPr>
              <w:t>59,680,000.00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59,680,000.00</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243,047,486.94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8" w:right="0"/>
              <w:jc w:val="left"/>
              <w:rPr>
                <w:rFonts w:ascii="Times New Roman" w:hAnsi="Times New Roman" w:cs="Times New Roman" w:eastAsia="Times New Roman" w:hint="default"/>
                <w:sz w:val="18"/>
                <w:szCs w:val="18"/>
              </w:rPr>
            </w:pPr>
            <w:r>
              <w:rPr>
                <w:rFonts w:ascii="Times New Roman"/>
                <w:sz w:val="18"/>
              </w:rPr>
              <w:t>1,595,218.93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241,452,268.01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 w:right="0"/>
              <w:jc w:val="center"/>
              <w:rPr>
                <w:rFonts w:ascii="Times New Roman" w:hAnsi="Times New Roman" w:cs="Times New Roman" w:eastAsia="Times New Roman" w:hint="default"/>
                <w:sz w:val="18"/>
                <w:szCs w:val="18"/>
              </w:rPr>
            </w:pPr>
            <w:r>
              <w:rPr>
                <w:rFonts w:ascii="Times New Roman"/>
                <w:sz w:val="18"/>
              </w:rPr>
              <w:t>290,305,000.00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290,305,000.00</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33,044,476.31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33,044,476.31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179,369,486.94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179,369,486.94</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146,325,010.63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146,325,010.63</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18"/>
        <w:gridCol w:w="1134"/>
        <w:gridCol w:w="991"/>
        <w:gridCol w:w="709"/>
        <w:gridCol w:w="1134"/>
        <w:gridCol w:w="568"/>
        <w:gridCol w:w="850"/>
        <w:gridCol w:w="568"/>
        <w:gridCol w:w="708"/>
        <w:gridCol w:w="852"/>
        <w:gridCol w:w="631"/>
      </w:tblGrid>
      <w:tr>
        <w:trPr>
          <w:trHeight w:val="402" w:hRule="exact"/>
        </w:trPr>
        <w:tc>
          <w:tcPr>
            <w:tcW w:w="14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9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9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5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5"/>
              <w:ind w:left="61" w:right="59"/>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6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40" w:right="38"/>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714" w:hRule="exact"/>
        </w:trPr>
        <w:tc>
          <w:tcPr>
            <w:tcW w:w="1418" w:type="dxa"/>
            <w:vMerge/>
            <w:tcBorders>
              <w:left w:val="single" w:sz="4" w:space="0" w:color="000000"/>
              <w:bottom w:val="single" w:sz="4" w:space="0" w:color="000000"/>
              <w:right w:val="single" w:sz="4" w:space="0" w:color="000000"/>
            </w:tcBorders>
            <w:shd w:val="clear" w:color="auto" w:fill="D3D3D3"/>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0" w:right="77"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8" w:right="97"/>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52" w:type="dxa"/>
            <w:vMerge/>
            <w:tcBorders>
              <w:left w:val="single" w:sz="4" w:space="0" w:color="000000"/>
              <w:bottom w:val="single" w:sz="4" w:space="0" w:color="000000"/>
              <w:right w:val="single" w:sz="4" w:space="0" w:color="000000"/>
            </w:tcBorders>
            <w:shd w:val="clear" w:color="auto" w:fill="D3D3D3"/>
          </w:tcPr>
          <w:p>
            <w:pPr/>
          </w:p>
        </w:tc>
        <w:tc>
          <w:tcPr>
            <w:tcW w:w="631"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18"/>
        <w:gridCol w:w="1134"/>
        <w:gridCol w:w="991"/>
        <w:gridCol w:w="709"/>
        <w:gridCol w:w="1134"/>
        <w:gridCol w:w="568"/>
        <w:gridCol w:w="850"/>
        <w:gridCol w:w="568"/>
        <w:gridCol w:w="708"/>
        <w:gridCol w:w="852"/>
        <w:gridCol w:w="631"/>
      </w:tblGrid>
      <w:tr>
        <w:trPr>
          <w:trHeight w:val="71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杭州攀克网络技 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3" w:right="0"/>
              <w:jc w:val="center"/>
              <w:rPr>
                <w:rFonts w:ascii="Times New Roman" w:hAnsi="Times New Roman" w:cs="Times New Roman" w:eastAsia="Times New Roman" w:hint="default"/>
                <w:sz w:val="18"/>
                <w:szCs w:val="18"/>
              </w:rPr>
            </w:pPr>
            <w:r>
              <w:rPr>
                <w:rFonts w:ascii="Times New Roman"/>
                <w:sz w:val="18"/>
              </w:rPr>
              <w:t>1,000,000.00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10.71%</w:t>
            </w:r>
          </w:p>
        </w:tc>
        <w:tc>
          <w:tcPr>
            <w:tcW w:w="63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福建宏创科技有 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1,998,000.0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3" w:right="0"/>
              <w:jc w:val="center"/>
              <w:rPr>
                <w:rFonts w:ascii="Times New Roman" w:hAnsi="Times New Roman" w:cs="Times New Roman" w:eastAsia="Times New Roman" w:hint="default"/>
                <w:sz w:val="18"/>
                <w:szCs w:val="18"/>
              </w:rPr>
            </w:pPr>
            <w:r>
              <w:rPr>
                <w:rFonts w:ascii="Times New Roman"/>
                <w:sz w:val="18"/>
              </w:rPr>
              <w:t>3,998,000.00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w:t>
            </w:r>
          </w:p>
        </w:tc>
        <w:tc>
          <w:tcPr>
            <w:tcW w:w="63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厦门市巨龙信息 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4,880,000.00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3" w:right="0"/>
              <w:jc w:val="center"/>
              <w:rPr>
                <w:rFonts w:ascii="Times New Roman" w:hAnsi="Times New Roman" w:cs="Times New Roman" w:eastAsia="Times New Roman" w:hint="default"/>
                <w:sz w:val="18"/>
                <w:szCs w:val="18"/>
              </w:rPr>
            </w:pPr>
            <w:r>
              <w:rPr>
                <w:rFonts w:ascii="Times New Roman"/>
                <w:sz w:val="18"/>
              </w:rPr>
              <w:t>4,880,000.00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6.91%</w:t>
            </w:r>
          </w:p>
        </w:tc>
        <w:tc>
          <w:tcPr>
            <w:tcW w:w="63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海峡国家版权交 易中心有限公司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3" w:right="0"/>
              <w:jc w:val="center"/>
              <w:rPr>
                <w:rFonts w:ascii="Times New Roman" w:hAnsi="Times New Roman" w:cs="Times New Roman" w:eastAsia="Times New Roman" w:hint="default"/>
                <w:sz w:val="18"/>
                <w:szCs w:val="18"/>
              </w:rPr>
            </w:pPr>
            <w:r>
              <w:rPr>
                <w:rFonts w:ascii="Times New Roman"/>
                <w:sz w:val="18"/>
              </w:rPr>
              <w:t>5,000,000.00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1,595,218.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93</w:t>
            </w: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1,595,21</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8.93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63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5"/>
              <w:jc w:val="both"/>
              <w:rPr>
                <w:rFonts w:ascii="宋体" w:hAnsi="宋体" w:cs="宋体" w:eastAsia="宋体" w:hint="default"/>
                <w:sz w:val="18"/>
                <w:szCs w:val="18"/>
              </w:rPr>
            </w:pPr>
            <w:r>
              <w:rPr>
                <w:rFonts w:ascii="宋体" w:hAnsi="宋体" w:cs="宋体" w:eastAsia="宋体" w:hint="default"/>
                <w:sz w:val="18"/>
                <w:szCs w:val="18"/>
              </w:rPr>
              <w:t>厦门市美桐股权 投资基金合伙企 业（有限合伙）</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30,000,000.00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13.45%</w:t>
            </w:r>
          </w:p>
        </w:tc>
        <w:tc>
          <w:tcPr>
            <w:tcW w:w="63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5"/>
              <w:jc w:val="both"/>
              <w:rPr>
                <w:rFonts w:ascii="宋体" w:hAnsi="宋体" w:cs="宋体" w:eastAsia="宋体" w:hint="default"/>
                <w:sz w:val="18"/>
                <w:szCs w:val="18"/>
              </w:rPr>
            </w:pPr>
            <w:r>
              <w:rPr>
                <w:rFonts w:ascii="宋体" w:hAnsi="宋体" w:cs="宋体" w:eastAsia="宋体" w:hint="default"/>
                <w:sz w:val="18"/>
                <w:szCs w:val="18"/>
              </w:rPr>
              <w:t>厦门斯坦道科学 仪器股份有限公 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16,800,000.00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9.76%</w:t>
            </w:r>
          </w:p>
        </w:tc>
        <w:tc>
          <w:tcPr>
            <w:tcW w:w="63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北京华易智美城 </w:t>
            </w:r>
            <w:r>
              <w:rPr>
                <w:rFonts w:ascii="宋体" w:hAnsi="宋体" w:cs="宋体" w:eastAsia="宋体" w:hint="default"/>
                <w:spacing w:val="-10"/>
                <w:sz w:val="18"/>
                <w:szCs w:val="18"/>
              </w:rPr>
              <w:t>镇规划研究院（有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限合伙）</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3" w:right="0"/>
              <w:jc w:val="center"/>
              <w:rPr>
                <w:rFonts w:ascii="Times New Roman" w:hAnsi="Times New Roman" w:cs="Times New Roman" w:eastAsia="Times New Roman" w:hint="default"/>
                <w:sz w:val="18"/>
                <w:szCs w:val="18"/>
              </w:rPr>
            </w:pPr>
            <w:r>
              <w:rPr>
                <w:rFonts w:ascii="Times New Roman"/>
                <w:sz w:val="18"/>
              </w:rPr>
              <w:t>2,000,000.00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12.50%</w:t>
            </w:r>
          </w:p>
        </w:tc>
        <w:tc>
          <w:tcPr>
            <w:tcW w:w="63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59,680,000.00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3,998,000.0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63,678,000.00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1,595,218.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93</w:t>
            </w: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1,595,21</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8.93</w:t>
            </w:r>
          </w:p>
        </w:tc>
        <w:tc>
          <w:tcPr>
            <w:tcW w:w="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3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12</w:t>
      </w:r>
      <w:r>
        <w:rPr/>
        <w:t>、持有至到期投资</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13</w:t>
      </w:r>
      <w:r>
        <w:rPr/>
        <w:t>、长期应收款</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1"/>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94"/>
        <w:gridCol w:w="850"/>
        <w:gridCol w:w="709"/>
        <w:gridCol w:w="636"/>
        <w:gridCol w:w="1064"/>
        <w:gridCol w:w="709"/>
        <w:gridCol w:w="708"/>
        <w:gridCol w:w="851"/>
        <w:gridCol w:w="658"/>
        <w:gridCol w:w="798"/>
        <w:gridCol w:w="798"/>
        <w:gridCol w:w="797"/>
      </w:tblGrid>
      <w:tr>
        <w:trPr>
          <w:trHeight w:val="402" w:hRule="exact"/>
        </w:trPr>
        <w:tc>
          <w:tcPr>
            <w:tcW w:w="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85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13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714" w:hRule="exact"/>
        </w:trPr>
        <w:tc>
          <w:tcPr>
            <w:tcW w:w="994" w:type="dxa"/>
            <w:vMerge/>
            <w:tcBorders>
              <w:left w:val="single" w:sz="4" w:space="0" w:color="000000"/>
              <w:bottom w:val="single" w:sz="4" w:space="0" w:color="000000"/>
              <w:right w:val="single" w:sz="4" w:space="0" w:color="000000"/>
            </w:tcBorders>
            <w:shd w:val="clear" w:color="auto" w:fill="D3D3D3"/>
          </w:tcPr>
          <w:p>
            <w:pPr/>
          </w:p>
        </w:tc>
        <w:tc>
          <w:tcPr>
            <w:tcW w:w="850" w:type="dxa"/>
            <w:vMerge/>
            <w:tcBorders>
              <w:left w:val="single" w:sz="4" w:space="0" w:color="000000"/>
              <w:bottom w:val="single" w:sz="4" w:space="0" w:color="000000"/>
              <w:right w:val="single" w:sz="4" w:space="0" w:color="000000"/>
            </w:tcBorders>
            <w:shd w:val="clear" w:color="auto" w:fill="D3D3D3"/>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9" w:right="78"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6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1" w:right="42"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76" w:right="77"/>
              <w:jc w:val="left"/>
              <w:rPr>
                <w:rFonts w:ascii="宋体" w:hAnsi="宋体" w:cs="宋体" w:eastAsia="宋体" w:hint="default"/>
                <w:sz w:val="18"/>
                <w:szCs w:val="18"/>
              </w:rPr>
            </w:pPr>
            <w:r>
              <w:rPr>
                <w:rFonts w:ascii="宋体" w:hAnsi="宋体" w:cs="宋体" w:eastAsia="宋体" w:hint="default"/>
                <w:sz w:val="18"/>
                <w:szCs w:val="18"/>
              </w:rPr>
              <w:t>权益法下确 认的投资损</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79" w:right="78"/>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7" w:right="78"/>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60" w:right="59"/>
              <w:jc w:val="left"/>
              <w:rPr>
                <w:rFonts w:ascii="宋体" w:hAnsi="宋体" w:cs="宋体" w:eastAsia="宋体" w:hint="default"/>
                <w:sz w:val="18"/>
                <w:szCs w:val="18"/>
              </w:rPr>
            </w:pPr>
            <w:r>
              <w:rPr>
                <w:rFonts w:ascii="宋体" w:hAnsi="宋体" w:cs="宋体" w:eastAsia="宋体" w:hint="default"/>
                <w:sz w:val="18"/>
                <w:szCs w:val="18"/>
              </w:rPr>
              <w:t>宣告发放 现金股利</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94"/>
        <w:gridCol w:w="850"/>
        <w:gridCol w:w="709"/>
        <w:gridCol w:w="636"/>
        <w:gridCol w:w="1064"/>
        <w:gridCol w:w="709"/>
        <w:gridCol w:w="708"/>
        <w:gridCol w:w="851"/>
        <w:gridCol w:w="658"/>
        <w:gridCol w:w="798"/>
        <w:gridCol w:w="798"/>
        <w:gridCol w:w="798"/>
      </w:tblGrid>
      <w:tr>
        <w:trPr>
          <w:trHeight w:val="362"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3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益</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69" w:right="0"/>
              <w:jc w:val="left"/>
              <w:rPr>
                <w:rFonts w:ascii="宋体" w:hAnsi="宋体" w:cs="宋体" w:eastAsia="宋体" w:hint="default"/>
                <w:sz w:val="18"/>
                <w:szCs w:val="18"/>
              </w:rPr>
            </w:pPr>
            <w:r>
              <w:rPr>
                <w:rFonts w:ascii="宋体" w:hAnsi="宋体" w:cs="宋体" w:eastAsia="宋体" w:hint="default"/>
                <w:sz w:val="18"/>
                <w:szCs w:val="18"/>
              </w:rPr>
              <w:t>调整</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50" w:right="0"/>
              <w:jc w:val="left"/>
              <w:rPr>
                <w:rFonts w:ascii="宋体" w:hAnsi="宋体" w:cs="宋体" w:eastAsia="宋体" w:hint="default"/>
                <w:sz w:val="18"/>
                <w:szCs w:val="18"/>
              </w:rPr>
            </w:pPr>
            <w:r>
              <w:rPr>
                <w:rFonts w:ascii="宋体" w:hAnsi="宋体" w:cs="宋体" w:eastAsia="宋体" w:hint="default"/>
                <w:sz w:val="18"/>
                <w:szCs w:val="18"/>
              </w:rPr>
              <w:t>或利润</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0" w:right="41"/>
              <w:jc w:val="center"/>
              <w:rPr>
                <w:rFonts w:ascii="宋体" w:hAnsi="宋体" w:cs="宋体" w:eastAsia="宋体" w:hint="default"/>
                <w:sz w:val="18"/>
                <w:szCs w:val="18"/>
              </w:rPr>
            </w:pPr>
            <w:r>
              <w:rPr>
                <w:rFonts w:ascii="宋体" w:hAnsi="宋体" w:cs="宋体" w:eastAsia="宋体" w:hint="default"/>
                <w:sz w:val="18"/>
                <w:szCs w:val="18"/>
              </w:rPr>
              <w:t>厦门服云信 息科技有限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1,840,425.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84</w:t>
            </w:r>
          </w:p>
        </w:tc>
        <w:tc>
          <w:tcPr>
            <w:tcW w:w="70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130,56</w:t>
            </w:r>
          </w:p>
          <w:p>
            <w:pPr>
              <w:pStyle w:val="TableParagraph"/>
              <w:spacing w:line="240" w:lineRule="auto" w:before="105"/>
              <w:ind w:left="265" w:right="0"/>
              <w:jc w:val="center"/>
              <w:rPr>
                <w:rFonts w:ascii="Times New Roman" w:hAnsi="Times New Roman" w:cs="Times New Roman" w:eastAsia="Times New Roman" w:hint="default"/>
                <w:sz w:val="18"/>
                <w:szCs w:val="18"/>
              </w:rPr>
            </w:pPr>
            <w:r>
              <w:rPr>
                <w:rFonts w:ascii="Times New Roman"/>
                <w:sz w:val="18"/>
              </w:rPr>
              <w:t>4.86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-746,036.87</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8,459,03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1.74</w:t>
            </w:r>
          </w:p>
        </w:tc>
        <w:tc>
          <w:tcPr>
            <w:tcW w:w="851"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9,422,855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0" w:right="41"/>
              <w:jc w:val="center"/>
              <w:rPr>
                <w:rFonts w:ascii="宋体" w:hAnsi="宋体" w:cs="宋体" w:eastAsia="宋体" w:hint="default"/>
                <w:sz w:val="18"/>
                <w:szCs w:val="18"/>
              </w:rPr>
            </w:pPr>
            <w:r>
              <w:rPr>
                <w:rFonts w:ascii="宋体" w:hAnsi="宋体" w:cs="宋体" w:eastAsia="宋体" w:hint="default"/>
                <w:sz w:val="18"/>
                <w:szCs w:val="18"/>
              </w:rPr>
              <w:t>北京万诚信 用评价有限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95,244.83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2,863,92</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4.53</w:t>
            </w:r>
          </w:p>
        </w:tc>
        <w:tc>
          <w:tcPr>
            <w:tcW w:w="63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-1,202,847.21</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1,756,322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0" w:right="41"/>
              <w:jc w:val="both"/>
              <w:rPr>
                <w:rFonts w:ascii="宋体" w:hAnsi="宋体" w:cs="宋体" w:eastAsia="宋体" w:hint="default"/>
                <w:sz w:val="18"/>
                <w:szCs w:val="18"/>
              </w:rPr>
            </w:pPr>
            <w:r>
              <w:rPr>
                <w:rFonts w:ascii="宋体" w:hAnsi="宋体" w:cs="宋体" w:eastAsia="宋体" w:hint="default"/>
                <w:sz w:val="18"/>
                <w:szCs w:val="18"/>
              </w:rPr>
              <w:t>厦门正信世 纪信息科技 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1,836,915.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w:t>
            </w:r>
          </w:p>
        </w:tc>
        <w:tc>
          <w:tcPr>
            <w:tcW w:w="70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-76,908.30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1,760,007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0" w:right="41"/>
              <w:jc w:val="both"/>
              <w:rPr>
                <w:rFonts w:ascii="宋体" w:hAnsi="宋体" w:cs="宋体" w:eastAsia="宋体" w:hint="default"/>
                <w:sz w:val="18"/>
                <w:szCs w:val="18"/>
              </w:rPr>
            </w:pPr>
            <w:r>
              <w:rPr>
                <w:rFonts w:ascii="宋体" w:hAnsi="宋体" w:cs="宋体" w:eastAsia="宋体" w:hint="default"/>
                <w:sz w:val="18"/>
                <w:szCs w:val="18"/>
              </w:rPr>
              <w:t>厦门市美亚 梧桐投资管 理有限公司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2,391,953.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83</w:t>
            </w:r>
          </w:p>
        </w:tc>
        <w:tc>
          <w:tcPr>
            <w:tcW w:w="70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-1,102,457.25</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-343,034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.90</w:t>
            </w:r>
          </w:p>
        </w:tc>
        <w:tc>
          <w:tcPr>
            <w:tcW w:w="851"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946,461.6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0" w:right="41"/>
              <w:jc w:val="both"/>
              <w:rPr>
                <w:rFonts w:ascii="宋体" w:hAnsi="宋体" w:cs="宋体" w:eastAsia="宋体" w:hint="default"/>
                <w:sz w:val="18"/>
                <w:szCs w:val="18"/>
              </w:rPr>
            </w:pPr>
            <w:r>
              <w:rPr>
                <w:rFonts w:ascii="宋体" w:hAnsi="宋体" w:cs="宋体" w:eastAsia="宋体" w:hint="default"/>
                <w:sz w:val="18"/>
                <w:szCs w:val="18"/>
              </w:rPr>
              <w:t>北京万方智 讯信息技术 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510,489.1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0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-510,489.18</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0" w:right="41"/>
              <w:jc w:val="both"/>
              <w:rPr>
                <w:rFonts w:ascii="宋体" w:hAnsi="宋体" w:cs="宋体" w:eastAsia="宋体" w:hint="default"/>
                <w:sz w:val="18"/>
                <w:szCs w:val="18"/>
              </w:rPr>
            </w:pPr>
            <w:r>
              <w:rPr>
                <w:rFonts w:ascii="宋体" w:hAnsi="宋体" w:cs="宋体" w:eastAsia="宋体" w:hint="default"/>
                <w:sz w:val="18"/>
                <w:szCs w:val="18"/>
              </w:rPr>
              <w:t>沈阳城市公 共安全技术 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2,112,789.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w:t>
            </w:r>
          </w:p>
        </w:tc>
        <w:tc>
          <w:tcPr>
            <w:tcW w:w="70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-1,239,044.54</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873,745.1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65" w:hRule="exact"/>
        </w:trPr>
        <w:tc>
          <w:tcPr>
            <w:tcW w:w="9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8,787,81</w:t>
            </w:r>
          </w:p>
        </w:tc>
        <w:tc>
          <w:tcPr>
            <w:tcW w:w="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2,863,</w:t>
            </w:r>
          </w:p>
        </w:tc>
        <w:tc>
          <w:tcPr>
            <w:tcW w:w="6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130,5</w:t>
            </w:r>
          </w:p>
        </w:tc>
        <w:tc>
          <w:tcPr>
            <w:tcW w:w="10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-4,877,783.</w:t>
            </w:r>
          </w:p>
        </w:tc>
        <w:tc>
          <w:tcPr>
            <w:tcW w:w="709" w:type="dxa"/>
            <w:vMerge w:val="restart"/>
            <w:tcBorders>
              <w:top w:val="single" w:sz="4" w:space="0" w:color="000000"/>
              <w:left w:val="single" w:sz="4" w:space="0" w:color="000000"/>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8,115,</w:t>
            </w:r>
          </w:p>
        </w:tc>
        <w:tc>
          <w:tcPr>
            <w:tcW w:w="851"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14,759,</w:t>
            </w:r>
          </w:p>
        </w:tc>
        <w:tc>
          <w:tcPr>
            <w:tcW w:w="798" w:type="dxa"/>
            <w:vMerge w:val="restart"/>
            <w:tcBorders>
              <w:top w:val="single" w:sz="4" w:space="0" w:color="000000"/>
              <w:left w:val="single" w:sz="4" w:space="0" w:color="000000"/>
              <w:right w:val="single" w:sz="4" w:space="0" w:color="000000"/>
            </w:tcBorders>
          </w:tcPr>
          <w:p>
            <w:pPr/>
          </w:p>
        </w:tc>
      </w:tr>
      <w:tr>
        <w:trPr>
          <w:trHeight w:val="313" w:hRule="exact"/>
        </w:trPr>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sz w:val="18"/>
              </w:rPr>
              <w:t>9.02</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sz w:val="18"/>
              </w:rPr>
              <w:t>924.5</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sz w:val="18"/>
              </w:rPr>
              <w:t>64.86</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sz w:val="18"/>
              </w:rPr>
              <w:t>35</w:t>
            </w:r>
          </w:p>
        </w:tc>
        <w:tc>
          <w:tcPr>
            <w:tcW w:w="709"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sz w:val="18"/>
              </w:rPr>
              <w:t>996.8</w:t>
            </w:r>
          </w:p>
        </w:tc>
        <w:tc>
          <w:tcPr>
            <w:tcW w:w="851"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18"/>
                <w:szCs w:val="18"/>
              </w:rPr>
            </w:pPr>
            <w:r>
              <w:rPr>
                <w:rFonts w:ascii="Times New Roman"/>
                <w:sz w:val="18"/>
              </w:rPr>
              <w:t>392.18</w:t>
            </w:r>
          </w:p>
        </w:tc>
        <w:tc>
          <w:tcPr>
            <w:tcW w:w="798" w:type="dxa"/>
            <w:vMerge/>
            <w:tcBorders>
              <w:left w:val="single" w:sz="4" w:space="0" w:color="000000"/>
              <w:right w:val="single" w:sz="4" w:space="0" w:color="000000"/>
            </w:tcBorders>
          </w:tcPr>
          <w:p>
            <w:pPr/>
          </w:p>
        </w:tc>
      </w:tr>
      <w:tr>
        <w:trPr>
          <w:trHeight w:val="349" w:hRule="exact"/>
        </w:trPr>
        <w:tc>
          <w:tcPr>
            <w:tcW w:w="994"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sz w:val="18"/>
              </w:rPr>
              <w:t>3</w:t>
            </w:r>
          </w:p>
        </w:tc>
        <w:tc>
          <w:tcPr>
            <w:tcW w:w="636"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sz w:val="18"/>
              </w:rPr>
              <w:t>4</w:t>
            </w:r>
          </w:p>
        </w:tc>
        <w:tc>
          <w:tcPr>
            <w:tcW w:w="851"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65" w:hRule="exact"/>
        </w:trPr>
        <w:tc>
          <w:tcPr>
            <w:tcW w:w="9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8,787,81</w:t>
            </w:r>
          </w:p>
        </w:tc>
        <w:tc>
          <w:tcPr>
            <w:tcW w:w="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2,863,</w:t>
            </w:r>
          </w:p>
        </w:tc>
        <w:tc>
          <w:tcPr>
            <w:tcW w:w="6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130,5</w:t>
            </w:r>
          </w:p>
        </w:tc>
        <w:tc>
          <w:tcPr>
            <w:tcW w:w="10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-4,877,783.</w:t>
            </w:r>
          </w:p>
        </w:tc>
        <w:tc>
          <w:tcPr>
            <w:tcW w:w="709" w:type="dxa"/>
            <w:vMerge w:val="restart"/>
            <w:tcBorders>
              <w:top w:val="single" w:sz="4" w:space="0" w:color="000000"/>
              <w:left w:val="single" w:sz="4" w:space="0" w:color="000000"/>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8,115,</w:t>
            </w:r>
          </w:p>
        </w:tc>
        <w:tc>
          <w:tcPr>
            <w:tcW w:w="851"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14,759,</w:t>
            </w:r>
          </w:p>
        </w:tc>
        <w:tc>
          <w:tcPr>
            <w:tcW w:w="798" w:type="dxa"/>
            <w:vMerge w:val="restart"/>
            <w:tcBorders>
              <w:top w:val="single" w:sz="4" w:space="0" w:color="000000"/>
              <w:left w:val="single" w:sz="4" w:space="0" w:color="000000"/>
              <w:right w:val="single" w:sz="4" w:space="0" w:color="000000"/>
            </w:tcBorders>
          </w:tcPr>
          <w:p>
            <w:pPr/>
          </w:p>
        </w:tc>
      </w:tr>
      <w:tr>
        <w:trPr>
          <w:trHeight w:val="313" w:hRule="exact"/>
        </w:trPr>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sz w:val="18"/>
              </w:rPr>
              <w:t>9.02</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sz w:val="18"/>
              </w:rPr>
              <w:t>924.5</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sz w:val="18"/>
              </w:rPr>
              <w:t>64.86</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sz w:val="18"/>
              </w:rPr>
              <w:t>35</w:t>
            </w:r>
          </w:p>
        </w:tc>
        <w:tc>
          <w:tcPr>
            <w:tcW w:w="709"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sz w:val="18"/>
              </w:rPr>
              <w:t>996.8</w:t>
            </w:r>
          </w:p>
        </w:tc>
        <w:tc>
          <w:tcPr>
            <w:tcW w:w="851"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18"/>
                <w:szCs w:val="18"/>
              </w:rPr>
            </w:pPr>
            <w:r>
              <w:rPr>
                <w:rFonts w:ascii="Times New Roman"/>
                <w:sz w:val="18"/>
              </w:rPr>
              <w:t>392.18</w:t>
            </w:r>
          </w:p>
        </w:tc>
        <w:tc>
          <w:tcPr>
            <w:tcW w:w="798" w:type="dxa"/>
            <w:vMerge/>
            <w:tcBorders>
              <w:left w:val="single" w:sz="4" w:space="0" w:color="000000"/>
              <w:right w:val="single" w:sz="4" w:space="0" w:color="000000"/>
            </w:tcBorders>
          </w:tcPr>
          <w:p>
            <w:pPr/>
          </w:p>
        </w:tc>
      </w:tr>
      <w:tr>
        <w:trPr>
          <w:trHeight w:val="349" w:hRule="exact"/>
        </w:trPr>
        <w:tc>
          <w:tcPr>
            <w:tcW w:w="994"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sz w:val="18"/>
              </w:rPr>
              <w:t>3</w:t>
            </w:r>
          </w:p>
        </w:tc>
        <w:tc>
          <w:tcPr>
            <w:tcW w:w="636"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sz w:val="18"/>
              </w:rPr>
              <w:t>4</w:t>
            </w:r>
          </w:p>
        </w:tc>
        <w:tc>
          <w:tcPr>
            <w:tcW w:w="851"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02"/>
        <w:gridCol w:w="1702"/>
        <w:gridCol w:w="1417"/>
        <w:gridCol w:w="1559"/>
        <w:gridCol w:w="1490"/>
      </w:tblGrid>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8" w:right="0"/>
              <w:jc w:val="left"/>
              <w:rPr>
                <w:rFonts w:ascii="Times New Roman" w:hAnsi="Times New Roman" w:cs="Times New Roman" w:eastAsia="Times New Roman" w:hint="default"/>
                <w:sz w:val="18"/>
                <w:szCs w:val="18"/>
              </w:rPr>
            </w:pPr>
            <w:r>
              <w:rPr>
                <w:rFonts w:ascii="Times New Roman"/>
                <w:sz w:val="18"/>
              </w:rPr>
              <w:t>458,508.56</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7" w:right="0"/>
              <w:jc w:val="left"/>
              <w:rPr>
                <w:rFonts w:ascii="Times New Roman" w:hAnsi="Times New Roman" w:cs="Times New Roman" w:eastAsia="Times New Roman" w:hint="default"/>
                <w:sz w:val="18"/>
                <w:szCs w:val="18"/>
              </w:rPr>
            </w:pPr>
            <w:r>
              <w:rPr>
                <w:rFonts w:ascii="Times New Roman"/>
                <w:sz w:val="18"/>
              </w:rPr>
              <w:t>458,508.56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402"/>
        <w:gridCol w:w="1702"/>
        <w:gridCol w:w="1417"/>
        <w:gridCol w:w="1559"/>
        <w:gridCol w:w="1490"/>
      </w:tblGrid>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458,508.56</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458,508.56</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458,508.56</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458,508.56</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163,218.39</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163,218.39</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23,131.16</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23,131.16</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）其他增加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140,087.23</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140,087.23</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163,218.39</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163,218.39</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295,290.17</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295,290.17</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1"/>
        <w:rPr>
          <w:rFonts w:ascii="Times New Roman" w:hAnsi="Times New Roman" w:cs="Times New Roman" w:eastAsia="Times New Roman" w:hint="default"/>
          <w:sz w:val="28"/>
          <w:szCs w:val="28"/>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4"/>
        <w:gridCol w:w="3187"/>
        <w:gridCol w:w="3187"/>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269,979,915.61</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273,135,664.77</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269,979,915.61</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273,135,664.77</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8"/>
        <w:gridCol w:w="1843"/>
        <w:gridCol w:w="1559"/>
        <w:gridCol w:w="1134"/>
        <w:gridCol w:w="1418"/>
        <w:gridCol w:w="1342"/>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59"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3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1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73" w:right="0"/>
              <w:jc w:val="left"/>
              <w:rPr>
                <w:rFonts w:ascii="宋体" w:hAnsi="宋体" w:cs="宋体" w:eastAsia="宋体" w:hint="default"/>
                <w:sz w:val="18"/>
                <w:szCs w:val="18"/>
              </w:rPr>
            </w:pPr>
            <w:r>
              <w:rPr>
                <w:rFonts w:ascii="宋体" w:hAnsi="宋体" w:cs="宋体" w:eastAsia="宋体" w:hint="default"/>
                <w:sz w:val="18"/>
                <w:szCs w:val="18"/>
              </w:rPr>
              <w:t>电子及办公设备</w:t>
            </w:r>
          </w:p>
        </w:tc>
        <w:tc>
          <w:tcPr>
            <w:tcW w:w="13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84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281,184,683.60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10,922,543.26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16,320,737.92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100,141,736.54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408,569,701.32</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9,202,564.84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3,658,955.47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2,365,404.77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20,904,393.94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36,131,319.02</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84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3,658,955.47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2,365,404.77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20,904,393.94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26,928,754.18</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4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9,202,564.84</w:t>
            </w: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9,202,564.84</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4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84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6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）其他增加</w:t>
            </w:r>
          </w:p>
        </w:tc>
        <w:tc>
          <w:tcPr>
            <w:tcW w:w="184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458,508.56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1,203,200.84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5,457,102.65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7,118,812.05</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84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1,203,200.84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5,457,102.65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6,660,303.49</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6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）其他减少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458,508.56</w:t>
            </w: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458,508.56</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289,928,739.88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13,378,297.89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18,686,142.69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115,589,027.83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437,582,208.29</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84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68,726,903.67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3,151,258.13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11,597,716.79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51,958,157.96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135,434,036.55</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17,978,023.26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2,211,864.91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1,470,503.03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14,273,649.36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35,934,040.56</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17,978,023.26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2,211,864.91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1,470,503.03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14,273,649.36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35,934,040.56</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）其他增加</w:t>
            </w:r>
          </w:p>
        </w:tc>
        <w:tc>
          <w:tcPr>
            <w:tcW w:w="184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140,087.23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458,707.80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3,166,989.40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3,765,784.43</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84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458,707.80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3,166,989.40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3,625,697.20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6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）其他减少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140,087.23</w:t>
            </w: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140,087.23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68"/>
        <w:gridCol w:w="1843"/>
        <w:gridCol w:w="1559"/>
        <w:gridCol w:w="1134"/>
        <w:gridCol w:w="1418"/>
        <w:gridCol w:w="1342"/>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86,564,839.70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4,904,415.24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13,068,219.82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63,064,817.92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167,602,292.68</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84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4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4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84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4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84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4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84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203,363,900.18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8,473,882.65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5,617,922.87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52,524,209.91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269,979,915.61</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212,457,779.93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7,771,285.13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4,723,021.13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48,183,578.58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273,135,664.77</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东海火炬科技园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楼</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129,569,727.31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尚在办理</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）固定资产清理</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1"/>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95"/>
        <w:gridCol w:w="3815"/>
        <w:gridCol w:w="3858"/>
      </w:tblGrid>
      <w:tr>
        <w:trPr>
          <w:trHeight w:val="402" w:hRule="exact"/>
        </w:trPr>
        <w:tc>
          <w:tcPr>
            <w:tcW w:w="18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1,415,526.94</w:t>
            </w:r>
          </w:p>
        </w:tc>
        <w:tc>
          <w:tcPr>
            <w:tcW w:w="38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1,415,526.94</w:t>
            </w:r>
          </w:p>
        </w:tc>
        <w:tc>
          <w:tcPr>
            <w:tcW w:w="38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44"/>
        <w:gridCol w:w="1418"/>
        <w:gridCol w:w="850"/>
        <w:gridCol w:w="1134"/>
        <w:gridCol w:w="852"/>
        <w:gridCol w:w="850"/>
        <w:gridCol w:w="924"/>
      </w:tblGrid>
      <w:tr>
        <w:trPr>
          <w:trHeight w:val="402" w:hRule="exact"/>
        </w:trPr>
        <w:tc>
          <w:tcPr>
            <w:tcW w:w="354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2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544" w:type="dxa"/>
            <w:vMerge/>
            <w:tcBorders>
              <w:left w:val="single" w:sz="4" w:space="0" w:color="000000"/>
              <w:bottom w:val="single" w:sz="4" w:space="0" w:color="000000"/>
              <w:right w:val="single" w:sz="4" w:space="0" w:color="000000"/>
            </w:tcBorders>
            <w:shd w:val="clear" w:color="auto" w:fill="D3D3D3"/>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东海火炬科技园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层及</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层装修工程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1,415,526.94</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7" w:right="0"/>
              <w:jc w:val="left"/>
              <w:rPr>
                <w:rFonts w:ascii="Times New Roman" w:hAnsi="Times New Roman" w:cs="Times New Roman" w:eastAsia="Times New Roman" w:hint="default"/>
                <w:sz w:val="18"/>
                <w:szCs w:val="18"/>
              </w:rPr>
            </w:pPr>
            <w:r>
              <w:rPr>
                <w:rFonts w:ascii="Times New Roman"/>
                <w:sz w:val="18"/>
              </w:rPr>
              <w:t>1,415,526.94</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1,415,526.94</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7" w:right="0"/>
              <w:jc w:val="left"/>
              <w:rPr>
                <w:rFonts w:ascii="Times New Roman" w:hAnsi="Times New Roman" w:cs="Times New Roman" w:eastAsia="Times New Roman" w:hint="default"/>
                <w:sz w:val="18"/>
                <w:szCs w:val="18"/>
              </w:rPr>
            </w:pPr>
            <w:r>
              <w:rPr>
                <w:rFonts w:ascii="Times New Roman"/>
                <w:sz w:val="18"/>
              </w:rPr>
              <w:t>1,415,526.94</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94"/>
        <w:gridCol w:w="708"/>
        <w:gridCol w:w="503"/>
        <w:gridCol w:w="736"/>
        <w:gridCol w:w="736"/>
        <w:gridCol w:w="860"/>
        <w:gridCol w:w="1134"/>
        <w:gridCol w:w="709"/>
        <w:gridCol w:w="709"/>
        <w:gridCol w:w="566"/>
        <w:gridCol w:w="709"/>
        <w:gridCol w:w="708"/>
        <w:gridCol w:w="492"/>
      </w:tblGrid>
      <w:tr>
        <w:trPr>
          <w:trHeight w:val="1649"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5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5" w:right="65"/>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5" w:right="62"/>
              <w:jc w:val="left"/>
              <w:rPr>
                <w:rFonts w:ascii="宋体" w:hAnsi="宋体" w:cs="宋体" w:eastAsia="宋体" w:hint="default"/>
                <w:sz w:val="18"/>
                <w:szCs w:val="18"/>
              </w:rPr>
            </w:pPr>
            <w:r>
              <w:rPr>
                <w:rFonts w:ascii="宋体" w:hAnsi="宋体" w:cs="宋体" w:eastAsia="宋体" w:hint="default"/>
                <w:sz w:val="18"/>
                <w:szCs w:val="18"/>
              </w:rPr>
              <w:t>本期其他 减少金额</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9" w:right="78"/>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59" w:right="78"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8" w:right="96"/>
              <w:jc w:val="both"/>
              <w:rPr>
                <w:rFonts w:ascii="宋体" w:hAnsi="宋体" w:cs="宋体" w:eastAsia="宋体" w:hint="default"/>
                <w:sz w:val="18"/>
                <w:szCs w:val="18"/>
              </w:rPr>
            </w:pPr>
            <w:r>
              <w:rPr>
                <w:rFonts w:ascii="宋体" w:hAnsi="宋体" w:cs="宋体" w:eastAsia="宋体" w:hint="default"/>
                <w:sz w:val="18"/>
                <w:szCs w:val="18"/>
              </w:rPr>
              <w:t>利息 资本 化累 计金 额</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9" w:right="23" w:hanging="57"/>
              <w:jc w:val="both"/>
              <w:rPr>
                <w:rFonts w:ascii="宋体" w:hAnsi="宋体" w:cs="宋体" w:eastAsia="宋体" w:hint="default"/>
                <w:sz w:val="18"/>
                <w:szCs w:val="18"/>
              </w:rPr>
            </w:pPr>
            <w:r>
              <w:rPr>
                <w:rFonts w:ascii="宋体" w:hAnsi="宋体" w:cs="宋体" w:eastAsia="宋体" w:hint="default"/>
                <w:spacing w:val="-17"/>
                <w:sz w:val="18"/>
                <w:szCs w:val="18"/>
              </w:rPr>
              <w:t>其中：本</w:t>
            </w:r>
            <w:r>
              <w:rPr>
                <w:rFonts w:ascii="宋体" w:hAnsi="宋体" w:cs="宋体" w:eastAsia="宋体" w:hint="default"/>
                <w:sz w:val="18"/>
                <w:szCs w:val="18"/>
              </w:rPr>
              <w:t> 期利息 资本化 金额</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7" w:right="78"/>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59" w:right="60"/>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358" w:hRule="exact"/>
        </w:trPr>
        <w:tc>
          <w:tcPr>
            <w:tcW w:w="9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东海火炬科</w:t>
            </w:r>
          </w:p>
        </w:tc>
        <w:tc>
          <w:tcPr>
            <w:tcW w:w="708" w:type="dxa"/>
            <w:tcBorders>
              <w:top w:val="single" w:sz="4" w:space="0" w:color="000000"/>
              <w:left w:val="single" w:sz="4" w:space="0" w:color="000000"/>
              <w:bottom w:val="nil" w:sz="6" w:space="0" w:color="auto"/>
              <w:right w:val="single" w:sz="4" w:space="0" w:color="000000"/>
            </w:tcBorders>
          </w:tcPr>
          <w:p>
            <w:pPr/>
          </w:p>
        </w:tc>
        <w:tc>
          <w:tcPr>
            <w:tcW w:w="503"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860"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492" w:type="dxa"/>
            <w:vMerge w:val="restart"/>
            <w:tcBorders>
              <w:top w:val="single" w:sz="4" w:space="0" w:color="000000"/>
              <w:left w:val="single" w:sz="4" w:space="0" w:color="000000"/>
              <w:right w:val="single" w:sz="4" w:space="0" w:color="000000"/>
            </w:tcBorders>
          </w:tcPr>
          <w:p>
            <w:pPr/>
          </w:p>
        </w:tc>
      </w:tr>
      <w:tr>
        <w:trPr>
          <w:trHeight w:val="629" w:hRule="exact"/>
        </w:trPr>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技园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层及</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0" w:right="0"/>
              <w:jc w:val="center"/>
              <w:rPr>
                <w:rFonts w:ascii="Times New Roman" w:hAnsi="Times New Roman" w:cs="Times New Roman" w:eastAsia="Times New Roman" w:hint="default"/>
                <w:sz w:val="18"/>
                <w:szCs w:val="18"/>
              </w:rPr>
            </w:pPr>
            <w:r>
              <w:rPr>
                <w:rFonts w:ascii="Times New Roman"/>
                <w:sz w:val="18"/>
              </w:rPr>
              <w:t>266,098,</w:t>
            </w:r>
          </w:p>
          <w:p>
            <w:pPr>
              <w:pStyle w:val="TableParagraph"/>
              <w:spacing w:line="240" w:lineRule="auto" w:before="105"/>
              <w:ind w:left="157" w:right="0"/>
              <w:jc w:val="center"/>
              <w:rPr>
                <w:rFonts w:ascii="Times New Roman" w:hAnsi="Times New Roman" w:cs="Times New Roman" w:eastAsia="Times New Roman" w:hint="default"/>
                <w:sz w:val="18"/>
                <w:szCs w:val="18"/>
              </w:rPr>
            </w:pPr>
            <w:r>
              <w:rPr>
                <w:rFonts w:ascii="Times New Roman"/>
                <w:sz w:val="18"/>
              </w:rPr>
              <w:t>650.82</w:t>
            </w:r>
          </w:p>
        </w:tc>
        <w:tc>
          <w:tcPr>
            <w:tcW w:w="503"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3" w:right="0"/>
              <w:jc w:val="left"/>
              <w:rPr>
                <w:rFonts w:ascii="Times New Roman" w:hAnsi="Times New Roman" w:cs="Times New Roman" w:eastAsia="Times New Roman" w:hint="default"/>
                <w:sz w:val="18"/>
                <w:szCs w:val="18"/>
              </w:rPr>
            </w:pPr>
            <w:r>
              <w:rPr>
                <w:rFonts w:ascii="Times New Roman"/>
                <w:sz w:val="18"/>
              </w:rPr>
              <w:t>8,085,66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4.55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3" w:right="0"/>
              <w:jc w:val="left"/>
              <w:rPr>
                <w:rFonts w:ascii="Times New Roman" w:hAnsi="Times New Roman" w:cs="Times New Roman" w:eastAsia="Times New Roman" w:hint="default"/>
                <w:sz w:val="18"/>
                <w:szCs w:val="18"/>
              </w:rPr>
            </w:pPr>
            <w:r>
              <w:rPr>
                <w:rFonts w:ascii="Times New Roman"/>
                <w:sz w:val="18"/>
              </w:rPr>
              <w:t>6,349,61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6.27</w:t>
            </w:r>
          </w:p>
        </w:tc>
        <w:tc>
          <w:tcPr>
            <w:tcW w:w="86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320,521.3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1,415,526.94</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80.99%</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6"/>
              <w:jc w:val="center"/>
              <w:rPr>
                <w:rFonts w:ascii="Times New Roman" w:hAnsi="Times New Roman" w:cs="Times New Roman" w:eastAsia="Times New Roman" w:hint="default"/>
                <w:sz w:val="18"/>
                <w:szCs w:val="18"/>
              </w:rPr>
            </w:pPr>
            <w:r>
              <w:rPr>
                <w:rFonts w:ascii="Times New Roman"/>
                <w:sz w:val="18"/>
              </w:rPr>
              <w:t>80.99%</w:t>
            </w:r>
          </w:p>
        </w:tc>
        <w:tc>
          <w:tcPr>
            <w:tcW w:w="566"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r>
      <w:tr>
        <w:trPr>
          <w:trHeight w:val="351" w:hRule="exact"/>
        </w:trPr>
        <w:tc>
          <w:tcPr>
            <w:tcW w:w="9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装修工程</w:t>
            </w:r>
          </w:p>
        </w:tc>
        <w:tc>
          <w:tcPr>
            <w:tcW w:w="708" w:type="dxa"/>
            <w:tcBorders>
              <w:top w:val="nil" w:sz="6" w:space="0" w:color="auto"/>
              <w:left w:val="single" w:sz="4" w:space="0" w:color="000000"/>
              <w:bottom w:val="single" w:sz="4" w:space="0" w:color="000000"/>
              <w:right w:val="single" w:sz="4" w:space="0" w:color="000000"/>
            </w:tcBorders>
          </w:tcPr>
          <w:p>
            <w:pPr/>
          </w:p>
        </w:tc>
        <w:tc>
          <w:tcPr>
            <w:tcW w:w="503"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860"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492" w:type="dxa"/>
            <w:vMerge/>
            <w:tcBorders>
              <w:left w:val="single" w:sz="4" w:space="0" w:color="000000"/>
              <w:bottom w:val="single" w:sz="4" w:space="0" w:color="000000"/>
              <w:right w:val="single" w:sz="4" w:space="0" w:color="000000"/>
            </w:tcBorders>
          </w:tcPr>
          <w:p>
            <w:pP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266,098,</w:t>
            </w:r>
          </w:p>
          <w:p>
            <w:pPr>
              <w:pStyle w:val="TableParagraph"/>
              <w:spacing w:line="240" w:lineRule="auto" w:before="105"/>
              <w:ind w:left="157" w:right="0"/>
              <w:jc w:val="center"/>
              <w:rPr>
                <w:rFonts w:ascii="Times New Roman" w:hAnsi="Times New Roman" w:cs="Times New Roman" w:eastAsia="Times New Roman" w:hint="default"/>
                <w:sz w:val="18"/>
                <w:szCs w:val="18"/>
              </w:rPr>
            </w:pPr>
            <w:r>
              <w:rPr>
                <w:rFonts w:ascii="Times New Roman"/>
                <w:sz w:val="18"/>
              </w:rPr>
              <w:t>650.82</w:t>
            </w:r>
          </w:p>
        </w:tc>
        <w:tc>
          <w:tcPr>
            <w:tcW w:w="503"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8,085,66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4.55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6,349,61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6.27</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320,521.3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1,415,526.94</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）工程物资</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18</w:t>
      </w:r>
      <w:r>
        <w:rPr/>
        <w:t>、生产性生物资产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19</w:t>
      </w:r>
      <w:r>
        <w:rPr/>
        <w:t>、油气资产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20</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1752"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before="43"/>
        <w:ind w:left="0" w:right="11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3"/>
        <w:gridCol w:w="1063"/>
        <w:gridCol w:w="1063"/>
        <w:gridCol w:w="1062"/>
        <w:gridCol w:w="1063"/>
        <w:gridCol w:w="1063"/>
        <w:gridCol w:w="1063"/>
        <w:gridCol w:w="1063"/>
        <w:gridCol w:w="1063"/>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5"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74"/>
              <w:jc w:val="right"/>
              <w:rPr>
                <w:rFonts w:ascii="宋体" w:hAnsi="宋体" w:cs="宋体" w:eastAsia="宋体" w:hint="default"/>
                <w:sz w:val="18"/>
                <w:szCs w:val="18"/>
              </w:rPr>
            </w:pPr>
            <w:r>
              <w:rPr>
                <w:rFonts w:ascii="宋体" w:hAnsi="宋体" w:cs="宋体" w:eastAsia="宋体" w:hint="default"/>
                <w:sz w:val="18"/>
                <w:szCs w:val="18"/>
              </w:rPr>
              <w:t>计算机软件</w:t>
            </w:r>
          </w:p>
        </w:tc>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5"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51"/>
              <w:ind w:left="75" w:right="77"/>
              <w:jc w:val="center"/>
              <w:rPr>
                <w:rFonts w:ascii="宋体" w:hAnsi="宋体" w:cs="宋体" w:eastAsia="宋体" w:hint="default"/>
                <w:sz w:val="18"/>
                <w:szCs w:val="18"/>
              </w:rPr>
            </w:pPr>
            <w:r>
              <w:rPr>
                <w:rFonts w:ascii="宋体" w:hAnsi="宋体" w:cs="宋体" w:eastAsia="宋体" w:hint="default"/>
                <w:sz w:val="18"/>
                <w:szCs w:val="18"/>
              </w:rPr>
              <w:t>武汉大千无 形资产评估 增值</w:t>
            </w:r>
          </w:p>
        </w:tc>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5"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74"/>
                <w:sz w:val="18"/>
                <w:szCs w:val="18"/>
              </w:rPr>
              <w:t>、</w:t>
            </w:r>
            <w:r>
              <w:rPr>
                <w:rFonts w:ascii="宋体" w:hAnsi="宋体" w:cs="宋体" w:eastAsia="宋体" w:hint="default"/>
                <w:sz w:val="18"/>
                <w:szCs w:val="18"/>
              </w:rPr>
              <w:t>账面原值</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8,895,805.00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278,400.00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7,260,900.00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132,855,863.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149,290,968.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37</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6"/>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本</w:t>
            </w:r>
            <w:r>
              <w:rPr>
                <w:rFonts w:ascii="宋体" w:hAnsi="宋体" w:cs="宋体" w:eastAsia="宋体" w:hint="default"/>
                <w:spacing w:val="-59"/>
                <w:sz w:val="18"/>
                <w:szCs w:val="18"/>
              </w:rPr>
              <w:t> </w:t>
            </w:r>
            <w:r>
              <w:rPr>
                <w:rFonts w:ascii="宋体" w:hAnsi="宋体" w:cs="宋体" w:eastAsia="宋体" w:hint="default"/>
                <w:spacing w:val="25"/>
                <w:sz w:val="18"/>
                <w:szCs w:val="18"/>
              </w:rPr>
              <w:t>期增加</w:t>
            </w:r>
            <w:r>
              <w:rPr>
                <w:rFonts w:ascii="宋体" w:hAnsi="宋体" w:cs="宋体" w:eastAsia="宋体" w:hint="default"/>
                <w:spacing w:val="-52"/>
                <w:sz w:val="18"/>
                <w:szCs w:val="18"/>
              </w:rPr>
              <w:t> </w:t>
            </w: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6,097,547.24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1,374.76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20,008,299.0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26,107,221.0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6,097,547.24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1,374.76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128,300.00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6,227,222.00</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7"/>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）内部研 </w:t>
            </w:r>
            <w:r>
              <w:rPr>
                <w:rFonts w:ascii="宋体" w:hAnsi="宋体" w:cs="宋体" w:eastAsia="宋体" w:hint="default"/>
                <w:sz w:val="18"/>
                <w:szCs w:val="18"/>
              </w:rPr>
              <w:t>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19,879,999.0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19,879,999.0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6" w:firstLine="21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pacing w:val="25"/>
                <w:sz w:val="18"/>
                <w:szCs w:val="18"/>
              </w:rPr>
              <w:t>本期减</w:t>
            </w:r>
            <w:r>
              <w:rPr>
                <w:rFonts w:ascii="宋体" w:hAnsi="宋体" w:cs="宋体" w:eastAsia="宋体" w:hint="default"/>
                <w:spacing w:val="-52"/>
                <w:sz w:val="18"/>
                <w:szCs w:val="18"/>
              </w:rPr>
              <w:t> </w:t>
            </w:r>
            <w:r>
              <w:rPr>
                <w:rFonts w:ascii="宋体" w:hAnsi="宋体" w:cs="宋体" w:eastAsia="宋体" w:hint="default"/>
                <w:sz w:val="18"/>
                <w:szCs w:val="18"/>
              </w:rPr>
              <w:t>少金额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358,286.27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358,286.27</w:t>
            </w:r>
          </w:p>
        </w:tc>
      </w:tr>
      <w:tr>
        <w:trPr>
          <w:trHeight w:val="402"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358,286.27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358,286.27</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14,635,065.9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279,774.76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7,260,900.00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152,864,162.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175,039,903.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74"/>
                <w:sz w:val="18"/>
                <w:szCs w:val="18"/>
              </w:rPr>
              <w:t>、</w:t>
            </w:r>
            <w:r>
              <w:rPr>
                <w:rFonts w:ascii="宋体" w:hAnsi="宋体" w:cs="宋体" w:eastAsia="宋体" w:hint="default"/>
                <w:sz w:val="18"/>
                <w:szCs w:val="18"/>
              </w:rPr>
              <w:t>累计摊销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5,455,914.81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170,726.61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4,356,540.00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67,914,029.1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77,897,210.6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1,725,807.59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27,851.58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1,452,180.00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15,811,874.3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19,017,713.5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1,725,807.59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27,851.58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1,452,180.00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15,811,874.3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19,017,713.5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245,496.64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245,496.64</w:t>
            </w:r>
          </w:p>
        </w:tc>
      </w:tr>
      <w:tr>
        <w:trPr>
          <w:trHeight w:val="402"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245,496.64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245,496.64</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6,936,225.76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198,578.19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5,808,720.00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83,725,903.5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96,669,427.5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74"/>
                <w:sz w:val="18"/>
                <w:szCs w:val="18"/>
              </w:rPr>
              <w:t>、</w:t>
            </w:r>
            <w:r>
              <w:rPr>
                <w:rFonts w:ascii="宋体" w:hAnsi="宋体" w:cs="宋体" w:eastAsia="宋体" w:hint="default"/>
                <w:sz w:val="18"/>
                <w:szCs w:val="18"/>
              </w:rPr>
              <w:t>减值准备</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23,237,060.1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23,237,060.1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3"/>
        <w:gridCol w:w="1063"/>
        <w:gridCol w:w="1063"/>
        <w:gridCol w:w="1062"/>
        <w:gridCol w:w="1063"/>
        <w:gridCol w:w="1063"/>
        <w:gridCol w:w="1063"/>
        <w:gridCol w:w="1063"/>
        <w:gridCol w:w="1063"/>
      </w:tblGrid>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1,175,170.44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1,175,170.44</w:t>
            </w:r>
          </w:p>
        </w:tc>
      </w:tr>
      <w:tr>
        <w:trPr>
          <w:trHeight w:val="402"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1,175,170.44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1,175,170.44</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24,412,230.6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24,412,230.6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74"/>
                <w:sz w:val="18"/>
                <w:szCs w:val="18"/>
              </w:rPr>
              <w:t>、</w:t>
            </w: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7,698,840.21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81,196.57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1,452,180.00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44,726,028.1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53,958,244.9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3,439,890.19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107,673.39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2,904,360.00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41,704,774.0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48,156,697.5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r>
        <w:rPr/>
        <w:t>（</w:t>
      </w:r>
      <w:r>
        <w:rPr>
          <w:rFonts w:ascii="Times New Roman" w:hAnsi="Times New Roman" w:cs="Times New Roman" w:eastAsia="Times New Roman" w:hint="default"/>
        </w:rPr>
        <w:t>1</w:t>
      </w:r>
      <w:r>
        <w:rPr/>
        <w:t>）本期末通过公司内部研发形成的无形资产占无形资产余额的比例</w:t>
      </w:r>
      <w:r>
        <w:rPr>
          <w:spacing w:val="-58"/>
        </w:rPr>
        <w:t> </w:t>
      </w:r>
      <w:r>
        <w:rPr>
          <w:rFonts w:ascii="Times New Roman" w:hAnsi="Times New Roman" w:cs="Times New Roman" w:eastAsia="Times New Roman" w:hint="default"/>
        </w:rPr>
        <w:t>82.89%</w:t>
      </w:r>
      <w:r>
        <w:rPr/>
        <w:t>。</w:t>
      </w:r>
    </w:p>
    <w:p>
      <w:pPr>
        <w:spacing w:line="240" w:lineRule="auto" w:before="8"/>
        <w:rPr>
          <w:rFonts w:ascii="宋体" w:hAnsi="宋体" w:cs="宋体" w:eastAsia="宋体" w:hint="default"/>
          <w:sz w:val="16"/>
          <w:szCs w:val="16"/>
        </w:rPr>
      </w:pPr>
    </w:p>
    <w:p>
      <w:pPr>
        <w:pStyle w:val="BodyText"/>
        <w:spacing w:line="240" w:lineRule="auto"/>
        <w:ind w:left="153"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25</w:t>
      </w:r>
      <w:r>
        <w:rPr>
          <w:rFonts w:ascii="Times New Roman" w:hAnsi="Times New Roman" w:cs="Times New Roman" w:eastAsia="Times New Roman" w:hint="default"/>
          <w:spacing w:val="-3"/>
        </w:rPr>
        <w:t> </w:t>
      </w:r>
      <w:r>
        <w:rPr/>
        <w:t>日，厦门大学资产评估土地房地产估价有限责任公司出具了“大学评估评报字</w:t>
      </w:r>
      <w:r>
        <w:rPr>
          <w:rFonts w:ascii="Times New Roman" w:hAnsi="Times New Roman" w:cs="Times New Roman" w:eastAsia="Times New Roman" w:hint="default"/>
        </w:rPr>
        <w:t>[2019]</w:t>
      </w:r>
    </w:p>
    <w:p>
      <w:pPr>
        <w:pStyle w:val="BodyText"/>
        <w:spacing w:line="240" w:lineRule="auto" w:before="177"/>
        <w:ind w:left="153" w:right="0"/>
        <w:jc w:val="left"/>
      </w:pPr>
      <w:r>
        <w:rPr>
          <w:rFonts w:ascii="Times New Roman" w:hAnsi="Times New Roman" w:cs="Times New Roman" w:eastAsia="Times New Roman" w:hint="default"/>
        </w:rPr>
        <w:t>8</w:t>
      </w:r>
      <w:r>
        <w:rPr>
          <w:rFonts w:ascii="Times New Roman" w:hAnsi="Times New Roman" w:cs="Times New Roman" w:eastAsia="Times New Roman" w:hint="default"/>
          <w:spacing w:val="-1"/>
        </w:rPr>
        <w:t>4</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03 </w:t>
      </w:r>
      <w:r>
        <w:rPr>
          <w:spacing w:val="-2"/>
        </w:rPr>
        <w:t>号</w:t>
      </w:r>
      <w:r>
        <w:rPr>
          <w:spacing w:val="-142"/>
        </w:rPr>
        <w:t>”</w:t>
      </w:r>
      <w:r>
        <w:rPr>
          <w:spacing w:val="-2"/>
        </w:rPr>
        <w:t>《</w:t>
      </w:r>
      <w:r>
        <w:rPr/>
        <w:t>厦门市美亚柏科信息股份有限公司拟进行资产减值测试涉及的无形资产资产评估报告</w:t>
      </w:r>
      <w:r>
        <w:rPr>
          <w:spacing w:val="-105"/>
        </w:rPr>
        <w:t>》</w:t>
      </w:r>
      <w:r>
        <w:rPr>
          <w:spacing w:val="-38"/>
        </w:rPr>
        <w:t>，</w:t>
      </w:r>
      <w:r>
        <w:rPr/>
        <w:t>对截</w:t>
      </w:r>
    </w:p>
    <w:p>
      <w:pPr>
        <w:pStyle w:val="BodyText"/>
        <w:spacing w:line="240" w:lineRule="auto" w:before="178"/>
        <w:ind w:left="153" w:right="0"/>
        <w:jc w:val="left"/>
      </w:pPr>
      <w:r>
        <w:rPr/>
        <w:t>止评估基准日</w:t>
      </w:r>
      <w:r>
        <w:rPr>
          <w:spacing w:val="-5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日，本集团根据评估结果相应计提无形资产减值准备</w:t>
      </w:r>
      <w:r>
        <w:rPr>
          <w:spacing w:val="-55"/>
        </w:rPr>
        <w:t> </w:t>
      </w:r>
      <w:r>
        <w:rPr>
          <w:rFonts w:ascii="Times New Roman" w:hAnsi="Times New Roman" w:cs="Times New Roman" w:eastAsia="Times New Roman" w:hint="default"/>
        </w:rPr>
        <w:t>24,412,230.62</w:t>
      </w:r>
      <w:r>
        <w:rPr>
          <w:rFonts w:ascii="Times New Roman" w:hAnsi="Times New Roman" w:cs="Times New Roman" w:eastAsia="Times New Roman" w:hint="default"/>
          <w:spacing w:val="-1"/>
        </w:rPr>
        <w:t> </w:t>
      </w:r>
      <w:r>
        <w:rPr/>
        <w:t>元。</w:t>
      </w:r>
    </w:p>
    <w:p>
      <w:pPr>
        <w:spacing w:line="240" w:lineRule="auto" w:before="6"/>
        <w:rPr>
          <w:rFonts w:ascii="宋体" w:hAnsi="宋体" w:cs="宋体" w:eastAsia="宋体" w:hint="default"/>
          <w:sz w:val="30"/>
          <w:szCs w:val="30"/>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21</w:t>
      </w:r>
      <w:r>
        <w:rPr/>
        <w:t>、开发支出</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83" w:type="dxa"/>
        <w:tblLayout w:type="fixed"/>
        <w:tblCellMar>
          <w:top w:w="0" w:type="dxa"/>
          <w:left w:w="0" w:type="dxa"/>
          <w:bottom w:w="0" w:type="dxa"/>
          <w:right w:w="0" w:type="dxa"/>
        </w:tblCellMar>
        <w:tblLook w:val="01E0"/>
      </w:tblPr>
      <w:tblGrid>
        <w:gridCol w:w="1985"/>
        <w:gridCol w:w="1242"/>
        <w:gridCol w:w="1277"/>
        <w:gridCol w:w="708"/>
        <w:gridCol w:w="426"/>
        <w:gridCol w:w="991"/>
        <w:gridCol w:w="1309"/>
        <w:gridCol w:w="426"/>
        <w:gridCol w:w="1204"/>
      </w:tblGrid>
      <w:tr>
        <w:trPr>
          <w:trHeight w:val="402" w:hRule="exact"/>
        </w:trPr>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42" w:type="dxa"/>
            <w:vMerge w:val="restart"/>
            <w:tcBorders>
              <w:top w:val="single" w:sz="4" w:space="0" w:color="000000"/>
              <w:left w:val="single" w:sz="4" w:space="0" w:color="000000"/>
              <w:right w:val="single" w:sz="4" w:space="0" w:color="000000"/>
            </w:tcBorders>
          </w:tcPr>
          <w:p>
            <w:pPr>
              <w:pStyle w:val="TableParagraph"/>
              <w:spacing w:line="240" w:lineRule="auto" w:before="52"/>
              <w:ind w:left="25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41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6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1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204" w:type="dxa"/>
            <w:vMerge w:val="restart"/>
            <w:tcBorders>
              <w:top w:val="single" w:sz="4" w:space="0" w:color="000000"/>
              <w:left w:val="single" w:sz="4" w:space="0" w:color="000000"/>
              <w:right w:val="single" w:sz="4" w:space="0" w:color="000000"/>
            </w:tcBorders>
          </w:tcPr>
          <w:p>
            <w:pPr>
              <w:pStyle w:val="TableParagraph"/>
              <w:spacing w:line="240" w:lineRule="auto" w:before="52"/>
              <w:ind w:left="23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85" w:type="dxa"/>
            <w:vMerge/>
            <w:tcBorders>
              <w:left w:val="single" w:sz="4" w:space="0" w:color="000000"/>
              <w:bottom w:val="single" w:sz="4" w:space="0" w:color="000000"/>
              <w:right w:val="single" w:sz="4" w:space="0" w:color="000000"/>
            </w:tcBorders>
          </w:tcPr>
          <w:p>
            <w:pPr/>
          </w:p>
        </w:tc>
        <w:tc>
          <w:tcPr>
            <w:tcW w:w="1242"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542" w:right="182"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69" w:right="167"/>
              <w:jc w:val="left"/>
              <w:rPr>
                <w:rFonts w:ascii="宋体" w:hAnsi="宋体" w:cs="宋体" w:eastAsia="宋体" w:hint="default"/>
                <w:sz w:val="18"/>
                <w:szCs w:val="18"/>
              </w:rPr>
            </w:pPr>
            <w:r>
              <w:rPr>
                <w:rFonts w:ascii="宋体" w:hAnsi="宋体" w:cs="宋体" w:eastAsia="宋体" w:hint="default"/>
                <w:sz w:val="18"/>
                <w:szCs w:val="18"/>
              </w:rPr>
              <w:t>其他 增加</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0" w:right="128" w:hanging="90"/>
              <w:jc w:val="left"/>
              <w:rPr>
                <w:rFonts w:ascii="宋体" w:hAnsi="宋体" w:cs="宋体" w:eastAsia="宋体" w:hint="default"/>
                <w:sz w:val="18"/>
                <w:szCs w:val="18"/>
              </w:rPr>
            </w:pPr>
            <w:r>
              <w:rPr>
                <w:rFonts w:ascii="宋体" w:hAnsi="宋体" w:cs="宋体" w:eastAsia="宋体" w:hint="default"/>
                <w:sz w:val="18"/>
                <w:szCs w:val="18"/>
              </w:rPr>
              <w:t>确认为无 形资产</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8"/>
              <w:jc w:val="right"/>
              <w:rPr>
                <w:rFonts w:ascii="宋体" w:hAnsi="宋体" w:cs="宋体" w:eastAsia="宋体" w:hint="default"/>
                <w:sz w:val="18"/>
                <w:szCs w:val="18"/>
              </w:rPr>
            </w:pPr>
            <w:r>
              <w:rPr>
                <w:rFonts w:ascii="宋体" w:hAnsi="宋体" w:cs="宋体" w:eastAsia="宋体" w:hint="default"/>
                <w:sz w:val="18"/>
                <w:szCs w:val="18"/>
              </w:rPr>
              <w:t>计入当期损益</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204" w:type="dxa"/>
            <w:vMerge/>
            <w:tcBorders>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移动设备查缉终端</w:t>
            </w:r>
            <w:r>
              <w:rPr>
                <w:rFonts w:ascii="Times New Roman" w:hAnsi="Times New Roman" w:cs="Times New Roman" w:eastAsia="Times New Roman" w:hint="default"/>
                <w:sz w:val="18"/>
                <w:szCs w:val="18"/>
              </w:rPr>
              <w:t>.V3</w:t>
            </w:r>
          </w:p>
        </w:tc>
        <w:tc>
          <w:tcPr>
            <w:tcW w:w="12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8,082,716.61</w:t>
            </w: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8,082,716.61</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1"/>
              <w:jc w:val="left"/>
              <w:rPr>
                <w:rFonts w:ascii="Times New Roman" w:hAnsi="Times New Roman" w:cs="Times New Roman" w:eastAsia="Times New Roman" w:hint="default"/>
                <w:sz w:val="18"/>
                <w:szCs w:val="18"/>
              </w:rPr>
            </w:pPr>
            <w:r>
              <w:rPr>
                <w:rFonts w:ascii="宋体" w:hAnsi="宋体" w:cs="宋体" w:eastAsia="宋体" w:hint="default"/>
                <w:sz w:val="18"/>
                <w:szCs w:val="18"/>
              </w:rPr>
              <w:t>指挥及内容信息应用 系统</w:t>
            </w:r>
            <w:r>
              <w:rPr>
                <w:rFonts w:ascii="Times New Roman" w:hAnsi="Times New Roman" w:cs="Times New Roman" w:eastAsia="Times New Roman" w:hint="default"/>
                <w:sz w:val="18"/>
                <w:szCs w:val="18"/>
              </w:rPr>
              <w:t>.V1</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1,650,068.59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5,197,003.65</w:t>
            </w: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6,847,072.24</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431"/>
              <w:jc w:val="left"/>
              <w:rPr>
                <w:rFonts w:ascii="Times New Roman" w:hAnsi="Times New Roman" w:cs="Times New Roman" w:eastAsia="Times New Roman" w:hint="default"/>
                <w:sz w:val="18"/>
                <w:szCs w:val="18"/>
              </w:rPr>
            </w:pPr>
            <w:r>
              <w:rPr>
                <w:rFonts w:ascii="宋体" w:hAnsi="宋体" w:cs="宋体" w:eastAsia="宋体" w:hint="default"/>
                <w:sz w:val="18"/>
                <w:szCs w:val="18"/>
              </w:rPr>
              <w:t>大数据治理应用平 台</w:t>
            </w:r>
            <w:r>
              <w:rPr>
                <w:rFonts w:ascii="Times New Roman" w:hAnsi="Times New Roman" w:cs="Times New Roman" w:eastAsia="Times New Roman" w:hint="default"/>
                <w:sz w:val="18"/>
                <w:szCs w:val="18"/>
              </w:rPr>
              <w:t>.v1</w:t>
            </w:r>
          </w:p>
        </w:tc>
        <w:tc>
          <w:tcPr>
            <w:tcW w:w="12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1"/>
                <w:sz w:val="18"/>
              </w:rPr>
              <w:t>6,757,154.37</w:t>
            </w:r>
            <w:r>
              <w:rPr>
                <w:rFonts w:ascii="Arial Narrow"/>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323,271.75</w:t>
            </w:r>
          </w:p>
        </w:tc>
        <w:tc>
          <w:tcPr>
            <w:tcW w:w="42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6,433,882.62</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汽车取证大师</w:t>
            </w:r>
            <w:r>
              <w:rPr>
                <w:rFonts w:ascii="Times New Roman" w:hAnsi="Times New Roman" w:cs="Times New Roman" w:eastAsia="Times New Roman" w:hint="default"/>
                <w:sz w:val="18"/>
                <w:szCs w:val="18"/>
              </w:rPr>
              <w:t>.V1</w:t>
            </w:r>
          </w:p>
        </w:tc>
        <w:tc>
          <w:tcPr>
            <w:tcW w:w="12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Arial Narrow" w:hAnsi="Arial Narrow" w:cs="Arial Narrow" w:eastAsia="Arial Narrow" w:hint="default"/>
                <w:sz w:val="18"/>
                <w:szCs w:val="18"/>
              </w:rPr>
            </w:pPr>
            <w:r>
              <w:rPr>
                <w:rFonts w:ascii="Arial Narrow"/>
                <w:spacing w:val="-1"/>
                <w:sz w:val="18"/>
              </w:rPr>
              <w:t>4,602,600.13</w:t>
            </w:r>
            <w:r>
              <w:rPr>
                <w:rFonts w:ascii="Arial Narrow"/>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Narrow" w:hAnsi="Arial Narrow" w:cs="Arial Narrow" w:eastAsia="Arial Narrow" w:hint="default"/>
                <w:sz w:val="18"/>
                <w:szCs w:val="18"/>
              </w:rPr>
            </w:pPr>
            <w:r>
              <w:rPr>
                <w:rFonts w:ascii="Arial Narrow"/>
                <w:spacing w:val="-1"/>
                <w:sz w:val="18"/>
              </w:rPr>
              <w:t>73,036.31</w:t>
            </w:r>
            <w:r>
              <w:rPr>
                <w:rFonts w:ascii="Arial Narrow"/>
                <w:sz w:val="18"/>
              </w:rPr>
            </w:r>
          </w:p>
        </w:tc>
        <w:tc>
          <w:tcPr>
            <w:tcW w:w="42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4,529,563.82</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智慧管理平台</w:t>
            </w:r>
            <w:r>
              <w:rPr>
                <w:rFonts w:ascii="Times New Roman" w:hAnsi="Times New Roman" w:cs="Times New Roman" w:eastAsia="Times New Roman" w:hint="default"/>
                <w:sz w:val="18"/>
                <w:szCs w:val="18"/>
              </w:rPr>
              <w:t>.V1</w:t>
            </w:r>
          </w:p>
        </w:tc>
        <w:tc>
          <w:tcPr>
            <w:tcW w:w="12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Arial Narrow" w:hAnsi="Arial Narrow" w:cs="Arial Narrow" w:eastAsia="Arial Narrow" w:hint="default"/>
                <w:sz w:val="18"/>
                <w:szCs w:val="18"/>
              </w:rPr>
            </w:pPr>
            <w:r>
              <w:rPr>
                <w:rFonts w:ascii="Arial Narrow"/>
                <w:spacing w:val="-1"/>
                <w:sz w:val="18"/>
              </w:rPr>
              <w:t>2,633,048.58</w:t>
            </w:r>
            <w:r>
              <w:rPr>
                <w:rFonts w:ascii="Arial Narrow"/>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Narrow" w:hAnsi="Arial Narrow" w:cs="Arial Narrow" w:eastAsia="Arial Narrow" w:hint="default"/>
                <w:sz w:val="18"/>
                <w:szCs w:val="18"/>
              </w:rPr>
            </w:pPr>
            <w:r>
              <w:rPr>
                <w:rFonts w:ascii="Arial Narrow"/>
                <w:spacing w:val="-1"/>
                <w:sz w:val="18"/>
              </w:rPr>
              <w:t>174,673.12</w:t>
            </w:r>
          </w:p>
        </w:tc>
        <w:tc>
          <w:tcPr>
            <w:tcW w:w="42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2,458,375.46</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30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警队政工大数据平 台</w:t>
            </w:r>
            <w:r>
              <w:rPr>
                <w:rFonts w:ascii="Times New Roman" w:hAnsi="Times New Roman" w:cs="Times New Roman" w:eastAsia="Times New Roman" w:hint="default"/>
                <w:sz w:val="18"/>
                <w:szCs w:val="18"/>
              </w:rPr>
              <w:t>.v1</w:t>
            </w:r>
          </w:p>
        </w:tc>
        <w:tc>
          <w:tcPr>
            <w:tcW w:w="12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1,077,375.65</w:t>
            </w: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1,077,375.65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243" w:type="dxa"/>
        <w:tblLayout w:type="fixed"/>
        <w:tblCellMar>
          <w:top w:w="0" w:type="dxa"/>
          <w:left w:w="0" w:type="dxa"/>
          <w:bottom w:w="0" w:type="dxa"/>
          <w:right w:w="0" w:type="dxa"/>
        </w:tblCellMar>
        <w:tblLook w:val="01E0"/>
      </w:tblPr>
      <w:tblGrid>
        <w:gridCol w:w="1985"/>
        <w:gridCol w:w="1242"/>
        <w:gridCol w:w="1277"/>
        <w:gridCol w:w="708"/>
        <w:gridCol w:w="426"/>
        <w:gridCol w:w="991"/>
        <w:gridCol w:w="1309"/>
        <w:gridCol w:w="426"/>
        <w:gridCol w:w="1204"/>
      </w:tblGrid>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超级警务通</w:t>
            </w:r>
            <w:r>
              <w:rPr>
                <w:rFonts w:ascii="Times New Roman" w:hAnsi="Times New Roman" w:cs="Times New Roman" w:eastAsia="Times New Roman" w:hint="default"/>
                <w:sz w:val="18"/>
                <w:szCs w:val="18"/>
              </w:rPr>
              <w:t>.V1</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2,230,918.49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254,687.03</w:t>
            </w: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2,485,605.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52</w:t>
            </w:r>
          </w:p>
        </w:tc>
        <w:tc>
          <w:tcPr>
            <w:tcW w:w="130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1"/>
              <w:jc w:val="left"/>
              <w:rPr>
                <w:rFonts w:ascii="Times New Roman" w:hAnsi="Times New Roman" w:cs="Times New Roman" w:eastAsia="Times New Roman" w:hint="default"/>
                <w:sz w:val="18"/>
                <w:szCs w:val="18"/>
              </w:rPr>
            </w:pPr>
            <w:r>
              <w:rPr>
                <w:rFonts w:ascii="宋体" w:hAnsi="宋体" w:cs="宋体" w:eastAsia="宋体" w:hint="default"/>
                <w:sz w:val="18"/>
                <w:szCs w:val="18"/>
              </w:rPr>
              <w:t>电子数据采集分析系 统</w:t>
            </w:r>
            <w:r>
              <w:rPr>
                <w:rFonts w:ascii="Times New Roman" w:hAnsi="Times New Roman" w:cs="Times New Roman" w:eastAsia="Times New Roman" w:hint="default"/>
                <w:sz w:val="18"/>
                <w:szCs w:val="18"/>
              </w:rPr>
              <w:t>.V4</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2,635,172.38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1"/>
                <w:sz w:val="18"/>
              </w:rPr>
              <w:t>4,151,887.27</w:t>
            </w:r>
            <w:r>
              <w:rPr>
                <w:rFonts w:ascii="Arial Narrow"/>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3,928,514.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98</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2,858,544.67</w:t>
            </w:r>
            <w:r>
              <w:rPr>
                <w:rFonts w:ascii="Arial Narrow"/>
                <w:sz w:val="18"/>
              </w:rPr>
            </w:r>
          </w:p>
        </w:tc>
        <w:tc>
          <w:tcPr>
            <w:tcW w:w="42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实验室管理系统</w:t>
            </w:r>
            <w:r>
              <w:rPr>
                <w:rFonts w:ascii="Times New Roman" w:hAnsi="Times New Roman" w:cs="Times New Roman" w:eastAsia="Times New Roman" w:hint="default"/>
                <w:sz w:val="18"/>
                <w:szCs w:val="18"/>
              </w:rPr>
              <w:t>.V4</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1,409,779.19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1"/>
                <w:sz w:val="18"/>
              </w:rPr>
              <w:t>2,720,312.26</w:t>
            </w:r>
            <w:r>
              <w:rPr>
                <w:rFonts w:ascii="Arial Narrow"/>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1,845,467.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45</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2,284,624.00</w:t>
            </w:r>
            <w:r>
              <w:rPr>
                <w:rFonts w:ascii="Arial Narrow"/>
                <w:sz w:val="18"/>
              </w:rPr>
            </w:r>
          </w:p>
        </w:tc>
        <w:tc>
          <w:tcPr>
            <w:tcW w:w="42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431"/>
              <w:jc w:val="left"/>
              <w:rPr>
                <w:rFonts w:ascii="Times New Roman" w:hAnsi="Times New Roman" w:cs="Times New Roman" w:eastAsia="Times New Roman" w:hint="default"/>
                <w:sz w:val="18"/>
                <w:szCs w:val="18"/>
              </w:rPr>
            </w:pPr>
            <w:r>
              <w:rPr>
                <w:rFonts w:ascii="宋体" w:hAnsi="宋体" w:cs="宋体" w:eastAsia="宋体" w:hint="default"/>
                <w:sz w:val="18"/>
                <w:szCs w:val="18"/>
              </w:rPr>
              <w:t>手机云数据取证系 统</w:t>
            </w:r>
            <w:r>
              <w:rPr>
                <w:rFonts w:ascii="Times New Roman" w:hAnsi="Times New Roman" w:cs="Times New Roman" w:eastAsia="Times New Roman" w:hint="default"/>
                <w:sz w:val="18"/>
                <w:szCs w:val="18"/>
              </w:rPr>
              <w:t>.V1</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3,247,802.08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2"/>
                <w:sz w:val="18"/>
              </w:rPr>
              <w:t>6,683,946.11</w:t>
            </w: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9,343,942.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08</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
                <w:sz w:val="18"/>
              </w:rPr>
              <w:t>587,806.11</w:t>
            </w:r>
          </w:p>
        </w:tc>
        <w:tc>
          <w:tcPr>
            <w:tcW w:w="42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1"/>
              <w:jc w:val="left"/>
              <w:rPr>
                <w:rFonts w:ascii="Times New Roman" w:hAnsi="Times New Roman" w:cs="Times New Roman" w:eastAsia="Times New Roman" w:hint="default"/>
                <w:sz w:val="18"/>
                <w:szCs w:val="18"/>
              </w:rPr>
            </w:pPr>
            <w:r>
              <w:rPr>
                <w:rFonts w:ascii="宋体" w:hAnsi="宋体" w:cs="宋体" w:eastAsia="宋体" w:hint="default"/>
                <w:sz w:val="18"/>
                <w:szCs w:val="18"/>
              </w:rPr>
              <w:t>互联网信息应急指挥 系统</w:t>
            </w:r>
            <w:r>
              <w:rPr>
                <w:rFonts w:ascii="Times New Roman" w:hAnsi="Times New Roman" w:cs="Times New Roman" w:eastAsia="Times New Roman" w:hint="default"/>
                <w:sz w:val="18"/>
                <w:szCs w:val="18"/>
              </w:rPr>
              <w:t>.V1</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32,412.03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1"/>
                <w:sz w:val="18"/>
              </w:rPr>
              <w:t>2,214,154.31</w:t>
            </w:r>
            <w:r>
              <w:rPr>
                <w:rFonts w:ascii="Arial Narrow"/>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2,246,091.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34</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475.00</w:t>
            </w:r>
            <w:r>
              <w:rPr>
                <w:rFonts w:ascii="Arial Narrow"/>
                <w:sz w:val="18"/>
              </w:rPr>
            </w:r>
          </w:p>
        </w:tc>
        <w:tc>
          <w:tcPr>
            <w:tcW w:w="42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路由通信系统</w:t>
            </w:r>
            <w:r>
              <w:rPr>
                <w:rFonts w:ascii="Times New Roman" w:hAnsi="Times New Roman" w:cs="Times New Roman" w:eastAsia="Times New Roman" w:hint="default"/>
                <w:sz w:val="18"/>
                <w:szCs w:val="18"/>
              </w:rPr>
              <w:t>.V1</w:t>
            </w:r>
          </w:p>
        </w:tc>
        <w:tc>
          <w:tcPr>
            <w:tcW w:w="12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Arial Narrow" w:hAnsi="Arial Narrow" w:cs="Arial Narrow" w:eastAsia="Arial Narrow" w:hint="default"/>
                <w:sz w:val="18"/>
                <w:szCs w:val="18"/>
              </w:rPr>
            </w:pPr>
            <w:r>
              <w:rPr>
                <w:rFonts w:ascii="Arial Narrow"/>
                <w:spacing w:val="-1"/>
                <w:sz w:val="18"/>
              </w:rPr>
              <w:t>145,430.83</w:t>
            </w: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left"/>
              <w:rPr>
                <w:rFonts w:ascii="Times New Roman" w:hAnsi="Times New Roman" w:cs="Times New Roman" w:eastAsia="Times New Roman" w:hint="default"/>
                <w:sz w:val="18"/>
                <w:szCs w:val="18"/>
              </w:rPr>
            </w:pPr>
            <w:r>
              <w:rPr>
                <w:rFonts w:ascii="Times New Roman"/>
                <w:sz w:val="18"/>
              </w:rPr>
              <w:t>30,377.65</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Narrow" w:hAnsi="Arial Narrow" w:cs="Arial Narrow" w:eastAsia="Arial Narrow" w:hint="default"/>
                <w:sz w:val="18"/>
                <w:szCs w:val="18"/>
              </w:rPr>
            </w:pPr>
            <w:r>
              <w:rPr>
                <w:rFonts w:ascii="Arial Narrow"/>
                <w:spacing w:val="-2"/>
                <w:sz w:val="18"/>
              </w:rPr>
              <w:t>115,053.18</w:t>
            </w:r>
          </w:p>
        </w:tc>
        <w:tc>
          <w:tcPr>
            <w:tcW w:w="42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其他项目</w:t>
            </w:r>
          </w:p>
        </w:tc>
        <w:tc>
          <w:tcPr>
            <w:tcW w:w="12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Arial Narrow" w:hAnsi="Arial Narrow" w:cs="Arial Narrow" w:eastAsia="Arial Narrow" w:hint="default"/>
                <w:sz w:val="18"/>
                <w:szCs w:val="18"/>
              </w:rPr>
            </w:pPr>
            <w:r>
              <w:rPr>
                <w:rFonts w:ascii="Arial Narrow"/>
                <w:spacing w:val="-1"/>
                <w:sz w:val="18"/>
              </w:rPr>
              <w:t>217,248,712.31</w:t>
            </w:r>
            <w:r>
              <w:rPr>
                <w:rFonts w:ascii="Arial Narrow"/>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Narrow" w:hAnsi="Arial Narrow" w:cs="Arial Narrow" w:eastAsia="Arial Narrow" w:hint="default"/>
                <w:sz w:val="18"/>
                <w:szCs w:val="18"/>
              </w:rPr>
            </w:pPr>
            <w:r>
              <w:rPr>
                <w:rFonts w:ascii="Arial Narrow"/>
                <w:spacing w:val="-1"/>
                <w:sz w:val="18"/>
              </w:rPr>
              <w:t>217,248,712.31</w:t>
            </w:r>
            <w:r>
              <w:rPr>
                <w:rFonts w:ascii="Arial Narrow"/>
                <w:sz w:val="18"/>
              </w:rPr>
            </w:r>
          </w:p>
        </w:tc>
        <w:tc>
          <w:tcPr>
            <w:tcW w:w="42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11,206,152.7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2"/>
                <w:sz w:val="18"/>
              </w:rPr>
              <w:t>261,769,029.11</w:t>
            </w: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19,879,999</w:t>
            </w:r>
          </w:p>
          <w:p>
            <w:pPr>
              <w:pStyle w:val="TableParagraph"/>
              <w:spacing w:line="240" w:lineRule="auto" w:before="106"/>
              <w:ind w:right="101"/>
              <w:jc w:val="right"/>
              <w:rPr>
                <w:rFonts w:ascii="Arial Narrow" w:hAnsi="Arial Narrow" w:cs="Arial Narrow" w:eastAsia="Arial Narrow" w:hint="default"/>
                <w:sz w:val="18"/>
                <w:szCs w:val="18"/>
              </w:rPr>
            </w:pPr>
            <w:r>
              <w:rPr>
                <w:rFonts w:ascii="Arial Narrow"/>
                <w:spacing w:val="-1"/>
                <w:w w:val="95"/>
                <w:sz w:val="18"/>
              </w:rPr>
              <w:t>.02</w:t>
            </w:r>
            <w:r>
              <w:rPr>
                <w:rFonts w:ascii="Arial Narrow"/>
                <w:sz w:val="18"/>
              </w:rPr>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223,666,196.45</w:t>
            </w:r>
            <w:r>
              <w:rPr>
                <w:rFonts w:ascii="Arial Narrow"/>
                <w:sz w:val="18"/>
              </w:rPr>
            </w:r>
          </w:p>
        </w:tc>
        <w:tc>
          <w:tcPr>
            <w:tcW w:w="42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29,428,986.4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r>
    </w:tbl>
    <w:p>
      <w:pPr>
        <w:spacing w:before="51"/>
        <w:ind w:left="214" w:right="1021"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3082"/>
        <w:gridCol w:w="1541"/>
        <w:gridCol w:w="2004"/>
        <w:gridCol w:w="3228"/>
      </w:tblGrid>
      <w:tr>
        <w:trPr>
          <w:trHeight w:val="323"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6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宋体" w:hAnsi="宋体" w:cs="宋体" w:eastAsia="宋体" w:hint="default"/>
                <w:sz w:val="18"/>
                <w:szCs w:val="18"/>
              </w:rPr>
            </w:pPr>
            <w:r>
              <w:rPr>
                <w:rFonts w:ascii="宋体" w:hAnsi="宋体" w:cs="宋体" w:eastAsia="宋体" w:hint="default"/>
                <w:b/>
                <w:bCs/>
                <w:w w:val="95"/>
                <w:sz w:val="18"/>
                <w:szCs w:val="18"/>
              </w:rPr>
              <w:t>资本化开始时点</w:t>
            </w:r>
            <w:r>
              <w:rPr>
                <w:rFonts w:ascii="宋体" w:hAnsi="宋体" w:cs="宋体" w:eastAsia="宋体" w:hint="default"/>
                <w:sz w:val="18"/>
                <w:szCs w:val="18"/>
              </w:rPr>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b/>
                <w:bCs/>
                <w:sz w:val="18"/>
                <w:szCs w:val="18"/>
              </w:rPr>
              <w:t>资本化的具体依据</w:t>
            </w:r>
            <w:r>
              <w:rPr>
                <w:rFonts w:ascii="宋体" w:hAnsi="宋体" w:cs="宋体" w:eastAsia="宋体" w:hint="default"/>
                <w:sz w:val="18"/>
                <w:szCs w:val="18"/>
              </w:rPr>
            </w: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宋体" w:hAnsi="宋体" w:cs="宋体" w:eastAsia="宋体" w:hint="default"/>
                <w:sz w:val="18"/>
                <w:szCs w:val="18"/>
              </w:rPr>
            </w:pPr>
            <w:r>
              <w:rPr>
                <w:rFonts w:ascii="宋体" w:hAnsi="宋体" w:cs="宋体" w:eastAsia="宋体" w:hint="default"/>
                <w:b/>
                <w:bCs/>
                <w:w w:val="95"/>
                <w:sz w:val="18"/>
                <w:szCs w:val="18"/>
              </w:rPr>
              <w:t>截至年末的研发进度</w:t>
            </w:r>
            <w:r>
              <w:rPr>
                <w:rFonts w:ascii="宋体" w:hAnsi="宋体" w:cs="宋体" w:eastAsia="宋体" w:hint="default"/>
                <w:sz w:val="18"/>
                <w:szCs w:val="18"/>
              </w:rPr>
            </w:r>
          </w:p>
        </w:tc>
      </w:tr>
      <w:tr>
        <w:trPr>
          <w:trHeight w:val="322"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移动设备查缉终端</w:t>
            </w:r>
            <w:r>
              <w:rPr>
                <w:rFonts w:ascii="Times New Roman" w:hAnsi="Times New Roman" w:cs="Times New Roman" w:eastAsia="Times New Roman" w:hint="default"/>
                <w:sz w:val="18"/>
                <w:szCs w:val="18"/>
              </w:rPr>
              <w:t>.V3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2004" w:type="dxa"/>
            <w:vMerge w:val="restart"/>
            <w:tcBorders>
              <w:top w:val="single" w:sz="4" w:space="0" w:color="000000"/>
              <w:left w:val="single" w:sz="4" w:space="0" w:color="000000"/>
              <w:right w:val="single" w:sz="4" w:space="0" w:color="000000"/>
            </w:tcBorders>
          </w:tcPr>
          <w:p>
            <w:pPr>
              <w:pStyle w:val="TableParagraph"/>
              <w:spacing w:line="316" w:lineRule="auto" w:before="10"/>
              <w:ind w:left="103" w:right="82"/>
              <w:jc w:val="both"/>
              <w:rPr>
                <w:rFonts w:ascii="宋体" w:hAnsi="宋体" w:cs="宋体" w:eastAsia="宋体" w:hint="default"/>
                <w:sz w:val="18"/>
                <w:szCs w:val="18"/>
              </w:rPr>
            </w:pPr>
            <w:r>
              <w:rPr>
                <w:rFonts w:ascii="宋体" w:hAnsi="宋体" w:cs="宋体" w:eastAsia="宋体" w:hint="default"/>
                <w:spacing w:val="18"/>
                <w:sz w:val="18"/>
                <w:szCs w:val="18"/>
              </w:rPr>
              <w:t>完成研发项目在技术</w:t>
            </w:r>
            <w:r>
              <w:rPr>
                <w:rFonts w:ascii="宋体" w:hAnsi="宋体" w:cs="宋体" w:eastAsia="宋体" w:hint="default"/>
                <w:spacing w:val="-70"/>
                <w:sz w:val="18"/>
                <w:szCs w:val="18"/>
              </w:rPr>
              <w:t> </w:t>
            </w:r>
            <w:r>
              <w:rPr>
                <w:rFonts w:ascii="宋体" w:hAnsi="宋体" w:cs="宋体" w:eastAsia="宋体" w:hint="default"/>
                <w:sz w:val="18"/>
                <w:szCs w:val="18"/>
              </w:rPr>
              <w:t>上具有可行性，项目实</w:t>
            </w:r>
            <w:r>
              <w:rPr>
                <w:rFonts w:ascii="宋体" w:hAnsi="宋体" w:cs="宋体" w:eastAsia="宋体" w:hint="default"/>
                <w:sz w:val="18"/>
                <w:szCs w:val="18"/>
              </w:rPr>
              <w:t> </w:t>
            </w:r>
            <w:r>
              <w:rPr>
                <w:rFonts w:ascii="宋体" w:hAnsi="宋体" w:cs="宋体" w:eastAsia="宋体" w:hint="default"/>
                <w:spacing w:val="18"/>
                <w:sz w:val="18"/>
                <w:szCs w:val="18"/>
              </w:rPr>
              <w:t>施完成后具有较好的</w:t>
            </w:r>
            <w:r>
              <w:rPr>
                <w:rFonts w:ascii="宋体" w:hAnsi="宋体" w:cs="宋体" w:eastAsia="宋体" w:hint="default"/>
                <w:spacing w:val="-70"/>
                <w:sz w:val="18"/>
                <w:szCs w:val="18"/>
              </w:rPr>
              <w:t> </w:t>
            </w:r>
            <w:r>
              <w:rPr>
                <w:rFonts w:ascii="宋体" w:hAnsi="宋体" w:cs="宋体" w:eastAsia="宋体" w:hint="default"/>
                <w:spacing w:val="18"/>
                <w:sz w:val="18"/>
                <w:szCs w:val="18"/>
              </w:rPr>
              <w:t>市场容量和市场占有</w:t>
            </w:r>
            <w:r>
              <w:rPr>
                <w:rFonts w:ascii="宋体" w:hAnsi="宋体" w:cs="宋体" w:eastAsia="宋体" w:hint="default"/>
                <w:spacing w:val="-70"/>
                <w:sz w:val="18"/>
                <w:szCs w:val="18"/>
              </w:rPr>
              <w:t> </w:t>
            </w:r>
            <w:r>
              <w:rPr>
                <w:rFonts w:ascii="宋体" w:hAnsi="宋体" w:cs="宋体" w:eastAsia="宋体" w:hint="default"/>
                <w:sz w:val="18"/>
                <w:szCs w:val="18"/>
              </w:rPr>
              <w:t>率，可以为项目收益提</w:t>
            </w:r>
            <w:r>
              <w:rPr>
                <w:rFonts w:ascii="宋体" w:hAnsi="宋体" w:cs="宋体" w:eastAsia="宋体" w:hint="default"/>
                <w:sz w:val="18"/>
                <w:szCs w:val="18"/>
              </w:rPr>
              <w:t> 供有力保证，同时公司 有足够的技术、财务等 资源的支持，并单独核 算，支出能够可靠的计 量</w:t>
            </w: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处于产品研发阶段</w:t>
            </w:r>
          </w:p>
        </w:tc>
      </w:tr>
      <w:tr>
        <w:trPr>
          <w:trHeight w:val="322"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指挥及内容信息应用系统</w:t>
            </w:r>
            <w:r>
              <w:rPr>
                <w:rFonts w:ascii="Times New Roman" w:hAnsi="Times New Roman" w:cs="Times New Roman" w:eastAsia="Times New Roman" w:hint="default"/>
                <w:sz w:val="18"/>
                <w:szCs w:val="18"/>
              </w:rPr>
              <w:t>.V1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p>
        </w:tc>
        <w:tc>
          <w:tcPr>
            <w:tcW w:w="2004" w:type="dxa"/>
            <w:vMerge/>
            <w:tcBorders>
              <w:left w:val="single" w:sz="4" w:space="0" w:color="000000"/>
              <w:right w:val="single" w:sz="4" w:space="0" w:color="000000"/>
            </w:tcBorders>
          </w:tcPr>
          <w:p>
            <w:pP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处于产品研发阶段</w:t>
            </w:r>
          </w:p>
        </w:tc>
      </w:tr>
      <w:tr>
        <w:trPr>
          <w:trHeight w:val="323"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大数据治理应用平台</w:t>
            </w:r>
            <w:r>
              <w:rPr>
                <w:rFonts w:ascii="Times New Roman" w:hAnsi="Times New Roman" w:cs="Times New Roman" w:eastAsia="Times New Roman" w:hint="default"/>
                <w:sz w:val="18"/>
                <w:szCs w:val="18"/>
              </w:rPr>
              <w:t>.V1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p>
        </w:tc>
        <w:tc>
          <w:tcPr>
            <w:tcW w:w="2004" w:type="dxa"/>
            <w:vMerge/>
            <w:tcBorders>
              <w:left w:val="single" w:sz="4" w:space="0" w:color="000000"/>
              <w:right w:val="single" w:sz="4" w:space="0" w:color="000000"/>
            </w:tcBorders>
          </w:tcPr>
          <w:p>
            <w:pP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hAnsi="宋体" w:cs="宋体" w:eastAsia="宋体" w:hint="default"/>
                <w:sz w:val="18"/>
                <w:szCs w:val="18"/>
              </w:rPr>
              <w:t>处于产品研发阶段</w:t>
            </w:r>
          </w:p>
        </w:tc>
      </w:tr>
      <w:tr>
        <w:trPr>
          <w:trHeight w:val="322"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汽车取证大师</w:t>
            </w:r>
            <w:r>
              <w:rPr>
                <w:rFonts w:ascii="Times New Roman" w:hAnsi="Times New Roman" w:cs="Times New Roman" w:eastAsia="Times New Roman" w:hint="default"/>
                <w:sz w:val="18"/>
                <w:szCs w:val="18"/>
              </w:rPr>
              <w:t>.V1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月</w:t>
            </w:r>
          </w:p>
        </w:tc>
        <w:tc>
          <w:tcPr>
            <w:tcW w:w="2004" w:type="dxa"/>
            <w:vMerge/>
            <w:tcBorders>
              <w:left w:val="single" w:sz="4" w:space="0" w:color="000000"/>
              <w:right w:val="single" w:sz="4" w:space="0" w:color="000000"/>
            </w:tcBorders>
          </w:tcPr>
          <w:p>
            <w:pP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处于产品研发阶段</w:t>
            </w:r>
          </w:p>
        </w:tc>
      </w:tr>
      <w:tr>
        <w:trPr>
          <w:trHeight w:val="322"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智慧管理平台</w:t>
            </w:r>
            <w:r>
              <w:rPr>
                <w:rFonts w:ascii="Times New Roman" w:hAnsi="Times New Roman" w:cs="Times New Roman" w:eastAsia="Times New Roman" w:hint="default"/>
                <w:sz w:val="18"/>
                <w:szCs w:val="18"/>
              </w:rPr>
              <w:t>.V1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月</w:t>
            </w:r>
          </w:p>
        </w:tc>
        <w:tc>
          <w:tcPr>
            <w:tcW w:w="2004" w:type="dxa"/>
            <w:vMerge/>
            <w:tcBorders>
              <w:left w:val="single" w:sz="4" w:space="0" w:color="000000"/>
              <w:right w:val="single" w:sz="4" w:space="0" w:color="000000"/>
            </w:tcBorders>
          </w:tcPr>
          <w:p>
            <w:pP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处于产品研发阶段</w:t>
            </w:r>
          </w:p>
        </w:tc>
      </w:tr>
      <w:tr>
        <w:trPr>
          <w:trHeight w:val="323"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w:t>
            </w:r>
            <w:r>
              <w:rPr>
                <w:rFonts w:ascii="宋体" w:hAnsi="宋体" w:cs="宋体" w:eastAsia="宋体" w:hint="default"/>
                <w:sz w:val="18"/>
                <w:szCs w:val="18"/>
              </w:rPr>
              <w:t>警队政工大数据平台.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V1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9</w:t>
            </w:r>
            <w:r>
              <w:rPr>
                <w:rFonts w:ascii="宋体" w:hAnsi="宋体" w:cs="宋体" w:eastAsia="宋体" w:hint="default"/>
                <w:spacing w:val="-1"/>
                <w:sz w:val="18"/>
                <w:szCs w:val="18"/>
              </w:rPr>
              <w:t>月</w:t>
            </w:r>
          </w:p>
        </w:tc>
        <w:tc>
          <w:tcPr>
            <w:tcW w:w="2004" w:type="dxa"/>
            <w:vMerge/>
            <w:tcBorders>
              <w:left w:val="single" w:sz="4" w:space="0" w:color="000000"/>
              <w:right w:val="single" w:sz="4" w:space="0" w:color="000000"/>
            </w:tcBorders>
          </w:tcPr>
          <w:p>
            <w:pP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hAnsi="宋体" w:cs="宋体" w:eastAsia="宋体" w:hint="default"/>
                <w:sz w:val="18"/>
                <w:szCs w:val="18"/>
              </w:rPr>
              <w:t>处于产品研发阶段</w:t>
            </w:r>
          </w:p>
        </w:tc>
      </w:tr>
      <w:tr>
        <w:trPr>
          <w:trHeight w:val="322"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超级警务通</w:t>
            </w:r>
            <w:r>
              <w:rPr>
                <w:rFonts w:ascii="Times New Roman" w:hAnsi="Times New Roman" w:cs="Times New Roman" w:eastAsia="Times New Roman" w:hint="default"/>
                <w:sz w:val="18"/>
                <w:szCs w:val="18"/>
              </w:rPr>
              <w:t>.V1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p>
        </w:tc>
        <w:tc>
          <w:tcPr>
            <w:tcW w:w="2004" w:type="dxa"/>
            <w:vMerge/>
            <w:tcBorders>
              <w:left w:val="single" w:sz="4" w:space="0" w:color="000000"/>
              <w:right w:val="single" w:sz="4" w:space="0" w:color="000000"/>
            </w:tcBorders>
          </w:tcPr>
          <w:p>
            <w:pP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完结</w:t>
            </w:r>
          </w:p>
        </w:tc>
      </w:tr>
      <w:tr>
        <w:trPr>
          <w:trHeight w:val="322"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电子数据采集分析系统</w:t>
            </w:r>
            <w:r>
              <w:rPr>
                <w:rFonts w:ascii="Times New Roman" w:hAnsi="Times New Roman" w:cs="Times New Roman" w:eastAsia="Times New Roman" w:hint="default"/>
                <w:sz w:val="18"/>
                <w:szCs w:val="18"/>
              </w:rPr>
              <w:t>.V4</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p>
        </w:tc>
        <w:tc>
          <w:tcPr>
            <w:tcW w:w="2004" w:type="dxa"/>
            <w:vMerge/>
            <w:tcBorders>
              <w:left w:val="single" w:sz="4" w:space="0" w:color="000000"/>
              <w:right w:val="single" w:sz="4" w:space="0" w:color="000000"/>
            </w:tcBorders>
          </w:tcPr>
          <w:p>
            <w:pP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完结</w:t>
            </w:r>
          </w:p>
        </w:tc>
      </w:tr>
      <w:tr>
        <w:trPr>
          <w:trHeight w:val="323"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实验室管理系统</w:t>
            </w:r>
            <w:r>
              <w:rPr>
                <w:rFonts w:ascii="Times New Roman" w:hAnsi="Times New Roman" w:cs="Times New Roman" w:eastAsia="Times New Roman" w:hint="default"/>
                <w:sz w:val="18"/>
                <w:szCs w:val="18"/>
              </w:rPr>
              <w:t>.V4</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p>
        </w:tc>
        <w:tc>
          <w:tcPr>
            <w:tcW w:w="2004" w:type="dxa"/>
            <w:vMerge/>
            <w:tcBorders>
              <w:left w:val="single" w:sz="4" w:space="0" w:color="000000"/>
              <w:right w:val="single" w:sz="4" w:space="0" w:color="000000"/>
            </w:tcBorders>
          </w:tcPr>
          <w:p>
            <w:pP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hAnsi="宋体" w:cs="宋体" w:eastAsia="宋体" w:hint="default"/>
                <w:sz w:val="18"/>
                <w:szCs w:val="18"/>
              </w:rPr>
              <w:t>完结</w:t>
            </w:r>
          </w:p>
        </w:tc>
      </w:tr>
      <w:tr>
        <w:trPr>
          <w:trHeight w:val="322"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手机云数据取证系统</w:t>
            </w:r>
            <w:r>
              <w:rPr>
                <w:rFonts w:ascii="Times New Roman" w:hAnsi="Times New Roman" w:cs="Times New Roman" w:eastAsia="Times New Roman" w:hint="default"/>
                <w:sz w:val="18"/>
                <w:szCs w:val="18"/>
              </w:rPr>
              <w:t>.V1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p>
        </w:tc>
        <w:tc>
          <w:tcPr>
            <w:tcW w:w="2004" w:type="dxa"/>
            <w:vMerge/>
            <w:tcBorders>
              <w:left w:val="single" w:sz="4" w:space="0" w:color="000000"/>
              <w:right w:val="single" w:sz="4" w:space="0" w:color="000000"/>
            </w:tcBorders>
          </w:tcPr>
          <w:p>
            <w:pP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完结</w:t>
            </w:r>
          </w:p>
        </w:tc>
      </w:tr>
      <w:tr>
        <w:trPr>
          <w:trHeight w:val="322"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互联网信息应急指挥系统</w:t>
            </w:r>
            <w:r>
              <w:rPr>
                <w:rFonts w:ascii="Times New Roman" w:hAnsi="Times New Roman" w:cs="Times New Roman" w:eastAsia="Times New Roman" w:hint="default"/>
                <w:sz w:val="18"/>
                <w:szCs w:val="18"/>
              </w:rPr>
              <w:t>.V1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tc>
        <w:tc>
          <w:tcPr>
            <w:tcW w:w="2004" w:type="dxa"/>
            <w:vMerge/>
            <w:tcBorders>
              <w:left w:val="single" w:sz="4" w:space="0" w:color="000000"/>
              <w:right w:val="single" w:sz="4" w:space="0" w:color="000000"/>
            </w:tcBorders>
          </w:tcPr>
          <w:p>
            <w:pP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完结</w:t>
            </w:r>
          </w:p>
        </w:tc>
      </w:tr>
      <w:tr>
        <w:trPr>
          <w:trHeight w:val="323"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路由通信系统</w:t>
            </w:r>
            <w:r>
              <w:rPr>
                <w:rFonts w:ascii="Times New Roman" w:hAnsi="Times New Roman" w:cs="Times New Roman" w:eastAsia="Times New Roman" w:hint="default"/>
                <w:sz w:val="18"/>
                <w:szCs w:val="18"/>
              </w:rPr>
              <w:t>.V1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月</w:t>
            </w:r>
          </w:p>
        </w:tc>
        <w:tc>
          <w:tcPr>
            <w:tcW w:w="2004" w:type="dxa"/>
            <w:vMerge/>
            <w:tcBorders>
              <w:left w:val="single" w:sz="4" w:space="0" w:color="000000"/>
              <w:bottom w:val="single" w:sz="4" w:space="0" w:color="000000"/>
              <w:right w:val="single" w:sz="4" w:space="0" w:color="000000"/>
            </w:tcBorders>
          </w:tcPr>
          <w:p>
            <w:pP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hAnsi="宋体" w:cs="宋体" w:eastAsia="宋体" w:hint="default"/>
                <w:sz w:val="18"/>
                <w:szCs w:val="18"/>
              </w:rPr>
              <w:t>完结</w:t>
            </w:r>
          </w:p>
        </w:tc>
      </w:tr>
    </w:tbl>
    <w:p>
      <w:pPr>
        <w:spacing w:line="240" w:lineRule="auto" w:before="1"/>
        <w:rPr>
          <w:rFonts w:ascii="宋体" w:hAnsi="宋体" w:cs="宋体" w:eastAsia="宋体" w:hint="default"/>
          <w:sz w:val="19"/>
          <w:szCs w:val="19"/>
        </w:rPr>
      </w:pPr>
    </w:p>
    <w:p>
      <w:pPr>
        <w:pStyle w:val="Heading3"/>
        <w:spacing w:line="240" w:lineRule="auto" w:before="35"/>
        <w:ind w:left="214" w:right="1021"/>
        <w:jc w:val="left"/>
        <w:rPr>
          <w:b w:val="0"/>
          <w:bCs w:val="0"/>
        </w:rPr>
      </w:pPr>
      <w:r>
        <w:rPr>
          <w:rFonts w:ascii="Times New Roman" w:hAnsi="Times New Roman" w:cs="Times New Roman" w:eastAsia="Times New Roman" w:hint="default"/>
        </w:rPr>
        <w:t>22</w:t>
      </w:r>
      <w:r>
        <w:rPr/>
        <w:t>、商誉</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213" w:right="1021"/>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2836"/>
        <w:gridCol w:w="1560"/>
        <w:gridCol w:w="850"/>
        <w:gridCol w:w="1134"/>
        <w:gridCol w:w="851"/>
        <w:gridCol w:w="972"/>
        <w:gridCol w:w="1367"/>
      </w:tblGrid>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2"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8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2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4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珠海新德汇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43,856,030.99</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43,856,030.99</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江苏税软</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498,346,182.89</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498,346,182.89</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武汉大千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23,426,464.98</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23,426,464.98</w:t>
            </w: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565,628,678.86</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565,628,678.86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20" w:right="0"/>
        </w:sectPr>
      </w:pPr>
    </w:p>
    <w:p>
      <w:pPr>
        <w:spacing w:line="240" w:lineRule="auto" w:before="9"/>
        <w:rPr>
          <w:rFonts w:ascii="宋体" w:hAnsi="宋体" w:cs="宋体" w:eastAsia="宋体" w:hint="default"/>
          <w:sz w:val="24"/>
          <w:szCs w:val="24"/>
        </w:rPr>
      </w:pPr>
    </w:p>
    <w:p>
      <w:pPr>
        <w:pStyle w:val="Heading3"/>
        <w:spacing w:line="240" w:lineRule="auto" w:before="35"/>
        <w:ind w:left="214" w:right="1021"/>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2977"/>
        <w:gridCol w:w="1418"/>
        <w:gridCol w:w="850"/>
        <w:gridCol w:w="1134"/>
        <w:gridCol w:w="992"/>
        <w:gridCol w:w="830"/>
        <w:gridCol w:w="1367"/>
      </w:tblGrid>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33"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8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2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4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武汉大千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0" w:right="0"/>
              <w:jc w:val="left"/>
              <w:rPr>
                <w:rFonts w:ascii="Times New Roman" w:hAnsi="Times New Roman" w:cs="Times New Roman" w:eastAsia="Times New Roman" w:hint="default"/>
                <w:sz w:val="18"/>
                <w:szCs w:val="18"/>
              </w:rPr>
            </w:pPr>
            <w:r>
              <w:rPr>
                <w:rFonts w:ascii="Times New Roman"/>
                <w:sz w:val="18"/>
              </w:rPr>
              <w:t>23,426,464.98</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23,426,464.98</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0" w:right="0"/>
              <w:jc w:val="left"/>
              <w:rPr>
                <w:rFonts w:ascii="Times New Roman" w:hAnsi="Times New Roman" w:cs="Times New Roman" w:eastAsia="Times New Roman" w:hint="default"/>
                <w:sz w:val="18"/>
                <w:szCs w:val="18"/>
              </w:rPr>
            </w:pPr>
            <w:r>
              <w:rPr>
                <w:rFonts w:ascii="Times New Roman"/>
                <w:sz w:val="18"/>
              </w:rPr>
              <w:t>23,426,464.98</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23,426,464.98</w:t>
            </w:r>
          </w:p>
        </w:tc>
      </w:tr>
    </w:tbl>
    <w:p>
      <w:pPr>
        <w:spacing w:line="316" w:lineRule="auto" w:before="51"/>
        <w:ind w:left="214" w:right="1123" w:firstLine="0"/>
        <w:jc w:val="left"/>
        <w:rPr>
          <w:rFonts w:ascii="宋体" w:hAnsi="宋体" w:cs="宋体" w:eastAsia="宋体" w:hint="default"/>
          <w:sz w:val="18"/>
          <w:szCs w:val="18"/>
        </w:rPr>
      </w:pPr>
      <w:r>
        <w:rPr>
          <w:rFonts w:ascii="宋体" w:hAnsi="宋体" w:cs="宋体" w:eastAsia="宋体" w:hint="default"/>
          <w:spacing w:val="-2"/>
          <w:sz w:val="18"/>
          <w:szCs w:val="18"/>
        </w:rPr>
        <w:t>说明：本集团聘请北京国融兴华资产评估有限责任公司对本公司并购江苏税软、珠海新德汇所形成的商誉进行减值测试，并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pacing w:val="-2"/>
          <w:sz w:val="18"/>
          <w:szCs w:val="18"/>
        </w:rPr>
        <w:t>日对江苏税软、珠海新德汇分别出具了“国融兴华评报字</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020020</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号”评估报告、“国融兴华评报</w:t>
      </w:r>
    </w:p>
    <w:p>
      <w:pPr>
        <w:spacing w:line="248" w:lineRule="exact" w:before="0"/>
        <w:ind w:left="214" w:right="1021" w:firstLine="0"/>
        <w:jc w:val="left"/>
        <w:rPr>
          <w:rFonts w:ascii="宋体" w:hAnsi="宋体" w:cs="宋体" w:eastAsia="宋体" w:hint="default"/>
          <w:sz w:val="18"/>
          <w:szCs w:val="18"/>
        </w:rPr>
      </w:pPr>
      <w:r>
        <w:rPr>
          <w:rFonts w:ascii="宋体" w:hAnsi="宋体" w:cs="宋体" w:eastAsia="宋体" w:hint="default"/>
          <w:sz w:val="18"/>
          <w:szCs w:val="18"/>
        </w:rPr>
        <w:t>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020019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号”评估报告，根据评估报告结果，江苏税软评估价值为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60,900.00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万元，商誉所对应资产组涉及的金额</w:t>
      </w:r>
    </w:p>
    <w:p>
      <w:pPr>
        <w:spacing w:before="63"/>
        <w:ind w:left="214" w:right="1021" w:firstLine="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7,249.51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万元，商誉与资产组合计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57,084.13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万元，评估值高于商誉与资产组的合计金额，本公司溢价收购江苏税软所形</w:t>
      </w:r>
    </w:p>
    <w:p>
      <w:pPr>
        <w:spacing w:before="63"/>
        <w:ind w:left="214" w:right="0" w:firstLine="0"/>
        <w:jc w:val="left"/>
        <w:rPr>
          <w:rFonts w:ascii="宋体" w:hAnsi="宋体" w:cs="宋体" w:eastAsia="宋体" w:hint="default"/>
          <w:sz w:val="18"/>
          <w:szCs w:val="18"/>
        </w:rPr>
      </w:pPr>
      <w:r>
        <w:rPr>
          <w:rFonts w:ascii="宋体" w:hAnsi="宋体" w:cs="宋体" w:eastAsia="宋体" w:hint="default"/>
          <w:sz w:val="18"/>
          <w:szCs w:val="18"/>
        </w:rPr>
        <w:t>成的商誉未发生减值情况；珠海新德汇评估价值为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63,000.00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万元，商誉所对应资产组涉及的资产组金额为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21,978.15</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万元，</w:t>
      </w:r>
    </w:p>
    <w:p>
      <w:pPr>
        <w:spacing w:line="302" w:lineRule="auto" w:before="63"/>
        <w:ind w:left="214" w:right="1122" w:firstLine="0"/>
        <w:jc w:val="left"/>
        <w:rPr>
          <w:rFonts w:ascii="宋体" w:hAnsi="宋体" w:cs="宋体" w:eastAsia="宋体" w:hint="default"/>
          <w:sz w:val="18"/>
          <w:szCs w:val="18"/>
        </w:rPr>
      </w:pPr>
      <w:r>
        <w:rPr>
          <w:rFonts w:ascii="宋体" w:hAnsi="宋体" w:cs="宋体" w:eastAsia="宋体" w:hint="default"/>
          <w:sz w:val="18"/>
          <w:szCs w:val="18"/>
        </w:rPr>
        <w:t>商誉与资产组合计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26,363.76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万元，评估值高于商誉与资产组的合计金额，本公司溢价收购珠海新德汇所形成的商誉未发生 减值情况。</w:t>
      </w:r>
    </w:p>
    <w:p>
      <w:pPr>
        <w:spacing w:before="69"/>
        <w:ind w:left="214" w:right="1021" w:firstLine="0"/>
        <w:jc w:val="left"/>
        <w:rPr>
          <w:rFonts w:ascii="宋体" w:hAnsi="宋体" w:cs="宋体" w:eastAsia="宋体" w:hint="default"/>
          <w:sz w:val="18"/>
          <w:szCs w:val="18"/>
        </w:rPr>
      </w:pPr>
      <w:r>
        <w:rPr>
          <w:rFonts w:ascii="宋体" w:hAnsi="宋体" w:cs="宋体" w:eastAsia="宋体" w:hint="default"/>
          <w:sz w:val="18"/>
          <w:szCs w:val="18"/>
        </w:rPr>
        <w:t>本公司溢价收购武汉大千所形成的商誉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23,426,464.98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年全部减值完毕。</w:t>
      </w:r>
    </w:p>
    <w:p>
      <w:pPr>
        <w:spacing w:line="324" w:lineRule="auto" w:before="103"/>
        <w:ind w:left="214" w:right="103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）商誉所在资产组或资产组组合的相关信息 </w:t>
      </w:r>
      <w:r>
        <w:rPr>
          <w:rFonts w:ascii="宋体" w:hAnsi="宋体" w:cs="宋体" w:eastAsia="宋体" w:hint="default"/>
          <w:spacing w:val="-2"/>
          <w:sz w:val="18"/>
          <w:szCs w:val="18"/>
        </w:rPr>
        <w:t>本公司收购武汉大千形成的商誉已全额计提减值，无需列入商誉减值测试范围。江苏税软的资产组为流动资产、长期股权投</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资、固定资产、无形资产和相关负债；珠海新德汇的资产组为流动资产、固定资产、无形资产、长期待摊费用和相关负债， 资产组账面金额列示如下：</w:t>
      </w:r>
    </w:p>
    <w:p>
      <w:pPr>
        <w:spacing w:line="240" w:lineRule="auto" w:before="2"/>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1476"/>
        <w:gridCol w:w="1610"/>
        <w:gridCol w:w="1828"/>
        <w:gridCol w:w="1840"/>
        <w:gridCol w:w="2106"/>
      </w:tblGrid>
      <w:tr>
        <w:trPr>
          <w:trHeight w:val="324" w:hRule="exact"/>
        </w:trPr>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sz w:val="18"/>
                <w:szCs w:val="18"/>
              </w:rPr>
              <w:t>江苏税软</w:t>
            </w:r>
            <w:r>
              <w:rPr>
                <w:rFonts w:ascii="宋体" w:hAnsi="宋体" w:cs="宋体" w:eastAsia="宋体" w:hint="default"/>
                <w:sz w:val="18"/>
                <w:szCs w:val="18"/>
              </w:rPr>
            </w:r>
          </w:p>
        </w:tc>
        <w:tc>
          <w:tcPr>
            <w:tcW w:w="39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珠海新德汇</w:t>
            </w:r>
            <w:r>
              <w:rPr>
                <w:rFonts w:ascii="宋体" w:hAnsi="宋体" w:cs="宋体" w:eastAsia="宋体" w:hint="default"/>
                <w:sz w:val="18"/>
                <w:szCs w:val="18"/>
              </w:rPr>
            </w:r>
          </w:p>
        </w:tc>
      </w:tr>
      <w:tr>
        <w:trPr>
          <w:trHeight w:val="557" w:hRule="exact"/>
        </w:trPr>
        <w:tc>
          <w:tcPr>
            <w:tcW w:w="1476" w:type="dxa"/>
            <w:vMerge/>
            <w:tcBorders>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39" w:right="0"/>
              <w:jc w:val="left"/>
              <w:rPr>
                <w:rFonts w:ascii="宋体" w:hAnsi="宋体" w:cs="宋体" w:eastAsia="宋体" w:hint="default"/>
                <w:sz w:val="18"/>
                <w:szCs w:val="18"/>
              </w:rPr>
            </w:pPr>
            <w:r>
              <w:rPr>
                <w:rFonts w:ascii="宋体" w:hAnsi="宋体" w:cs="宋体" w:eastAsia="宋体" w:hint="default"/>
                <w:b/>
                <w:bCs/>
                <w:sz w:val="18"/>
                <w:szCs w:val="18"/>
              </w:rPr>
              <w:t>账面金额</w:t>
            </w:r>
            <w:r>
              <w:rPr>
                <w:rFonts w:ascii="宋体" w:hAnsi="宋体" w:cs="宋体" w:eastAsia="宋体" w:hint="default"/>
                <w:sz w:val="18"/>
                <w:szCs w:val="18"/>
              </w:rPr>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18" w:right="185" w:hanging="633"/>
              <w:jc w:val="left"/>
              <w:rPr>
                <w:rFonts w:ascii="宋体" w:hAnsi="宋体" w:cs="宋体" w:eastAsia="宋体" w:hint="default"/>
                <w:sz w:val="18"/>
                <w:szCs w:val="18"/>
              </w:rPr>
            </w:pPr>
            <w:r>
              <w:rPr>
                <w:rFonts w:ascii="宋体" w:hAnsi="宋体" w:cs="宋体" w:eastAsia="宋体" w:hint="default"/>
                <w:b/>
                <w:bCs/>
                <w:sz w:val="18"/>
                <w:szCs w:val="18"/>
              </w:rPr>
              <w:t>商誉对应资产组价</w:t>
            </w:r>
            <w:r>
              <w:rPr>
                <w:rFonts w:ascii="宋体" w:hAnsi="宋体" w:cs="宋体" w:eastAsia="宋体" w:hint="default"/>
                <w:b/>
                <w:bCs/>
                <w:w w:val="99"/>
                <w:sz w:val="18"/>
                <w:szCs w:val="18"/>
              </w:rPr>
              <w:t> </w:t>
            </w:r>
            <w:r>
              <w:rPr>
                <w:rFonts w:ascii="宋体" w:hAnsi="宋体" w:cs="宋体" w:eastAsia="宋体" w:hint="default"/>
                <w:b/>
                <w:bCs/>
                <w:sz w:val="18"/>
                <w:szCs w:val="18"/>
              </w:rPr>
              <w:t>值</w:t>
            </w:r>
            <w:r>
              <w:rPr>
                <w:rFonts w:ascii="宋体" w:hAnsi="宋体" w:cs="宋体" w:eastAsia="宋体" w:hint="default"/>
                <w:sz w:val="18"/>
                <w:szCs w:val="18"/>
              </w:rPr>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53" w:right="0"/>
              <w:jc w:val="left"/>
              <w:rPr>
                <w:rFonts w:ascii="宋体" w:hAnsi="宋体" w:cs="宋体" w:eastAsia="宋体" w:hint="default"/>
                <w:sz w:val="18"/>
                <w:szCs w:val="18"/>
              </w:rPr>
            </w:pPr>
            <w:r>
              <w:rPr>
                <w:rFonts w:ascii="宋体" w:hAnsi="宋体" w:cs="宋体" w:eastAsia="宋体" w:hint="default"/>
                <w:b/>
                <w:bCs/>
                <w:sz w:val="18"/>
                <w:szCs w:val="18"/>
              </w:rPr>
              <w:t>账面金额</w:t>
            </w:r>
            <w:r>
              <w:rPr>
                <w:rFonts w:ascii="宋体" w:hAnsi="宋体" w:cs="宋体" w:eastAsia="宋体" w:hint="default"/>
                <w:sz w:val="18"/>
                <w:szCs w:val="18"/>
              </w:rPr>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4" w:right="0"/>
              <w:jc w:val="left"/>
              <w:rPr>
                <w:rFonts w:ascii="宋体" w:hAnsi="宋体" w:cs="宋体" w:eastAsia="宋体" w:hint="default"/>
                <w:sz w:val="18"/>
                <w:szCs w:val="18"/>
              </w:rPr>
            </w:pPr>
            <w:r>
              <w:rPr>
                <w:rFonts w:ascii="宋体" w:hAnsi="宋体" w:cs="宋体" w:eastAsia="宋体" w:hint="default"/>
                <w:b/>
                <w:bCs/>
                <w:sz w:val="18"/>
                <w:szCs w:val="18"/>
              </w:rPr>
              <w:t>商誉对应资产组价值</w:t>
            </w:r>
            <w:r>
              <w:rPr>
                <w:rFonts w:ascii="宋体" w:hAnsi="宋体" w:cs="宋体" w:eastAsia="宋体" w:hint="default"/>
                <w:sz w:val="18"/>
                <w:szCs w:val="18"/>
              </w:rPr>
            </w:r>
          </w:p>
        </w:tc>
      </w:tr>
      <w:tr>
        <w:trPr>
          <w:trHeight w:val="323"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148,953,863.69</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84,179,604.12</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402,471,446.22</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402,471,446.22</w:t>
            </w:r>
          </w:p>
        </w:tc>
      </w:tr>
      <w:tr>
        <w:trPr>
          <w:trHeight w:val="324"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4,250,000.00</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4,250,000.00</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hAnsi="宋体" w:cs="宋体" w:eastAsia="宋体" w:hint="default"/>
                <w:sz w:val="18"/>
                <w:szCs w:val="18"/>
              </w:rPr>
              <w:t>－</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323"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1,354,778.94</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1,354,778.94</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2,080,020.46</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2,080,020.46</w:t>
            </w:r>
          </w:p>
        </w:tc>
      </w:tr>
      <w:tr>
        <w:trPr>
          <w:trHeight w:val="324"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185,136.88</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185,136.88</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4,678,747.78</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4,678,747.78</w:t>
            </w:r>
          </w:p>
        </w:tc>
      </w:tr>
      <w:tr>
        <w:trPr>
          <w:trHeight w:val="324"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15,739,330.32</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15,739,330.32</w:t>
            </w:r>
          </w:p>
        </w:tc>
      </w:tr>
      <w:tr>
        <w:trPr>
          <w:trHeight w:val="323"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1,060,437.50</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1,060,437.50</w:t>
            </w:r>
          </w:p>
        </w:tc>
      </w:tr>
      <w:tr>
        <w:trPr>
          <w:trHeight w:val="324"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528,459.43</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5,591,916.48</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323"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17,961,374.04</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17,474,411.38</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206,248,461.04</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206,248,461.04</w:t>
            </w:r>
          </w:p>
        </w:tc>
      </w:tr>
      <w:tr>
        <w:trPr>
          <w:trHeight w:val="324"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资产组金额</w:t>
            </w:r>
            <w:r>
              <w:rPr>
                <w:rFonts w:ascii="宋体" w:hAnsi="宋体" w:cs="宋体" w:eastAsia="宋体" w:hint="default"/>
                <w:sz w:val="18"/>
                <w:szCs w:val="18"/>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b/>
                <w:w w:val="95"/>
                <w:sz w:val="18"/>
              </w:rPr>
              <w:t>137,310,864.90</w:t>
            </w:r>
            <w:r>
              <w:rPr>
                <w:rFonts w:ascii="宋体"/>
                <w:sz w:val="18"/>
              </w:rPr>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b/>
                <w:w w:val="95"/>
                <w:sz w:val="18"/>
              </w:rPr>
              <w:t>72,495,108.56</w:t>
            </w:r>
            <w:r>
              <w:rPr>
                <w:rFonts w:ascii="宋体"/>
                <w:sz w:val="18"/>
              </w:rPr>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b/>
                <w:w w:val="95"/>
                <w:sz w:val="18"/>
              </w:rPr>
              <w:t>225,373,437.72</w:t>
            </w:r>
            <w:r>
              <w:rPr>
                <w:rFonts w:ascii="宋体"/>
                <w:sz w:val="18"/>
              </w:rPr>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b/>
                <w:w w:val="95"/>
                <w:sz w:val="18"/>
              </w:rPr>
              <w:t>219,781,521.24</w:t>
            </w:r>
            <w:r>
              <w:rPr>
                <w:rFonts w:ascii="宋体"/>
                <w:sz w:val="18"/>
              </w:rPr>
            </w:r>
          </w:p>
        </w:tc>
      </w:tr>
    </w:tbl>
    <w:p>
      <w:pPr>
        <w:spacing w:line="314" w:lineRule="auto" w:before="51"/>
        <w:ind w:left="213" w:right="1129" w:firstLine="0"/>
        <w:jc w:val="both"/>
        <w:rPr>
          <w:rFonts w:ascii="宋体" w:hAnsi="宋体" w:cs="宋体" w:eastAsia="宋体" w:hint="default"/>
          <w:sz w:val="18"/>
          <w:szCs w:val="18"/>
        </w:rPr>
      </w:pPr>
      <w:r>
        <w:rPr>
          <w:rFonts w:ascii="宋体" w:hAnsi="宋体" w:cs="宋体" w:eastAsia="宋体" w:hint="default"/>
          <w:spacing w:val="-2"/>
          <w:sz w:val="18"/>
          <w:szCs w:val="18"/>
        </w:rPr>
        <w:t>资产组确认方法：①本公司并购江苏税软股权，当初的并购定价是基于市场价值基础的定价，资产组包含在江苏税软相关的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经营性资产、负债中。江苏税软商誉对应资产组价值小于账面金额，原因为江苏税软所需运营资金少于货币资金的金额，以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及应收利息、递延所得资产为非经营性资产需从资产组合中扣除，扣除金额合计 </w:t>
      </w:r>
      <w:r>
        <w:rPr>
          <w:rFonts w:ascii="Times New Roman" w:hAnsi="Times New Roman" w:cs="Times New Roman" w:eastAsia="Times New Roman" w:hint="default"/>
          <w:sz w:val="18"/>
          <w:szCs w:val="18"/>
        </w:rPr>
        <w:t>64,815,756.34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元。本年确定资产组合时扣 </w:t>
      </w:r>
      <w:r>
        <w:rPr>
          <w:rFonts w:ascii="宋体" w:hAnsi="宋体" w:cs="宋体" w:eastAsia="宋体" w:hint="default"/>
          <w:spacing w:val="-2"/>
          <w:sz w:val="18"/>
          <w:szCs w:val="18"/>
        </w:rPr>
        <w:t>除与经营资产、负债无关的金额，同时在预测现金流量时扣除与经营性资产无关的现金流量，与购买日、以前年度商誉减值</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测试时所确定的资产组一致。</w:t>
      </w:r>
    </w:p>
    <w:p>
      <w:pPr>
        <w:spacing w:line="312" w:lineRule="auto" w:before="60"/>
        <w:ind w:left="213" w:right="1130" w:firstLine="0"/>
        <w:jc w:val="both"/>
        <w:rPr>
          <w:rFonts w:ascii="宋体" w:hAnsi="宋体" w:cs="宋体" w:eastAsia="宋体" w:hint="default"/>
          <w:sz w:val="18"/>
          <w:szCs w:val="18"/>
        </w:rPr>
      </w:pPr>
      <w:r>
        <w:rPr>
          <w:rFonts w:ascii="宋体" w:hAnsi="宋体" w:cs="宋体" w:eastAsia="宋体" w:hint="default"/>
          <w:spacing w:val="-2"/>
          <w:sz w:val="18"/>
          <w:szCs w:val="18"/>
        </w:rPr>
        <w:t>②本公司并购珠海新德汇股权，当初的并购定价是基于市场价值基础的定价，因此资产组包含在珠海新德汇相关的经营性资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产、负债中。珠海新德汇商誉对应资产组价值小于账面金额，原因为珠海新德汇递延所得资产为非经营性资产需从资产组合</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中扣除，扣除金额合计</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5,591,916.48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元。本年确定资产组合时扣除与经营资产、负债无关的金额，同时在预测现金流量时扣 除与经营性资产无关的现金流量，与购买日、以前年度商誉减值测试时所确定的资产组一致。</w:t>
      </w:r>
    </w:p>
    <w:p>
      <w:pPr>
        <w:spacing w:before="62"/>
        <w:ind w:left="213"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）商誉减值测试方法</w:t>
      </w:r>
    </w:p>
    <w:p>
      <w:pPr>
        <w:spacing w:before="101"/>
        <w:ind w:left="213" w:right="0" w:firstLine="0"/>
        <w:jc w:val="both"/>
        <w:rPr>
          <w:rFonts w:ascii="宋体" w:hAnsi="宋体" w:cs="宋体" w:eastAsia="宋体" w:hint="default"/>
          <w:sz w:val="18"/>
          <w:szCs w:val="18"/>
        </w:rPr>
      </w:pPr>
      <w:r>
        <w:rPr>
          <w:rFonts w:ascii="宋体" w:hAnsi="宋体" w:cs="宋体" w:eastAsia="宋体" w:hint="default"/>
          <w:sz w:val="18"/>
          <w:szCs w:val="18"/>
        </w:rPr>
        <w:t>公司收购武汉大千形成的商誉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年已全额计提减值，故未计入本次商誉减值测试。本集团采用预计未来现金流现值的方</w:t>
      </w:r>
    </w:p>
    <w:p>
      <w:pPr>
        <w:spacing w:before="63"/>
        <w:ind w:left="214" w:right="0" w:firstLine="0"/>
        <w:jc w:val="both"/>
        <w:rPr>
          <w:rFonts w:ascii="宋体" w:hAnsi="宋体" w:cs="宋体" w:eastAsia="宋体" w:hint="default"/>
          <w:sz w:val="18"/>
          <w:szCs w:val="18"/>
        </w:rPr>
      </w:pPr>
      <w:r>
        <w:rPr>
          <w:rFonts w:ascii="宋体" w:hAnsi="宋体" w:cs="宋体" w:eastAsia="宋体" w:hint="default"/>
          <w:spacing w:val="-2"/>
          <w:sz w:val="18"/>
          <w:szCs w:val="18"/>
        </w:rPr>
        <w:t>法计算资产组的可收回金额。本集团根据管理层批准的财务预算预计未来</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2"/>
          <w:sz w:val="18"/>
          <w:szCs w:val="18"/>
        </w:rPr>
        <w:t> </w:t>
      </w:r>
      <w:r>
        <w:rPr>
          <w:rFonts w:ascii="宋体" w:hAnsi="宋体" w:cs="宋体" w:eastAsia="宋体" w:hint="default"/>
          <w:spacing w:val="-2"/>
          <w:sz w:val="18"/>
          <w:szCs w:val="18"/>
        </w:rPr>
        <w:t>年内现金流量，其后年度采用的现金流量增长率</w:t>
      </w:r>
    </w:p>
    <w:p>
      <w:pPr>
        <w:spacing w:after="0"/>
        <w:jc w:val="both"/>
        <w:rPr>
          <w:rFonts w:ascii="宋体" w:hAnsi="宋体" w:cs="宋体" w:eastAsia="宋体" w:hint="default"/>
          <w:sz w:val="18"/>
          <w:szCs w:val="18"/>
        </w:rPr>
        <w:sectPr>
          <w:pgSz w:w="11910" w:h="16840"/>
          <w:pgMar w:header="747" w:footer="982" w:top="1060" w:bottom="1180" w:left="920" w:right="0"/>
        </w:sectPr>
      </w:pPr>
    </w:p>
    <w:p>
      <w:pPr>
        <w:spacing w:line="240" w:lineRule="auto" w:before="12"/>
        <w:rPr>
          <w:rFonts w:ascii="宋体" w:hAnsi="宋体" w:cs="宋体" w:eastAsia="宋体" w:hint="default"/>
          <w:sz w:val="25"/>
          <w:szCs w:val="25"/>
        </w:rPr>
      </w:pPr>
    </w:p>
    <w:p>
      <w:pPr>
        <w:spacing w:line="300" w:lineRule="auto" w:before="44"/>
        <w:ind w:left="153" w:right="1130" w:firstLine="0"/>
        <w:jc w:val="both"/>
        <w:rPr>
          <w:rFonts w:ascii="宋体" w:hAnsi="宋体" w:cs="宋体" w:eastAsia="宋体" w:hint="default"/>
          <w:sz w:val="18"/>
          <w:szCs w:val="18"/>
        </w:rPr>
      </w:pPr>
      <w:r>
        <w:rPr>
          <w:rFonts w:ascii="宋体" w:hAnsi="宋体" w:cs="宋体" w:eastAsia="宋体" w:hint="default"/>
          <w:sz w:val="18"/>
          <w:szCs w:val="18"/>
        </w:rPr>
        <w:t>预计为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（上期：</w:t>
      </w:r>
      <w:r>
        <w:rPr>
          <w:rFonts w:ascii="Times New Roman" w:hAnsi="Times New Roman" w:cs="Times New Roman" w:eastAsia="Times New Roman" w:hint="default"/>
          <w:sz w:val="18"/>
          <w:szCs w:val="18"/>
        </w:rPr>
        <w:t>0%</w:t>
      </w:r>
      <w:r>
        <w:rPr>
          <w:rFonts w:ascii="宋体" w:hAnsi="宋体" w:cs="宋体" w:eastAsia="宋体" w:hint="default"/>
          <w:spacing w:val="-90"/>
          <w:sz w:val="18"/>
          <w:szCs w:val="18"/>
        </w:rPr>
        <w:t>）</w:t>
      </w:r>
      <w:r>
        <w:rPr>
          <w:rFonts w:ascii="宋体" w:hAnsi="宋体" w:cs="宋体" w:eastAsia="宋体" w:hint="default"/>
          <w:sz w:val="18"/>
          <w:szCs w:val="18"/>
        </w:rPr>
        <w:t>，不会超过资产组经营业务的长期平均增长率。管理层根据过往表现及其对市场发展的预期编制上</w:t>
      </w:r>
      <w:r>
        <w:rPr>
          <w:rFonts w:ascii="宋体" w:hAnsi="宋体" w:cs="宋体" w:eastAsia="宋体" w:hint="default"/>
          <w:sz w:val="18"/>
          <w:szCs w:val="18"/>
        </w:rPr>
        <w:t> 述财务预算</w:t>
      </w:r>
      <w:r>
        <w:rPr>
          <w:rFonts w:ascii="宋体" w:hAnsi="宋体" w:cs="宋体" w:eastAsia="宋体" w:hint="default"/>
          <w:spacing w:val="-14"/>
          <w:sz w:val="18"/>
          <w:szCs w:val="18"/>
        </w:rPr>
        <w:t>。</w:t>
      </w:r>
      <w:r>
        <w:rPr>
          <w:rFonts w:ascii="宋体" w:hAnsi="宋体" w:cs="宋体" w:eastAsia="宋体" w:hint="default"/>
          <w:sz w:val="18"/>
          <w:szCs w:val="18"/>
        </w:rPr>
        <w:t>计算未来现金流现值所采用的税前折现率为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14.79</w:t>
      </w:r>
      <w:r>
        <w:rPr>
          <w:rFonts w:ascii="Times New Roman" w:hAnsi="Times New Roman" w:cs="Times New Roman" w:eastAsia="Times New Roman" w:hint="default"/>
          <w:spacing w:val="-14"/>
          <w:sz w:val="18"/>
          <w:szCs w:val="18"/>
        </w:rPr>
        <w:t>%</w:t>
      </w:r>
      <w:r>
        <w:rPr>
          <w:rFonts w:ascii="宋体" w:hAnsi="宋体" w:cs="宋体" w:eastAsia="宋体" w:hint="default"/>
          <w:sz w:val="18"/>
          <w:szCs w:val="18"/>
        </w:rPr>
        <w:t>（上期</w:t>
      </w:r>
      <w:r>
        <w:rPr>
          <w:rFonts w:ascii="宋体" w:hAnsi="宋体" w:cs="宋体" w:eastAsia="宋体" w:hint="default"/>
          <w:spacing w:val="-14"/>
          <w:sz w:val="18"/>
          <w:szCs w:val="18"/>
        </w:rPr>
        <w:t>：</w:t>
      </w:r>
      <w:r>
        <w:rPr>
          <w:rFonts w:ascii="Times New Roman" w:hAnsi="Times New Roman" w:cs="Times New Roman" w:eastAsia="Times New Roman" w:hint="default"/>
          <w:sz w:val="18"/>
          <w:szCs w:val="18"/>
        </w:rPr>
        <w:t>15.72%</w:t>
      </w:r>
      <w:r>
        <w:rPr>
          <w:rFonts w:ascii="宋体" w:hAnsi="宋体" w:cs="宋体" w:eastAsia="宋体" w:hint="default"/>
          <w:spacing w:val="-90"/>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已反映了相对于有关的风险</w:t>
      </w:r>
      <w:r>
        <w:rPr>
          <w:rFonts w:ascii="宋体" w:hAnsi="宋体" w:cs="宋体" w:eastAsia="宋体" w:hint="default"/>
          <w:spacing w:val="-14"/>
          <w:sz w:val="18"/>
          <w:szCs w:val="18"/>
        </w:rPr>
        <w:t>。</w:t>
      </w:r>
      <w:r>
        <w:rPr>
          <w:rFonts w:ascii="宋体" w:hAnsi="宋体" w:cs="宋体" w:eastAsia="宋体" w:hint="default"/>
          <w:sz w:val="18"/>
          <w:szCs w:val="18"/>
        </w:rPr>
        <w:t>根据减值</w:t>
      </w:r>
      <w:r>
        <w:rPr>
          <w:rFonts w:ascii="宋体" w:hAnsi="宋体" w:cs="宋体" w:eastAsia="宋体" w:hint="default"/>
          <w:sz w:val="18"/>
          <w:szCs w:val="18"/>
        </w:rPr>
        <w:t> 测试的结果，江苏税软和珠海新德汇本期期末商誉未发生减值（上期期末：无</w:t>
      </w:r>
      <w:r>
        <w:rPr>
          <w:rFonts w:ascii="宋体" w:hAnsi="宋体" w:cs="宋体" w:eastAsia="宋体" w:hint="default"/>
          <w:spacing w:val="-90"/>
          <w:sz w:val="18"/>
          <w:szCs w:val="18"/>
        </w:rPr>
        <w:t>）</w:t>
      </w:r>
      <w:r>
        <w:rPr>
          <w:rFonts w:ascii="宋体" w:hAnsi="宋体" w:cs="宋体" w:eastAsia="宋体" w:hint="default"/>
          <w:sz w:val="18"/>
          <w:szCs w:val="18"/>
        </w:rPr>
        <w:t>。</w:t>
      </w:r>
    </w:p>
    <w:p>
      <w:pPr>
        <w:spacing w:line="240" w:lineRule="auto" w:before="4"/>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10"/>
        <w:gridCol w:w="1560"/>
        <w:gridCol w:w="1417"/>
        <w:gridCol w:w="1277"/>
        <w:gridCol w:w="1308"/>
        <w:gridCol w:w="1595"/>
      </w:tblGrid>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3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9"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租入固定资产改良支出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13,993,392.51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8,868,588.35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7,095,149.23</w:t>
            </w:r>
          </w:p>
        </w:tc>
        <w:tc>
          <w:tcPr>
            <w:tcW w:w="130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15,766,831.63</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13,993,392.51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8,868,588.35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7,095,149.23</w:t>
            </w:r>
          </w:p>
        </w:tc>
        <w:tc>
          <w:tcPr>
            <w:tcW w:w="130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15,766,831.63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109,461,083.28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12,430,082.12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90,508,730.97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10,043,904.43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27,196,618.42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3,007,931.53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43,987,030.69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5,151,518.24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9,748,334.00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1,387,736.83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17,012,738.19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2,510,423.70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57,763,091.84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5,776,309.18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56,673,264.63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5,667,326.46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27,699,101.81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2,999,910.18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21,669,515.04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2,406,951.50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84,190,793.60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9,469,814.70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124,482,516.21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14,193,762.05</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316,059,022.95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35,071,784.54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354,333,795.73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39,973,886.38</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77"/>
        <w:gridCol w:w="2126"/>
        <w:gridCol w:w="1560"/>
        <w:gridCol w:w="1559"/>
        <w:gridCol w:w="1348"/>
      </w:tblGrid>
      <w:tr>
        <w:trPr>
          <w:trHeight w:val="206" w:hRule="exact"/>
        </w:trPr>
        <w:tc>
          <w:tcPr>
            <w:tcW w:w="2977" w:type="dxa"/>
            <w:tcBorders>
              <w:top w:val="single" w:sz="4" w:space="0" w:color="000000"/>
              <w:left w:val="single" w:sz="4" w:space="0" w:color="000000"/>
              <w:bottom w:val="nil" w:sz="6" w:space="0" w:color="auto"/>
              <w:right w:val="single" w:sz="4" w:space="0" w:color="000000"/>
            </w:tcBorders>
            <w:shd w:val="clear" w:color="auto" w:fill="D3D3D3"/>
          </w:tcPr>
          <w:p>
            <w:pPr/>
          </w:p>
        </w:tc>
        <w:tc>
          <w:tcPr>
            <w:tcW w:w="368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0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297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86" w:type="dxa"/>
            <w:gridSpan w:val="2"/>
            <w:vMerge/>
            <w:tcBorders>
              <w:left w:val="single" w:sz="4" w:space="0" w:color="000000"/>
              <w:bottom w:val="single" w:sz="4" w:space="0" w:color="000000"/>
              <w:right w:val="single" w:sz="4" w:space="0" w:color="000000"/>
            </w:tcBorders>
            <w:shd w:val="clear" w:color="auto" w:fill="D3D3D3"/>
          </w:tcPr>
          <w:p>
            <w:pPr/>
          </w:p>
        </w:tc>
        <w:tc>
          <w:tcPr>
            <w:tcW w:w="2906"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977" w:type="dxa"/>
            <w:vMerge/>
            <w:tcBorders>
              <w:left w:val="single" w:sz="4" w:space="0" w:color="000000"/>
              <w:bottom w:val="nil" w:sz="6" w:space="0" w:color="auto"/>
              <w:right w:val="single" w:sz="4" w:space="0" w:color="000000"/>
            </w:tcBorders>
            <w:shd w:val="clear" w:color="auto" w:fill="D3D3D3"/>
          </w:tcPr>
          <w:p>
            <w:pPr/>
          </w:p>
        </w:tc>
        <w:tc>
          <w:tcPr>
            <w:tcW w:w="21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37"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5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5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34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2977" w:type="dxa"/>
            <w:tcBorders>
              <w:top w:val="nil" w:sz="6" w:space="0" w:color="auto"/>
              <w:left w:val="single" w:sz="4" w:space="0" w:color="000000"/>
              <w:bottom w:val="single" w:sz="4" w:space="0" w:color="000000"/>
              <w:right w:val="single" w:sz="4" w:space="0" w:color="000000"/>
            </w:tcBorders>
            <w:shd w:val="clear" w:color="auto" w:fill="D3D3D3"/>
          </w:tcPr>
          <w:p>
            <w:pPr/>
          </w:p>
        </w:tc>
        <w:tc>
          <w:tcPr>
            <w:tcW w:w="2126" w:type="dxa"/>
            <w:vMerge/>
            <w:tcBorders>
              <w:left w:val="single" w:sz="4" w:space="0" w:color="000000"/>
              <w:bottom w:val="single" w:sz="4" w:space="0" w:color="000000"/>
              <w:right w:val="single" w:sz="4" w:space="0" w:color="000000"/>
            </w:tcBorders>
            <w:shd w:val="clear" w:color="auto" w:fill="D3D3D3"/>
          </w:tcPr>
          <w:p>
            <w:pPr/>
          </w:p>
        </w:tc>
        <w:tc>
          <w:tcPr>
            <w:tcW w:w="1560" w:type="dxa"/>
            <w:vMerge/>
            <w:tcBorders>
              <w:left w:val="single" w:sz="4" w:space="0" w:color="000000"/>
              <w:bottom w:val="single" w:sz="4" w:space="0" w:color="000000"/>
              <w:right w:val="single" w:sz="4" w:space="0" w:color="000000"/>
            </w:tcBorders>
            <w:shd w:val="clear" w:color="auto" w:fill="D3D3D3"/>
          </w:tcPr>
          <w:p>
            <w:pPr/>
          </w:p>
        </w:tc>
        <w:tc>
          <w:tcPr>
            <w:tcW w:w="1559" w:type="dxa"/>
            <w:vMerge/>
            <w:tcBorders>
              <w:left w:val="single" w:sz="4" w:space="0" w:color="000000"/>
              <w:bottom w:val="single" w:sz="4" w:space="0" w:color="000000"/>
              <w:right w:val="single" w:sz="4" w:space="0" w:color="000000"/>
            </w:tcBorders>
            <w:shd w:val="clear" w:color="auto" w:fill="D3D3D3"/>
          </w:tcPr>
          <w:p>
            <w:pPr/>
          </w:p>
        </w:tc>
        <w:tc>
          <w:tcPr>
            <w:tcW w:w="134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非同一控制企业合并资产评估增值</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726,090.00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181,522.50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2,904,360.00</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363,045.00</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可供出售金融资产公允价值变动</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146,325,010.63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14,632,501.06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181,643,650.00</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18,164,365.00</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147,051,100.63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14,814,023.56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184,548,010.00</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18,527,410.00</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14"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11"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35,071,784.54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39,973,886.38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14,814,023.56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18,527,410.00</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4,707,893.23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191,484.69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59,446,656.15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29,059,633.41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64,154,549.38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29,251,118.10</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171,338.32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410,031.15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14,810,117.46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9,136,945.88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21,956,126.11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19,341,318.06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22,680,412.58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59,446,656.15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29,059,633.41</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25</w:t>
      </w:r>
      <w:r>
        <w:rPr/>
        <w:t>、其他非流动资产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预付房屋、设备款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127,283,530.69</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预付装修款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1,221,525.34</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128,505,056.03</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26</w:t>
      </w:r>
      <w:r>
        <w:rPr/>
        <w:t>、短期借款</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28</w:t>
      </w:r>
      <w:r>
        <w:rPr/>
        <w:t>、衍生金融负债</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29</w:t>
      </w:r>
      <w:r>
        <w:rPr/>
        <w:t>、应付票据及应付账款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78,812,370.00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5,805,800.00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159,584,319.30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144,970,165.62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238,396,689.30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150,775,965.62</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6,824,193.00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71,988,177.00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5,805,800.00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78,812,370.00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5,805,800.00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）应付账款列示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150,479,122.86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137,547,268.03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9,105,196.44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7,422,897.59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159,584,319.30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144,970,165.62</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30</w:t>
      </w:r>
      <w:r>
        <w:rPr/>
        <w:t>、预收款项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324,121,092.84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318,267,807.88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324,121,092.84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318,267,807.88</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3,358,319.65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尚未验收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2,948,715.89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尚未验收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1,487,179.48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尚未验收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1,416,000.00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尚未验收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1,335,621.59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尚未验收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10,545,836.61</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31</w:t>
      </w:r>
      <w:r>
        <w:rPr/>
        <w:t>、应付职工薪酬</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10"/>
        <w:gridCol w:w="1702"/>
        <w:gridCol w:w="1843"/>
        <w:gridCol w:w="1702"/>
        <w:gridCol w:w="1914"/>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99,901,941.42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478,234,306.15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466,790,581.71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111,345,665.86</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二、离职后福利</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设定提存计划</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732,706.87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29,505,346.40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28,789,026.50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1,449,026.77</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262,473.12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362,473.12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100,734,648.29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508,002,125.67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495,942,081.33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112,794,692.63</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52"/>
        <w:gridCol w:w="2551"/>
        <w:gridCol w:w="1417"/>
        <w:gridCol w:w="1559"/>
        <w:gridCol w:w="1490"/>
      </w:tblGrid>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52"/>
        <w:gridCol w:w="2551"/>
        <w:gridCol w:w="1417"/>
        <w:gridCol w:w="1559"/>
        <w:gridCol w:w="1490"/>
      </w:tblGrid>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98,754,403.85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406,497,242.94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396,340,451.64</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108,911,195.15</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25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12,795,412.35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12,795,412.35</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214,756.60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15,582,621.37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15,239,967.47</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557,410.50</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191,865.20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13,481,765.85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13,178,373.95</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495,257.10</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6,383.50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429,104.24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417,555.93</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17,931.81</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16,507.90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1,671,751.28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1,644,037.59</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44,221.59</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37,725.00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27,230,939.71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26,774,674.39</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493,990.32</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895,055.97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4,283,468.13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3,795,454.21</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1,383,069.89</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25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11,844,621.65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11,844,621.65</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99,901,941.42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478,234,306.15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466,790,581.71</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111,345,665.86</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391,770.05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27,729,262.24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27,046,770.05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1,074,262.24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14,426.53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1,061,351.94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1,036,942.36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38,836.11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326,510.29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714,732.22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705,314.09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335,928.42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732,706.87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29,505,346.40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28,789,026.50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1,449,026.77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32</w:t>
      </w:r>
      <w:r>
        <w:rPr/>
        <w:t>、应交税费</w:t>
      </w:r>
      <w:r>
        <w:rPr>
          <w:b w:val="0"/>
          <w:bCs w:val="0"/>
        </w:rPr>
      </w:r>
    </w:p>
    <w:p>
      <w:pPr>
        <w:spacing w:line="240" w:lineRule="auto" w:before="1"/>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47,824,062.60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27,965,048.90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17,411,459.00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31,734,864.47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565,166.19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719,680.63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3,140,969.38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1,946,295.67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1,346,129.71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834,126.70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895,832.25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550,046.96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410,338.75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218,699.90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1,271,753.34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1,146,960.30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63,111.45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63,111.45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72,928,822.67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65,178,834.98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33</w:t>
      </w:r>
      <w:r>
        <w:rPr/>
        <w:t>、其他应付款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27,714.26</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61,328,926.49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86,384,353.54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61,356,640.75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86,384,353.54</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27,714.26</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27,714.26</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53" w:right="8051"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 无</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）应付股利</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）其他应付款</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按款项性质列示其他应付款</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单位与个人往来款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11,015,231.98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5,887,885.52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11,439,994.13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5,997,847.93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34,813,142.00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73,012,668.00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4,060,558.38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1,485,952.09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61,328,926.49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86,384,353.54</w:t>
            </w:r>
          </w:p>
        </w:tc>
      </w:tr>
    </w:tbl>
    <w:p>
      <w:pPr>
        <w:spacing w:line="340" w:lineRule="auto" w:before="51"/>
        <w:ind w:left="154" w:right="808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年的重要其他应付款 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w:t>
      </w:r>
      <w:r>
        <w:rPr>
          <w:rFonts w:ascii="宋体" w:hAnsi="宋体" w:cs="宋体" w:eastAsia="宋体" w:hint="default"/>
          <w:sz w:val="18"/>
          <w:szCs w:val="18"/>
        </w:rPr>
        <w:t>、持有待售负债</w:t>
      </w:r>
    </w:p>
    <w:p>
      <w:pPr>
        <w:spacing w:before="18"/>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35</w:t>
      </w:r>
      <w:r>
        <w:rPr/>
        <w:t>、一年内到期的非流动负债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1,486,502.41</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1,486,502.41</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36</w:t>
      </w:r>
      <w:r>
        <w:rPr/>
        <w:t>、其他流动负债</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37</w:t>
      </w:r>
      <w:r>
        <w:rPr/>
        <w:t>、长期借款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17,023,952.45</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17,023,952.45</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53" w:right="8591"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p>
      <w:pPr>
        <w:spacing w:before="25"/>
        <w:ind w:left="153" w:right="0" w:firstLine="0"/>
        <w:jc w:val="left"/>
        <w:rPr>
          <w:rFonts w:ascii="宋体" w:hAnsi="宋体" w:cs="宋体" w:eastAsia="宋体" w:hint="default"/>
          <w:sz w:val="18"/>
          <w:szCs w:val="18"/>
        </w:rPr>
      </w:pPr>
      <w:r>
        <w:rPr>
          <w:rFonts w:ascii="宋体" w:hAnsi="宋体" w:cs="宋体" w:eastAsia="宋体" w:hint="default"/>
          <w:sz w:val="18"/>
          <w:szCs w:val="18"/>
        </w:rPr>
        <w:t>本集团与中国农业银行股份有限公司厦门思明支行于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日签订了编号为</w:t>
      </w:r>
      <w:r>
        <w:rPr>
          <w:rFonts w:ascii="Times New Roman" w:hAnsi="Times New Roman" w:cs="Times New Roman" w:eastAsia="Times New Roman" w:hint="default"/>
          <w:sz w:val="18"/>
          <w:szCs w:val="18"/>
        </w:rPr>
        <w:t>“83100420180002372”</w:t>
      </w:r>
      <w:r>
        <w:rPr>
          <w:rFonts w:ascii="宋体" w:hAnsi="宋体" w:cs="宋体" w:eastAsia="宋体" w:hint="default"/>
          <w:sz w:val="18"/>
          <w:szCs w:val="18"/>
        </w:rPr>
        <w:t>的权利质押合</w:t>
      </w:r>
    </w:p>
    <w:p>
      <w:pPr>
        <w:spacing w:before="64"/>
        <w:ind w:left="154" w:right="0" w:firstLine="0"/>
        <w:jc w:val="left"/>
        <w:rPr>
          <w:rFonts w:ascii="宋体" w:hAnsi="宋体" w:cs="宋体" w:eastAsia="宋体" w:hint="default"/>
          <w:sz w:val="18"/>
          <w:szCs w:val="18"/>
        </w:rPr>
      </w:pPr>
      <w:r>
        <w:rPr>
          <w:rFonts w:ascii="宋体" w:hAnsi="宋体" w:cs="宋体" w:eastAsia="宋体" w:hint="default"/>
          <w:sz w:val="18"/>
          <w:szCs w:val="18"/>
        </w:rPr>
        <w:t>同，本集团以编号为</w:t>
      </w:r>
      <w:r>
        <w:rPr>
          <w:rFonts w:ascii="Times New Roman" w:hAnsi="Times New Roman" w:cs="Times New Roman" w:eastAsia="Times New Roman" w:hint="default"/>
          <w:sz w:val="18"/>
          <w:szCs w:val="18"/>
        </w:rPr>
        <w:t>“02-000231413”</w:t>
      </w:r>
      <w:r>
        <w:rPr>
          <w:rFonts w:ascii="宋体" w:hAnsi="宋体" w:cs="宋体" w:eastAsia="宋体" w:hint="default"/>
          <w:sz w:val="18"/>
          <w:szCs w:val="18"/>
        </w:rPr>
        <w:t>的定期存单计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万元作为质押物，质押期限</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年，利率</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4.90%</w:t>
      </w:r>
      <w:r>
        <w:rPr>
          <w:rFonts w:ascii="宋体" w:hAnsi="宋体" w:cs="宋体" w:eastAsia="宋体" w:hint="default"/>
          <w:sz w:val="18"/>
          <w:szCs w:val="18"/>
        </w:rPr>
        <w:t>。</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38</w:t>
      </w:r>
      <w:r>
        <w:rPr/>
        <w:t>、应付债券</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39</w:t>
      </w:r>
      <w:r>
        <w:rPr/>
        <w:t>、长期应付款</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40</w:t>
      </w:r>
      <w:r>
        <w:rPr/>
        <w:t>、长期应付职工薪酬</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41</w:t>
      </w:r>
      <w:r>
        <w:rPr/>
        <w:t>、预计负债</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42</w:t>
      </w:r>
      <w:r>
        <w:rPr/>
        <w:t>、递延收益</w:t>
      </w:r>
      <w:r>
        <w:rPr>
          <w:b w:val="0"/>
          <w:bCs w:val="0"/>
        </w:rPr>
      </w:r>
    </w:p>
    <w:p>
      <w:pPr>
        <w:spacing w:line="240" w:lineRule="auto" w:before="7"/>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9" w:right="0"/>
              <w:jc w:val="left"/>
              <w:rPr>
                <w:rFonts w:ascii="Times New Roman" w:hAnsi="Times New Roman" w:cs="Times New Roman" w:eastAsia="Times New Roman" w:hint="default"/>
                <w:sz w:val="18"/>
                <w:szCs w:val="18"/>
              </w:rPr>
            </w:pPr>
            <w:r>
              <w:rPr>
                <w:rFonts w:ascii="Times New Roman"/>
                <w:sz w:val="18"/>
              </w:rPr>
              <w:t>21,669,515.04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9,756,300.00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3,326,713.23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28,099,101.81</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9" w:right="0"/>
              <w:jc w:val="left"/>
              <w:rPr>
                <w:rFonts w:ascii="Times New Roman" w:hAnsi="Times New Roman" w:cs="Times New Roman" w:eastAsia="Times New Roman" w:hint="default"/>
                <w:sz w:val="18"/>
                <w:szCs w:val="18"/>
              </w:rPr>
            </w:pPr>
            <w:r>
              <w:rPr>
                <w:rFonts w:ascii="Times New Roman"/>
                <w:sz w:val="18"/>
              </w:rPr>
              <w:t>21,669,515.04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9,756,300.00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3,326,713.23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28,099,101.81</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3"/>
        <w:gridCol w:w="1064"/>
        <w:gridCol w:w="1063"/>
        <w:gridCol w:w="1063"/>
        <w:gridCol w:w="1063"/>
        <w:gridCol w:w="1063"/>
        <w:gridCol w:w="1063"/>
        <w:gridCol w:w="1062"/>
        <w:gridCol w:w="1063"/>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5" w:right="77"/>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28"/>
              <w:jc w:val="both"/>
              <w:rPr>
                <w:rFonts w:ascii="宋体" w:hAnsi="宋体" w:cs="宋体" w:eastAsia="宋体" w:hint="default"/>
                <w:sz w:val="18"/>
                <w:szCs w:val="18"/>
              </w:rPr>
            </w:pPr>
            <w:r>
              <w:rPr>
                <w:rFonts w:ascii="宋体" w:hAnsi="宋体" w:cs="宋体" w:eastAsia="宋体" w:hint="default"/>
                <w:sz w:val="18"/>
                <w:szCs w:val="18"/>
              </w:rPr>
              <w:t>厦门超级计 算中心滚动 支持</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4,800,000.00</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3,200,000.00</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1,600,001.16</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6,399,998.84</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74"/>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28"/>
              <w:jc w:val="both"/>
              <w:rPr>
                <w:rFonts w:ascii="宋体" w:hAnsi="宋体" w:cs="宋体" w:eastAsia="宋体" w:hint="default"/>
                <w:sz w:val="18"/>
                <w:szCs w:val="18"/>
              </w:rPr>
            </w:pPr>
            <w:r>
              <w:rPr>
                <w:rFonts w:ascii="宋体" w:hAnsi="宋体" w:cs="宋体" w:eastAsia="宋体" w:hint="default"/>
                <w:sz w:val="18"/>
                <w:szCs w:val="18"/>
              </w:rPr>
              <w:t>面向新型信 息技术和应 用环境的网 络技术研究</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2,881.62</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2,881.62</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28"/>
              <w:jc w:val="left"/>
              <w:rPr>
                <w:rFonts w:ascii="宋体" w:hAnsi="宋体" w:cs="宋体" w:eastAsia="宋体" w:hint="default"/>
                <w:sz w:val="18"/>
                <w:szCs w:val="18"/>
              </w:rPr>
            </w:pPr>
            <w:r>
              <w:rPr>
                <w:rFonts w:ascii="宋体" w:hAnsi="宋体" w:cs="宋体" w:eastAsia="宋体" w:hint="default"/>
                <w:sz w:val="18"/>
                <w:szCs w:val="18"/>
              </w:rPr>
              <w:t>电子取证关 键技术研究</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20,915.08</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14,115.07</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6,800.01</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28"/>
              <w:jc w:val="both"/>
              <w:rPr>
                <w:rFonts w:ascii="宋体" w:hAnsi="宋体" w:cs="宋体" w:eastAsia="宋体" w:hint="default"/>
                <w:sz w:val="18"/>
                <w:szCs w:val="18"/>
              </w:rPr>
            </w:pPr>
            <w:r>
              <w:rPr>
                <w:rFonts w:ascii="宋体" w:hAnsi="宋体" w:cs="宋体" w:eastAsia="宋体" w:hint="default"/>
                <w:sz w:val="18"/>
                <w:szCs w:val="18"/>
              </w:rPr>
              <w:t>面向互联网 的海量信息 分析挖掘关 键技术及系 统研究</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27,372.81</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15,678.48</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11,694.33</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28"/>
              <w:jc w:val="both"/>
              <w:rPr>
                <w:rFonts w:ascii="宋体" w:hAnsi="宋体" w:cs="宋体" w:eastAsia="宋体" w:hint="default"/>
                <w:sz w:val="18"/>
                <w:szCs w:val="18"/>
              </w:rPr>
            </w:pPr>
            <w:r>
              <w:rPr>
                <w:rFonts w:ascii="宋体" w:hAnsi="宋体" w:cs="宋体" w:eastAsia="宋体" w:hint="default"/>
                <w:sz w:val="18"/>
                <w:szCs w:val="18"/>
              </w:rPr>
              <w:t>企业技术改 造项目补助 资金</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600,000.00</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600,000.00</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74"/>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28"/>
              <w:jc w:val="left"/>
              <w:rPr>
                <w:rFonts w:ascii="宋体" w:hAnsi="宋体" w:cs="宋体" w:eastAsia="宋体" w:hint="default"/>
                <w:sz w:val="18"/>
                <w:szCs w:val="18"/>
              </w:rPr>
            </w:pPr>
            <w:r>
              <w:rPr>
                <w:rFonts w:ascii="宋体" w:hAnsi="宋体" w:cs="宋体" w:eastAsia="宋体" w:hint="default"/>
                <w:sz w:val="18"/>
                <w:szCs w:val="18"/>
              </w:rPr>
              <w:t>科技政策定 额扶持资金</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154.17</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154.17</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2"/>
              <w:ind w:left="22" w:right="55"/>
              <w:jc w:val="left"/>
              <w:rPr>
                <w:rFonts w:ascii="Times New Roman" w:hAnsi="Times New Roman" w:cs="Times New Roman" w:eastAsia="Times New Roman" w:hint="default"/>
                <w:sz w:val="18"/>
                <w:szCs w:val="18"/>
              </w:rPr>
            </w:pPr>
            <w:r>
              <w:rPr>
                <w:rFonts w:ascii="宋体" w:hAnsi="宋体" w:cs="宋体" w:eastAsia="宋体" w:hint="default"/>
                <w:sz w:val="18"/>
                <w:szCs w:val="18"/>
              </w:rPr>
              <w:t>国家服务业 发展引导资 金</w:t>
            </w:r>
            <w:r>
              <w:rPr>
                <w:rFonts w:ascii="Times New Roman" w:hAnsi="Times New Roman" w:cs="Times New Roman" w:eastAsia="Times New Roman" w:hint="default"/>
                <w:sz w:val="18"/>
                <w:szCs w:val="18"/>
              </w:rPr>
              <w:t>"</w:t>
            </w:r>
            <w:r>
              <w:rPr>
                <w:rFonts w:ascii="宋体" w:hAnsi="宋体" w:cs="宋体" w:eastAsia="宋体" w:hint="default"/>
                <w:sz w:val="18"/>
                <w:szCs w:val="18"/>
              </w:rPr>
              <w:t>电子数据 存证云</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874,196.56</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386,519.13</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487,677.43</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28"/>
              <w:jc w:val="left"/>
              <w:rPr>
                <w:rFonts w:ascii="宋体" w:hAnsi="宋体" w:cs="宋体" w:eastAsia="宋体" w:hint="default"/>
                <w:sz w:val="18"/>
                <w:szCs w:val="18"/>
              </w:rPr>
            </w:pPr>
            <w:r>
              <w:rPr>
                <w:rFonts w:ascii="宋体" w:hAnsi="宋体" w:cs="宋体" w:eastAsia="宋体" w:hint="default"/>
                <w:sz w:val="18"/>
                <w:szCs w:val="18"/>
              </w:rPr>
              <w:t>物联网实时 图像识别</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3,600,000.00</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3,600,000.00</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2"/>
              <w:ind w:left="22" w:right="55"/>
              <w:jc w:val="left"/>
              <w:rPr>
                <w:rFonts w:ascii="Times New Roman" w:hAnsi="Times New Roman" w:cs="Times New Roman" w:eastAsia="Times New Roman" w:hint="default"/>
                <w:sz w:val="18"/>
                <w:szCs w:val="18"/>
              </w:rPr>
            </w:pPr>
            <w:r>
              <w:rPr>
                <w:rFonts w:ascii="宋体" w:hAnsi="宋体" w:cs="宋体" w:eastAsia="宋体" w:hint="default"/>
                <w:sz w:val="18"/>
                <w:szCs w:val="18"/>
              </w:rPr>
              <w:t>优秀骨干人 才软件产业 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基于 手机云的手 机综合取证 系统</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231,478.76</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124,763.62</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106,715.14</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74"/>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86"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2"/>
              <w:ind w:left="22" w:right="55"/>
              <w:jc w:val="left"/>
              <w:rPr>
                <w:rFonts w:ascii="宋体" w:hAnsi="宋体" w:cs="宋体" w:eastAsia="宋体" w:hint="default"/>
                <w:sz w:val="18"/>
                <w:szCs w:val="18"/>
              </w:rPr>
            </w:pPr>
            <w:r>
              <w:rPr>
                <w:rFonts w:ascii="宋体" w:hAnsi="宋体" w:cs="宋体" w:eastAsia="宋体" w:hint="default"/>
                <w:sz w:val="18"/>
                <w:szCs w:val="18"/>
              </w:rPr>
              <w:t>省级企业技 术中心</w:t>
            </w:r>
            <w:r>
              <w:rPr>
                <w:rFonts w:ascii="Times New Roman" w:hAnsi="Times New Roman" w:cs="Times New Roman" w:eastAsia="Times New Roman" w:hint="default"/>
                <w:sz w:val="18"/>
                <w:szCs w:val="18"/>
              </w:rPr>
              <w:t>"</w:t>
            </w:r>
            <w:r>
              <w:rPr>
                <w:rFonts w:ascii="宋体" w:hAnsi="宋体" w:cs="宋体" w:eastAsia="宋体" w:hint="default"/>
                <w:sz w:val="18"/>
                <w:szCs w:val="18"/>
              </w:rPr>
              <w:t>电子 数据分析系</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right"/>
        <w:rPr>
          <w:rFonts w:ascii="宋体" w:hAnsi="宋体" w:cs="宋体" w:eastAsia="宋体"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3"/>
        <w:gridCol w:w="1064"/>
        <w:gridCol w:w="1063"/>
        <w:gridCol w:w="1063"/>
        <w:gridCol w:w="1063"/>
        <w:gridCol w:w="1063"/>
        <w:gridCol w:w="1063"/>
        <w:gridCol w:w="1062"/>
        <w:gridCol w:w="1063"/>
      </w:tblGrid>
      <w:tr>
        <w:trPr>
          <w:trHeight w:val="362"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统平台建设</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1338"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博士后工作 站科技政策 定额扶持资 金</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74"/>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基于内容感 知的智能视 频浓缩设备 产学研资金</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74"/>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网络保密与 失泄密取证 系统的产业 化项目</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74"/>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多源、多通道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数据取证技 术研究项目</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1,055,000.00</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1,055,000.00</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4"/>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基于云技术 的证据链综 合取证平台</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229,916.04</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99,999.98</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129,916.06</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4"/>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基于云计算 平台的空气 质量预报预 警与决策支 持服务关键 技术研究</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27,600.00</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27,600.00</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科技发展专 项资金</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800,000.00</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800,000.00</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信息产业发 展专项资金</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分布式电子 数据取证关 键技术研究 项目</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74"/>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中小企业技 术创新基金 配套项目</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800,000.00</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800,000.00</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4"/>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年支持 大数据示范 应用资金</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800,000.00</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800,000.00</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4"/>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74"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广域分布式 数据计算资</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280,200.00</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280,200.00</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right"/>
        <w:rPr>
          <w:rFonts w:ascii="宋体" w:hAnsi="宋体" w:cs="宋体" w:eastAsia="宋体"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3"/>
        <w:gridCol w:w="1064"/>
        <w:gridCol w:w="1063"/>
        <w:gridCol w:w="1063"/>
        <w:gridCol w:w="1063"/>
        <w:gridCol w:w="1063"/>
        <w:gridCol w:w="1063"/>
        <w:gridCol w:w="1062"/>
        <w:gridCol w:w="1063"/>
      </w:tblGrid>
      <w:tr>
        <w:trPr>
          <w:trHeight w:val="674"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22" w:right="128"/>
              <w:jc w:val="left"/>
              <w:rPr>
                <w:rFonts w:ascii="宋体" w:hAnsi="宋体" w:cs="宋体" w:eastAsia="宋体" w:hint="default"/>
                <w:sz w:val="18"/>
                <w:szCs w:val="18"/>
              </w:rPr>
            </w:pPr>
            <w:r>
              <w:rPr>
                <w:rFonts w:ascii="宋体" w:hAnsi="宋体" w:cs="宋体" w:eastAsia="宋体" w:hint="default"/>
                <w:sz w:val="18"/>
                <w:szCs w:val="18"/>
              </w:rPr>
              <w:t>源调度技术 研究</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1338"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移动终端操 作系统数据 解析技术研 究</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253,500.00</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253,500.00</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74"/>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低俗信息监 测预警技术 应用示范</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435,600.00</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435,600.00</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4"/>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多源通讯信 息的数据预 处理技术研 究</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253,500.00</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253,500.00</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74"/>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9" w:lineRule="auto" w:before="61"/>
              <w:ind w:left="22" w:right="128"/>
              <w:jc w:val="both"/>
              <w:rPr>
                <w:rFonts w:ascii="宋体" w:hAnsi="宋体" w:cs="宋体" w:eastAsia="宋体" w:hint="default"/>
                <w:sz w:val="18"/>
                <w:szCs w:val="18"/>
              </w:rPr>
            </w:pPr>
            <w:r>
              <w:rPr>
                <w:rFonts w:ascii="宋体" w:hAnsi="宋体" w:cs="宋体" w:eastAsia="宋体" w:hint="default"/>
                <w:sz w:val="18"/>
                <w:szCs w:val="18"/>
              </w:rPr>
              <w:t>国家认定企 业技术中心 研发费用</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4,200,000.00</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4,200,000.00</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74"/>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司法大数据 智能化平台</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1,133,500.00</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1,133,500.00</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43</w:t>
      </w:r>
      <w:r>
        <w:rPr/>
        <w:t>、其他非流动负债</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44</w:t>
      </w:r>
      <w:r>
        <w:rPr/>
        <w:t>、股本</w:t>
      </w:r>
      <w:r>
        <w:rPr>
          <w:b w:val="0"/>
          <w:bCs w:val="0"/>
        </w:rPr>
      </w:r>
    </w:p>
    <w:p>
      <w:pPr>
        <w:spacing w:line="240" w:lineRule="auto" w:before="1"/>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5"/>
        <w:gridCol w:w="1196"/>
        <w:gridCol w:w="1196"/>
        <w:gridCol w:w="1196"/>
        <w:gridCol w:w="1195"/>
        <w:gridCol w:w="1196"/>
        <w:gridCol w:w="1196"/>
        <w:gridCol w:w="1195"/>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3D3D3"/>
          </w:tcPr>
          <w:p>
            <w:pP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5"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497,030,706.00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298,082,391.00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3" w:right="0"/>
              <w:jc w:val="left"/>
              <w:rPr>
                <w:rFonts w:ascii="Times New Roman" w:hAnsi="Times New Roman" w:cs="Times New Roman" w:eastAsia="Times New Roman" w:hint="default"/>
                <w:sz w:val="18"/>
                <w:szCs w:val="18"/>
              </w:rPr>
            </w:pPr>
            <w:r>
              <w:rPr>
                <w:rFonts w:ascii="Times New Roman"/>
                <w:sz w:val="18"/>
              </w:rPr>
              <w:t>-280,288.00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297,802,103.00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794,832,809.00</w:t>
            </w:r>
          </w:p>
        </w:tc>
      </w:tr>
    </w:tbl>
    <w:p>
      <w:pPr>
        <w:spacing w:line="240" w:lineRule="auto" w:before="8"/>
        <w:rPr>
          <w:rFonts w:ascii="宋体" w:hAnsi="宋体" w:cs="宋体" w:eastAsia="宋体" w:hint="default"/>
          <w:sz w:val="6"/>
          <w:szCs w:val="6"/>
        </w:rPr>
      </w:pPr>
    </w:p>
    <w:p>
      <w:pPr>
        <w:pStyle w:val="BodyText"/>
        <w:spacing w:line="240" w:lineRule="auto" w:before="35"/>
        <w:ind w:right="0"/>
        <w:jc w:val="left"/>
      </w:pPr>
      <w:r>
        <w:rPr/>
        <w:t>其他说明</w:t>
      </w:r>
      <w:r>
        <w:rPr>
          <w:spacing w:val="-105"/>
        </w:rPr>
        <w:t>：</w:t>
      </w:r>
      <w:r>
        <w:rPr>
          <w:spacing w:val="-2"/>
        </w:rPr>
        <w:t>（</w:t>
      </w:r>
      <w:r>
        <w:rPr>
          <w:rFonts w:ascii="Times New Roman" w:hAnsi="Times New Roman" w:cs="Times New Roman" w:eastAsia="Times New Roman" w:hint="default"/>
        </w:rPr>
        <w:t>1</w:t>
      </w:r>
      <w:r>
        <w:rPr/>
        <w:t>）本年股</w:t>
      </w:r>
      <w:r>
        <w:rPr>
          <w:spacing w:val="-2"/>
        </w:rPr>
        <w:t>本</w:t>
      </w:r>
      <w:r>
        <w:rPr/>
        <w:t>增加</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9</w:t>
      </w:r>
      <w:r>
        <w:rPr>
          <w:rFonts w:ascii="Times New Roman" w:hAnsi="Times New Roman" w:cs="Times New Roman" w:eastAsia="Times New Roman" w:hint="default"/>
        </w:rPr>
        <w:t>,</w:t>
      </w:r>
      <w:r>
        <w:rPr>
          <w:rFonts w:ascii="Times New Roman" w:hAnsi="Times New Roman" w:cs="Times New Roman" w:eastAsia="Times New Roman" w:hint="default"/>
          <w:spacing w:val="-1"/>
        </w:rPr>
        <w:t>8</w:t>
      </w:r>
      <w:r>
        <w:rPr>
          <w:rFonts w:ascii="Times New Roman" w:hAnsi="Times New Roman" w:cs="Times New Roman" w:eastAsia="Times New Roman" w:hint="default"/>
        </w:rPr>
        <w:t>08</w:t>
      </w:r>
      <w:r>
        <w:rPr>
          <w:rFonts w:ascii="Times New Roman" w:hAnsi="Times New Roman" w:cs="Times New Roman" w:eastAsia="Times New Roman" w:hint="default"/>
          <w:spacing w:val="-1"/>
        </w:rPr>
        <w:t>.2</w:t>
      </w:r>
      <w:r>
        <w:rPr>
          <w:rFonts w:ascii="Times New Roman" w:hAnsi="Times New Roman" w:cs="Times New Roman" w:eastAsia="Times New Roman" w:hint="default"/>
        </w:rPr>
        <w:t>4 </w:t>
      </w:r>
      <w:r>
        <w:rPr/>
        <w:t>万股系：</w:t>
      </w:r>
      <w:r>
        <w:rPr>
          <w:spacing w:val="-2"/>
        </w:rPr>
        <w:t>根</w:t>
      </w:r>
      <w:r>
        <w:rPr/>
        <w:t>据</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8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7 </w:t>
      </w:r>
      <w:r>
        <w:rPr/>
        <w:t>日召</w:t>
      </w:r>
      <w:r>
        <w:rPr>
          <w:spacing w:val="-2"/>
        </w:rPr>
        <w:t>开</w:t>
      </w:r>
      <w:r>
        <w:rPr/>
        <w:t>的</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7 </w:t>
      </w:r>
      <w:r>
        <w:rPr/>
        <w:t>年</w:t>
      </w:r>
      <w:r>
        <w:rPr>
          <w:spacing w:val="-2"/>
        </w:rPr>
        <w:t>度</w:t>
      </w:r>
      <w:r>
        <w:rPr/>
        <w:t>股东大会</w:t>
      </w:r>
      <w:r>
        <w:rPr>
          <w:spacing w:val="1"/>
        </w:rPr>
        <w:t>决议</w:t>
      </w:r>
      <w:r>
        <w:rPr/>
        <w:t>，</w:t>
      </w:r>
    </w:p>
    <w:p>
      <w:pPr>
        <w:pStyle w:val="BodyText"/>
        <w:spacing w:line="240" w:lineRule="auto" w:before="117"/>
        <w:ind w:left="153" w:right="0"/>
        <w:jc w:val="left"/>
      </w:pPr>
      <w:r>
        <w:rPr/>
        <w:t>以总股本</w:t>
      </w:r>
      <w:r>
        <w:rPr>
          <w:spacing w:val="-50"/>
        </w:rPr>
        <w:t> </w:t>
      </w:r>
      <w:r>
        <w:rPr>
          <w:rFonts w:ascii="Times New Roman" w:hAnsi="Times New Roman" w:cs="Times New Roman" w:eastAsia="Times New Roman" w:hint="default"/>
        </w:rPr>
        <w:t>496,803,986</w:t>
      </w:r>
      <w:r>
        <w:rPr>
          <w:rFonts w:ascii="Times New Roman" w:hAnsi="Times New Roman" w:cs="Times New Roman" w:eastAsia="Times New Roman" w:hint="default"/>
          <w:spacing w:val="3"/>
        </w:rPr>
        <w:t> </w:t>
      </w:r>
      <w:r>
        <w:rPr/>
        <w:t>股（扣除</w:t>
      </w:r>
      <w:r>
        <w:rPr>
          <w:spacing w:val="-50"/>
        </w:rPr>
        <w:t> </w:t>
      </w:r>
      <w:r>
        <w:rPr>
          <w:rFonts w:ascii="Times New Roman" w:hAnsi="Times New Roman" w:cs="Times New Roman" w:eastAsia="Times New Roman" w:hint="default"/>
        </w:rPr>
        <w:t>226,720</w:t>
      </w:r>
      <w:r>
        <w:rPr>
          <w:rFonts w:ascii="Times New Roman" w:hAnsi="Times New Roman" w:cs="Times New Roman" w:eastAsia="Times New Roman" w:hint="default"/>
          <w:spacing w:val="2"/>
        </w:rPr>
        <w:t> </w:t>
      </w:r>
      <w:r>
        <w:rPr/>
        <w:t>股待注销的股权激励限制性股票）为基数，向全体股东每</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股转</w:t>
      </w:r>
    </w:p>
    <w:p>
      <w:pPr>
        <w:pStyle w:val="BodyText"/>
        <w:spacing w:line="336" w:lineRule="auto" w:before="118"/>
        <w:ind w:left="153" w:right="0"/>
        <w:jc w:val="left"/>
      </w:pPr>
      <w:r>
        <w:rPr/>
        <w:t>增</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spacing w:val="-10"/>
        </w:rPr>
        <w:t>股，共计转增</w:t>
      </w:r>
      <w:r>
        <w:rPr>
          <w:spacing w:val="-52"/>
        </w:rPr>
        <w:t> </w:t>
      </w:r>
      <w:r>
        <w:rPr>
          <w:rFonts w:ascii="Times New Roman" w:hAnsi="Times New Roman" w:cs="Times New Roman" w:eastAsia="Times New Roman" w:hint="default"/>
        </w:rPr>
        <w:t>298,082,391</w:t>
      </w:r>
      <w:r>
        <w:rPr>
          <w:rFonts w:ascii="Times New Roman" w:hAnsi="Times New Roman" w:cs="Times New Roman" w:eastAsia="Times New Roman" w:hint="default"/>
          <w:spacing w:val="1"/>
        </w:rPr>
        <w:t> </w:t>
      </w:r>
      <w:r>
        <w:rPr>
          <w:spacing w:val="-5"/>
        </w:rPr>
        <w:t>股，转增后本公司总股本增加至</w:t>
      </w:r>
      <w:r>
        <w:rPr>
          <w:spacing w:val="-52"/>
        </w:rPr>
        <w:t> </w:t>
      </w:r>
      <w:r>
        <w:rPr>
          <w:rFonts w:ascii="Times New Roman" w:hAnsi="Times New Roman" w:cs="Times New Roman" w:eastAsia="Times New Roman" w:hint="default"/>
        </w:rPr>
        <w:t>794,886,377</w:t>
      </w:r>
      <w:r>
        <w:rPr>
          <w:rFonts w:ascii="Times New Roman" w:hAnsi="Times New Roman" w:cs="Times New Roman" w:eastAsia="Times New Roman" w:hint="default"/>
          <w:spacing w:val="1"/>
        </w:rPr>
        <w:t> </w:t>
      </w:r>
      <w:r>
        <w:rPr>
          <w:spacing w:val="-9"/>
        </w:rPr>
        <w:t>股，业经致同会计师事务所（特</w:t>
      </w:r>
      <w:r>
        <w:rPr/>
        <w:t> 殊普通合伙）出具“致同验字</w:t>
      </w:r>
      <w:r>
        <w:rPr>
          <w:rFonts w:ascii="Times New Roman" w:hAnsi="Times New Roman" w:cs="Times New Roman" w:eastAsia="Times New Roman" w:hint="default"/>
        </w:rPr>
        <w:t>(2018)</w:t>
      </w:r>
      <w:r>
        <w:rPr/>
        <w:t>第</w:t>
      </w:r>
      <w:r>
        <w:rPr>
          <w:spacing w:val="-57"/>
        </w:rPr>
        <w:t> </w:t>
      </w:r>
      <w:r>
        <w:rPr>
          <w:rFonts w:ascii="Times New Roman" w:hAnsi="Times New Roman" w:cs="Times New Roman" w:eastAsia="Times New Roman" w:hint="default"/>
        </w:rPr>
        <w:t>350ZA0051</w:t>
      </w:r>
      <w:r>
        <w:rPr>
          <w:rFonts w:ascii="Times New Roman" w:hAnsi="Times New Roman" w:cs="Times New Roman" w:eastAsia="Times New Roman" w:hint="default"/>
          <w:spacing w:val="-4"/>
        </w:rPr>
        <w:t> </w:t>
      </w:r>
      <w:r>
        <w:rPr/>
        <w:t>号”验资报告审验。</w:t>
      </w:r>
    </w:p>
    <w:p>
      <w:pPr>
        <w:spacing w:line="240" w:lineRule="auto" w:before="4"/>
        <w:rPr>
          <w:rFonts w:ascii="宋体" w:hAnsi="宋体" w:cs="宋体" w:eastAsia="宋体" w:hint="default"/>
          <w:sz w:val="23"/>
          <w:szCs w:val="23"/>
        </w:rPr>
      </w:pPr>
    </w:p>
    <w:p>
      <w:pPr>
        <w:pStyle w:val="BodyText"/>
        <w:spacing w:line="240" w:lineRule="auto"/>
        <w:ind w:left="153" w:right="0"/>
        <w:jc w:val="left"/>
      </w:pPr>
      <w:r>
        <w:rPr>
          <w:spacing w:val="-3"/>
        </w:rPr>
        <w:t>（</w:t>
      </w:r>
      <w:r>
        <w:rPr>
          <w:rFonts w:ascii="Times New Roman" w:hAnsi="Times New Roman" w:cs="Times New Roman" w:eastAsia="Times New Roman" w:hint="default"/>
          <w:spacing w:val="-3"/>
        </w:rPr>
        <w:t>2</w:t>
      </w:r>
      <w:r>
        <w:rPr>
          <w:spacing w:val="-3"/>
        </w:rPr>
        <w:t>）本年股本减少</w:t>
      </w:r>
      <w:r>
        <w:rPr>
          <w:spacing w:val="-81"/>
        </w:rPr>
        <w:t> </w:t>
      </w:r>
      <w:r>
        <w:rPr>
          <w:rFonts w:ascii="Times New Roman" w:hAnsi="Times New Roman" w:cs="Times New Roman" w:eastAsia="Times New Roman" w:hint="default"/>
        </w:rPr>
        <w:t>28.03</w:t>
      </w:r>
      <w:r>
        <w:rPr>
          <w:rFonts w:ascii="Times New Roman" w:hAnsi="Times New Roman" w:cs="Times New Roman" w:eastAsia="Times New Roman" w:hint="default"/>
          <w:spacing w:val="-28"/>
        </w:rPr>
        <w:t> </w:t>
      </w:r>
      <w:r>
        <w:rPr/>
        <w:t>万股系本公司员工离职，回购注销授予的股权，本公司分两次注销，第一次注销</w:t>
      </w:r>
    </w:p>
    <w:p>
      <w:pPr>
        <w:pStyle w:val="BodyText"/>
        <w:spacing w:line="338" w:lineRule="auto" w:before="117"/>
        <w:ind w:left="153" w:right="0"/>
        <w:jc w:val="left"/>
        <w:rPr>
          <w:rFonts w:ascii="Times New Roman" w:hAnsi="Times New Roman" w:cs="Times New Roman" w:eastAsia="Times New Roman" w:hint="default"/>
        </w:rPr>
      </w:pPr>
      <w:r>
        <w:rPr>
          <w:rFonts w:ascii="Times New Roman" w:hAnsi="Times New Roman" w:cs="Times New Roman" w:eastAsia="Times New Roman" w:hint="default"/>
        </w:rPr>
        <w:t>226,720.00 </w:t>
      </w:r>
      <w:r>
        <w:rPr>
          <w:spacing w:val="-3"/>
        </w:rPr>
        <w:t>股，业经致同会计师事务所（特殊普通合伙）出具“致同验字（</w:t>
      </w:r>
      <w:r>
        <w:rPr>
          <w:rFonts w:ascii="Times New Roman" w:hAnsi="Times New Roman" w:cs="Times New Roman" w:eastAsia="Times New Roman" w:hint="default"/>
          <w:spacing w:val="-3"/>
        </w:rPr>
        <w:t>2018</w:t>
      </w:r>
      <w:r>
        <w:rPr>
          <w:spacing w:val="-3"/>
        </w:rPr>
        <w:t>）第</w:t>
      </w:r>
      <w:r>
        <w:rPr>
          <w:spacing w:val="-59"/>
        </w:rPr>
        <w:t> </w:t>
      </w:r>
      <w:r>
        <w:rPr>
          <w:rFonts w:ascii="Times New Roman" w:hAnsi="Times New Roman" w:cs="Times New Roman" w:eastAsia="Times New Roman" w:hint="default"/>
        </w:rPr>
        <w:t>350ZA014</w:t>
      </w:r>
      <w:r>
        <w:rPr/>
        <w:t>”验资报告 </w:t>
      </w:r>
      <w:r>
        <w:rPr>
          <w:spacing w:val="-13"/>
        </w:rPr>
        <w:t>审验；第二次注销</w:t>
      </w:r>
      <w:r>
        <w:rPr/>
        <w:t> </w:t>
      </w:r>
      <w:r>
        <w:rPr>
          <w:rFonts w:ascii="Times New Roman" w:hAnsi="Times New Roman" w:cs="Times New Roman" w:eastAsia="Times New Roman" w:hint="default"/>
          <w:spacing w:val="-1"/>
        </w:rPr>
        <w:t>53,568.00</w:t>
      </w:r>
      <w:r>
        <w:rPr>
          <w:rFonts w:ascii="Times New Roman" w:hAnsi="Times New Roman" w:cs="Times New Roman" w:eastAsia="Times New Roman" w:hint="default"/>
        </w:rPr>
        <w:t> </w:t>
      </w:r>
      <w:r>
        <w:rPr>
          <w:spacing w:val="-12"/>
        </w:rPr>
        <w:t>股，业经致同会计师事务所（特殊普通合伙）出具“致同验字</w:t>
      </w:r>
      <w:r>
        <w:rPr>
          <w:rFonts w:ascii="Times New Roman" w:hAnsi="Times New Roman" w:cs="Times New Roman" w:eastAsia="Times New Roman" w:hint="default"/>
          <w:spacing w:val="-12"/>
        </w:rPr>
        <w:t>(2018)</w:t>
      </w:r>
      <w:r>
        <w:rPr>
          <w:spacing w:val="-12"/>
        </w:rPr>
        <w:t>第</w:t>
      </w:r>
      <w:r>
        <w:rPr>
          <w:spacing w:val="-85"/>
        </w:rPr>
        <w:t> </w:t>
      </w:r>
      <w:r>
        <w:rPr>
          <w:rFonts w:ascii="Times New Roman" w:hAnsi="Times New Roman" w:cs="Times New Roman" w:eastAsia="Times New Roman" w:hint="default"/>
          <w:spacing w:val="-1"/>
        </w:rPr>
        <w:t>350ZA0065</w:t>
      </w:r>
    </w:p>
    <w:p>
      <w:pPr>
        <w:spacing w:after="0" w:line="338" w:lineRule="auto"/>
        <w:jc w:val="left"/>
        <w:rPr>
          <w:rFonts w:ascii="Times New Roman" w:hAnsi="Times New Roman" w:cs="Times New Roman" w:eastAsia="Times New Roman" w:hint="default"/>
        </w:rPr>
        <w:sectPr>
          <w:pgSz w:w="11910" w:h="16840"/>
          <w:pgMar w:header="747" w:footer="982" w:top="1060" w:bottom="1180" w:left="980" w:right="0"/>
        </w:sectPr>
      </w:pPr>
    </w:p>
    <w:p>
      <w:pPr>
        <w:spacing w:line="240" w:lineRule="auto" w:before="5"/>
        <w:rPr>
          <w:rFonts w:ascii="Times New Roman" w:hAnsi="Times New Roman" w:cs="Times New Roman" w:eastAsia="Times New Roman" w:hint="default"/>
          <w:sz w:val="26"/>
          <w:szCs w:val="26"/>
        </w:rPr>
      </w:pPr>
    </w:p>
    <w:p>
      <w:pPr>
        <w:pStyle w:val="BodyText"/>
        <w:spacing w:line="240" w:lineRule="auto" w:before="35"/>
        <w:ind w:right="0"/>
        <w:jc w:val="left"/>
      </w:pPr>
      <w:r>
        <w:rPr/>
        <w:t>号”验资报告审验。</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45</w:t>
      </w:r>
      <w:r>
        <w:rPr/>
        <w:t>、其他权益工具</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46</w:t>
      </w:r>
      <w:r>
        <w:rPr/>
        <w:t>、资本公积</w:t>
      </w:r>
      <w:r>
        <w:rPr>
          <w:b w:val="0"/>
          <w:bCs w:val="0"/>
        </w:rPr>
      </w:r>
    </w:p>
    <w:p>
      <w:pPr>
        <w:spacing w:line="240" w:lineRule="auto" w:before="1"/>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779,119,890.88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300,868,673.00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478,251,217.88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88,098,417.95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20,669,352.18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4,693,220.60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104,074,549.53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867,218,308.83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20,669,352.18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305,561,893.60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582,325,767.41</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0"/>
        <w:rPr>
          <w:rFonts w:ascii="宋体" w:hAnsi="宋体" w:cs="宋体" w:eastAsia="宋体" w:hint="default"/>
          <w:sz w:val="19"/>
          <w:szCs w:val="19"/>
        </w:rPr>
      </w:pPr>
    </w:p>
    <w:p>
      <w:pPr>
        <w:pStyle w:val="BodyText"/>
        <w:spacing w:line="386" w:lineRule="auto"/>
        <w:ind w:right="1129" w:hanging="1"/>
        <w:jc w:val="both"/>
      </w:pPr>
      <w:r>
        <w:rPr>
          <w:spacing w:val="-1"/>
        </w:rPr>
        <w:t>说明</w:t>
      </w:r>
      <w:r>
        <w:rPr>
          <w:rFonts w:ascii="Times New Roman" w:hAnsi="Times New Roman" w:cs="Times New Roman" w:eastAsia="Times New Roman" w:hint="default"/>
          <w:spacing w:val="-1"/>
        </w:rPr>
        <w:t>1</w:t>
      </w:r>
      <w:r>
        <w:rPr>
          <w:spacing w:val="-1"/>
        </w:rPr>
        <w:t>：资本公积</w:t>
      </w:r>
      <w:r>
        <w:rPr>
          <w:rFonts w:ascii="Times New Roman" w:hAnsi="Times New Roman" w:cs="Times New Roman" w:eastAsia="Times New Roman" w:hint="default"/>
          <w:spacing w:val="-1"/>
        </w:rPr>
        <w:t>-</w:t>
      </w:r>
      <w:r>
        <w:rPr>
          <w:spacing w:val="-1"/>
        </w:rPr>
        <w:t>股本溢价本年减少</w:t>
      </w:r>
      <w:r>
        <w:rPr>
          <w:rFonts w:ascii="Times New Roman" w:hAnsi="Times New Roman" w:cs="Times New Roman" w:eastAsia="Times New Roman" w:hint="default"/>
          <w:spacing w:val="-1"/>
        </w:rPr>
        <w:t>300,868,673.00</w:t>
      </w:r>
      <w:r>
        <w:rPr>
          <w:spacing w:val="-1"/>
        </w:rPr>
        <w:t>元，系（</w:t>
      </w:r>
      <w:r>
        <w:rPr>
          <w:rFonts w:ascii="Times New Roman" w:hAnsi="Times New Roman" w:cs="Times New Roman" w:eastAsia="Times New Roman" w:hint="default"/>
          <w:spacing w:val="-1"/>
        </w:rPr>
        <w:t>1</w:t>
      </w:r>
      <w:r>
        <w:rPr>
          <w:spacing w:val="-1"/>
        </w:rPr>
        <w:t>）根据</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17</w:t>
      </w:r>
      <w:r>
        <w:rPr>
          <w:spacing w:val="-1"/>
        </w:rPr>
        <w:t>日召开的</w:t>
      </w:r>
      <w:r>
        <w:rPr>
          <w:rFonts w:ascii="Times New Roman" w:hAnsi="Times New Roman" w:cs="Times New Roman" w:eastAsia="Times New Roman" w:hint="default"/>
          <w:spacing w:val="-1"/>
        </w:rPr>
        <w:t>2017</w:t>
      </w:r>
      <w:r>
        <w:rPr>
          <w:spacing w:val="-1"/>
        </w:rPr>
        <w:t>年度股东大</w:t>
      </w:r>
      <w:r>
        <w:rPr>
          <w:spacing w:val="-103"/>
        </w:rPr>
        <w:t> </w:t>
      </w:r>
      <w:r>
        <w:rPr>
          <w:spacing w:val="-103"/>
        </w:rPr>
      </w:r>
      <w:r>
        <w:rPr>
          <w:spacing w:val="-2"/>
        </w:rPr>
        <w:t>会决议，向全体股东每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6</w:t>
      </w:r>
      <w:r>
        <w:rPr>
          <w:spacing w:val="-2"/>
        </w:rPr>
        <w:t>股，共计转增</w:t>
      </w:r>
      <w:r>
        <w:rPr>
          <w:rFonts w:ascii="Times New Roman" w:hAnsi="Times New Roman" w:cs="Times New Roman" w:eastAsia="Times New Roman" w:hint="default"/>
          <w:spacing w:val="-2"/>
        </w:rPr>
        <w:t>298,082,391</w:t>
      </w:r>
      <w:r>
        <w:rPr>
          <w:spacing w:val="-2"/>
        </w:rPr>
        <w:t>股，减少股本溢价</w:t>
      </w:r>
      <w:r>
        <w:rPr>
          <w:rFonts w:ascii="Times New Roman" w:hAnsi="Times New Roman" w:cs="Times New Roman" w:eastAsia="Times New Roman" w:hint="default"/>
          <w:spacing w:val="-2"/>
        </w:rPr>
        <w:t>298,082,391.00</w:t>
      </w:r>
      <w:r>
        <w:rPr>
          <w:spacing w:val="-2"/>
        </w:rPr>
        <w:t>元；（</w:t>
      </w:r>
      <w:r>
        <w:rPr>
          <w:rFonts w:ascii="Times New Roman" w:hAnsi="Times New Roman" w:cs="Times New Roman" w:eastAsia="Times New Roman" w:hint="default"/>
          <w:spacing w:val="-2"/>
        </w:rPr>
        <w:t>2</w:t>
      </w:r>
      <w:r>
        <w:rPr>
          <w:spacing w:val="-2"/>
        </w:rPr>
        <w:t>）本公</w:t>
      </w:r>
      <w:r>
        <w:rPr>
          <w:spacing w:val="-74"/>
        </w:rPr>
        <w:t> </w:t>
      </w:r>
      <w:r>
        <w:rPr>
          <w:spacing w:val="-74"/>
        </w:rPr>
      </w:r>
      <w:r>
        <w:rPr/>
        <w:t>司员工离职，回购注销授予的股权</w:t>
      </w:r>
      <w:r>
        <w:rPr>
          <w:rFonts w:ascii="Times New Roman" w:hAnsi="Times New Roman" w:cs="Times New Roman" w:eastAsia="Times New Roman" w:hint="default"/>
        </w:rPr>
        <w:t>280,288.00</w:t>
      </w:r>
      <w:r>
        <w:rPr/>
        <w:t>股，冲减股本溢价</w:t>
      </w:r>
      <w:r>
        <w:rPr>
          <w:rFonts w:ascii="Times New Roman" w:hAnsi="Times New Roman" w:cs="Times New Roman" w:eastAsia="Times New Roman" w:hint="default"/>
        </w:rPr>
        <w:t>2,786,282.00</w:t>
      </w:r>
      <w:r>
        <w:rPr/>
        <w:t>元。</w:t>
      </w:r>
    </w:p>
    <w:p>
      <w:pPr>
        <w:spacing w:line="240" w:lineRule="auto" w:before="3"/>
        <w:rPr>
          <w:rFonts w:ascii="宋体" w:hAnsi="宋体" w:cs="宋体" w:eastAsia="宋体" w:hint="default"/>
          <w:sz w:val="19"/>
          <w:szCs w:val="19"/>
        </w:rPr>
      </w:pPr>
    </w:p>
    <w:p>
      <w:pPr>
        <w:pStyle w:val="BodyText"/>
        <w:spacing w:line="386" w:lineRule="auto"/>
        <w:ind w:right="1129"/>
        <w:jc w:val="both"/>
      </w:pPr>
      <w:r>
        <w:rPr/>
        <w:t>说明</w:t>
      </w:r>
      <w:r>
        <w:rPr>
          <w:rFonts w:ascii="Times New Roman" w:hAnsi="Times New Roman" w:cs="Times New Roman" w:eastAsia="Times New Roman" w:hint="default"/>
        </w:rPr>
        <w:t>2</w:t>
      </w:r>
      <w:r>
        <w:rPr/>
        <w:t>：资本公积</w:t>
      </w:r>
      <w:r>
        <w:rPr>
          <w:rFonts w:ascii="Times New Roman" w:hAnsi="Times New Roman" w:cs="Times New Roman" w:eastAsia="Times New Roman" w:hint="default"/>
        </w:rPr>
        <w:t>-</w:t>
      </w:r>
      <w:r>
        <w:rPr/>
        <w:t>其他资本公积本年增加</w:t>
      </w:r>
      <w:r>
        <w:rPr>
          <w:rFonts w:ascii="Times New Roman" w:hAnsi="Times New Roman" w:cs="Times New Roman" w:eastAsia="Times New Roman" w:hint="default"/>
        </w:rPr>
        <w:t>20,669,352.18</w:t>
      </w:r>
      <w:r>
        <w:rPr/>
        <w:t>元，系：（</w:t>
      </w:r>
      <w:r>
        <w:rPr>
          <w:rFonts w:ascii="Times New Roman" w:hAnsi="Times New Roman" w:cs="Times New Roman" w:eastAsia="Times New Roman" w:hint="default"/>
        </w:rPr>
        <w:t>1</w:t>
      </w:r>
      <w:r>
        <w:rPr/>
        <w:t>）本年股权激励费用摊销</w:t>
      </w:r>
      <w:r>
        <w:rPr>
          <w:rFonts w:ascii="Times New Roman" w:hAnsi="Times New Roman" w:cs="Times New Roman" w:eastAsia="Times New Roman" w:hint="default"/>
        </w:rPr>
        <w:t>11,844,621.72 </w:t>
      </w:r>
      <w:r>
        <w:rPr/>
        <w:t>元；（</w:t>
      </w:r>
      <w:r>
        <w:rPr>
          <w:rFonts w:ascii="Times New Roman" w:hAnsi="Times New Roman" w:cs="Times New Roman" w:eastAsia="Times New Roman" w:hint="default"/>
        </w:rPr>
        <w:t>2</w:t>
      </w:r>
      <w:r>
        <w:rPr/>
        <w:t>）本公司按权益法确认对厦门服云信息科技有限公司的其他权益变动</w:t>
      </w:r>
      <w:r>
        <w:rPr>
          <w:rFonts w:ascii="Times New Roman" w:hAnsi="Times New Roman" w:cs="Times New Roman" w:eastAsia="Times New Roman" w:hint="default"/>
        </w:rPr>
        <w:t>363,249.09</w:t>
      </w:r>
      <w:r>
        <w:rPr/>
        <w:t>元；（</w:t>
      </w:r>
      <w:r>
        <w:rPr>
          <w:rFonts w:ascii="Times New Roman" w:hAnsi="Times New Roman" w:cs="Times New Roman" w:eastAsia="Times New Roman" w:hint="default"/>
        </w:rPr>
        <w:t>3</w:t>
      </w:r>
      <w:r>
        <w:rPr/>
        <w:t>）厦门服</w:t>
      </w:r>
      <w:r>
        <w:rPr>
          <w:spacing w:val="-40"/>
        </w:rPr>
        <w:t> </w:t>
      </w:r>
      <w:r>
        <w:rPr>
          <w:spacing w:val="-40"/>
        </w:rPr>
      </w:r>
      <w:r>
        <w:rPr/>
        <w:t>云信息科技有限公司外部第三方增资，本公司享有的净资产增加，增加资本公积</w:t>
      </w:r>
      <w:r>
        <w:rPr>
          <w:rFonts w:ascii="Times New Roman" w:hAnsi="Times New Roman" w:cs="Times New Roman" w:eastAsia="Times New Roman" w:hint="default"/>
        </w:rPr>
        <w:t>8,461,481.37</w:t>
      </w:r>
      <w:r>
        <w:rPr/>
        <w:t>元。</w:t>
      </w:r>
    </w:p>
    <w:p>
      <w:pPr>
        <w:spacing w:line="240" w:lineRule="auto" w:before="3"/>
        <w:rPr>
          <w:rFonts w:ascii="宋体" w:hAnsi="宋体" w:cs="宋体" w:eastAsia="宋体" w:hint="default"/>
          <w:sz w:val="19"/>
          <w:szCs w:val="19"/>
        </w:rPr>
      </w:pPr>
    </w:p>
    <w:p>
      <w:pPr>
        <w:pStyle w:val="BodyText"/>
        <w:spacing w:line="386" w:lineRule="auto"/>
        <w:ind w:right="1128" w:hanging="1"/>
        <w:jc w:val="both"/>
      </w:pPr>
      <w:r>
        <w:rPr/>
        <w:t>说明</w:t>
      </w:r>
      <w:r>
        <w:rPr>
          <w:rFonts w:ascii="Times New Roman" w:hAnsi="Times New Roman" w:cs="Times New Roman" w:eastAsia="Times New Roman" w:hint="default"/>
        </w:rPr>
        <w:t>3</w:t>
      </w:r>
      <w:r>
        <w:rPr/>
        <w:t>：资本公积</w:t>
      </w:r>
      <w:r>
        <w:rPr>
          <w:rFonts w:ascii="Times New Roman" w:hAnsi="Times New Roman" w:cs="Times New Roman" w:eastAsia="Times New Roman" w:hint="default"/>
        </w:rPr>
        <w:t>-</w:t>
      </w:r>
      <w:r>
        <w:rPr/>
        <w:t>其他资本公积本年减少</w:t>
      </w:r>
      <w:r>
        <w:rPr>
          <w:rFonts w:ascii="Times New Roman" w:hAnsi="Times New Roman" w:cs="Times New Roman" w:eastAsia="Times New Roman" w:hint="default"/>
        </w:rPr>
        <w:t>4,693,220.60</w:t>
      </w:r>
      <w:r>
        <w:rPr/>
        <w:t>元，系（</w:t>
      </w:r>
      <w:r>
        <w:rPr>
          <w:rFonts w:ascii="Times New Roman" w:hAnsi="Times New Roman" w:cs="Times New Roman" w:eastAsia="Times New Roman" w:hint="default"/>
        </w:rPr>
        <w:t>1</w:t>
      </w:r>
      <w:r>
        <w:rPr/>
        <w:t>）本公司员工持有的限制性股票以后行权</w:t>
      </w:r>
      <w:r>
        <w:rPr>
          <w:spacing w:val="-60"/>
        </w:rPr>
        <w:t> </w:t>
      </w:r>
      <w:r>
        <w:rPr>
          <w:spacing w:val="-60"/>
        </w:rPr>
      </w:r>
      <w:r>
        <w:rPr/>
        <w:t>产生的资本公积调减</w:t>
      </w:r>
      <w:r>
        <w:rPr>
          <w:rFonts w:ascii="Times New Roman" w:hAnsi="Times New Roman" w:cs="Times New Roman" w:eastAsia="Times New Roman" w:hint="default"/>
        </w:rPr>
        <w:t>3,984,486.98</w:t>
      </w:r>
      <w:r>
        <w:rPr/>
        <w:t>元；（</w:t>
      </w:r>
      <w:r>
        <w:rPr>
          <w:rFonts w:ascii="Times New Roman" w:hAnsi="Times New Roman" w:cs="Times New Roman" w:eastAsia="Times New Roman" w:hint="default"/>
        </w:rPr>
        <w:t>2</w:t>
      </w:r>
      <w:r>
        <w:rPr/>
        <w:t>）本公司处置厦门服云信息科技有限公司部分股权，减少资本公</w:t>
      </w:r>
      <w:r>
        <w:rPr>
          <w:spacing w:val="-86"/>
        </w:rPr>
        <w:t> </w:t>
      </w:r>
      <w:r>
        <w:rPr>
          <w:spacing w:val="-86"/>
        </w:rPr>
      </w:r>
      <w:r>
        <w:rPr>
          <w:spacing w:val="-1"/>
        </w:rPr>
        <w:t>积</w:t>
      </w:r>
      <w:r>
        <w:rPr>
          <w:rFonts w:ascii="Times New Roman" w:hAnsi="Times New Roman" w:cs="Times New Roman" w:eastAsia="Times New Roman" w:hint="default"/>
          <w:spacing w:val="-1"/>
        </w:rPr>
        <w:t>365,698.72</w:t>
      </w:r>
      <w:r>
        <w:rPr>
          <w:spacing w:val="-1"/>
        </w:rPr>
        <w:t>元；（</w:t>
      </w:r>
      <w:r>
        <w:rPr>
          <w:rFonts w:ascii="Times New Roman" w:hAnsi="Times New Roman" w:cs="Times New Roman" w:eastAsia="Times New Roman" w:hint="default"/>
          <w:spacing w:val="-1"/>
        </w:rPr>
        <w:t>3</w:t>
      </w:r>
      <w:r>
        <w:rPr>
          <w:spacing w:val="-1"/>
        </w:rPr>
        <w:t>）厦门市美亚梧桐投资管理有限公司外部第三方增资，本公司股权被动稀释，享有的</w:t>
      </w:r>
      <w:r>
        <w:rPr>
          <w:spacing w:val="-84"/>
        </w:rPr>
        <w:t> </w:t>
      </w:r>
      <w:r>
        <w:rPr>
          <w:spacing w:val="-84"/>
        </w:rPr>
      </w:r>
      <w:r>
        <w:rPr/>
        <w:t>净资产减少，减少资本公积</w:t>
      </w:r>
      <w:r>
        <w:rPr>
          <w:rFonts w:ascii="Times New Roman" w:hAnsi="Times New Roman" w:cs="Times New Roman" w:eastAsia="Times New Roman" w:hint="default"/>
        </w:rPr>
        <w:t>343,034.90</w:t>
      </w:r>
      <w:r>
        <w:rPr/>
        <w:t>元。</w:t>
      </w:r>
    </w:p>
    <w:p>
      <w:pPr>
        <w:spacing w:line="240" w:lineRule="auto" w:before="9"/>
        <w:rPr>
          <w:rFonts w:ascii="宋体" w:hAnsi="宋体" w:cs="宋体" w:eastAsia="宋体" w:hint="default"/>
          <w:sz w:val="19"/>
          <w:szCs w:val="19"/>
        </w:rPr>
      </w:pPr>
    </w:p>
    <w:p>
      <w:pPr>
        <w:pStyle w:val="Heading3"/>
        <w:spacing w:line="240" w:lineRule="auto"/>
        <w:ind w:right="0"/>
        <w:jc w:val="both"/>
        <w:rPr>
          <w:b w:val="0"/>
          <w:bCs w:val="0"/>
        </w:rPr>
      </w:pPr>
      <w:r>
        <w:rPr>
          <w:rFonts w:ascii="Times New Roman" w:hAnsi="Times New Roman" w:cs="Times New Roman" w:eastAsia="Times New Roman" w:hint="default"/>
        </w:rPr>
        <w:t>47</w:t>
      </w:r>
      <w:r>
        <w:rPr/>
        <w:t>、库存股</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73,899,618.00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39,086,476.00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34,813,142.00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73,899,618.00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39,086,476.00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34,813,142.00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0"/>
        <w:rPr>
          <w:rFonts w:ascii="宋体" w:hAnsi="宋体" w:cs="宋体" w:eastAsia="宋体" w:hint="default"/>
          <w:sz w:val="19"/>
          <w:szCs w:val="19"/>
        </w:rPr>
      </w:pPr>
    </w:p>
    <w:p>
      <w:pPr>
        <w:pStyle w:val="BodyText"/>
        <w:spacing w:line="240" w:lineRule="auto"/>
        <w:ind w:right="0"/>
        <w:jc w:val="left"/>
      </w:pPr>
      <w:r>
        <w:rPr/>
        <w:t>库存股本年减少</w:t>
      </w:r>
      <w:r>
        <w:rPr>
          <w:rFonts w:ascii="Times New Roman" w:hAnsi="Times New Roman" w:cs="Times New Roman" w:eastAsia="Times New Roman" w:hint="default"/>
        </w:rPr>
        <w:t>39,086,476.00</w:t>
      </w:r>
      <w:r>
        <w:rPr/>
        <w:t>元系：</w:t>
      </w:r>
    </w:p>
    <w:p>
      <w:pPr>
        <w:spacing w:after="0" w:line="240"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386" w:lineRule="auto" w:before="174"/>
        <w:ind w:left="213" w:right="1021"/>
        <w:jc w:val="left"/>
      </w:pPr>
      <w:r>
        <w:rPr/>
        <w:t>（</w:t>
      </w:r>
      <w:r>
        <w:rPr>
          <w:rFonts w:ascii="Times New Roman" w:hAnsi="Times New Roman" w:cs="Times New Roman" w:eastAsia="Times New Roman" w:hint="default"/>
        </w:rPr>
        <w:t>1</w:t>
      </w:r>
      <w:r>
        <w:rPr/>
        <w:t>）根据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13</w:t>
      </w:r>
      <w:r>
        <w:rPr/>
        <w:t>日召开第四届董事会第四次会议，审议通过了《关于公司第二期限制性股票激励</w:t>
      </w:r>
      <w:r>
        <w:rPr>
          <w:spacing w:val="-38"/>
        </w:rPr>
        <w:t> </w:t>
      </w:r>
      <w:r>
        <w:rPr>
          <w:spacing w:val="-38"/>
        </w:rPr>
      </w:r>
      <w:r>
        <w:rPr>
          <w:spacing w:val="-1"/>
        </w:rPr>
        <w:t>计划首次授予部分第二个解锁期及预留部分第一个解锁期解锁条件成就的议案》，申请解禁对象共</w:t>
      </w:r>
      <w:r>
        <w:rPr>
          <w:rFonts w:ascii="Times New Roman" w:hAnsi="Times New Roman" w:cs="Times New Roman" w:eastAsia="Times New Roman" w:hint="default"/>
          <w:spacing w:val="-1"/>
        </w:rPr>
        <w:t>530</w:t>
      </w:r>
      <w:r>
        <w:rPr>
          <w:spacing w:val="-1"/>
        </w:rPr>
        <w:t>名，</w:t>
      </w:r>
      <w:r>
        <w:rPr>
          <w:spacing w:val="-85"/>
        </w:rPr>
        <w:t> </w:t>
      </w:r>
      <w:r>
        <w:rPr/>
        <w:t>解禁股数为</w:t>
      </w:r>
      <w:r>
        <w:rPr>
          <w:rFonts w:ascii="Times New Roman" w:hAnsi="Times New Roman" w:cs="Times New Roman" w:eastAsia="Times New Roman" w:hint="default"/>
        </w:rPr>
        <w:t>4,800,272</w:t>
      </w:r>
      <w:r>
        <w:rPr/>
        <w:t>股，减少库存股和其他应付款</w:t>
      </w:r>
      <w:r>
        <w:rPr>
          <w:rFonts w:ascii="Times New Roman" w:hAnsi="Times New Roman" w:cs="Times New Roman" w:eastAsia="Times New Roman" w:hint="default"/>
        </w:rPr>
        <w:t>35,419,872.00</w:t>
      </w:r>
      <w:r>
        <w:rPr/>
        <w:t>元；</w:t>
      </w:r>
    </w:p>
    <w:p>
      <w:pPr>
        <w:spacing w:line="240" w:lineRule="auto" w:before="3"/>
        <w:rPr>
          <w:rFonts w:ascii="宋体" w:hAnsi="宋体" w:cs="宋体" w:eastAsia="宋体" w:hint="default"/>
          <w:sz w:val="19"/>
          <w:szCs w:val="19"/>
        </w:rPr>
      </w:pPr>
    </w:p>
    <w:p>
      <w:pPr>
        <w:pStyle w:val="BodyText"/>
        <w:spacing w:line="240" w:lineRule="auto"/>
        <w:ind w:left="213" w:right="1021"/>
        <w:jc w:val="left"/>
      </w:pPr>
      <w:r>
        <w:rPr/>
        <w:t>（</w:t>
      </w:r>
      <w:r>
        <w:rPr>
          <w:rFonts w:ascii="Times New Roman" w:hAnsi="Times New Roman" w:cs="Times New Roman" w:eastAsia="Times New Roman" w:hint="default"/>
        </w:rPr>
        <w:t>2</w:t>
      </w:r>
      <w:r>
        <w:rPr/>
        <w:t>）根据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日召开的</w:t>
      </w:r>
      <w:r>
        <w:rPr>
          <w:rFonts w:ascii="Times New Roman" w:hAnsi="Times New Roman" w:cs="Times New Roman" w:eastAsia="Times New Roman" w:hint="default"/>
        </w:rPr>
        <w:t>2017</w:t>
      </w:r>
      <w:r>
        <w:rPr/>
        <w:t>年度股东大会决议，本公司向全体股东按每</w:t>
      </w:r>
      <w:r>
        <w:rPr>
          <w:rFonts w:ascii="Times New Roman" w:hAnsi="Times New Roman" w:cs="Times New Roman" w:eastAsia="Times New Roman" w:hint="default"/>
        </w:rPr>
        <w:t>10</w:t>
      </w:r>
      <w:r>
        <w:rPr/>
        <w:t>股派发现金股利人民币</w:t>
      </w:r>
    </w:p>
    <w:p>
      <w:pPr>
        <w:pStyle w:val="BodyText"/>
        <w:spacing w:line="240" w:lineRule="auto" w:before="177"/>
        <w:ind w:left="214" w:right="1021"/>
        <w:jc w:val="left"/>
      </w:pPr>
      <w:r>
        <w:rPr>
          <w:rFonts w:ascii="Times New Roman" w:hAnsi="Times New Roman" w:cs="Times New Roman" w:eastAsia="Times New Roman" w:hint="default"/>
          <w:spacing w:val="-3"/>
        </w:rPr>
        <w:t>2</w:t>
      </w:r>
      <w:r>
        <w:rPr>
          <w:spacing w:val="-3"/>
        </w:rPr>
        <w:t>元（含税）；期末本公司股权激励对象尚未解禁股数</w:t>
      </w:r>
      <w:r>
        <w:rPr>
          <w:rFonts w:ascii="Times New Roman" w:hAnsi="Times New Roman" w:cs="Times New Roman" w:eastAsia="Times New Roman" w:hint="default"/>
          <w:spacing w:val="-3"/>
        </w:rPr>
        <w:t>3,000,170</w:t>
      </w:r>
      <w:r>
        <w:rPr>
          <w:spacing w:val="-3"/>
        </w:rPr>
        <w:t>股，减少库存股和其他应付款</w:t>
      </w:r>
      <w:r>
        <w:rPr>
          <w:rFonts w:ascii="Times New Roman" w:hAnsi="Times New Roman" w:cs="Times New Roman" w:eastAsia="Times New Roman" w:hint="default"/>
          <w:spacing w:val="-3"/>
        </w:rPr>
        <w:t>600,034.00</w:t>
      </w:r>
      <w:r>
        <w:rPr>
          <w:spacing w:val="-3"/>
        </w:rPr>
        <w:t>元；</w:t>
      </w:r>
    </w:p>
    <w:p>
      <w:pPr>
        <w:spacing w:line="240" w:lineRule="auto" w:before="1"/>
        <w:rPr>
          <w:rFonts w:ascii="宋体" w:hAnsi="宋体" w:cs="宋体" w:eastAsia="宋体" w:hint="default"/>
          <w:sz w:val="30"/>
          <w:szCs w:val="30"/>
        </w:rPr>
      </w:pPr>
    </w:p>
    <w:p>
      <w:pPr>
        <w:pStyle w:val="BodyText"/>
        <w:spacing w:line="386" w:lineRule="auto"/>
        <w:ind w:left="214" w:right="1121" w:hanging="1"/>
        <w:jc w:val="both"/>
      </w:pPr>
      <w:r>
        <w:rPr>
          <w:spacing w:val="-1"/>
        </w:rPr>
        <w:t>（</w:t>
      </w:r>
      <w:r>
        <w:rPr>
          <w:rFonts w:ascii="Times New Roman" w:hAnsi="Times New Roman" w:cs="Times New Roman" w:eastAsia="Times New Roman" w:hint="default"/>
          <w:spacing w:val="-1"/>
        </w:rPr>
        <w:t>3</w:t>
      </w:r>
      <w:r>
        <w:rPr>
          <w:spacing w:val="-1"/>
        </w:rPr>
        <w:t>）根据</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13</w:t>
      </w:r>
      <w:r>
        <w:rPr>
          <w:spacing w:val="-1"/>
        </w:rPr>
        <w:t>日召开的第三届董事会第二十一次会议决议、</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22</w:t>
      </w:r>
      <w:r>
        <w:rPr>
          <w:spacing w:val="-1"/>
        </w:rPr>
        <w:t>日召开的第三届董事会</w:t>
      </w:r>
      <w:r>
        <w:rPr>
          <w:spacing w:val="-85"/>
        </w:rPr>
        <w:t> </w:t>
      </w:r>
      <w:r>
        <w:rPr>
          <w:spacing w:val="-1"/>
        </w:rPr>
        <w:t>第二十五次会议决议、</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24</w:t>
      </w:r>
      <w:r>
        <w:rPr>
          <w:spacing w:val="-1"/>
        </w:rPr>
        <w:t>日召开的第四届董事会第二次会议决议，本公司回购已离职的</w:t>
      </w:r>
      <w:r>
        <w:rPr>
          <w:rFonts w:ascii="Times New Roman" w:hAnsi="Times New Roman" w:cs="Times New Roman" w:eastAsia="Times New Roman" w:hint="default"/>
          <w:spacing w:val="-1"/>
        </w:rPr>
        <w:t>21</w:t>
      </w:r>
      <w:r>
        <w:rPr>
          <w:spacing w:val="-1"/>
        </w:rPr>
        <w:t>名股</w:t>
      </w:r>
      <w:r>
        <w:rPr>
          <w:spacing w:val="-82"/>
        </w:rPr>
        <w:t> </w:t>
      </w:r>
      <w:r>
        <w:rPr>
          <w:spacing w:val="3"/>
        </w:rPr>
        <w:t>权激励对象共计</w:t>
      </w:r>
      <w:r>
        <w:rPr>
          <w:rFonts w:ascii="Times New Roman" w:hAnsi="Times New Roman" w:cs="Times New Roman" w:eastAsia="Times New Roman" w:hint="default"/>
          <w:spacing w:val="3"/>
        </w:rPr>
        <w:t>280,288</w:t>
      </w:r>
      <w:r>
        <w:rPr>
          <w:spacing w:val="3"/>
        </w:rPr>
        <w:t>股限制性股票，减少库存股</w:t>
      </w:r>
      <w:r>
        <w:rPr>
          <w:rFonts w:ascii="Times New Roman" w:hAnsi="Times New Roman" w:cs="Times New Roman" w:eastAsia="Times New Roman" w:hint="default"/>
          <w:spacing w:val="3"/>
        </w:rPr>
        <w:t>3,066,570.00</w:t>
      </w:r>
      <w:r>
        <w:rPr>
          <w:spacing w:val="3"/>
        </w:rPr>
        <w:t>元，减少股本</w:t>
      </w:r>
      <w:r>
        <w:rPr>
          <w:rFonts w:ascii="Times New Roman" w:hAnsi="Times New Roman" w:cs="Times New Roman" w:eastAsia="Times New Roman" w:hint="default"/>
          <w:spacing w:val="3"/>
        </w:rPr>
        <w:t>280,288</w:t>
      </w:r>
      <w:r>
        <w:rPr>
          <w:spacing w:val="3"/>
        </w:rPr>
        <w:t>股，减少资本公积</w:t>
      </w:r>
      <w:r>
        <w:rPr>
          <w:spacing w:val="-52"/>
        </w:rPr>
        <w:t> </w:t>
      </w:r>
      <w:r>
        <w:rPr>
          <w:spacing w:val="-52"/>
        </w:rPr>
      </w:r>
      <w:r>
        <w:rPr>
          <w:rFonts w:ascii="Times New Roman" w:hAnsi="Times New Roman" w:cs="Times New Roman" w:eastAsia="Times New Roman" w:hint="default"/>
        </w:rPr>
        <w:t>2,786,282.00</w:t>
      </w:r>
      <w:r>
        <w:rPr/>
        <w:t>元。</w:t>
      </w:r>
    </w:p>
    <w:p>
      <w:pPr>
        <w:spacing w:line="240" w:lineRule="auto" w:before="9"/>
        <w:rPr>
          <w:rFonts w:ascii="宋体" w:hAnsi="宋体" w:cs="宋体" w:eastAsia="宋体" w:hint="default"/>
          <w:sz w:val="19"/>
          <w:szCs w:val="19"/>
        </w:rPr>
      </w:pPr>
    </w:p>
    <w:p>
      <w:pPr>
        <w:pStyle w:val="Heading3"/>
        <w:spacing w:line="240" w:lineRule="auto"/>
        <w:ind w:left="214" w:right="1021"/>
        <w:jc w:val="left"/>
        <w:rPr>
          <w:b w:val="0"/>
          <w:bCs w:val="0"/>
        </w:rPr>
      </w:pPr>
      <w:r>
        <w:rPr>
          <w:rFonts w:ascii="Times New Roman" w:hAnsi="Times New Roman" w:cs="Times New Roman" w:eastAsia="Times New Roman" w:hint="default"/>
        </w:rPr>
        <w:t>48</w:t>
      </w:r>
      <w:r>
        <w:rPr/>
        <w:t>、其他综合收益</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1985"/>
        <w:gridCol w:w="992"/>
        <w:gridCol w:w="992"/>
        <w:gridCol w:w="1276"/>
        <w:gridCol w:w="1134"/>
        <w:gridCol w:w="1276"/>
        <w:gridCol w:w="851"/>
        <w:gridCol w:w="1062"/>
      </w:tblGrid>
      <w:tr>
        <w:trPr>
          <w:trHeight w:val="403" w:hRule="exact"/>
        </w:trPr>
        <w:tc>
          <w:tcPr>
            <w:tcW w:w="19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52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5"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992" w:type="dxa"/>
            <w:vMerge/>
            <w:tcBorders>
              <w:left w:val="single" w:sz="4" w:space="0" w:color="000000"/>
              <w:bottom w:val="single" w:sz="4" w:space="0" w:color="000000"/>
              <w:right w:val="single" w:sz="4" w:space="0" w:color="000000"/>
            </w:tcBorders>
            <w:shd w:val="clear" w:color="auto" w:fill="D3D3D3"/>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30" w:right="41" w:hanging="90"/>
              <w:jc w:val="left"/>
              <w:rPr>
                <w:rFonts w:ascii="宋体" w:hAnsi="宋体" w:cs="宋体" w:eastAsia="宋体" w:hint="default"/>
                <w:sz w:val="18"/>
                <w:szCs w:val="18"/>
              </w:rPr>
            </w:pPr>
            <w:r>
              <w:rPr>
                <w:rFonts w:ascii="宋体" w:hAnsi="宋体" w:cs="宋体" w:eastAsia="宋体" w:hint="default"/>
                <w:sz w:val="18"/>
                <w:szCs w:val="18"/>
              </w:rPr>
              <w:t>本期所得税 前发生额</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0"/>
              <w:jc w:val="center"/>
              <w:rPr>
                <w:rFonts w:ascii="宋体" w:hAnsi="宋体" w:cs="宋体" w:eastAsia="宋体" w:hint="default"/>
                <w:sz w:val="18"/>
                <w:szCs w:val="18"/>
              </w:rPr>
            </w:pPr>
            <w:r>
              <w:rPr>
                <w:rFonts w:ascii="宋体" w:hAnsi="宋体" w:cs="宋体" w:eastAsia="宋体" w:hint="default"/>
                <w:spacing w:val="-6"/>
                <w:sz w:val="18"/>
                <w:szCs w:val="18"/>
              </w:rPr>
              <w:t>减：前期计入其</w:t>
            </w:r>
            <w:r>
              <w:rPr>
                <w:rFonts w:ascii="宋体" w:hAnsi="宋体" w:cs="宋体" w:eastAsia="宋体" w:hint="default"/>
                <w:sz w:val="18"/>
                <w:szCs w:val="18"/>
              </w:rPr>
              <w:t> 他综合收益当 期转入损益</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71" w:right="23" w:hanging="449"/>
              <w:jc w:val="left"/>
              <w:rPr>
                <w:rFonts w:ascii="宋体" w:hAnsi="宋体" w:cs="宋体" w:eastAsia="宋体" w:hint="default"/>
                <w:sz w:val="18"/>
                <w:szCs w:val="18"/>
              </w:rPr>
            </w:pPr>
            <w:r>
              <w:rPr>
                <w:rFonts w:ascii="宋体" w:hAnsi="宋体" w:cs="宋体" w:eastAsia="宋体" w:hint="default"/>
                <w:sz w:val="18"/>
                <w:szCs w:val="18"/>
              </w:rPr>
              <w:t>减：所得税费 用</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52" w:right="91" w:hanging="360"/>
              <w:jc w:val="left"/>
              <w:rPr>
                <w:rFonts w:ascii="宋体" w:hAnsi="宋体" w:cs="宋体" w:eastAsia="宋体" w:hint="default"/>
                <w:sz w:val="18"/>
                <w:szCs w:val="18"/>
              </w:rPr>
            </w:pPr>
            <w:r>
              <w:rPr>
                <w:rFonts w:ascii="宋体" w:hAnsi="宋体" w:cs="宋体" w:eastAsia="宋体" w:hint="default"/>
                <w:sz w:val="18"/>
                <w:szCs w:val="18"/>
              </w:rPr>
              <w:t>税后归属于母 公司</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9" w:right="5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1062"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5"/>
                <w:sz w:val="18"/>
                <w:szCs w:val="18"/>
              </w:rPr>
              <w:t>二、将重分类进损益的其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他综合收益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163,479,285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39,725,347.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67,539,588.53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3,972,534.79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-31,786,775.43</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131,692,509.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57</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50" w:firstLine="540"/>
              <w:jc w:val="left"/>
              <w:rPr>
                <w:rFonts w:ascii="宋体" w:hAnsi="宋体" w:cs="宋体" w:eastAsia="宋体" w:hint="default"/>
                <w:sz w:val="18"/>
                <w:szCs w:val="18"/>
              </w:rPr>
            </w:pPr>
            <w:r>
              <w:rPr>
                <w:rFonts w:ascii="宋体" w:hAnsi="宋体" w:cs="宋体" w:eastAsia="宋体" w:hint="default"/>
                <w:sz w:val="18"/>
                <w:szCs w:val="18"/>
              </w:rPr>
              <w:t>可供出售金融资 产公允价值变动损益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163,479,285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39,725,347.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67,539,588.53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3,972,534.79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-31,786,775.43</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131,692,509.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57</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163,479,285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39,725,347.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67,539,588.53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3,972,534.79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-31,786,775.43</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131,692,509.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57</w:t>
            </w:r>
          </w:p>
        </w:tc>
      </w:tr>
    </w:tbl>
    <w:p>
      <w:pPr>
        <w:spacing w:line="388" w:lineRule="auto" w:before="51"/>
        <w:ind w:left="214" w:right="1182" w:firstLine="0"/>
        <w:jc w:val="left"/>
        <w:rPr>
          <w:rFonts w:ascii="宋体" w:hAnsi="宋体" w:cs="宋体" w:eastAsia="宋体" w:hint="default"/>
          <w:sz w:val="24"/>
          <w:szCs w:val="24"/>
        </w:rPr>
      </w:pPr>
      <w:r>
        <w:rPr>
          <w:rFonts w:ascii="宋体" w:hAnsi="宋体" w:cs="宋体" w:eastAsia="宋体" w:hint="default"/>
          <w:sz w:val="18"/>
          <w:szCs w:val="18"/>
        </w:rPr>
        <w:t>其他说明，包括对现金流量套期损益的有效部分转为被套期项目初始确认金额调整： </w:t>
      </w:r>
      <w:r>
        <w:rPr>
          <w:rFonts w:ascii="宋体" w:hAnsi="宋体" w:cs="宋体" w:eastAsia="宋体" w:hint="default"/>
          <w:sz w:val="21"/>
          <w:szCs w:val="21"/>
        </w:rPr>
        <w:t>其他综合收益的税后净额本期发生额为-</w:t>
      </w:r>
      <w:r>
        <w:rPr>
          <w:rFonts w:ascii="Times New Roman" w:hAnsi="Times New Roman" w:cs="Times New Roman" w:eastAsia="Times New Roman" w:hint="default"/>
          <w:sz w:val="21"/>
          <w:szCs w:val="21"/>
        </w:rPr>
        <w:t>31,786,775.43</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元，均为归属于母公司股东的其他综合收益的税后 净额</w:t>
      </w:r>
      <w:r>
        <w:rPr>
          <w:rFonts w:ascii="宋体" w:hAnsi="宋体" w:cs="宋体" w:eastAsia="宋体" w:hint="default"/>
          <w:sz w:val="24"/>
          <w:szCs w:val="24"/>
        </w:rPr>
        <w:t>。</w:t>
      </w:r>
    </w:p>
    <w:p>
      <w:pPr>
        <w:spacing w:line="240" w:lineRule="auto" w:before="2"/>
        <w:rPr>
          <w:rFonts w:ascii="宋体" w:hAnsi="宋体" w:cs="宋体" w:eastAsia="宋体" w:hint="default"/>
          <w:sz w:val="19"/>
          <w:szCs w:val="19"/>
        </w:rPr>
      </w:pPr>
    </w:p>
    <w:p>
      <w:pPr>
        <w:pStyle w:val="Heading3"/>
        <w:spacing w:line="240" w:lineRule="auto"/>
        <w:ind w:left="214" w:right="1021"/>
        <w:jc w:val="left"/>
        <w:rPr>
          <w:b w:val="0"/>
          <w:bCs w:val="0"/>
        </w:rPr>
      </w:pPr>
      <w:r>
        <w:rPr>
          <w:rFonts w:ascii="Times New Roman" w:hAnsi="Times New Roman" w:cs="Times New Roman" w:eastAsia="Times New Roman" w:hint="default"/>
        </w:rPr>
        <w:t>49</w:t>
      </w:r>
      <w:r>
        <w:rPr/>
        <w:t>、专项储备</w:t>
      </w:r>
      <w:r>
        <w:rPr>
          <w:b w:val="0"/>
          <w:bCs w:val="0"/>
        </w:rPr>
      </w:r>
    </w:p>
    <w:p>
      <w:pPr>
        <w:spacing w:line="240" w:lineRule="auto" w:before="8"/>
        <w:rPr>
          <w:rFonts w:ascii="宋体" w:hAnsi="宋体" w:cs="宋体" w:eastAsia="宋体" w:hint="default"/>
          <w:b/>
          <w:bCs/>
          <w:sz w:val="26"/>
          <w:szCs w:val="26"/>
        </w:rPr>
      </w:pPr>
    </w:p>
    <w:p>
      <w:pPr>
        <w:spacing w:before="0"/>
        <w:ind w:left="214" w:right="1021"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left="214" w:right="1021"/>
        <w:jc w:val="left"/>
        <w:rPr>
          <w:b w:val="0"/>
          <w:bCs w:val="0"/>
        </w:rPr>
      </w:pPr>
      <w:r>
        <w:rPr>
          <w:rFonts w:ascii="Times New Roman" w:hAnsi="Times New Roman" w:cs="Times New Roman" w:eastAsia="Times New Roman" w:hint="default"/>
        </w:rPr>
        <w:t>50</w:t>
      </w:r>
      <w:r>
        <w:rPr/>
        <w:t>、盈余公积</w:t>
      </w:r>
      <w:r>
        <w:rPr>
          <w:b w:val="0"/>
          <w:bCs w:val="0"/>
        </w:rPr>
      </w:r>
    </w:p>
    <w:p>
      <w:pPr>
        <w:spacing w:line="240" w:lineRule="auto" w:before="7"/>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82" w:top="1060" w:bottom="1180" w:left="920" w:right="0"/>
        </w:sectPr>
      </w:pPr>
    </w:p>
    <w:p>
      <w:pPr>
        <w:spacing w:line="240" w:lineRule="auto" w:before="6"/>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75,039,885.37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22,512,292.58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97,552,177.95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75,039,885.37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22,512,292.58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97,552,177.95</w:t>
            </w:r>
          </w:p>
        </w:tc>
      </w:tr>
    </w:tbl>
    <w:p>
      <w:pPr>
        <w:spacing w:before="51"/>
        <w:ind w:left="214" w:right="1021"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left="214" w:right="1021"/>
        <w:jc w:val="left"/>
        <w:rPr>
          <w:b w:val="0"/>
          <w:bCs w:val="0"/>
        </w:rPr>
      </w:pPr>
      <w:r>
        <w:rPr>
          <w:rFonts w:ascii="Times New Roman" w:hAnsi="Times New Roman" w:cs="Times New Roman" w:eastAsia="Times New Roman" w:hint="default"/>
        </w:rPr>
        <w:t>51</w:t>
      </w:r>
      <w:r>
        <w:rPr/>
        <w:t>、未分配利润</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797,752,846.82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566,397,841.60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797,752,846.82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566,397,841.60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303,214,679.83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271,716,271.45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22,512,292.58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17,897,386.25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99,360,797.20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19,853,620.24</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Arial Narrow" w:hAnsi="Arial Narrow" w:cs="Arial Narrow" w:eastAsia="Arial Narrow" w:hint="default"/>
                <w:sz w:val="24"/>
                <w:szCs w:val="24"/>
              </w:rPr>
            </w:pPr>
            <w:r>
              <w:rPr>
                <w:rFonts w:ascii="Arial Narrow"/>
                <w:spacing w:val="-1"/>
                <w:w w:val="95"/>
                <w:sz w:val="24"/>
              </w:rPr>
              <w:t>2,610,259.74</w:t>
            </w:r>
            <w:r>
              <w:rPr>
                <w:rFonts w:ascii="Arial Narrow"/>
                <w:sz w:val="24"/>
              </w:rPr>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979,094,436.87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797,752,846.82</w:t>
            </w:r>
          </w:p>
        </w:tc>
      </w:tr>
    </w:tbl>
    <w:p>
      <w:pPr>
        <w:spacing w:before="51"/>
        <w:ind w:left="214" w:right="1021"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7"/>
        <w:ind w:left="213"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w:t>
      </w:r>
    </w:p>
    <w:p>
      <w:pPr>
        <w:spacing w:before="102"/>
        <w:ind w:left="213"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w:t>
      </w:r>
    </w:p>
    <w:p>
      <w:pPr>
        <w:spacing w:before="103"/>
        <w:ind w:left="214"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w:t>
      </w:r>
    </w:p>
    <w:p>
      <w:pPr>
        <w:spacing w:before="102"/>
        <w:ind w:left="214"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w:t>
      </w:r>
    </w:p>
    <w:p>
      <w:pPr>
        <w:spacing w:before="102"/>
        <w:ind w:left="213"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pStyle w:val="Heading3"/>
        <w:spacing w:line="240" w:lineRule="auto"/>
        <w:ind w:left="214" w:right="1021"/>
        <w:jc w:val="left"/>
        <w:rPr>
          <w:b w:val="0"/>
          <w:bCs w:val="0"/>
        </w:rPr>
      </w:pPr>
      <w:r>
        <w:rPr>
          <w:rFonts w:ascii="Times New Roman" w:hAnsi="Times New Roman" w:cs="Times New Roman" w:eastAsia="Times New Roman" w:hint="default"/>
        </w:rPr>
        <w:t>52</w:t>
      </w:r>
      <w:r>
        <w:rPr/>
        <w:t>、营业收入和营业成本</w:t>
      </w:r>
      <w:r>
        <w:rPr>
          <w:b w:val="0"/>
          <w:bCs w:val="0"/>
        </w:rPr>
      </w:r>
    </w:p>
    <w:p>
      <w:pPr>
        <w:spacing w:line="240" w:lineRule="auto" w:before="1"/>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1"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1,600,380,389.40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648,293,299.73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1,336,178,959.72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478,816,760.55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204,001.60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23,131.15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461,451.65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1,600,584,391.00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648,316,430.88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1,336,640,411.37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478,816,760.55</w:t>
            </w:r>
          </w:p>
        </w:tc>
      </w:tr>
    </w:tbl>
    <w:p>
      <w:pPr>
        <w:spacing w:line="240" w:lineRule="auto" w:before="1"/>
        <w:rPr>
          <w:rFonts w:ascii="宋体" w:hAnsi="宋体" w:cs="宋体" w:eastAsia="宋体" w:hint="default"/>
          <w:sz w:val="19"/>
          <w:szCs w:val="19"/>
        </w:rPr>
      </w:pPr>
    </w:p>
    <w:p>
      <w:pPr>
        <w:pStyle w:val="Heading3"/>
        <w:spacing w:line="240" w:lineRule="auto" w:before="35"/>
        <w:ind w:left="214" w:right="1021"/>
        <w:jc w:val="left"/>
        <w:rPr>
          <w:b w:val="0"/>
          <w:bCs w:val="0"/>
        </w:rPr>
      </w:pPr>
      <w:r>
        <w:rPr>
          <w:rFonts w:ascii="Times New Roman" w:hAnsi="Times New Roman" w:cs="Times New Roman" w:eastAsia="Times New Roman" w:hint="default"/>
        </w:rPr>
        <w:t>53</w:t>
      </w:r>
      <w:r>
        <w:rPr/>
        <w:t>、税金及附加</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8,139,599.61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7,294,018.25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5,813,573.89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5,201,395.24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2,534,415.70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2,349,282.38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2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126,222.90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126,222.90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24,087.60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29,182.80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946,919.79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813,857.90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17,584,819.49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15,813,959.47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54</w:t>
      </w:r>
      <w:r>
        <w:rPr/>
        <w:t>、销售费用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137,522,494.34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111,597,211.10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45,782,581.51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31,994,402.15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17,155,226.48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13,208,885.03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4,726,275.28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3,701,591.24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10,820,746.02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7,880,894.51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4,761,895.60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7,256,840.67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5,722,358.49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3,399,815.97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2,421,869.06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1,353,218.59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邮寄费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4,045,594.48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2,480,132.57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1,459,131.28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1,791,631.53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5,685,789.81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3,381,218.02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2,664,991.62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3,842,375.11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4,509,241.63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3,761,036.07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企业年金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320,032.45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333,999.08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运杂费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920,514.98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386,511.90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1,931,534.22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1,085,056.65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820,646.56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286,266.34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251,270,923.81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197,741,086.53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55</w:t>
      </w:r>
      <w:r>
        <w:rPr/>
        <w:t>、管理费用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市场运营费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41,887,102.75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37,158,618.22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62,015,319.86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45,538,283.44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31,191,184.09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29,896,970.37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21,388,580.29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15,844,211.38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18,899,961.07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17,624,574.50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10,766,585.20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5,927,223.54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7,868,091.24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5,709,485.00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3,172,172.71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3,660,978.12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4,798,454.31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2,779,277.46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维修</w:t>
            </w:r>
            <w:r>
              <w:rPr>
                <w:rFonts w:ascii="Times New Roman" w:hAnsi="Times New Roman" w:cs="Times New Roman" w:eastAsia="Times New Roman" w:hint="default"/>
                <w:sz w:val="18"/>
                <w:szCs w:val="18"/>
              </w:rPr>
              <w:t>(</w:t>
            </w:r>
            <w:r>
              <w:rPr>
                <w:rFonts w:ascii="宋体" w:hAnsi="宋体" w:cs="宋体" w:eastAsia="宋体" w:hint="default"/>
                <w:sz w:val="18"/>
                <w:szCs w:val="18"/>
              </w:rPr>
              <w:t>护</w:t>
            </w:r>
            <w:r>
              <w:rPr>
                <w:rFonts w:ascii="Times New Roman" w:hAnsi="Times New Roman" w:cs="Times New Roman" w:eastAsia="Times New Roman" w:hint="default"/>
                <w:sz w:val="18"/>
                <w:szCs w:val="18"/>
              </w:rPr>
              <w:t>)</w:t>
            </w:r>
            <w:r>
              <w:rPr>
                <w:rFonts w:ascii="宋体" w:hAnsi="宋体" w:cs="宋体" w:eastAsia="宋体" w:hint="default"/>
                <w:sz w:val="18"/>
                <w:szCs w:val="18"/>
              </w:rPr>
              <w:t>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3,915,047.43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3,278,762.14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3,693,397.97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2,734,229.32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工会经费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3,971,534.06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2,705,520.92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7,220,854.24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5,479,718.24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3,019,728.26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1,286,025.39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1,579,331.92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1,605,344.99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2,187,744.68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1,549,170.61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残疾人补助金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568,402.33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348,418.51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企业年金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136,707.29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125,671.26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会员年费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614,280.57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514,437.49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无形资产评估增值摊销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1,452,180.00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1,452,180.00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职工教育经费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315,040.87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429,205.63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13,809,156.79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11,663,253.64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1,942,077.14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1,966,381.48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246,412,935.07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199,277,941.65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56</w:t>
      </w:r>
      <w:r>
        <w:rPr/>
        <w:t>、研发费用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191,207,368.99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136,730,740.68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9,398,093.91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7,399,442.58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折旧费用与长期待摊费用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3,472,559.79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2,762,493.84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442,574.45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416,416.89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395,200.39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358,895.16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设备调试费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994,479.15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157,100.70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委托外部研究开发费用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5,048,087.87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11,259,381.65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12,707,831.90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11,561,984.79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223,666,196.45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170,646,456.29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57</w:t>
      </w:r>
      <w:r>
        <w:rPr/>
        <w:t>、财务费用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利息费用总额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141,692.76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9,459,065.73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12,908,778.14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-659,406.52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539,371.85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270,430.84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175,452.04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-9,706,348.65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-12,193,954.25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58</w:t>
      </w:r>
      <w:r>
        <w:rPr/>
        <w:t>、资产减值损失</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28,941,818.68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14,627,577.55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9,737,146.86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18,919,540.68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1,595,218.93</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1,175,170.44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7,041,109.80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20,519,464.98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41,449,354.91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61,107,693.01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59</w:t>
      </w:r>
      <w:r>
        <w:rPr/>
        <w:t>、其他收益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820"/>
        <w:gridCol w:w="1559"/>
        <w:gridCol w:w="3190"/>
      </w:tblGrid>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94"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软件增值税退税款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48,585,751.02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47,866,970.23</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软件和信息技术服务业发展专项资金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6,254,700.00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3,173,000.00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企业研发经费补助</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6,112,642.00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3,548,700.00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厦门超级计算中心滚动支持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1,600,001.16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1,979,696.95</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多源、多通道网络空间数据采集技术研究项目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高新技术企业认定奖励</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right"/>
        <w:rPr>
          <w:rFonts w:ascii="宋体" w:hAnsi="宋体" w:cs="宋体" w:eastAsia="宋体"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820"/>
        <w:gridCol w:w="1559"/>
        <w:gridCol w:w="3190"/>
      </w:tblGrid>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软件信息企业增产增速奖励</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以物联网为龙头的新一代信息技术产业发展资金补助</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众创空间扶持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557,838.00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地方贡献增量奖励</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818,000.00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思明区质量技术奖质量奖（工信部知识产权标杆企业）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2,250,000.00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科技定额兑现政策</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781,198.00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个税手续费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718,870.95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841,356.49</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标准化工作专项项目奖励</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610,796.12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质量技术奖标准化奖励</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517,559.97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492,442.48</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年度新建院士专家工作站建设专项经费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市级工程中心资助</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支持军民融合创新发展补助</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软件开发项目市外中标（签约）奖</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457,234.00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国家服务业发展引导资金</w:t>
            </w:r>
            <w:r>
              <w:rPr>
                <w:rFonts w:ascii="Times New Roman" w:hAnsi="Times New Roman" w:cs="Times New Roman" w:eastAsia="Times New Roman" w:hint="default"/>
                <w:sz w:val="18"/>
                <w:szCs w:val="18"/>
              </w:rPr>
              <w:t>“</w:t>
            </w:r>
            <w:r>
              <w:rPr>
                <w:rFonts w:ascii="宋体" w:hAnsi="宋体" w:cs="宋体" w:eastAsia="宋体" w:hint="default"/>
                <w:sz w:val="18"/>
                <w:szCs w:val="18"/>
              </w:rPr>
              <w:t>电子数据存证云</w:t>
            </w:r>
            <w:r>
              <w:rPr>
                <w:rFonts w:ascii="Times New Roman" w:hAnsi="Times New Roman" w:cs="Times New Roman" w:eastAsia="Times New Roman" w:hint="default"/>
                <w:sz w:val="18"/>
                <w:szCs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386,519.13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1,125,803.44</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年房租补贴</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386,505.00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应届生社保补贴</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338,879.31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18,400.90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实时通总部企业扶持资金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332,262.00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年第二批厦门市产业转型升级专项资金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计算机软件著作权登记证书累计奖</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专利补贴</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186,432.00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75,000.00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社保补差与社保补贴</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172,852.96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83,426.76</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标准化战略资助资金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基于手机云的手机综合取证系统</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124,763.62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468,521.24</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科技项目计划</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年技术交易奖励金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115,767.00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170,700.00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劳务协作奖励</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105,636.66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714"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6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年厦门市科学技术奖二等奖（城市公共安全管理平台） 奖金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杰出青年创新创业人才计划扶持培养经费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两化融合试点奖补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企业知识产权贯标认证补贴</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薪酬津贴</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基于云技术的证据链综合取证平台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99,999.98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270,083.96</w:t>
            </w:r>
          </w:p>
        </w:tc>
      </w:tr>
    </w:tbl>
    <w:p>
      <w:pPr>
        <w:spacing w:after="0" w:line="240" w:lineRule="auto"/>
        <w:jc w:val="right"/>
        <w:rPr>
          <w:rFonts w:ascii="Times New Roman" w:hAnsi="Times New Roman" w:cs="Times New Roman" w:eastAsia="Times New Roman" w:hint="default"/>
          <w:sz w:val="18"/>
          <w:szCs w:val="18"/>
        </w:rPr>
        <w:sectPr>
          <w:footerReference w:type="default" r:id="rId19"/>
          <w:pgSz w:w="11910" w:h="16840"/>
          <w:pgMar w:footer="982" w:header="747"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820"/>
        <w:gridCol w:w="1559"/>
        <w:gridCol w:w="3190"/>
      </w:tblGrid>
      <w:tr>
        <w:trPr>
          <w:trHeight w:val="714"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4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年地方外经贸发展专项资金（服务贸易和服务外包项 目）</w:t>
            </w:r>
            <w:r>
              <w:rPr>
                <w:rFonts w:ascii="Times New Roman" w:hAnsi="Times New Roman" w:cs="Times New Roman" w:eastAsia="Times New Roman" w:hint="default"/>
                <w:sz w:val="18"/>
                <w:szCs w:val="18"/>
              </w:rPr>
              <w:t>”</w:t>
            </w:r>
            <w:r>
              <w:rPr>
                <w:rFonts w:ascii="宋体" w:hAnsi="宋体" w:cs="宋体" w:eastAsia="宋体" w:hint="default"/>
                <w:sz w:val="18"/>
                <w:szCs w:val="18"/>
              </w:rPr>
              <w:t>资助金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96,800.00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年外经贸发展专项第五批项目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生育津贴</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77,407.82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科技型小微企业引才补贴</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72,000.00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156,000.00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知识产权试点企业奖励奖金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院士专家工作站经费补助</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714"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基于云计算平台的空气质量预报预警与决策支持服务关键技 术研究</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27,600.00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面向互联网的海量内容信息分析挖掘关键技术及系统</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15,678.44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28,339.66</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人员培训补贴</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电子取证关键技术研究</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14,115.07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34,298.32</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思明区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年第一季度企业招用本市农村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12,633.27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男职工护理费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高新技术产品奖励</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知识产权资助资金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企业录用本市农村户口劳动力的社保补贴</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3,922.40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实时通下拨经费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知识产权补贴</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面向新型信息技术和应用环境的网络管控技术研究</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2,881.66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22,156.84</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企业注册补贴</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资质认定补贴</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文明劝导奖励</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科技政策定额扶持资金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80,343.48</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高新技术成果转化项目扶持资金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2,829,559.00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上合组织演练专项经费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1,743,936.24</w:t>
            </w:r>
          </w:p>
        </w:tc>
      </w:tr>
      <w:tr>
        <w:trPr>
          <w:trHeight w:val="714"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引进和培育优秀软件信息企业六条措施落户成长奖励--2017 年中国软件百强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1,500,000.00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科学仪器设备资源共享优惠补贴</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903,168.00</w:t>
            </w:r>
          </w:p>
        </w:tc>
      </w:tr>
      <w:tr>
        <w:trPr>
          <w:trHeight w:val="714"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优秀骨干人才承担的软件产业化项目（基于知识图谱的网络 舆情分析系统）</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818,000.00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鄂财企发[2017]68</w:t>
            </w:r>
            <w:r>
              <w:rPr>
                <w:rFonts w:ascii="宋体" w:hAnsi="宋体" w:cs="宋体" w:eastAsia="宋体" w:hint="default"/>
                <w:spacing w:val="-46"/>
                <w:sz w:val="18"/>
                <w:szCs w:val="18"/>
              </w:rPr>
              <w:t> </w:t>
            </w:r>
            <w:r>
              <w:rPr>
                <w:rFonts w:ascii="宋体" w:hAnsi="宋体" w:cs="宋体" w:eastAsia="宋体" w:hint="default"/>
                <w:sz w:val="18"/>
                <w:szCs w:val="18"/>
              </w:rPr>
              <w:t>号-省科技项目补贴</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500,000.00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思明区促进互联网经济发展办法</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543,014.00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科技发展专项资金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202,000.00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宙斯眼安卓手机恶意程序调查系统</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180,000.00</w:t>
            </w:r>
          </w:p>
        </w:tc>
      </w:tr>
    </w:tbl>
    <w:p>
      <w:pPr>
        <w:spacing w:after="0" w:line="240" w:lineRule="auto"/>
        <w:jc w:val="right"/>
        <w:rPr>
          <w:rFonts w:ascii="宋体" w:hAnsi="宋体" w:cs="宋体" w:eastAsia="宋体" w:hint="default"/>
          <w:sz w:val="18"/>
          <w:szCs w:val="18"/>
        </w:rPr>
        <w:sectPr>
          <w:footerReference w:type="default" r:id="rId20"/>
          <w:pgSz w:w="11910" w:h="16840"/>
          <w:pgMar w:footer="982" w:header="747" w:top="1060" w:bottom="1180" w:left="980" w:right="0"/>
          <w:pgNumType w:start="2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209" w:type="dxa"/>
        <w:tblLayout w:type="fixed"/>
        <w:tblCellMar>
          <w:top w:w="0" w:type="dxa"/>
          <w:left w:w="0" w:type="dxa"/>
          <w:bottom w:w="0" w:type="dxa"/>
          <w:right w:w="0" w:type="dxa"/>
        </w:tblCellMar>
        <w:tblLook w:val="01E0"/>
      </w:tblPr>
      <w:tblGrid>
        <w:gridCol w:w="4820"/>
        <w:gridCol w:w="1559"/>
        <w:gridCol w:w="3190"/>
      </w:tblGrid>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安全服务器项目创新资金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140,000.00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市财政局新增规模以上工业企业奖励资金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76,000.00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江苏省互联网产业园-园区重点互联网企业奖励</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安全服务器项目资金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42,000.00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纳税大户企业奖励金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科学技术局科创红包补贴</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10,643.00</w:t>
            </w:r>
          </w:p>
        </w:tc>
      </w:tr>
    </w:tbl>
    <w:p>
      <w:pPr>
        <w:tabs>
          <w:tab w:pos="6305" w:val="left" w:leader="none"/>
          <w:tab w:pos="8954" w:val="left" w:leader="none"/>
        </w:tabs>
        <w:spacing w:before="51"/>
        <w:ind w:left="322" w:right="1021" w:firstLine="0"/>
        <w:jc w:val="left"/>
        <w:rPr>
          <w:rFonts w:ascii="宋体" w:hAnsi="宋体" w:cs="宋体" w:eastAsia="宋体" w:hint="default"/>
          <w:sz w:val="18"/>
          <w:szCs w:val="18"/>
        </w:rPr>
      </w:pPr>
      <w:r>
        <w:rPr>
          <w:rFonts w:ascii="宋体" w:hAnsi="宋体" w:cs="宋体" w:eastAsia="宋体" w:hint="default"/>
          <w:sz w:val="18"/>
          <w:szCs w:val="18"/>
        </w:rPr>
        <w:t>其他</w:t>
        <w:tab/>
        <w:t>－</w:t>
        <w:tab/>
        <w:t>5,360.92</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4820"/>
        <w:gridCol w:w="1559"/>
        <w:gridCol w:w="3190"/>
      </w:tblGrid>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0" w:right="0"/>
              <w:jc w:val="left"/>
              <w:rPr>
                <w:rFonts w:ascii="Times New Roman" w:hAnsi="Times New Roman" w:cs="Times New Roman" w:eastAsia="Times New Roman" w:hint="default"/>
                <w:sz w:val="18"/>
                <w:szCs w:val="18"/>
              </w:rPr>
            </w:pPr>
            <w:r>
              <w:rPr>
                <w:rFonts w:ascii="Times New Roman"/>
                <w:sz w:val="18"/>
              </w:rPr>
              <w:t>78,376,623.71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73,286,759.91</w:t>
            </w:r>
          </w:p>
        </w:tc>
      </w:tr>
    </w:tbl>
    <w:p>
      <w:pPr>
        <w:spacing w:line="240" w:lineRule="auto" w:before="1"/>
        <w:rPr>
          <w:rFonts w:ascii="宋体" w:hAnsi="宋体" w:cs="宋体" w:eastAsia="宋体" w:hint="default"/>
          <w:sz w:val="19"/>
          <w:szCs w:val="19"/>
        </w:rPr>
      </w:pPr>
    </w:p>
    <w:p>
      <w:pPr>
        <w:pStyle w:val="Heading3"/>
        <w:spacing w:line="240" w:lineRule="auto" w:before="35"/>
        <w:ind w:left="214" w:right="1021"/>
        <w:jc w:val="left"/>
        <w:rPr>
          <w:b w:val="0"/>
          <w:bCs w:val="0"/>
        </w:rPr>
      </w:pPr>
      <w:r>
        <w:rPr>
          <w:rFonts w:ascii="Times New Roman" w:hAnsi="Times New Roman" w:cs="Times New Roman" w:eastAsia="Times New Roman" w:hint="default"/>
        </w:rPr>
        <w:t>60</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460"/>
        <w:gridCol w:w="3191"/>
        <w:gridCol w:w="2917"/>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-4,877,783.35</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-2,690,548.33</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1,069,435.14</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1,537,500.00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1,879,393.00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65,449,779.62</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业绩承诺补偿款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10,045,572.00</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73,224,503.41</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-811,155.33</w:t>
            </w:r>
          </w:p>
        </w:tc>
      </w:tr>
    </w:tbl>
    <w:p>
      <w:pPr>
        <w:spacing w:before="51"/>
        <w:ind w:left="214" w:right="1021"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left="214" w:right="1021"/>
        <w:jc w:val="left"/>
        <w:rPr>
          <w:b w:val="0"/>
          <w:bCs w:val="0"/>
        </w:rPr>
      </w:pPr>
      <w:r>
        <w:rPr>
          <w:rFonts w:ascii="Times New Roman" w:hAnsi="Times New Roman" w:cs="Times New Roman" w:eastAsia="Times New Roman" w:hint="default"/>
        </w:rPr>
        <w:t>61</w:t>
      </w:r>
      <w:r>
        <w:rPr/>
        <w:t>、公允价值变动收益</w:t>
      </w:r>
      <w:r>
        <w:rPr>
          <w:b w:val="0"/>
          <w:bCs w:val="0"/>
        </w:rPr>
      </w:r>
    </w:p>
    <w:p>
      <w:pPr>
        <w:spacing w:line="240" w:lineRule="auto" w:before="7"/>
        <w:rPr>
          <w:rFonts w:ascii="宋体" w:hAnsi="宋体" w:cs="宋体" w:eastAsia="宋体" w:hint="default"/>
          <w:b/>
          <w:bCs/>
          <w:sz w:val="26"/>
          <w:szCs w:val="26"/>
        </w:rPr>
      </w:pPr>
    </w:p>
    <w:p>
      <w:pPr>
        <w:spacing w:before="0"/>
        <w:ind w:left="214" w:right="1021"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left="214" w:right="1021"/>
        <w:jc w:val="left"/>
        <w:rPr>
          <w:b w:val="0"/>
          <w:bCs w:val="0"/>
        </w:rPr>
      </w:pPr>
      <w:r>
        <w:rPr>
          <w:rFonts w:ascii="Times New Roman" w:hAnsi="Times New Roman" w:cs="Times New Roman" w:eastAsia="Times New Roman" w:hint="default"/>
        </w:rPr>
        <w:t>62</w:t>
      </w:r>
      <w:r>
        <w:rPr/>
        <w:t>、资产处置收益</w:t>
      </w:r>
      <w:r>
        <w:rPr>
          <w:b w:val="0"/>
          <w:bCs w:val="0"/>
        </w:rPr>
      </w:r>
    </w:p>
    <w:p>
      <w:pPr>
        <w:spacing w:line="240" w:lineRule="auto" w:before="1"/>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3,433.41</w:t>
            </w:r>
          </w:p>
        </w:tc>
      </w:tr>
    </w:tbl>
    <w:p>
      <w:pPr>
        <w:spacing w:line="240" w:lineRule="auto" w:before="1"/>
        <w:rPr>
          <w:rFonts w:ascii="宋体" w:hAnsi="宋体" w:cs="宋体" w:eastAsia="宋体" w:hint="default"/>
          <w:sz w:val="19"/>
          <w:szCs w:val="19"/>
        </w:rPr>
      </w:pPr>
    </w:p>
    <w:p>
      <w:pPr>
        <w:pStyle w:val="Heading3"/>
        <w:spacing w:line="240" w:lineRule="auto" w:before="35"/>
        <w:ind w:left="214" w:right="1021"/>
        <w:jc w:val="left"/>
        <w:rPr>
          <w:b w:val="0"/>
          <w:bCs w:val="0"/>
        </w:rPr>
      </w:pPr>
      <w:r>
        <w:rPr>
          <w:rFonts w:ascii="Times New Roman" w:hAnsi="Times New Roman" w:cs="Times New Roman" w:eastAsia="Times New Roman" w:hint="default"/>
        </w:rPr>
        <w:t>63</w:t>
      </w:r>
      <w:r>
        <w:rPr/>
        <w:t>、营业外收入</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227,354.81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166,394.63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269,454.81</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227,354.81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166,394.63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269,454.81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20" w:right="0"/>
        </w:sectPr>
      </w:pPr>
    </w:p>
    <w:p>
      <w:pPr>
        <w:spacing w:line="240" w:lineRule="auto" w:before="13"/>
        <w:rPr>
          <w:rFonts w:ascii="宋体" w:hAnsi="宋体" w:cs="宋体" w:eastAsia="宋体" w:hint="default"/>
          <w:sz w:val="25"/>
          <w:szCs w:val="25"/>
        </w:rPr>
      </w:pPr>
    </w:p>
    <w:p>
      <w:pPr>
        <w:spacing w:line="357" w:lineRule="auto" w:before="44"/>
        <w:ind w:left="153" w:right="8591"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 无</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64</w:t>
      </w:r>
      <w:r>
        <w:rPr/>
        <w:t>、营业外支出</w:t>
      </w:r>
      <w:r>
        <w:rPr>
          <w:b w:val="0"/>
          <w:bCs w:val="0"/>
        </w:rPr>
      </w:r>
    </w:p>
    <w:p>
      <w:pPr>
        <w:spacing w:line="240" w:lineRule="auto" w:before="1"/>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161" w:hRule="exact"/>
        </w:trPr>
        <w:tc>
          <w:tcPr>
            <w:tcW w:w="23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89" w:type="dxa"/>
            <w:vMerge/>
            <w:tcBorders>
              <w:left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89" w:type="dxa"/>
            <w:vMerge/>
            <w:tcBorders>
              <w:left w:val="single" w:sz="4" w:space="0" w:color="000000"/>
              <w:bottom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3,789,500.00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3,919,179.86</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1,036,457.00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214,598.54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1,036,457.00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598,720.60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146,584.22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469,040.74</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5,424,677.60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1,241,182.76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5,424,677.60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65</w:t>
      </w:r>
      <w:r>
        <w:rPr/>
        <w:t>、所得税费用</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25,387,538.66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38,685,091.04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510,045.13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-4,155,246.64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25,897,583.79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34,529,844.40</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096"/>
        <w:gridCol w:w="3472"/>
      </w:tblGrid>
      <w:tr>
        <w:trPr>
          <w:trHeight w:val="402" w:hRule="exact"/>
        </w:trPr>
        <w:tc>
          <w:tcPr>
            <w:tcW w:w="6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327,993,883.37</w:t>
            </w: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32,799,388.35</w:t>
            </w: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3,565,237.73</w:t>
            </w: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195,222.38</w:t>
            </w: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3,613,140.89</w:t>
            </w: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-215,750.07</w:t>
            </w:r>
          </w:p>
        </w:tc>
      </w:tr>
      <w:tr>
        <w:trPr>
          <w:trHeight w:val="401" w:hRule="exact"/>
        </w:trPr>
        <w:tc>
          <w:tcPr>
            <w:tcW w:w="6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4,096,125.72</w:t>
            </w: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权益法核算的合营企业和联营企业损益</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-639,448.16</w:t>
            </w:r>
          </w:p>
        </w:tc>
      </w:tr>
      <w:tr>
        <w:trPr>
          <w:trHeight w:val="403"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税率变动对期初递延所得税余额的影响</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652,530.79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096"/>
        <w:gridCol w:w="3472"/>
      </w:tblGrid>
      <w:tr>
        <w:trPr>
          <w:trHeight w:val="402"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研究开发费加成扣除的纳税影响（以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-18,168,863.84</w:t>
            </w: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25,897,583.79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line="544" w:lineRule="auto" w:before="0"/>
        <w:ind w:left="154" w:right="88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66</w:t>
      </w:r>
      <w:r>
        <w:rPr>
          <w:rFonts w:ascii="宋体" w:hAnsi="宋体" w:cs="宋体" w:eastAsia="宋体" w:hint="default"/>
          <w:b/>
          <w:bCs/>
          <w:sz w:val="21"/>
          <w:szCs w:val="21"/>
        </w:rPr>
        <w:t>、其他综合收益</w:t>
      </w:r>
      <w:r>
        <w:rPr>
          <w:rFonts w:ascii="宋体" w:hAnsi="宋体" w:cs="宋体" w:eastAsia="宋体" w:hint="default"/>
          <w:b/>
          <w:bCs/>
          <w:spacing w:val="1"/>
          <w:w w:val="99"/>
          <w:sz w:val="21"/>
          <w:szCs w:val="21"/>
        </w:rPr>
        <w:t> </w:t>
      </w:r>
      <w:r>
        <w:rPr>
          <w:rFonts w:ascii="宋体" w:hAnsi="宋体" w:cs="宋体" w:eastAsia="宋体" w:hint="default"/>
          <w:sz w:val="18"/>
          <w:szCs w:val="18"/>
        </w:rPr>
        <w:t>详见附注七、</w:t>
      </w:r>
      <w:r>
        <w:rPr>
          <w:rFonts w:ascii="Times New Roman" w:hAnsi="Times New Roman" w:cs="Times New Roman" w:eastAsia="Times New Roman" w:hint="default"/>
          <w:sz w:val="18"/>
          <w:szCs w:val="18"/>
        </w:rPr>
        <w:t>48</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67</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6"/>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收政府补助专项资金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36,895,679.16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22,130,597.42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1,933,507.94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3,043,951.32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收到的保证金、押金及其他往来款等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1,070,694.83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5,430,943.03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39,899,881.93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30,605,491.77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支付保函保证金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133,504.37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15,647,922.05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支付其他保证金、押金及其他往来款等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33,961,433.53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28,537,168.96</w:t>
            </w:r>
          </w:p>
        </w:tc>
      </w:tr>
      <w:tr>
        <w:trPr>
          <w:trHeight w:val="75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期间费用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130,227,382.14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105,586,859.73</w:t>
            </w:r>
          </w:p>
        </w:tc>
      </w:tr>
      <w:tr>
        <w:trPr>
          <w:trHeight w:val="755"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164,322,320.04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149,771,950.74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9"/>
        <w:rPr>
          <w:rFonts w:ascii="宋体" w:hAnsi="宋体" w:cs="宋体" w:eastAsia="宋体" w:hint="default"/>
          <w:sz w:val="24"/>
          <w:szCs w:val="24"/>
        </w:rPr>
      </w:pPr>
      <w:r>
        <w:rPr/>
        <w:pict>
          <v:shape style="position:absolute;margin-left:293.160004pt;margin-top:595.320007pt;width:124.8pt;height:19.6pt;mso-position-horizontal-relative:page;mso-position-vertical-relative:page;z-index:-1297960"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收到应付票据保证金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5,880,800.00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5,880,800.00</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支付应付票据保证金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1,553,480.00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回购员工股权激励款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2,179,620.00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3,604,905.00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2,179,620.00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5,158,385.00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68</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387"/>
        <w:gridCol w:w="1843"/>
        <w:gridCol w:w="2338"/>
      </w:tblGrid>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302,096,299.58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262,304,873.58</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41,449,354.91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61,107,693.01</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35,957,171.72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33,219,859.74</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19,017,713.56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15,199,801.50</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7,095,149.23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1,732,113.49</w:t>
            </w:r>
          </w:p>
        </w:tc>
      </w:tr>
      <w:tr>
        <w:trPr>
          <w:trHeight w:val="402" w:hRule="exact"/>
        </w:trPr>
        <w:tc>
          <w:tcPr>
            <w:tcW w:w="5387"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处置固定资产、无形资产和其他长期资产的损失（收益以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p>
        </w:tc>
        <w:tc>
          <w:tcPr>
            <w:tcW w:w="1843" w:type="dxa"/>
            <w:tcBorders>
              <w:top w:val="single" w:sz="4" w:space="0" w:color="000000"/>
              <w:left w:val="single" w:sz="13" w:space="0" w:color="FFFFFF"/>
              <w:bottom w:val="single" w:sz="4" w:space="0" w:color="000000"/>
              <w:right w:val="single" w:sz="9" w:space="0" w:color="FFFFFF"/>
            </w:tcBorders>
          </w:tcPr>
          <w:p>
            <w:pPr/>
          </w:p>
        </w:tc>
        <w:tc>
          <w:tcPr>
            <w:tcW w:w="2338"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-3,433.41</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1,036,457.00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204,598.54</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-7,753,890.32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-10,729,614.40</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-73,224,503.41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811,155.33</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691,567.64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-3,973,724.14</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-181,522.50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-181,522.50</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-16,395,413.12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-84,539,077.10</w:t>
            </w:r>
          </w:p>
        </w:tc>
      </w:tr>
      <w:tr>
        <w:trPr>
          <w:trHeight w:val="403"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-488,890,129.80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-122,888,999.08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387"/>
        <w:gridCol w:w="1843"/>
        <w:gridCol w:w="2338"/>
      </w:tblGrid>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239,106,378.46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29,726,502.56</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11,844,621.72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17,953,960.89</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71,849,254.67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199,944,188.01</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04"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04"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277,134,433.78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254,005,741.92</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254,005,741.92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223,466,500.95</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23,128,691.86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30,539,240.97</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277,134,433.78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254,005,741.92</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24,996.08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31,434.34</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276,982,409.37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253,608,561.92</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127,028.33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365,745.66</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277,134,433.78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254,005,741.92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69</w:t>
      </w:r>
      <w:r>
        <w:rPr/>
        <w:t>、所有者权益变动表项目注释</w:t>
      </w:r>
      <w:r>
        <w:rPr>
          <w:b w:val="0"/>
          <w:bCs w:val="0"/>
        </w:rPr>
      </w:r>
    </w:p>
    <w:p>
      <w:pPr>
        <w:spacing w:line="240" w:lineRule="auto" w:before="7"/>
        <w:rPr>
          <w:rFonts w:ascii="宋体" w:hAnsi="宋体" w:cs="宋体" w:eastAsia="宋体" w:hint="default"/>
          <w:b/>
          <w:bCs/>
          <w:sz w:val="26"/>
          <w:szCs w:val="26"/>
        </w:rPr>
      </w:pPr>
    </w:p>
    <w:p>
      <w:pPr>
        <w:spacing w:line="340" w:lineRule="auto" w:before="0"/>
        <w:ind w:left="153" w:right="5371" w:firstLine="0"/>
        <w:jc w:val="left"/>
        <w:rPr>
          <w:rFonts w:ascii="宋体" w:hAnsi="宋体" w:cs="宋体" w:eastAsia="宋体" w:hint="default"/>
          <w:sz w:val="18"/>
          <w:szCs w:val="18"/>
        </w:rPr>
      </w:pP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无</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70</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47,773,071.66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保证金及质押的定期存单</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47,773,071.66</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71</w:t>
      </w:r>
      <w:r>
        <w:rPr/>
        <w:t>、外币货币性项目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3"/>
        <w:gridCol w:w="2390"/>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740,334.53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5,081,063.94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715,483.64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626,906.77</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68,642.82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471,109.38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55,522.47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381,061.80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56" w:lineRule="auto"/>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530" w:lineRule="auto" w:before="156"/>
        <w:ind w:left="153" w:right="4031" w:firstLine="0"/>
        <w:jc w:val="left"/>
        <w:rPr>
          <w:rFonts w:ascii="宋体" w:hAnsi="宋体" w:cs="宋体" w:eastAsia="宋体" w:hint="default"/>
          <w:sz w:val="18"/>
          <w:szCs w:val="18"/>
        </w:rPr>
      </w:pPr>
      <w:r>
        <w:rPr>
          <w:rFonts w:ascii="宋体" w:hAnsi="宋体" w:cs="宋体" w:eastAsia="宋体" w:hint="default"/>
          <w:sz w:val="21"/>
          <w:szCs w:val="21"/>
        </w:rPr>
        <w:t>本公司子公司香港鼎永以香港为主要经营地，其采用美元为记账本位币。 </w:t>
      </w:r>
      <w:r>
        <w:rPr>
          <w:rFonts w:ascii="Times New Roman" w:hAnsi="Times New Roman" w:cs="Times New Roman" w:eastAsia="Times New Roman" w:hint="default"/>
          <w:b/>
          <w:bCs/>
          <w:sz w:val="21"/>
          <w:szCs w:val="21"/>
        </w:rPr>
        <w:t>72</w:t>
      </w:r>
      <w:r>
        <w:rPr>
          <w:rFonts w:ascii="宋体" w:hAnsi="宋体" w:cs="宋体" w:eastAsia="宋体" w:hint="default"/>
          <w:b/>
          <w:bCs/>
          <w:sz w:val="21"/>
          <w:szCs w:val="21"/>
        </w:rPr>
        <w:t>、套期</w:t>
      </w:r>
      <w:r>
        <w:rPr>
          <w:rFonts w:ascii="宋体" w:hAnsi="宋体" w:cs="宋体" w:eastAsia="宋体" w:hint="default"/>
          <w:b/>
          <w:bCs/>
          <w:w w:val="99"/>
          <w:sz w:val="21"/>
          <w:szCs w:val="21"/>
        </w:rPr>
        <w:t> </w:t>
      </w:r>
      <w:r>
        <w:rPr>
          <w:rFonts w:ascii="宋体" w:hAnsi="宋体" w:cs="宋体" w:eastAsia="宋体" w:hint="default"/>
          <w:sz w:val="18"/>
          <w:szCs w:val="18"/>
        </w:rPr>
        <w:t>按照套期类别披露套期项目及相关套期工具、被套期风险的定性和定量信息：</w:t>
      </w:r>
    </w:p>
    <w:p>
      <w:pPr>
        <w:pStyle w:val="Heading3"/>
        <w:spacing w:line="240" w:lineRule="auto" w:before="132"/>
        <w:ind w:right="0"/>
        <w:jc w:val="left"/>
        <w:rPr>
          <w:b w:val="0"/>
          <w:bCs w:val="0"/>
        </w:rPr>
      </w:pPr>
      <w:r>
        <w:rPr>
          <w:rFonts w:ascii="Times New Roman" w:hAnsi="Times New Roman" w:cs="Times New Roman" w:eastAsia="Times New Roman" w:hint="default"/>
        </w:rPr>
        <w:t>73</w:t>
      </w:r>
      <w:r>
        <w:rPr/>
        <w:t>、政府补助</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437" w:right="0"/>
        <w:jc w:val="left"/>
      </w:pPr>
      <w:r>
        <w:rPr/>
        <w:t>（</w:t>
      </w:r>
      <w:r>
        <w:rPr>
          <w:rFonts w:ascii="Times New Roman" w:hAnsi="Times New Roman" w:cs="Times New Roman" w:eastAsia="Times New Roman" w:hint="default"/>
        </w:rPr>
        <w:t>1</w:t>
      </w:r>
      <w:r>
        <w:rPr/>
        <w:t>）</w:t>
      </w:r>
      <w:r>
        <w:rPr>
          <w:spacing w:val="-74"/>
        </w:rPr>
        <w:t> </w:t>
      </w:r>
      <w:r>
        <w:rPr/>
        <w:t>计入递延收益的政府补助，后续采用总额法计量</w:t>
      </w:r>
    </w:p>
    <w:p>
      <w:pPr>
        <w:spacing w:after="0" w:line="240" w:lineRule="auto"/>
        <w:jc w:val="left"/>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242"/>
        <w:gridCol w:w="709"/>
        <w:gridCol w:w="1418"/>
        <w:gridCol w:w="1296"/>
        <w:gridCol w:w="1296"/>
        <w:gridCol w:w="667"/>
        <w:gridCol w:w="1417"/>
        <w:gridCol w:w="851"/>
        <w:gridCol w:w="958"/>
      </w:tblGrid>
      <w:tr>
        <w:trPr>
          <w:trHeight w:val="1650"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b/>
                <w:bCs/>
                <w:sz w:val="18"/>
                <w:szCs w:val="18"/>
              </w:rPr>
              <w:t>补助项目</w:t>
            </w:r>
            <w:r>
              <w:rPr>
                <w:rFonts w:ascii="宋体" w:hAnsi="宋体" w:cs="宋体" w:eastAsia="宋体" w:hint="default"/>
                <w:sz w:val="18"/>
                <w:szCs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70" w:right="189" w:hanging="182"/>
              <w:jc w:val="left"/>
              <w:rPr>
                <w:rFonts w:ascii="宋体" w:hAnsi="宋体" w:cs="宋体" w:eastAsia="宋体" w:hint="default"/>
                <w:sz w:val="18"/>
                <w:szCs w:val="18"/>
              </w:rPr>
            </w:pPr>
            <w:r>
              <w:rPr>
                <w:rFonts w:ascii="宋体" w:hAnsi="宋体" w:cs="宋体" w:eastAsia="宋体" w:hint="default"/>
                <w:b/>
                <w:bCs/>
                <w:sz w:val="18"/>
                <w:szCs w:val="18"/>
              </w:rPr>
              <w:t>本年新增补</w:t>
            </w:r>
            <w:r>
              <w:rPr>
                <w:rFonts w:ascii="宋体" w:hAnsi="宋体" w:cs="宋体" w:eastAsia="宋体" w:hint="default"/>
                <w:b/>
                <w:bCs/>
                <w:spacing w:val="1"/>
                <w:w w:val="99"/>
                <w:sz w:val="18"/>
                <w:szCs w:val="18"/>
              </w:rPr>
              <w:t> </w:t>
            </w:r>
            <w:r>
              <w:rPr>
                <w:rFonts w:ascii="宋体" w:hAnsi="宋体" w:cs="宋体" w:eastAsia="宋体" w:hint="default"/>
                <w:b/>
                <w:bCs/>
                <w:sz w:val="18"/>
                <w:szCs w:val="18"/>
              </w:rPr>
              <w:t>助金额</w:t>
            </w:r>
            <w:r>
              <w:rPr>
                <w:rFonts w:ascii="宋体" w:hAnsi="宋体" w:cs="宋体" w:eastAsia="宋体" w:hint="default"/>
                <w:sz w:val="18"/>
                <w:szCs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89" w:right="191"/>
              <w:jc w:val="center"/>
              <w:rPr>
                <w:rFonts w:ascii="宋体" w:hAnsi="宋体" w:cs="宋体" w:eastAsia="宋体" w:hint="default"/>
                <w:sz w:val="18"/>
                <w:szCs w:val="18"/>
              </w:rPr>
            </w:pPr>
            <w:r>
              <w:rPr>
                <w:rFonts w:ascii="宋体" w:hAnsi="宋体" w:cs="宋体" w:eastAsia="宋体" w:hint="default"/>
                <w:b/>
                <w:bCs/>
                <w:sz w:val="18"/>
                <w:szCs w:val="18"/>
              </w:rPr>
              <w:t>本年结转计</w:t>
            </w:r>
            <w:r>
              <w:rPr>
                <w:rFonts w:ascii="宋体" w:hAnsi="宋体" w:cs="宋体" w:eastAsia="宋体" w:hint="default"/>
                <w:b/>
                <w:bCs/>
                <w:spacing w:val="1"/>
                <w:w w:val="99"/>
                <w:sz w:val="18"/>
                <w:szCs w:val="18"/>
              </w:rPr>
              <w:t> </w:t>
            </w:r>
            <w:r>
              <w:rPr>
                <w:rFonts w:ascii="宋体" w:hAnsi="宋体" w:cs="宋体" w:eastAsia="宋体" w:hint="default"/>
                <w:b/>
                <w:bCs/>
                <w:sz w:val="18"/>
                <w:szCs w:val="18"/>
              </w:rPr>
              <w:t>入损益的金</w:t>
            </w:r>
            <w:r>
              <w:rPr>
                <w:rFonts w:ascii="宋体" w:hAnsi="宋体" w:cs="宋体" w:eastAsia="宋体" w:hint="default"/>
                <w:b/>
                <w:bCs/>
                <w:spacing w:val="1"/>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47" w:right="145"/>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b/>
                <w:bCs/>
                <w:spacing w:val="1"/>
                <w:w w:val="99"/>
                <w:sz w:val="18"/>
                <w:szCs w:val="18"/>
              </w:rPr>
              <w:t> </w:t>
            </w:r>
            <w:r>
              <w:rPr>
                <w:rFonts w:ascii="宋体" w:hAnsi="宋体" w:cs="宋体" w:eastAsia="宋体" w:hint="default"/>
                <w:b/>
                <w:bCs/>
                <w:sz w:val="18"/>
                <w:szCs w:val="18"/>
              </w:rPr>
              <w:t>变动</w:t>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48" w:right="146"/>
              <w:jc w:val="center"/>
              <w:rPr>
                <w:rFonts w:ascii="宋体" w:hAnsi="宋体" w:cs="宋体" w:eastAsia="宋体" w:hint="default"/>
                <w:sz w:val="18"/>
                <w:szCs w:val="18"/>
              </w:rPr>
            </w:pPr>
            <w:r>
              <w:rPr>
                <w:rFonts w:ascii="宋体" w:hAnsi="宋体" w:cs="宋体" w:eastAsia="宋体" w:hint="default"/>
                <w:b/>
                <w:bCs/>
                <w:sz w:val="18"/>
                <w:szCs w:val="18"/>
              </w:rPr>
              <w:t>本年结</w:t>
            </w:r>
            <w:r>
              <w:rPr>
                <w:rFonts w:ascii="宋体" w:hAnsi="宋体" w:cs="宋体" w:eastAsia="宋体" w:hint="default"/>
                <w:b/>
                <w:bCs/>
                <w:spacing w:val="1"/>
                <w:w w:val="99"/>
                <w:sz w:val="18"/>
                <w:szCs w:val="18"/>
              </w:rPr>
              <w:t> </w:t>
            </w:r>
            <w:r>
              <w:rPr>
                <w:rFonts w:ascii="宋体" w:hAnsi="宋体" w:cs="宋体" w:eastAsia="宋体" w:hint="default"/>
                <w:b/>
                <w:bCs/>
                <w:sz w:val="18"/>
                <w:szCs w:val="18"/>
              </w:rPr>
              <w:t>转计入</w:t>
            </w:r>
            <w:r>
              <w:rPr>
                <w:rFonts w:ascii="宋体" w:hAnsi="宋体" w:cs="宋体" w:eastAsia="宋体" w:hint="default"/>
                <w:b/>
                <w:bCs/>
                <w:spacing w:val="1"/>
                <w:w w:val="99"/>
                <w:sz w:val="18"/>
                <w:szCs w:val="18"/>
              </w:rPr>
              <w:t> </w:t>
            </w:r>
            <w:r>
              <w:rPr>
                <w:rFonts w:ascii="宋体" w:hAnsi="宋体" w:cs="宋体" w:eastAsia="宋体" w:hint="default"/>
                <w:b/>
                <w:bCs/>
                <w:sz w:val="18"/>
                <w:szCs w:val="18"/>
              </w:rPr>
              <w:t>损益的</w:t>
            </w:r>
            <w:r>
              <w:rPr>
                <w:rFonts w:ascii="宋体" w:hAnsi="宋体" w:cs="宋体" w:eastAsia="宋体" w:hint="default"/>
                <w:b/>
                <w:bCs/>
                <w:spacing w:val="1"/>
                <w:w w:val="99"/>
                <w:sz w:val="18"/>
                <w:szCs w:val="18"/>
              </w:rPr>
              <w:t> </w:t>
            </w:r>
            <w:r>
              <w:rPr>
                <w:rFonts w:ascii="宋体" w:hAnsi="宋体" w:cs="宋体" w:eastAsia="宋体" w:hint="default"/>
                <w:b/>
                <w:bCs/>
                <w:sz w:val="18"/>
                <w:szCs w:val="18"/>
              </w:rPr>
              <w:t>列报项</w:t>
            </w:r>
            <w:r>
              <w:rPr>
                <w:rFonts w:ascii="宋体" w:hAnsi="宋体" w:cs="宋体" w:eastAsia="宋体" w:hint="default"/>
                <w:b/>
                <w:bCs/>
                <w:spacing w:val="1"/>
                <w:w w:val="99"/>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57" w:right="110" w:hanging="45"/>
              <w:jc w:val="both"/>
              <w:rPr>
                <w:rFonts w:ascii="宋体" w:hAnsi="宋体" w:cs="宋体" w:eastAsia="宋体" w:hint="default"/>
                <w:sz w:val="18"/>
                <w:szCs w:val="18"/>
              </w:rPr>
            </w:pPr>
            <w:r>
              <w:rPr>
                <w:rFonts w:ascii="宋体" w:hAnsi="宋体" w:cs="宋体" w:eastAsia="宋体" w:hint="default"/>
                <w:b/>
                <w:bCs/>
                <w:sz w:val="18"/>
                <w:szCs w:val="18"/>
              </w:rPr>
              <w:t>与资产相</w:t>
            </w:r>
            <w:r>
              <w:rPr>
                <w:rFonts w:ascii="宋体" w:hAnsi="宋体" w:cs="宋体" w:eastAsia="宋体" w:hint="default"/>
                <w:b/>
                <w:bCs/>
                <w:w w:val="99"/>
                <w:sz w:val="18"/>
                <w:szCs w:val="18"/>
              </w:rPr>
              <w:t> </w:t>
            </w:r>
            <w:r>
              <w:rPr>
                <w:rFonts w:ascii="宋体" w:hAnsi="宋体" w:cs="宋体" w:eastAsia="宋体" w:hint="default"/>
                <w:b/>
                <w:bCs/>
                <w:sz w:val="18"/>
                <w:szCs w:val="18"/>
              </w:rPr>
              <w:t>关/与收</w:t>
            </w:r>
            <w:r>
              <w:rPr>
                <w:rFonts w:ascii="宋体" w:hAnsi="宋体" w:cs="宋体" w:eastAsia="宋体" w:hint="default"/>
                <w:b/>
                <w:bCs/>
                <w:w w:val="99"/>
                <w:sz w:val="18"/>
                <w:szCs w:val="18"/>
              </w:rPr>
              <w:t> </w:t>
            </w:r>
            <w:r>
              <w:rPr>
                <w:rFonts w:ascii="宋体" w:hAnsi="宋体" w:cs="宋体" w:eastAsia="宋体" w:hint="default"/>
                <w:b/>
                <w:bCs/>
                <w:sz w:val="18"/>
                <w:szCs w:val="18"/>
              </w:rPr>
              <w:t>益相关</w:t>
            </w:r>
            <w:r>
              <w:rPr>
                <w:rFonts w:ascii="宋体" w:hAnsi="宋体" w:cs="宋体" w:eastAsia="宋体" w:hint="default"/>
                <w:sz w:val="18"/>
                <w:szCs w:val="18"/>
              </w:rPr>
            </w:r>
          </w:p>
        </w:tc>
      </w:tr>
      <w:tr>
        <w:trPr>
          <w:trHeight w:val="1026"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71"/>
              <w:jc w:val="both"/>
              <w:rPr>
                <w:rFonts w:ascii="宋体" w:hAnsi="宋体" w:cs="宋体" w:eastAsia="宋体" w:hint="default"/>
                <w:sz w:val="18"/>
                <w:szCs w:val="18"/>
              </w:rPr>
            </w:pPr>
            <w:r>
              <w:rPr>
                <w:rFonts w:ascii="宋体" w:hAnsi="宋体" w:cs="宋体" w:eastAsia="宋体" w:hint="default"/>
                <w:spacing w:val="24"/>
                <w:sz w:val="18"/>
                <w:szCs w:val="18"/>
              </w:rPr>
              <w:t>厦门超级计</w:t>
            </w:r>
            <w:r>
              <w:rPr>
                <w:rFonts w:ascii="宋体" w:hAnsi="宋体" w:cs="宋体" w:eastAsia="宋体" w:hint="default"/>
                <w:spacing w:val="-86"/>
                <w:sz w:val="18"/>
                <w:szCs w:val="18"/>
              </w:rPr>
              <w:t> </w:t>
            </w:r>
            <w:r>
              <w:rPr>
                <w:rFonts w:ascii="宋体" w:hAnsi="宋体" w:cs="宋体" w:eastAsia="宋体" w:hint="default"/>
                <w:spacing w:val="24"/>
                <w:sz w:val="18"/>
                <w:szCs w:val="18"/>
              </w:rPr>
              <w:t>算中心滚动</w:t>
            </w:r>
            <w:r>
              <w:rPr>
                <w:rFonts w:ascii="宋体" w:hAnsi="宋体" w:cs="宋体" w:eastAsia="宋体" w:hint="default"/>
                <w:spacing w:val="-86"/>
                <w:sz w:val="18"/>
                <w:szCs w:val="18"/>
              </w:rPr>
              <w:t> </w:t>
            </w:r>
            <w:r>
              <w:rPr>
                <w:rFonts w:ascii="宋体" w:hAnsi="宋体" w:cs="宋体" w:eastAsia="宋体" w:hint="default"/>
                <w:sz w:val="18"/>
                <w:szCs w:val="18"/>
              </w:rPr>
              <w:t>支持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财</w:t>
            </w:r>
            <w:r>
              <w:rPr>
                <w:rFonts w:ascii="宋体" w:hAnsi="宋体" w:cs="宋体" w:eastAsia="宋体" w:hint="default"/>
                <w:spacing w:val="43"/>
                <w:sz w:val="18"/>
                <w:szCs w:val="18"/>
              </w:rPr>
              <w:t> </w:t>
            </w:r>
            <w:r>
              <w:rPr>
                <w:rFonts w:ascii="宋体" w:hAnsi="宋体" w:cs="宋体" w:eastAsia="宋体" w:hint="default"/>
                <w:sz w:val="18"/>
                <w:szCs w:val="18"/>
              </w:rPr>
              <w:t>政</w:t>
            </w:r>
            <w:r>
              <w:rPr>
                <w:rFonts w:ascii="宋体" w:hAnsi="宋体" w:cs="宋体" w:eastAsia="宋体" w:hint="default"/>
                <w:sz w:val="18"/>
                <w:szCs w:val="18"/>
              </w:rPr>
              <w:t> 拨款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4,800,000.00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3,200,000.00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1,600,001.16</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6,399,998.84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42"/>
                <w:sz w:val="18"/>
                <w:szCs w:val="18"/>
              </w:rPr>
              <w:t> </w:t>
            </w:r>
            <w:r>
              <w:rPr>
                <w:rFonts w:ascii="宋体" w:hAnsi="宋体" w:cs="宋体" w:eastAsia="宋体" w:hint="default"/>
                <w:sz w:val="18"/>
                <w:szCs w:val="18"/>
              </w:rPr>
              <w:t>他</w:t>
            </w:r>
            <w:r>
              <w:rPr>
                <w:rFonts w:ascii="宋体" w:hAnsi="宋体" w:cs="宋体" w:eastAsia="宋体" w:hint="default"/>
                <w:spacing w:val="-42"/>
                <w:sz w:val="18"/>
                <w:szCs w:val="18"/>
              </w:rPr>
              <w:t> </w:t>
            </w:r>
            <w:r>
              <w:rPr>
                <w:rFonts w:ascii="宋体" w:hAnsi="宋体" w:cs="宋体" w:eastAsia="宋体" w:hint="default"/>
                <w:sz w:val="18"/>
                <w:szCs w:val="18"/>
              </w:rPr>
              <w:t>收</w:t>
            </w:r>
            <w:r>
              <w:rPr>
                <w:rFonts w:ascii="宋体" w:hAnsi="宋体" w:cs="宋体" w:eastAsia="宋体" w:hint="default"/>
                <w:sz w:val="18"/>
                <w:szCs w:val="18"/>
              </w:rPr>
              <w:t> 益</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w:t>
            </w:r>
          </w:p>
        </w:tc>
      </w:tr>
      <w:tr>
        <w:trPr>
          <w:trHeight w:val="1338"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71"/>
              <w:jc w:val="both"/>
              <w:rPr>
                <w:rFonts w:ascii="宋体" w:hAnsi="宋体" w:cs="宋体" w:eastAsia="宋体" w:hint="default"/>
                <w:sz w:val="18"/>
                <w:szCs w:val="18"/>
              </w:rPr>
            </w:pPr>
            <w:r>
              <w:rPr>
                <w:rFonts w:ascii="宋体" w:hAnsi="宋体" w:cs="宋体" w:eastAsia="宋体" w:hint="default"/>
                <w:spacing w:val="24"/>
                <w:sz w:val="18"/>
                <w:szCs w:val="18"/>
              </w:rPr>
              <w:t>面向新型信</w:t>
            </w:r>
            <w:r>
              <w:rPr>
                <w:rFonts w:ascii="宋体" w:hAnsi="宋体" w:cs="宋体" w:eastAsia="宋体" w:hint="default"/>
                <w:spacing w:val="-86"/>
                <w:sz w:val="18"/>
                <w:szCs w:val="18"/>
              </w:rPr>
              <w:t> </w:t>
            </w:r>
            <w:r>
              <w:rPr>
                <w:rFonts w:ascii="宋体" w:hAnsi="宋体" w:cs="宋体" w:eastAsia="宋体" w:hint="default"/>
                <w:spacing w:val="24"/>
                <w:sz w:val="18"/>
                <w:szCs w:val="18"/>
              </w:rPr>
              <w:t>息技术和应</w:t>
            </w:r>
            <w:r>
              <w:rPr>
                <w:rFonts w:ascii="宋体" w:hAnsi="宋体" w:cs="宋体" w:eastAsia="宋体" w:hint="default"/>
                <w:spacing w:val="-86"/>
                <w:sz w:val="18"/>
                <w:szCs w:val="18"/>
              </w:rPr>
              <w:t> </w:t>
            </w:r>
            <w:r>
              <w:rPr>
                <w:rFonts w:ascii="宋体" w:hAnsi="宋体" w:cs="宋体" w:eastAsia="宋体" w:hint="default"/>
                <w:spacing w:val="24"/>
                <w:sz w:val="18"/>
                <w:szCs w:val="18"/>
              </w:rPr>
              <w:t>用环境的网</w:t>
            </w:r>
            <w:r>
              <w:rPr>
                <w:rFonts w:ascii="宋体" w:hAnsi="宋体" w:cs="宋体" w:eastAsia="宋体" w:hint="default"/>
                <w:spacing w:val="-86"/>
                <w:sz w:val="18"/>
                <w:szCs w:val="18"/>
              </w:rPr>
              <w:t> </w:t>
            </w:r>
            <w:r>
              <w:rPr>
                <w:rFonts w:ascii="宋体" w:hAnsi="宋体" w:cs="宋体" w:eastAsia="宋体" w:hint="default"/>
                <w:sz w:val="18"/>
                <w:szCs w:val="18"/>
              </w:rPr>
              <w:t>络技术研究</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财</w:t>
            </w:r>
            <w:r>
              <w:rPr>
                <w:rFonts w:ascii="宋体" w:hAnsi="宋体" w:cs="宋体" w:eastAsia="宋体" w:hint="default"/>
                <w:spacing w:val="43"/>
                <w:sz w:val="18"/>
                <w:szCs w:val="18"/>
              </w:rPr>
              <w:t> </w:t>
            </w:r>
            <w:r>
              <w:rPr>
                <w:rFonts w:ascii="宋体" w:hAnsi="宋体" w:cs="宋体" w:eastAsia="宋体" w:hint="default"/>
                <w:sz w:val="18"/>
                <w:szCs w:val="18"/>
              </w:rPr>
              <w:t>政</w:t>
            </w:r>
            <w:r>
              <w:rPr>
                <w:rFonts w:ascii="宋体" w:hAnsi="宋体" w:cs="宋体" w:eastAsia="宋体" w:hint="default"/>
                <w:sz w:val="18"/>
                <w:szCs w:val="18"/>
              </w:rPr>
              <w:t> 拨款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2,881.62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hAnsi="宋体" w:cs="宋体" w:eastAsia="宋体"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2,881.62</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42"/>
                <w:sz w:val="18"/>
                <w:szCs w:val="18"/>
              </w:rPr>
              <w:t> </w:t>
            </w:r>
            <w:r>
              <w:rPr>
                <w:rFonts w:ascii="宋体" w:hAnsi="宋体" w:cs="宋体" w:eastAsia="宋体" w:hint="default"/>
                <w:sz w:val="18"/>
                <w:szCs w:val="18"/>
              </w:rPr>
              <w:t>他</w:t>
            </w:r>
            <w:r>
              <w:rPr>
                <w:rFonts w:ascii="宋体" w:hAnsi="宋体" w:cs="宋体" w:eastAsia="宋体" w:hint="default"/>
                <w:spacing w:val="-42"/>
                <w:sz w:val="18"/>
                <w:szCs w:val="18"/>
              </w:rPr>
              <w:t> </w:t>
            </w:r>
            <w:r>
              <w:rPr>
                <w:rFonts w:ascii="宋体" w:hAnsi="宋体" w:cs="宋体" w:eastAsia="宋体" w:hint="default"/>
                <w:sz w:val="18"/>
                <w:szCs w:val="18"/>
              </w:rPr>
              <w:t>收</w:t>
            </w:r>
            <w:r>
              <w:rPr>
                <w:rFonts w:ascii="宋体" w:hAnsi="宋体" w:cs="宋体" w:eastAsia="宋体" w:hint="default"/>
                <w:sz w:val="18"/>
                <w:szCs w:val="18"/>
              </w:rPr>
              <w:t> 益</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95"/>
              <w:jc w:val="left"/>
              <w:rPr>
                <w:rFonts w:ascii="宋体" w:hAnsi="宋体" w:cs="宋体" w:eastAsia="宋体" w:hint="default"/>
                <w:sz w:val="18"/>
                <w:szCs w:val="18"/>
              </w:rPr>
            </w:pPr>
            <w:r>
              <w:rPr>
                <w:rFonts w:ascii="宋体" w:hAnsi="宋体" w:cs="宋体" w:eastAsia="宋体" w:hint="default"/>
                <w:spacing w:val="7"/>
                <w:sz w:val="18"/>
                <w:szCs w:val="18"/>
              </w:rPr>
              <w:t>部分与资 </w:t>
            </w:r>
            <w:r>
              <w:rPr>
                <w:rFonts w:ascii="宋体" w:hAnsi="宋体" w:cs="宋体" w:eastAsia="宋体" w:hint="default"/>
                <w:sz w:val="18"/>
                <w:szCs w:val="18"/>
              </w:rPr>
              <w:t>产相关</w:t>
            </w:r>
          </w:p>
        </w:tc>
      </w:tr>
      <w:tr>
        <w:trPr>
          <w:trHeight w:val="714"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71"/>
              <w:jc w:val="left"/>
              <w:rPr>
                <w:rFonts w:ascii="宋体" w:hAnsi="宋体" w:cs="宋体" w:eastAsia="宋体" w:hint="default"/>
                <w:sz w:val="18"/>
                <w:szCs w:val="18"/>
              </w:rPr>
            </w:pPr>
            <w:r>
              <w:rPr>
                <w:rFonts w:ascii="宋体" w:hAnsi="宋体" w:cs="宋体" w:eastAsia="宋体" w:hint="default"/>
                <w:spacing w:val="24"/>
                <w:sz w:val="18"/>
                <w:szCs w:val="18"/>
              </w:rPr>
              <w:t>电子取证关</w:t>
            </w:r>
            <w:r>
              <w:rPr>
                <w:rFonts w:ascii="宋体" w:hAnsi="宋体" w:cs="宋体" w:eastAsia="宋体" w:hint="default"/>
                <w:spacing w:val="-86"/>
                <w:sz w:val="18"/>
                <w:szCs w:val="18"/>
              </w:rPr>
              <w:t> </w:t>
            </w:r>
            <w:r>
              <w:rPr>
                <w:rFonts w:ascii="宋体" w:hAnsi="宋体" w:cs="宋体" w:eastAsia="宋体" w:hint="default"/>
                <w:sz w:val="18"/>
                <w:szCs w:val="18"/>
              </w:rPr>
              <w:t>键技术研究</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财</w:t>
            </w:r>
            <w:r>
              <w:rPr>
                <w:rFonts w:ascii="宋体" w:hAnsi="宋体" w:cs="宋体" w:eastAsia="宋体" w:hint="default"/>
                <w:spacing w:val="43"/>
                <w:sz w:val="18"/>
                <w:szCs w:val="18"/>
              </w:rPr>
              <w:t> </w:t>
            </w:r>
            <w:r>
              <w:rPr>
                <w:rFonts w:ascii="宋体" w:hAnsi="宋体" w:cs="宋体" w:eastAsia="宋体" w:hint="default"/>
                <w:sz w:val="18"/>
                <w:szCs w:val="18"/>
              </w:rPr>
              <w:t>政</w:t>
            </w:r>
            <w:r>
              <w:rPr>
                <w:rFonts w:ascii="宋体" w:hAnsi="宋体" w:cs="宋体" w:eastAsia="宋体" w:hint="default"/>
                <w:sz w:val="18"/>
                <w:szCs w:val="18"/>
              </w:rPr>
              <w:t> 拨款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20,915.08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hAnsi="宋体" w:cs="宋体" w:eastAsia="宋体"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14,115.07</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6,800.01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42"/>
                <w:sz w:val="18"/>
                <w:szCs w:val="18"/>
              </w:rPr>
              <w:t> </w:t>
            </w:r>
            <w:r>
              <w:rPr>
                <w:rFonts w:ascii="宋体" w:hAnsi="宋体" w:cs="宋体" w:eastAsia="宋体" w:hint="default"/>
                <w:sz w:val="18"/>
                <w:szCs w:val="18"/>
              </w:rPr>
              <w:t>他</w:t>
            </w:r>
            <w:r>
              <w:rPr>
                <w:rFonts w:ascii="宋体" w:hAnsi="宋体" w:cs="宋体" w:eastAsia="宋体" w:hint="default"/>
                <w:spacing w:val="-42"/>
                <w:sz w:val="18"/>
                <w:szCs w:val="18"/>
              </w:rPr>
              <w:t> </w:t>
            </w:r>
            <w:r>
              <w:rPr>
                <w:rFonts w:ascii="宋体" w:hAnsi="宋体" w:cs="宋体" w:eastAsia="宋体" w:hint="default"/>
                <w:sz w:val="18"/>
                <w:szCs w:val="18"/>
              </w:rPr>
              <w:t>收</w:t>
            </w:r>
            <w:r>
              <w:rPr>
                <w:rFonts w:ascii="宋体" w:hAnsi="宋体" w:cs="宋体" w:eastAsia="宋体" w:hint="default"/>
                <w:sz w:val="18"/>
                <w:szCs w:val="18"/>
              </w:rPr>
              <w:t> 益</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95"/>
              <w:jc w:val="left"/>
              <w:rPr>
                <w:rFonts w:ascii="宋体" w:hAnsi="宋体" w:cs="宋体" w:eastAsia="宋体" w:hint="default"/>
                <w:sz w:val="18"/>
                <w:szCs w:val="18"/>
              </w:rPr>
            </w:pPr>
            <w:r>
              <w:rPr>
                <w:rFonts w:ascii="宋体" w:hAnsi="宋体" w:cs="宋体" w:eastAsia="宋体" w:hint="default"/>
                <w:spacing w:val="7"/>
                <w:sz w:val="18"/>
                <w:szCs w:val="18"/>
              </w:rPr>
              <w:t>部分与资 </w:t>
            </w:r>
            <w:r>
              <w:rPr>
                <w:rFonts w:ascii="宋体" w:hAnsi="宋体" w:cs="宋体" w:eastAsia="宋体" w:hint="default"/>
                <w:sz w:val="18"/>
                <w:szCs w:val="18"/>
              </w:rPr>
              <w:t>产相关</w:t>
            </w:r>
          </w:p>
        </w:tc>
      </w:tr>
      <w:tr>
        <w:trPr>
          <w:trHeight w:val="1650"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71"/>
              <w:jc w:val="both"/>
              <w:rPr>
                <w:rFonts w:ascii="宋体" w:hAnsi="宋体" w:cs="宋体" w:eastAsia="宋体" w:hint="default"/>
                <w:sz w:val="18"/>
                <w:szCs w:val="18"/>
              </w:rPr>
            </w:pPr>
            <w:r>
              <w:rPr>
                <w:rFonts w:ascii="宋体" w:hAnsi="宋体" w:cs="宋体" w:eastAsia="宋体" w:hint="default"/>
                <w:spacing w:val="24"/>
                <w:sz w:val="18"/>
                <w:szCs w:val="18"/>
              </w:rPr>
              <w:t>面向互联网</w:t>
            </w:r>
            <w:r>
              <w:rPr>
                <w:rFonts w:ascii="宋体" w:hAnsi="宋体" w:cs="宋体" w:eastAsia="宋体" w:hint="default"/>
                <w:spacing w:val="-86"/>
                <w:sz w:val="18"/>
                <w:szCs w:val="18"/>
              </w:rPr>
              <w:t> </w:t>
            </w:r>
            <w:r>
              <w:rPr>
                <w:rFonts w:ascii="宋体" w:hAnsi="宋体" w:cs="宋体" w:eastAsia="宋体" w:hint="default"/>
                <w:spacing w:val="24"/>
                <w:sz w:val="18"/>
                <w:szCs w:val="18"/>
              </w:rPr>
              <w:t>的海量信息</w:t>
            </w:r>
            <w:r>
              <w:rPr>
                <w:rFonts w:ascii="宋体" w:hAnsi="宋体" w:cs="宋体" w:eastAsia="宋体" w:hint="default"/>
                <w:spacing w:val="-86"/>
                <w:sz w:val="18"/>
                <w:szCs w:val="18"/>
              </w:rPr>
              <w:t> </w:t>
            </w:r>
            <w:r>
              <w:rPr>
                <w:rFonts w:ascii="宋体" w:hAnsi="宋体" w:cs="宋体" w:eastAsia="宋体" w:hint="default"/>
                <w:spacing w:val="24"/>
                <w:sz w:val="18"/>
                <w:szCs w:val="18"/>
              </w:rPr>
              <w:t>分析挖掘关</w:t>
            </w:r>
            <w:r>
              <w:rPr>
                <w:rFonts w:ascii="宋体" w:hAnsi="宋体" w:cs="宋体" w:eastAsia="宋体" w:hint="default"/>
                <w:spacing w:val="-86"/>
                <w:sz w:val="18"/>
                <w:szCs w:val="18"/>
              </w:rPr>
              <w:t> </w:t>
            </w:r>
            <w:r>
              <w:rPr>
                <w:rFonts w:ascii="宋体" w:hAnsi="宋体" w:cs="宋体" w:eastAsia="宋体" w:hint="default"/>
                <w:spacing w:val="24"/>
                <w:sz w:val="18"/>
                <w:szCs w:val="18"/>
              </w:rPr>
              <w:t>键技术及系</w:t>
            </w:r>
            <w:r>
              <w:rPr>
                <w:rFonts w:ascii="宋体" w:hAnsi="宋体" w:cs="宋体" w:eastAsia="宋体" w:hint="default"/>
                <w:spacing w:val="-86"/>
                <w:sz w:val="18"/>
                <w:szCs w:val="18"/>
              </w:rPr>
              <w:t> </w:t>
            </w:r>
            <w:r>
              <w:rPr>
                <w:rFonts w:ascii="宋体" w:hAnsi="宋体" w:cs="宋体" w:eastAsia="宋体" w:hint="default"/>
                <w:sz w:val="18"/>
                <w:szCs w:val="18"/>
              </w:rPr>
              <w:t>统研究</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财</w:t>
            </w:r>
            <w:r>
              <w:rPr>
                <w:rFonts w:ascii="宋体" w:hAnsi="宋体" w:cs="宋体" w:eastAsia="宋体" w:hint="default"/>
                <w:spacing w:val="43"/>
                <w:sz w:val="18"/>
                <w:szCs w:val="18"/>
              </w:rPr>
              <w:t> </w:t>
            </w:r>
            <w:r>
              <w:rPr>
                <w:rFonts w:ascii="宋体" w:hAnsi="宋体" w:cs="宋体" w:eastAsia="宋体" w:hint="default"/>
                <w:sz w:val="18"/>
                <w:szCs w:val="18"/>
              </w:rPr>
              <w:t>政</w:t>
            </w:r>
            <w:r>
              <w:rPr>
                <w:rFonts w:ascii="宋体" w:hAnsi="宋体" w:cs="宋体" w:eastAsia="宋体" w:hint="default"/>
                <w:sz w:val="18"/>
                <w:szCs w:val="18"/>
              </w:rPr>
              <w:t> 拨款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27,372.81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hAnsi="宋体" w:cs="宋体" w:eastAsia="宋体"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15,678.48</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11,694.33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42"/>
                <w:sz w:val="18"/>
                <w:szCs w:val="18"/>
              </w:rPr>
              <w:t> </w:t>
            </w:r>
            <w:r>
              <w:rPr>
                <w:rFonts w:ascii="宋体" w:hAnsi="宋体" w:cs="宋体" w:eastAsia="宋体" w:hint="default"/>
                <w:sz w:val="18"/>
                <w:szCs w:val="18"/>
              </w:rPr>
              <w:t>他</w:t>
            </w:r>
            <w:r>
              <w:rPr>
                <w:rFonts w:ascii="宋体" w:hAnsi="宋体" w:cs="宋体" w:eastAsia="宋体" w:hint="default"/>
                <w:spacing w:val="-42"/>
                <w:sz w:val="18"/>
                <w:szCs w:val="18"/>
              </w:rPr>
              <w:t> </w:t>
            </w:r>
            <w:r>
              <w:rPr>
                <w:rFonts w:ascii="宋体" w:hAnsi="宋体" w:cs="宋体" w:eastAsia="宋体" w:hint="default"/>
                <w:sz w:val="18"/>
                <w:szCs w:val="18"/>
              </w:rPr>
              <w:t>收</w:t>
            </w:r>
            <w:r>
              <w:rPr>
                <w:rFonts w:ascii="宋体" w:hAnsi="宋体" w:cs="宋体" w:eastAsia="宋体" w:hint="default"/>
                <w:sz w:val="18"/>
                <w:szCs w:val="18"/>
              </w:rPr>
              <w:t> 益</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95"/>
              <w:jc w:val="left"/>
              <w:rPr>
                <w:rFonts w:ascii="宋体" w:hAnsi="宋体" w:cs="宋体" w:eastAsia="宋体" w:hint="default"/>
                <w:sz w:val="18"/>
                <w:szCs w:val="18"/>
              </w:rPr>
            </w:pPr>
            <w:r>
              <w:rPr>
                <w:rFonts w:ascii="宋体" w:hAnsi="宋体" w:cs="宋体" w:eastAsia="宋体" w:hint="default"/>
                <w:spacing w:val="7"/>
                <w:sz w:val="18"/>
                <w:szCs w:val="18"/>
              </w:rPr>
              <w:t>部分与资 </w:t>
            </w:r>
            <w:r>
              <w:rPr>
                <w:rFonts w:ascii="宋体" w:hAnsi="宋体" w:cs="宋体" w:eastAsia="宋体" w:hint="default"/>
                <w:sz w:val="18"/>
                <w:szCs w:val="18"/>
              </w:rPr>
              <w:t>产相关</w:t>
            </w:r>
          </w:p>
        </w:tc>
      </w:tr>
      <w:tr>
        <w:trPr>
          <w:trHeight w:val="1026"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71"/>
              <w:jc w:val="both"/>
              <w:rPr>
                <w:rFonts w:ascii="宋体" w:hAnsi="宋体" w:cs="宋体" w:eastAsia="宋体" w:hint="default"/>
                <w:sz w:val="18"/>
                <w:szCs w:val="18"/>
              </w:rPr>
            </w:pPr>
            <w:r>
              <w:rPr>
                <w:rFonts w:ascii="宋体" w:hAnsi="宋体" w:cs="宋体" w:eastAsia="宋体" w:hint="default"/>
                <w:spacing w:val="24"/>
                <w:sz w:val="18"/>
                <w:szCs w:val="18"/>
              </w:rPr>
              <w:t>企业技术改</w:t>
            </w:r>
            <w:r>
              <w:rPr>
                <w:rFonts w:ascii="宋体" w:hAnsi="宋体" w:cs="宋体" w:eastAsia="宋体" w:hint="default"/>
                <w:spacing w:val="-86"/>
                <w:sz w:val="18"/>
                <w:szCs w:val="18"/>
              </w:rPr>
              <w:t> </w:t>
            </w:r>
            <w:r>
              <w:rPr>
                <w:rFonts w:ascii="宋体" w:hAnsi="宋体" w:cs="宋体" w:eastAsia="宋体" w:hint="default"/>
                <w:spacing w:val="24"/>
                <w:sz w:val="18"/>
                <w:szCs w:val="18"/>
              </w:rPr>
              <w:t>造项目补助</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财</w:t>
            </w:r>
            <w:r>
              <w:rPr>
                <w:rFonts w:ascii="宋体" w:hAnsi="宋体" w:cs="宋体" w:eastAsia="宋体" w:hint="default"/>
                <w:spacing w:val="43"/>
                <w:sz w:val="18"/>
                <w:szCs w:val="18"/>
              </w:rPr>
              <w:t> </w:t>
            </w:r>
            <w:r>
              <w:rPr>
                <w:rFonts w:ascii="宋体" w:hAnsi="宋体" w:cs="宋体" w:eastAsia="宋体" w:hint="default"/>
                <w:sz w:val="18"/>
                <w:szCs w:val="18"/>
              </w:rPr>
              <w:t>政</w:t>
            </w:r>
            <w:r>
              <w:rPr>
                <w:rFonts w:ascii="宋体" w:hAnsi="宋体" w:cs="宋体" w:eastAsia="宋体" w:hint="default"/>
                <w:sz w:val="18"/>
                <w:szCs w:val="18"/>
              </w:rPr>
              <w:t> 拨款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600,000.00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hAnsi="宋体" w:cs="宋体" w:eastAsia="宋体"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hAnsi="宋体" w:cs="宋体" w:eastAsia="宋体" w:hint="default"/>
                <w:sz w:val="18"/>
                <w:szCs w:val="18"/>
              </w:rPr>
              <w:t>－</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600,000.00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w:t>
            </w:r>
          </w:p>
        </w:tc>
      </w:tr>
      <w:tr>
        <w:trPr>
          <w:trHeight w:val="714"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71"/>
              <w:jc w:val="left"/>
              <w:rPr>
                <w:rFonts w:ascii="宋体" w:hAnsi="宋体" w:cs="宋体" w:eastAsia="宋体" w:hint="default"/>
                <w:sz w:val="18"/>
                <w:szCs w:val="18"/>
              </w:rPr>
            </w:pPr>
            <w:r>
              <w:rPr>
                <w:rFonts w:ascii="宋体" w:hAnsi="宋体" w:cs="宋体" w:eastAsia="宋体" w:hint="default"/>
                <w:spacing w:val="24"/>
                <w:sz w:val="18"/>
                <w:szCs w:val="18"/>
              </w:rPr>
              <w:t>科技政策定</w:t>
            </w:r>
            <w:r>
              <w:rPr>
                <w:rFonts w:ascii="宋体" w:hAnsi="宋体" w:cs="宋体" w:eastAsia="宋体" w:hint="default"/>
                <w:spacing w:val="-86"/>
                <w:sz w:val="18"/>
                <w:szCs w:val="18"/>
              </w:rPr>
              <w:t> </w:t>
            </w:r>
            <w:r>
              <w:rPr>
                <w:rFonts w:ascii="宋体" w:hAnsi="宋体" w:cs="宋体" w:eastAsia="宋体" w:hint="default"/>
                <w:sz w:val="18"/>
                <w:szCs w:val="18"/>
              </w:rPr>
              <w:t>额扶持资金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财</w:t>
            </w:r>
            <w:r>
              <w:rPr>
                <w:rFonts w:ascii="宋体" w:hAnsi="宋体" w:cs="宋体" w:eastAsia="宋体" w:hint="default"/>
                <w:spacing w:val="43"/>
                <w:sz w:val="18"/>
                <w:szCs w:val="18"/>
              </w:rPr>
              <w:t> </w:t>
            </w:r>
            <w:r>
              <w:rPr>
                <w:rFonts w:ascii="宋体" w:hAnsi="宋体" w:cs="宋体" w:eastAsia="宋体" w:hint="default"/>
                <w:sz w:val="18"/>
                <w:szCs w:val="18"/>
              </w:rPr>
              <w:t>政</w:t>
            </w:r>
            <w:r>
              <w:rPr>
                <w:rFonts w:ascii="宋体" w:hAnsi="宋体" w:cs="宋体" w:eastAsia="宋体" w:hint="default"/>
                <w:sz w:val="18"/>
                <w:szCs w:val="18"/>
              </w:rPr>
              <w:t> 拨款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154.17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hAnsi="宋体" w:cs="宋体" w:eastAsia="宋体"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154.17</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42"/>
                <w:sz w:val="18"/>
                <w:szCs w:val="18"/>
              </w:rPr>
              <w:t> </w:t>
            </w:r>
            <w:r>
              <w:rPr>
                <w:rFonts w:ascii="宋体" w:hAnsi="宋体" w:cs="宋体" w:eastAsia="宋体" w:hint="default"/>
                <w:sz w:val="18"/>
                <w:szCs w:val="18"/>
              </w:rPr>
              <w:t>他</w:t>
            </w:r>
            <w:r>
              <w:rPr>
                <w:rFonts w:ascii="宋体" w:hAnsi="宋体" w:cs="宋体" w:eastAsia="宋体" w:hint="default"/>
                <w:spacing w:val="-42"/>
                <w:sz w:val="18"/>
                <w:szCs w:val="18"/>
              </w:rPr>
              <w:t> </w:t>
            </w:r>
            <w:r>
              <w:rPr>
                <w:rFonts w:ascii="宋体" w:hAnsi="宋体" w:cs="宋体" w:eastAsia="宋体" w:hint="default"/>
                <w:sz w:val="18"/>
                <w:szCs w:val="18"/>
              </w:rPr>
              <w:t>收</w:t>
            </w:r>
            <w:r>
              <w:rPr>
                <w:rFonts w:ascii="宋体" w:hAnsi="宋体" w:cs="宋体" w:eastAsia="宋体" w:hint="default"/>
                <w:sz w:val="18"/>
                <w:szCs w:val="18"/>
              </w:rPr>
              <w:t> 益</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w:t>
            </w:r>
          </w:p>
        </w:tc>
      </w:tr>
      <w:tr>
        <w:trPr>
          <w:trHeight w:val="1338"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71"/>
              <w:jc w:val="both"/>
              <w:rPr>
                <w:rFonts w:ascii="宋体" w:hAnsi="宋体" w:cs="宋体" w:eastAsia="宋体" w:hint="default"/>
                <w:sz w:val="18"/>
                <w:szCs w:val="18"/>
              </w:rPr>
            </w:pPr>
            <w:r>
              <w:rPr>
                <w:rFonts w:ascii="宋体" w:hAnsi="宋体" w:cs="宋体" w:eastAsia="宋体" w:hint="default"/>
                <w:spacing w:val="24"/>
                <w:sz w:val="18"/>
                <w:szCs w:val="18"/>
              </w:rPr>
              <w:t>国家服务业</w:t>
            </w:r>
            <w:r>
              <w:rPr>
                <w:rFonts w:ascii="宋体" w:hAnsi="宋体" w:cs="宋体" w:eastAsia="宋体" w:hint="default"/>
                <w:spacing w:val="-86"/>
                <w:sz w:val="18"/>
                <w:szCs w:val="18"/>
              </w:rPr>
              <w:t> </w:t>
            </w:r>
            <w:r>
              <w:rPr>
                <w:rFonts w:ascii="宋体" w:hAnsi="宋体" w:cs="宋体" w:eastAsia="宋体" w:hint="default"/>
                <w:spacing w:val="24"/>
                <w:sz w:val="18"/>
                <w:szCs w:val="18"/>
              </w:rPr>
              <w:t>发展引导资</w:t>
            </w:r>
            <w:r>
              <w:rPr>
                <w:rFonts w:ascii="宋体" w:hAnsi="宋体" w:cs="宋体" w:eastAsia="宋体" w:hint="default"/>
                <w:spacing w:val="-86"/>
                <w:sz w:val="18"/>
                <w:szCs w:val="18"/>
              </w:rPr>
              <w:t> </w:t>
            </w:r>
            <w:r>
              <w:rPr>
                <w:rFonts w:ascii="宋体" w:hAnsi="宋体" w:cs="宋体" w:eastAsia="宋体" w:hint="default"/>
                <w:spacing w:val="24"/>
                <w:sz w:val="18"/>
                <w:szCs w:val="18"/>
              </w:rPr>
              <w:t>金“电子数</w:t>
            </w:r>
            <w:r>
              <w:rPr>
                <w:rFonts w:ascii="宋体" w:hAnsi="宋体" w:cs="宋体" w:eastAsia="宋体" w:hint="default"/>
                <w:spacing w:val="-86"/>
                <w:sz w:val="18"/>
                <w:szCs w:val="18"/>
              </w:rPr>
              <w:t> </w:t>
            </w:r>
            <w:r>
              <w:rPr>
                <w:rFonts w:ascii="宋体" w:hAnsi="宋体" w:cs="宋体" w:eastAsia="宋体" w:hint="default"/>
                <w:sz w:val="18"/>
                <w:szCs w:val="18"/>
              </w:rPr>
              <w:t>据存证云”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财</w:t>
            </w:r>
            <w:r>
              <w:rPr>
                <w:rFonts w:ascii="宋体" w:hAnsi="宋体" w:cs="宋体" w:eastAsia="宋体" w:hint="default"/>
                <w:spacing w:val="43"/>
                <w:sz w:val="18"/>
                <w:szCs w:val="18"/>
              </w:rPr>
              <w:t> </w:t>
            </w:r>
            <w:r>
              <w:rPr>
                <w:rFonts w:ascii="宋体" w:hAnsi="宋体" w:cs="宋体" w:eastAsia="宋体" w:hint="default"/>
                <w:sz w:val="18"/>
                <w:szCs w:val="18"/>
              </w:rPr>
              <w:t>政</w:t>
            </w:r>
            <w:r>
              <w:rPr>
                <w:rFonts w:ascii="宋体" w:hAnsi="宋体" w:cs="宋体" w:eastAsia="宋体" w:hint="default"/>
                <w:sz w:val="18"/>
                <w:szCs w:val="18"/>
              </w:rPr>
              <w:t> 拨款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874,196.56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hAnsi="宋体" w:cs="宋体" w:eastAsia="宋体"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386,519.13</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487,677.43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42"/>
                <w:sz w:val="18"/>
                <w:szCs w:val="18"/>
              </w:rPr>
              <w:t> </w:t>
            </w:r>
            <w:r>
              <w:rPr>
                <w:rFonts w:ascii="宋体" w:hAnsi="宋体" w:cs="宋体" w:eastAsia="宋体" w:hint="default"/>
                <w:sz w:val="18"/>
                <w:szCs w:val="18"/>
              </w:rPr>
              <w:t>他</w:t>
            </w:r>
            <w:r>
              <w:rPr>
                <w:rFonts w:ascii="宋体" w:hAnsi="宋体" w:cs="宋体" w:eastAsia="宋体" w:hint="default"/>
                <w:spacing w:val="-42"/>
                <w:sz w:val="18"/>
                <w:szCs w:val="18"/>
              </w:rPr>
              <w:t> </w:t>
            </w:r>
            <w:r>
              <w:rPr>
                <w:rFonts w:ascii="宋体" w:hAnsi="宋体" w:cs="宋体" w:eastAsia="宋体" w:hint="default"/>
                <w:sz w:val="18"/>
                <w:szCs w:val="18"/>
              </w:rPr>
              <w:t>收</w:t>
            </w:r>
            <w:r>
              <w:rPr>
                <w:rFonts w:ascii="宋体" w:hAnsi="宋体" w:cs="宋体" w:eastAsia="宋体" w:hint="default"/>
                <w:sz w:val="18"/>
                <w:szCs w:val="18"/>
              </w:rPr>
              <w:t> 益</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w:t>
            </w:r>
          </w:p>
        </w:tc>
      </w:tr>
      <w:tr>
        <w:trPr>
          <w:trHeight w:val="714"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71"/>
              <w:jc w:val="left"/>
              <w:rPr>
                <w:rFonts w:ascii="宋体" w:hAnsi="宋体" w:cs="宋体" w:eastAsia="宋体" w:hint="default"/>
                <w:sz w:val="18"/>
                <w:szCs w:val="18"/>
              </w:rPr>
            </w:pPr>
            <w:r>
              <w:rPr>
                <w:rFonts w:ascii="宋体" w:hAnsi="宋体" w:cs="宋体" w:eastAsia="宋体" w:hint="default"/>
                <w:spacing w:val="24"/>
                <w:sz w:val="18"/>
                <w:szCs w:val="18"/>
              </w:rPr>
              <w:t>物联网实时</w:t>
            </w:r>
            <w:r>
              <w:rPr>
                <w:rFonts w:ascii="宋体" w:hAnsi="宋体" w:cs="宋体" w:eastAsia="宋体" w:hint="default"/>
                <w:spacing w:val="-86"/>
                <w:sz w:val="18"/>
                <w:szCs w:val="18"/>
              </w:rPr>
              <w:t> </w:t>
            </w:r>
            <w:r>
              <w:rPr>
                <w:rFonts w:ascii="宋体" w:hAnsi="宋体" w:cs="宋体" w:eastAsia="宋体" w:hint="default"/>
                <w:sz w:val="18"/>
                <w:szCs w:val="18"/>
              </w:rPr>
              <w:t>图像识别</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财</w:t>
            </w:r>
            <w:r>
              <w:rPr>
                <w:rFonts w:ascii="宋体" w:hAnsi="宋体" w:cs="宋体" w:eastAsia="宋体" w:hint="default"/>
                <w:spacing w:val="43"/>
                <w:sz w:val="18"/>
                <w:szCs w:val="18"/>
              </w:rPr>
              <w:t> </w:t>
            </w:r>
            <w:r>
              <w:rPr>
                <w:rFonts w:ascii="宋体" w:hAnsi="宋体" w:cs="宋体" w:eastAsia="宋体" w:hint="default"/>
                <w:sz w:val="18"/>
                <w:szCs w:val="18"/>
              </w:rPr>
              <w:t>政</w:t>
            </w:r>
            <w:r>
              <w:rPr>
                <w:rFonts w:ascii="宋体" w:hAnsi="宋体" w:cs="宋体" w:eastAsia="宋体" w:hint="default"/>
                <w:sz w:val="18"/>
                <w:szCs w:val="18"/>
              </w:rPr>
              <w:t> 拨款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3,600,000.00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hAnsi="宋体" w:cs="宋体" w:eastAsia="宋体"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hAnsi="宋体" w:cs="宋体" w:eastAsia="宋体" w:hint="default"/>
                <w:sz w:val="18"/>
                <w:szCs w:val="18"/>
              </w:rPr>
              <w:t>－</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3,600,000.00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w:t>
            </w:r>
          </w:p>
        </w:tc>
      </w:tr>
      <w:tr>
        <w:trPr>
          <w:trHeight w:val="1962"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71"/>
              <w:jc w:val="both"/>
              <w:rPr>
                <w:rFonts w:ascii="宋体" w:hAnsi="宋体" w:cs="宋体" w:eastAsia="宋体" w:hint="default"/>
                <w:sz w:val="18"/>
                <w:szCs w:val="18"/>
              </w:rPr>
            </w:pPr>
            <w:r>
              <w:rPr>
                <w:rFonts w:ascii="宋体" w:hAnsi="宋体" w:cs="宋体" w:eastAsia="宋体" w:hint="default"/>
                <w:spacing w:val="24"/>
                <w:sz w:val="18"/>
                <w:szCs w:val="18"/>
              </w:rPr>
              <w:t>优秀骨干人</w:t>
            </w:r>
            <w:r>
              <w:rPr>
                <w:rFonts w:ascii="宋体" w:hAnsi="宋体" w:cs="宋体" w:eastAsia="宋体" w:hint="default"/>
                <w:spacing w:val="-86"/>
                <w:sz w:val="18"/>
                <w:szCs w:val="18"/>
              </w:rPr>
              <w:t> </w:t>
            </w:r>
            <w:r>
              <w:rPr>
                <w:rFonts w:ascii="宋体" w:hAnsi="宋体" w:cs="宋体" w:eastAsia="宋体" w:hint="default"/>
                <w:spacing w:val="24"/>
                <w:sz w:val="18"/>
                <w:szCs w:val="18"/>
              </w:rPr>
              <w:t>才软件产业</w:t>
            </w:r>
            <w:r>
              <w:rPr>
                <w:rFonts w:ascii="宋体" w:hAnsi="宋体" w:cs="宋体" w:eastAsia="宋体" w:hint="default"/>
                <w:spacing w:val="-86"/>
                <w:sz w:val="18"/>
                <w:szCs w:val="18"/>
              </w:rPr>
              <w:t> </w:t>
            </w:r>
            <w:r>
              <w:rPr>
                <w:rFonts w:ascii="宋体" w:hAnsi="宋体" w:cs="宋体" w:eastAsia="宋体" w:hint="default"/>
                <w:spacing w:val="24"/>
                <w:sz w:val="18"/>
                <w:szCs w:val="18"/>
              </w:rPr>
              <w:t>化项目“基</w:t>
            </w:r>
            <w:r>
              <w:rPr>
                <w:rFonts w:ascii="宋体" w:hAnsi="宋体" w:cs="宋体" w:eastAsia="宋体" w:hint="default"/>
                <w:spacing w:val="-86"/>
                <w:sz w:val="18"/>
                <w:szCs w:val="18"/>
              </w:rPr>
              <w:t> </w:t>
            </w:r>
            <w:r>
              <w:rPr>
                <w:rFonts w:ascii="宋体" w:hAnsi="宋体" w:cs="宋体" w:eastAsia="宋体" w:hint="default"/>
                <w:spacing w:val="24"/>
                <w:sz w:val="18"/>
                <w:szCs w:val="18"/>
              </w:rPr>
              <w:t>于手机云的</w:t>
            </w:r>
            <w:r>
              <w:rPr>
                <w:rFonts w:ascii="宋体" w:hAnsi="宋体" w:cs="宋体" w:eastAsia="宋体" w:hint="default"/>
                <w:spacing w:val="-86"/>
                <w:sz w:val="18"/>
                <w:szCs w:val="18"/>
              </w:rPr>
              <w:t> </w:t>
            </w:r>
            <w:r>
              <w:rPr>
                <w:rFonts w:ascii="宋体" w:hAnsi="宋体" w:cs="宋体" w:eastAsia="宋体" w:hint="default"/>
                <w:spacing w:val="24"/>
                <w:sz w:val="18"/>
                <w:szCs w:val="18"/>
              </w:rPr>
              <w:t>手机综合取</w:t>
            </w:r>
            <w:r>
              <w:rPr>
                <w:rFonts w:ascii="宋体" w:hAnsi="宋体" w:cs="宋体" w:eastAsia="宋体" w:hint="default"/>
                <w:spacing w:val="-86"/>
                <w:sz w:val="18"/>
                <w:szCs w:val="18"/>
              </w:rPr>
              <w:t> </w:t>
            </w:r>
            <w:r>
              <w:rPr>
                <w:rFonts w:ascii="宋体" w:hAnsi="宋体" w:cs="宋体" w:eastAsia="宋体" w:hint="default"/>
                <w:sz w:val="18"/>
                <w:szCs w:val="18"/>
              </w:rPr>
              <w:t>证系统”</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财</w:t>
            </w:r>
            <w:r>
              <w:rPr>
                <w:rFonts w:ascii="宋体" w:hAnsi="宋体" w:cs="宋体" w:eastAsia="宋体" w:hint="default"/>
                <w:spacing w:val="43"/>
                <w:sz w:val="18"/>
                <w:szCs w:val="18"/>
              </w:rPr>
              <w:t> </w:t>
            </w:r>
            <w:r>
              <w:rPr>
                <w:rFonts w:ascii="宋体" w:hAnsi="宋体" w:cs="宋体" w:eastAsia="宋体" w:hint="default"/>
                <w:sz w:val="18"/>
                <w:szCs w:val="18"/>
              </w:rPr>
              <w:t>政</w:t>
            </w:r>
            <w:r>
              <w:rPr>
                <w:rFonts w:ascii="宋体" w:hAnsi="宋体" w:cs="宋体" w:eastAsia="宋体" w:hint="default"/>
                <w:sz w:val="18"/>
                <w:szCs w:val="18"/>
              </w:rPr>
              <w:t> 拨款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231,478.76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hAnsi="宋体" w:cs="宋体" w:eastAsia="宋体"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124,763.62</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106,715.14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42"/>
                <w:sz w:val="18"/>
                <w:szCs w:val="18"/>
              </w:rPr>
              <w:t> </w:t>
            </w:r>
            <w:r>
              <w:rPr>
                <w:rFonts w:ascii="宋体" w:hAnsi="宋体" w:cs="宋体" w:eastAsia="宋体" w:hint="default"/>
                <w:sz w:val="18"/>
                <w:szCs w:val="18"/>
              </w:rPr>
              <w:t>他</w:t>
            </w:r>
            <w:r>
              <w:rPr>
                <w:rFonts w:ascii="宋体" w:hAnsi="宋体" w:cs="宋体" w:eastAsia="宋体" w:hint="default"/>
                <w:spacing w:val="-42"/>
                <w:sz w:val="18"/>
                <w:szCs w:val="18"/>
              </w:rPr>
              <w:t> </w:t>
            </w:r>
            <w:r>
              <w:rPr>
                <w:rFonts w:ascii="宋体" w:hAnsi="宋体" w:cs="宋体" w:eastAsia="宋体" w:hint="default"/>
                <w:sz w:val="18"/>
                <w:szCs w:val="18"/>
              </w:rPr>
              <w:t>收</w:t>
            </w:r>
            <w:r>
              <w:rPr>
                <w:rFonts w:ascii="宋体" w:hAnsi="宋体" w:cs="宋体" w:eastAsia="宋体" w:hint="default"/>
                <w:sz w:val="18"/>
                <w:szCs w:val="18"/>
              </w:rPr>
              <w:t> 益</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w:t>
            </w:r>
          </w:p>
        </w:tc>
      </w:tr>
      <w:tr>
        <w:trPr>
          <w:trHeight w:val="1650"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71"/>
              <w:jc w:val="both"/>
              <w:rPr>
                <w:rFonts w:ascii="宋体" w:hAnsi="宋体" w:cs="宋体" w:eastAsia="宋体" w:hint="default"/>
                <w:sz w:val="18"/>
                <w:szCs w:val="18"/>
              </w:rPr>
            </w:pPr>
            <w:r>
              <w:rPr>
                <w:rFonts w:ascii="宋体" w:hAnsi="宋体" w:cs="宋体" w:eastAsia="宋体" w:hint="default"/>
                <w:spacing w:val="24"/>
                <w:sz w:val="18"/>
                <w:szCs w:val="18"/>
              </w:rPr>
              <w:t>省级企业技</w:t>
            </w:r>
            <w:r>
              <w:rPr>
                <w:rFonts w:ascii="宋体" w:hAnsi="宋体" w:cs="宋体" w:eastAsia="宋体" w:hint="default"/>
                <w:spacing w:val="-86"/>
                <w:sz w:val="18"/>
                <w:szCs w:val="18"/>
              </w:rPr>
              <w:t> </w:t>
            </w:r>
            <w:r>
              <w:rPr>
                <w:rFonts w:ascii="宋体" w:hAnsi="宋体" w:cs="宋体" w:eastAsia="宋体" w:hint="default"/>
                <w:spacing w:val="24"/>
                <w:sz w:val="18"/>
                <w:szCs w:val="18"/>
              </w:rPr>
              <w:t>术中心“电</w:t>
            </w:r>
            <w:r>
              <w:rPr>
                <w:rFonts w:ascii="宋体" w:hAnsi="宋体" w:cs="宋体" w:eastAsia="宋体" w:hint="default"/>
                <w:spacing w:val="-86"/>
                <w:sz w:val="18"/>
                <w:szCs w:val="18"/>
              </w:rPr>
              <w:t> </w:t>
            </w:r>
            <w:r>
              <w:rPr>
                <w:rFonts w:ascii="宋体" w:hAnsi="宋体" w:cs="宋体" w:eastAsia="宋体" w:hint="default"/>
                <w:spacing w:val="24"/>
                <w:sz w:val="18"/>
                <w:szCs w:val="18"/>
              </w:rPr>
              <w:t>子数据分析</w:t>
            </w:r>
            <w:r>
              <w:rPr>
                <w:rFonts w:ascii="宋体" w:hAnsi="宋体" w:cs="宋体" w:eastAsia="宋体" w:hint="default"/>
                <w:spacing w:val="-86"/>
                <w:sz w:val="18"/>
                <w:szCs w:val="18"/>
              </w:rPr>
              <w:t> </w:t>
            </w:r>
            <w:r>
              <w:rPr>
                <w:rFonts w:ascii="宋体" w:hAnsi="宋体" w:cs="宋体" w:eastAsia="宋体" w:hint="default"/>
                <w:spacing w:val="24"/>
                <w:sz w:val="18"/>
                <w:szCs w:val="18"/>
              </w:rPr>
              <w:t>系统平台建</w:t>
            </w:r>
            <w:r>
              <w:rPr>
                <w:rFonts w:ascii="宋体" w:hAnsi="宋体" w:cs="宋体" w:eastAsia="宋体" w:hint="default"/>
                <w:spacing w:val="-86"/>
                <w:sz w:val="18"/>
                <w:szCs w:val="18"/>
              </w:rPr>
              <w:t> </w:t>
            </w:r>
            <w:r>
              <w:rPr>
                <w:rFonts w:ascii="宋体" w:hAnsi="宋体" w:cs="宋体" w:eastAsia="宋体" w:hint="default"/>
                <w:sz w:val="18"/>
                <w:szCs w:val="18"/>
              </w:rPr>
              <w:t>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财</w:t>
            </w:r>
            <w:r>
              <w:rPr>
                <w:rFonts w:ascii="宋体" w:hAnsi="宋体" w:cs="宋体" w:eastAsia="宋体" w:hint="default"/>
                <w:spacing w:val="43"/>
                <w:sz w:val="18"/>
                <w:szCs w:val="18"/>
              </w:rPr>
              <w:t> </w:t>
            </w:r>
            <w:r>
              <w:rPr>
                <w:rFonts w:ascii="宋体" w:hAnsi="宋体" w:cs="宋体" w:eastAsia="宋体" w:hint="default"/>
                <w:sz w:val="18"/>
                <w:szCs w:val="18"/>
              </w:rPr>
              <w:t>政</w:t>
            </w:r>
            <w:r>
              <w:rPr>
                <w:rFonts w:ascii="宋体" w:hAnsi="宋体" w:cs="宋体" w:eastAsia="宋体" w:hint="default"/>
                <w:sz w:val="18"/>
                <w:szCs w:val="18"/>
              </w:rPr>
              <w:t> 拨款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300,000.00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hAnsi="宋体" w:cs="宋体" w:eastAsia="宋体"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hAnsi="宋体" w:cs="宋体" w:eastAsia="宋体" w:hint="default"/>
                <w:sz w:val="18"/>
                <w:szCs w:val="18"/>
              </w:rPr>
              <w:t>－</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300,000.00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w:t>
            </w:r>
          </w:p>
        </w:tc>
      </w:tr>
    </w:tbl>
    <w:p>
      <w:pPr>
        <w:spacing w:after="0" w:line="240" w:lineRule="auto"/>
        <w:jc w:val="left"/>
        <w:rPr>
          <w:rFonts w:ascii="宋体" w:hAnsi="宋体" w:cs="宋体" w:eastAsia="宋体" w:hint="default"/>
          <w:sz w:val="18"/>
          <w:szCs w:val="18"/>
        </w:rPr>
        <w:sectPr>
          <w:pgSz w:w="11910" w:h="16840"/>
          <w:pgMar w:header="747" w:footer="982" w:top="1060" w:bottom="118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242"/>
        <w:gridCol w:w="709"/>
        <w:gridCol w:w="1418"/>
        <w:gridCol w:w="1296"/>
        <w:gridCol w:w="1296"/>
        <w:gridCol w:w="667"/>
        <w:gridCol w:w="1417"/>
        <w:gridCol w:w="851"/>
        <w:gridCol w:w="958"/>
      </w:tblGrid>
      <w:tr>
        <w:trPr>
          <w:trHeight w:val="1338"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71"/>
              <w:jc w:val="both"/>
              <w:rPr>
                <w:rFonts w:ascii="宋体" w:hAnsi="宋体" w:cs="宋体" w:eastAsia="宋体" w:hint="default"/>
                <w:sz w:val="18"/>
                <w:szCs w:val="18"/>
              </w:rPr>
            </w:pPr>
            <w:r>
              <w:rPr>
                <w:rFonts w:ascii="宋体" w:hAnsi="宋体" w:cs="宋体" w:eastAsia="宋体" w:hint="default"/>
                <w:spacing w:val="24"/>
                <w:sz w:val="18"/>
                <w:szCs w:val="18"/>
              </w:rPr>
              <w:t>博士后工作</w:t>
            </w:r>
            <w:r>
              <w:rPr>
                <w:rFonts w:ascii="宋体" w:hAnsi="宋体" w:cs="宋体" w:eastAsia="宋体" w:hint="default"/>
                <w:spacing w:val="-86"/>
                <w:sz w:val="18"/>
                <w:szCs w:val="18"/>
              </w:rPr>
              <w:t> </w:t>
            </w:r>
            <w:r>
              <w:rPr>
                <w:rFonts w:ascii="宋体" w:hAnsi="宋体" w:cs="宋体" w:eastAsia="宋体" w:hint="default"/>
                <w:spacing w:val="24"/>
                <w:sz w:val="18"/>
                <w:szCs w:val="18"/>
              </w:rPr>
              <w:t>站科技政策</w:t>
            </w:r>
            <w:r>
              <w:rPr>
                <w:rFonts w:ascii="宋体" w:hAnsi="宋体" w:cs="宋体" w:eastAsia="宋体" w:hint="default"/>
                <w:spacing w:val="-86"/>
                <w:sz w:val="18"/>
                <w:szCs w:val="18"/>
              </w:rPr>
              <w:t> </w:t>
            </w:r>
            <w:r>
              <w:rPr>
                <w:rFonts w:ascii="宋体" w:hAnsi="宋体" w:cs="宋体" w:eastAsia="宋体" w:hint="default"/>
                <w:spacing w:val="24"/>
                <w:sz w:val="18"/>
                <w:szCs w:val="18"/>
              </w:rPr>
              <w:t>定额扶持资</w:t>
            </w:r>
            <w:r>
              <w:rPr>
                <w:rFonts w:ascii="宋体" w:hAnsi="宋体" w:cs="宋体" w:eastAsia="宋体" w:hint="default"/>
                <w:spacing w:val="-86"/>
                <w:sz w:val="18"/>
                <w:szCs w:val="18"/>
              </w:rPr>
              <w:t> </w:t>
            </w:r>
            <w:r>
              <w:rPr>
                <w:rFonts w:ascii="宋体" w:hAnsi="宋体" w:cs="宋体" w:eastAsia="宋体" w:hint="default"/>
                <w:sz w:val="18"/>
                <w:szCs w:val="18"/>
              </w:rPr>
              <w:t>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财</w:t>
            </w:r>
            <w:r>
              <w:rPr>
                <w:rFonts w:ascii="宋体" w:hAnsi="宋体" w:cs="宋体" w:eastAsia="宋体" w:hint="default"/>
                <w:spacing w:val="43"/>
                <w:sz w:val="18"/>
                <w:szCs w:val="18"/>
              </w:rPr>
              <w:t> </w:t>
            </w:r>
            <w:r>
              <w:rPr>
                <w:rFonts w:ascii="宋体" w:hAnsi="宋体" w:cs="宋体" w:eastAsia="宋体" w:hint="default"/>
                <w:sz w:val="18"/>
                <w:szCs w:val="18"/>
              </w:rPr>
              <w:t>政</w:t>
            </w:r>
            <w:r>
              <w:rPr>
                <w:rFonts w:ascii="宋体" w:hAnsi="宋体" w:cs="宋体" w:eastAsia="宋体" w:hint="default"/>
                <w:sz w:val="18"/>
                <w:szCs w:val="18"/>
              </w:rPr>
              <w:t> 拨款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1,000,000.00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hAnsi="宋体" w:cs="宋体" w:eastAsia="宋体"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hAnsi="宋体" w:cs="宋体" w:eastAsia="宋体" w:hint="default"/>
                <w:sz w:val="18"/>
                <w:szCs w:val="18"/>
              </w:rPr>
              <w:t>－</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1,000,000.00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w:t>
            </w:r>
          </w:p>
        </w:tc>
      </w:tr>
      <w:tr>
        <w:trPr>
          <w:trHeight w:val="1338"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71"/>
              <w:jc w:val="both"/>
              <w:rPr>
                <w:rFonts w:ascii="宋体" w:hAnsi="宋体" w:cs="宋体" w:eastAsia="宋体" w:hint="default"/>
                <w:sz w:val="18"/>
                <w:szCs w:val="18"/>
              </w:rPr>
            </w:pPr>
            <w:r>
              <w:rPr>
                <w:rFonts w:ascii="宋体" w:hAnsi="宋体" w:cs="宋体" w:eastAsia="宋体" w:hint="default"/>
                <w:spacing w:val="24"/>
                <w:sz w:val="18"/>
                <w:szCs w:val="18"/>
              </w:rPr>
              <w:t>基于内容感</w:t>
            </w:r>
            <w:r>
              <w:rPr>
                <w:rFonts w:ascii="宋体" w:hAnsi="宋体" w:cs="宋体" w:eastAsia="宋体" w:hint="default"/>
                <w:spacing w:val="-86"/>
                <w:sz w:val="18"/>
                <w:szCs w:val="18"/>
              </w:rPr>
              <w:t> </w:t>
            </w:r>
            <w:r>
              <w:rPr>
                <w:rFonts w:ascii="宋体" w:hAnsi="宋体" w:cs="宋体" w:eastAsia="宋体" w:hint="default"/>
                <w:spacing w:val="24"/>
                <w:sz w:val="18"/>
                <w:szCs w:val="18"/>
              </w:rPr>
              <w:t>知的智能视</w:t>
            </w:r>
            <w:r>
              <w:rPr>
                <w:rFonts w:ascii="宋体" w:hAnsi="宋体" w:cs="宋体" w:eastAsia="宋体" w:hint="default"/>
                <w:spacing w:val="-86"/>
                <w:sz w:val="18"/>
                <w:szCs w:val="18"/>
              </w:rPr>
              <w:t> </w:t>
            </w:r>
            <w:r>
              <w:rPr>
                <w:rFonts w:ascii="宋体" w:hAnsi="宋体" w:cs="宋体" w:eastAsia="宋体" w:hint="default"/>
                <w:spacing w:val="24"/>
                <w:sz w:val="18"/>
                <w:szCs w:val="18"/>
              </w:rPr>
              <w:t>频浓缩设备</w:t>
            </w:r>
            <w:r>
              <w:rPr>
                <w:rFonts w:ascii="宋体" w:hAnsi="宋体" w:cs="宋体" w:eastAsia="宋体" w:hint="default"/>
                <w:spacing w:val="-86"/>
                <w:sz w:val="18"/>
                <w:szCs w:val="18"/>
              </w:rPr>
              <w:t> </w:t>
            </w:r>
            <w:r>
              <w:rPr>
                <w:rFonts w:ascii="宋体" w:hAnsi="宋体" w:cs="宋体" w:eastAsia="宋体" w:hint="default"/>
                <w:sz w:val="18"/>
                <w:szCs w:val="18"/>
              </w:rPr>
              <w:t>产学研资金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财</w:t>
            </w:r>
            <w:r>
              <w:rPr>
                <w:rFonts w:ascii="宋体" w:hAnsi="宋体" w:cs="宋体" w:eastAsia="宋体" w:hint="default"/>
                <w:spacing w:val="43"/>
                <w:sz w:val="18"/>
                <w:szCs w:val="18"/>
              </w:rPr>
              <w:t> </w:t>
            </w:r>
            <w:r>
              <w:rPr>
                <w:rFonts w:ascii="宋体" w:hAnsi="宋体" w:cs="宋体" w:eastAsia="宋体" w:hint="default"/>
                <w:sz w:val="18"/>
                <w:szCs w:val="18"/>
              </w:rPr>
              <w:t>政</w:t>
            </w:r>
            <w:r>
              <w:rPr>
                <w:rFonts w:ascii="宋体" w:hAnsi="宋体" w:cs="宋体" w:eastAsia="宋体" w:hint="default"/>
                <w:sz w:val="18"/>
                <w:szCs w:val="18"/>
              </w:rPr>
              <w:t> 拨款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200,000.00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hAnsi="宋体" w:cs="宋体" w:eastAsia="宋体"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hAnsi="宋体" w:cs="宋体" w:eastAsia="宋体" w:hint="default"/>
                <w:sz w:val="18"/>
                <w:szCs w:val="18"/>
              </w:rPr>
              <w:t>－</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200,000.00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w:t>
            </w:r>
          </w:p>
        </w:tc>
      </w:tr>
      <w:tr>
        <w:trPr>
          <w:trHeight w:val="1338"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71"/>
              <w:jc w:val="both"/>
              <w:rPr>
                <w:rFonts w:ascii="宋体" w:hAnsi="宋体" w:cs="宋体" w:eastAsia="宋体" w:hint="default"/>
                <w:sz w:val="18"/>
                <w:szCs w:val="18"/>
              </w:rPr>
            </w:pPr>
            <w:r>
              <w:rPr>
                <w:rFonts w:ascii="宋体" w:hAnsi="宋体" w:cs="宋体" w:eastAsia="宋体" w:hint="default"/>
                <w:spacing w:val="24"/>
                <w:sz w:val="18"/>
                <w:szCs w:val="18"/>
              </w:rPr>
              <w:t>网络保密与</w:t>
            </w:r>
            <w:r>
              <w:rPr>
                <w:rFonts w:ascii="宋体" w:hAnsi="宋体" w:cs="宋体" w:eastAsia="宋体" w:hint="default"/>
                <w:spacing w:val="-86"/>
                <w:sz w:val="18"/>
                <w:szCs w:val="18"/>
              </w:rPr>
              <w:t> </w:t>
            </w:r>
            <w:r>
              <w:rPr>
                <w:rFonts w:ascii="宋体" w:hAnsi="宋体" w:cs="宋体" w:eastAsia="宋体" w:hint="default"/>
                <w:spacing w:val="24"/>
                <w:sz w:val="18"/>
                <w:szCs w:val="18"/>
              </w:rPr>
              <w:t>失泄密取证</w:t>
            </w:r>
            <w:r>
              <w:rPr>
                <w:rFonts w:ascii="宋体" w:hAnsi="宋体" w:cs="宋体" w:eastAsia="宋体" w:hint="default"/>
                <w:spacing w:val="-86"/>
                <w:sz w:val="18"/>
                <w:szCs w:val="18"/>
              </w:rPr>
              <w:t> </w:t>
            </w:r>
            <w:r>
              <w:rPr>
                <w:rFonts w:ascii="宋体" w:hAnsi="宋体" w:cs="宋体" w:eastAsia="宋体" w:hint="default"/>
                <w:spacing w:val="24"/>
                <w:sz w:val="18"/>
                <w:szCs w:val="18"/>
              </w:rPr>
              <w:t>系统的产业</w:t>
            </w:r>
            <w:r>
              <w:rPr>
                <w:rFonts w:ascii="宋体" w:hAnsi="宋体" w:cs="宋体" w:eastAsia="宋体" w:hint="default"/>
                <w:spacing w:val="-86"/>
                <w:sz w:val="18"/>
                <w:szCs w:val="18"/>
              </w:rPr>
              <w:t> </w:t>
            </w:r>
            <w:r>
              <w:rPr>
                <w:rFonts w:ascii="宋体" w:hAnsi="宋体" w:cs="宋体" w:eastAsia="宋体" w:hint="default"/>
                <w:sz w:val="18"/>
                <w:szCs w:val="18"/>
              </w:rPr>
              <w:t>化项目</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财</w:t>
            </w:r>
            <w:r>
              <w:rPr>
                <w:rFonts w:ascii="宋体" w:hAnsi="宋体" w:cs="宋体" w:eastAsia="宋体" w:hint="default"/>
                <w:spacing w:val="43"/>
                <w:sz w:val="18"/>
                <w:szCs w:val="18"/>
              </w:rPr>
              <w:t> </w:t>
            </w:r>
            <w:r>
              <w:rPr>
                <w:rFonts w:ascii="宋体" w:hAnsi="宋体" w:cs="宋体" w:eastAsia="宋体" w:hint="default"/>
                <w:sz w:val="18"/>
                <w:szCs w:val="18"/>
              </w:rPr>
              <w:t>政</w:t>
            </w:r>
            <w:r>
              <w:rPr>
                <w:rFonts w:ascii="宋体" w:hAnsi="宋体" w:cs="宋体" w:eastAsia="宋体" w:hint="default"/>
                <w:sz w:val="18"/>
                <w:szCs w:val="18"/>
              </w:rPr>
              <w:t> 拨款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4,000,000.00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hAnsi="宋体" w:cs="宋体" w:eastAsia="宋体"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hAnsi="宋体" w:cs="宋体" w:eastAsia="宋体" w:hint="default"/>
                <w:sz w:val="18"/>
                <w:szCs w:val="18"/>
              </w:rPr>
              <w:t>－</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4,000,000.00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w:t>
            </w:r>
          </w:p>
        </w:tc>
      </w:tr>
      <w:tr>
        <w:trPr>
          <w:trHeight w:val="1026"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71"/>
              <w:jc w:val="both"/>
              <w:rPr>
                <w:rFonts w:ascii="宋体" w:hAnsi="宋体" w:cs="宋体" w:eastAsia="宋体" w:hint="default"/>
                <w:sz w:val="18"/>
                <w:szCs w:val="18"/>
              </w:rPr>
            </w:pPr>
            <w:r>
              <w:rPr>
                <w:rFonts w:ascii="宋体" w:hAnsi="宋体" w:cs="宋体" w:eastAsia="宋体" w:hint="default"/>
                <w:spacing w:val="-9"/>
                <w:sz w:val="18"/>
                <w:szCs w:val="18"/>
              </w:rPr>
              <w:t>多源、多通道</w:t>
            </w:r>
            <w:r>
              <w:rPr>
                <w:rFonts w:ascii="宋体" w:hAnsi="宋体" w:cs="宋体" w:eastAsia="宋体" w:hint="default"/>
                <w:sz w:val="18"/>
                <w:szCs w:val="18"/>
              </w:rPr>
              <w:t> </w:t>
            </w:r>
            <w:r>
              <w:rPr>
                <w:rFonts w:ascii="宋体" w:hAnsi="宋体" w:cs="宋体" w:eastAsia="宋体" w:hint="default"/>
                <w:spacing w:val="24"/>
                <w:sz w:val="18"/>
                <w:szCs w:val="18"/>
              </w:rPr>
              <w:t>数据取证技</w:t>
            </w:r>
            <w:r>
              <w:rPr>
                <w:rFonts w:ascii="宋体" w:hAnsi="宋体" w:cs="宋体" w:eastAsia="宋体" w:hint="default"/>
                <w:spacing w:val="-86"/>
                <w:sz w:val="18"/>
                <w:szCs w:val="18"/>
              </w:rPr>
              <w:t> </w:t>
            </w:r>
            <w:r>
              <w:rPr>
                <w:rFonts w:ascii="宋体" w:hAnsi="宋体" w:cs="宋体" w:eastAsia="宋体" w:hint="default"/>
                <w:sz w:val="18"/>
                <w:szCs w:val="18"/>
              </w:rPr>
              <w:t>术研究项目</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财</w:t>
            </w:r>
            <w:r>
              <w:rPr>
                <w:rFonts w:ascii="宋体" w:hAnsi="宋体" w:cs="宋体" w:eastAsia="宋体" w:hint="default"/>
                <w:spacing w:val="43"/>
                <w:sz w:val="18"/>
                <w:szCs w:val="18"/>
              </w:rPr>
              <w:t> </w:t>
            </w:r>
            <w:r>
              <w:rPr>
                <w:rFonts w:ascii="宋体" w:hAnsi="宋体" w:cs="宋体" w:eastAsia="宋体" w:hint="default"/>
                <w:sz w:val="18"/>
                <w:szCs w:val="18"/>
              </w:rPr>
              <w:t>政</w:t>
            </w:r>
            <w:r>
              <w:rPr>
                <w:rFonts w:ascii="宋体" w:hAnsi="宋体" w:cs="宋体" w:eastAsia="宋体" w:hint="default"/>
                <w:sz w:val="18"/>
                <w:szCs w:val="18"/>
              </w:rPr>
              <w:t> 拨款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1,055,000.00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hAnsi="宋体" w:cs="宋体" w:eastAsia="宋体"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1,055,000.00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42"/>
                <w:sz w:val="18"/>
                <w:szCs w:val="18"/>
              </w:rPr>
              <w:t> </w:t>
            </w:r>
            <w:r>
              <w:rPr>
                <w:rFonts w:ascii="宋体" w:hAnsi="宋体" w:cs="宋体" w:eastAsia="宋体" w:hint="default"/>
                <w:sz w:val="18"/>
                <w:szCs w:val="18"/>
              </w:rPr>
              <w:t>他</w:t>
            </w:r>
            <w:r>
              <w:rPr>
                <w:rFonts w:ascii="宋体" w:hAnsi="宋体" w:cs="宋体" w:eastAsia="宋体" w:hint="default"/>
                <w:spacing w:val="-42"/>
                <w:sz w:val="18"/>
                <w:szCs w:val="18"/>
              </w:rPr>
              <w:t> </w:t>
            </w:r>
            <w:r>
              <w:rPr>
                <w:rFonts w:ascii="宋体" w:hAnsi="宋体" w:cs="宋体" w:eastAsia="宋体" w:hint="default"/>
                <w:sz w:val="18"/>
                <w:szCs w:val="18"/>
              </w:rPr>
              <w:t>收</w:t>
            </w:r>
            <w:r>
              <w:rPr>
                <w:rFonts w:ascii="宋体" w:hAnsi="宋体" w:cs="宋体" w:eastAsia="宋体" w:hint="default"/>
                <w:sz w:val="18"/>
                <w:szCs w:val="18"/>
              </w:rPr>
              <w:t> 益</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w:t>
            </w:r>
          </w:p>
        </w:tc>
      </w:tr>
      <w:tr>
        <w:trPr>
          <w:trHeight w:val="1026"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71"/>
              <w:jc w:val="both"/>
              <w:rPr>
                <w:rFonts w:ascii="宋体" w:hAnsi="宋体" w:cs="宋体" w:eastAsia="宋体" w:hint="default"/>
                <w:sz w:val="18"/>
                <w:szCs w:val="18"/>
              </w:rPr>
            </w:pPr>
            <w:r>
              <w:rPr>
                <w:rFonts w:ascii="宋体" w:hAnsi="宋体" w:cs="宋体" w:eastAsia="宋体" w:hint="default"/>
                <w:spacing w:val="24"/>
                <w:sz w:val="18"/>
                <w:szCs w:val="18"/>
              </w:rPr>
              <w:t>基于云技术</w:t>
            </w:r>
            <w:r>
              <w:rPr>
                <w:rFonts w:ascii="宋体" w:hAnsi="宋体" w:cs="宋体" w:eastAsia="宋体" w:hint="default"/>
                <w:spacing w:val="-86"/>
                <w:sz w:val="18"/>
                <w:szCs w:val="18"/>
              </w:rPr>
              <w:t> </w:t>
            </w:r>
            <w:r>
              <w:rPr>
                <w:rFonts w:ascii="宋体" w:hAnsi="宋体" w:cs="宋体" w:eastAsia="宋体" w:hint="default"/>
                <w:spacing w:val="24"/>
                <w:sz w:val="18"/>
                <w:szCs w:val="18"/>
              </w:rPr>
              <w:t>的证据链综</w:t>
            </w:r>
            <w:r>
              <w:rPr>
                <w:rFonts w:ascii="宋体" w:hAnsi="宋体" w:cs="宋体" w:eastAsia="宋体" w:hint="default"/>
                <w:spacing w:val="-86"/>
                <w:sz w:val="18"/>
                <w:szCs w:val="18"/>
              </w:rPr>
              <w:t> </w:t>
            </w:r>
            <w:r>
              <w:rPr>
                <w:rFonts w:ascii="宋体" w:hAnsi="宋体" w:cs="宋体" w:eastAsia="宋体" w:hint="default"/>
                <w:sz w:val="18"/>
                <w:szCs w:val="18"/>
              </w:rPr>
              <w:t>合取证平台</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财</w:t>
            </w:r>
            <w:r>
              <w:rPr>
                <w:rFonts w:ascii="宋体" w:hAnsi="宋体" w:cs="宋体" w:eastAsia="宋体" w:hint="default"/>
                <w:spacing w:val="43"/>
                <w:sz w:val="18"/>
                <w:szCs w:val="18"/>
              </w:rPr>
              <w:t> </w:t>
            </w:r>
            <w:r>
              <w:rPr>
                <w:rFonts w:ascii="宋体" w:hAnsi="宋体" w:cs="宋体" w:eastAsia="宋体" w:hint="default"/>
                <w:sz w:val="18"/>
                <w:szCs w:val="18"/>
              </w:rPr>
              <w:t>政</w:t>
            </w:r>
            <w:r>
              <w:rPr>
                <w:rFonts w:ascii="宋体" w:hAnsi="宋体" w:cs="宋体" w:eastAsia="宋体" w:hint="default"/>
                <w:sz w:val="18"/>
                <w:szCs w:val="18"/>
              </w:rPr>
              <w:t> 拨款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229,916.04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hAnsi="宋体" w:cs="宋体" w:eastAsia="宋体"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99,999.98</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129,916.06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Malgun Gothic"/>
                <w:w w:val="142"/>
                <w:sz w:val="18"/>
              </w:rPr>
              <w:t> </w:t>
            </w:r>
            <w:r>
              <w:rPr>
                <w:rFonts w:ascii="Malgun Gothic"/>
                <w:spacing w:val="26"/>
                <w:sz w:val="18"/>
              </w:rPr>
              <w:t> </w:t>
            </w:r>
            <w:r>
              <w:rPr>
                <w:rFonts w:ascii="宋体"/>
                <w:sz w:val="18"/>
              </w:rPr>
              <w:t>TO</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w:t>
            </w:r>
          </w:p>
        </w:tc>
      </w:tr>
      <w:tr>
        <w:trPr>
          <w:trHeight w:val="1962"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71"/>
              <w:jc w:val="both"/>
              <w:rPr>
                <w:rFonts w:ascii="宋体" w:hAnsi="宋体" w:cs="宋体" w:eastAsia="宋体" w:hint="default"/>
                <w:sz w:val="18"/>
                <w:szCs w:val="18"/>
              </w:rPr>
            </w:pPr>
            <w:r>
              <w:rPr>
                <w:rFonts w:ascii="宋体" w:hAnsi="宋体" w:cs="宋体" w:eastAsia="宋体" w:hint="default"/>
                <w:spacing w:val="24"/>
                <w:sz w:val="18"/>
                <w:szCs w:val="18"/>
              </w:rPr>
              <w:t>基于云计算</w:t>
            </w:r>
            <w:r>
              <w:rPr>
                <w:rFonts w:ascii="宋体" w:hAnsi="宋体" w:cs="宋体" w:eastAsia="宋体" w:hint="default"/>
                <w:spacing w:val="-86"/>
                <w:sz w:val="18"/>
                <w:szCs w:val="18"/>
              </w:rPr>
              <w:t> </w:t>
            </w:r>
            <w:r>
              <w:rPr>
                <w:rFonts w:ascii="宋体" w:hAnsi="宋体" w:cs="宋体" w:eastAsia="宋体" w:hint="default"/>
                <w:spacing w:val="24"/>
                <w:sz w:val="18"/>
                <w:szCs w:val="18"/>
              </w:rPr>
              <w:t>平台的空气</w:t>
            </w:r>
            <w:r>
              <w:rPr>
                <w:rFonts w:ascii="宋体" w:hAnsi="宋体" w:cs="宋体" w:eastAsia="宋体" w:hint="default"/>
                <w:spacing w:val="-86"/>
                <w:sz w:val="18"/>
                <w:szCs w:val="18"/>
              </w:rPr>
              <w:t> </w:t>
            </w:r>
            <w:r>
              <w:rPr>
                <w:rFonts w:ascii="宋体" w:hAnsi="宋体" w:cs="宋体" w:eastAsia="宋体" w:hint="default"/>
                <w:spacing w:val="24"/>
                <w:sz w:val="18"/>
                <w:szCs w:val="18"/>
              </w:rPr>
              <w:t>质量预报预</w:t>
            </w:r>
            <w:r>
              <w:rPr>
                <w:rFonts w:ascii="宋体" w:hAnsi="宋体" w:cs="宋体" w:eastAsia="宋体" w:hint="default"/>
                <w:spacing w:val="-86"/>
                <w:sz w:val="18"/>
                <w:szCs w:val="18"/>
              </w:rPr>
              <w:t> </w:t>
            </w:r>
            <w:r>
              <w:rPr>
                <w:rFonts w:ascii="宋体" w:hAnsi="宋体" w:cs="宋体" w:eastAsia="宋体" w:hint="default"/>
                <w:spacing w:val="24"/>
                <w:sz w:val="18"/>
                <w:szCs w:val="18"/>
              </w:rPr>
              <w:t>警与决策支</w:t>
            </w:r>
            <w:r>
              <w:rPr>
                <w:rFonts w:ascii="宋体" w:hAnsi="宋体" w:cs="宋体" w:eastAsia="宋体" w:hint="default"/>
                <w:spacing w:val="-86"/>
                <w:sz w:val="18"/>
                <w:szCs w:val="18"/>
              </w:rPr>
              <w:t> </w:t>
            </w:r>
            <w:r>
              <w:rPr>
                <w:rFonts w:ascii="宋体" w:hAnsi="宋体" w:cs="宋体" w:eastAsia="宋体" w:hint="default"/>
                <w:spacing w:val="24"/>
                <w:sz w:val="18"/>
                <w:szCs w:val="18"/>
              </w:rPr>
              <w:t>持服务关键</w:t>
            </w:r>
            <w:r>
              <w:rPr>
                <w:rFonts w:ascii="宋体" w:hAnsi="宋体" w:cs="宋体" w:eastAsia="宋体" w:hint="default"/>
                <w:spacing w:val="-86"/>
                <w:sz w:val="18"/>
                <w:szCs w:val="18"/>
              </w:rPr>
              <w:t> </w:t>
            </w:r>
            <w:r>
              <w:rPr>
                <w:rFonts w:ascii="宋体" w:hAnsi="宋体" w:cs="宋体" w:eastAsia="宋体" w:hint="default"/>
                <w:sz w:val="18"/>
                <w:szCs w:val="18"/>
              </w:rPr>
              <w:t>技术研究</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财</w:t>
            </w:r>
            <w:r>
              <w:rPr>
                <w:rFonts w:ascii="宋体" w:hAnsi="宋体" w:cs="宋体" w:eastAsia="宋体" w:hint="default"/>
                <w:spacing w:val="43"/>
                <w:sz w:val="18"/>
                <w:szCs w:val="18"/>
              </w:rPr>
              <w:t> </w:t>
            </w:r>
            <w:r>
              <w:rPr>
                <w:rFonts w:ascii="宋体" w:hAnsi="宋体" w:cs="宋体" w:eastAsia="宋体" w:hint="default"/>
                <w:sz w:val="18"/>
                <w:szCs w:val="18"/>
              </w:rPr>
              <w:t>政</w:t>
            </w:r>
            <w:r>
              <w:rPr>
                <w:rFonts w:ascii="宋体" w:hAnsi="宋体" w:cs="宋体" w:eastAsia="宋体" w:hint="default"/>
                <w:sz w:val="18"/>
                <w:szCs w:val="18"/>
              </w:rPr>
              <w:t> 拨款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27,600.00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hAnsi="宋体" w:cs="宋体" w:eastAsia="宋体"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27,600.00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42"/>
                <w:sz w:val="18"/>
                <w:szCs w:val="18"/>
              </w:rPr>
              <w:t> </w:t>
            </w:r>
            <w:r>
              <w:rPr>
                <w:rFonts w:ascii="宋体" w:hAnsi="宋体" w:cs="宋体" w:eastAsia="宋体" w:hint="default"/>
                <w:sz w:val="18"/>
                <w:szCs w:val="18"/>
              </w:rPr>
              <w:t>他</w:t>
            </w:r>
            <w:r>
              <w:rPr>
                <w:rFonts w:ascii="宋体" w:hAnsi="宋体" w:cs="宋体" w:eastAsia="宋体" w:hint="default"/>
                <w:spacing w:val="-42"/>
                <w:sz w:val="18"/>
                <w:szCs w:val="18"/>
              </w:rPr>
              <w:t> </w:t>
            </w:r>
            <w:r>
              <w:rPr>
                <w:rFonts w:ascii="宋体" w:hAnsi="宋体" w:cs="宋体" w:eastAsia="宋体" w:hint="default"/>
                <w:sz w:val="18"/>
                <w:szCs w:val="18"/>
              </w:rPr>
              <w:t>收</w:t>
            </w:r>
            <w:r>
              <w:rPr>
                <w:rFonts w:ascii="宋体" w:hAnsi="宋体" w:cs="宋体" w:eastAsia="宋体" w:hint="default"/>
                <w:sz w:val="18"/>
                <w:szCs w:val="18"/>
              </w:rPr>
              <w:t> 益</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w:t>
            </w:r>
          </w:p>
        </w:tc>
      </w:tr>
      <w:tr>
        <w:trPr>
          <w:trHeight w:val="714"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71"/>
              <w:jc w:val="left"/>
              <w:rPr>
                <w:rFonts w:ascii="宋体" w:hAnsi="宋体" w:cs="宋体" w:eastAsia="宋体" w:hint="default"/>
                <w:sz w:val="18"/>
                <w:szCs w:val="18"/>
              </w:rPr>
            </w:pPr>
            <w:r>
              <w:rPr>
                <w:rFonts w:ascii="宋体" w:hAnsi="宋体" w:cs="宋体" w:eastAsia="宋体" w:hint="default"/>
                <w:spacing w:val="24"/>
                <w:sz w:val="18"/>
                <w:szCs w:val="18"/>
              </w:rPr>
              <w:t>科技发展专</w:t>
            </w:r>
            <w:r>
              <w:rPr>
                <w:rFonts w:ascii="宋体" w:hAnsi="宋体" w:cs="宋体" w:eastAsia="宋体" w:hint="default"/>
                <w:spacing w:val="-86"/>
                <w:sz w:val="18"/>
                <w:szCs w:val="18"/>
              </w:rPr>
              <w:t> </w:t>
            </w:r>
            <w:r>
              <w:rPr>
                <w:rFonts w:ascii="宋体" w:hAnsi="宋体" w:cs="宋体" w:eastAsia="宋体" w:hint="default"/>
                <w:sz w:val="18"/>
                <w:szCs w:val="18"/>
              </w:rPr>
              <w:t>项资金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财</w:t>
            </w:r>
            <w:r>
              <w:rPr>
                <w:rFonts w:ascii="宋体" w:hAnsi="宋体" w:cs="宋体" w:eastAsia="宋体" w:hint="default"/>
                <w:spacing w:val="43"/>
                <w:sz w:val="18"/>
                <w:szCs w:val="18"/>
              </w:rPr>
              <w:t> </w:t>
            </w:r>
            <w:r>
              <w:rPr>
                <w:rFonts w:ascii="宋体" w:hAnsi="宋体" w:cs="宋体" w:eastAsia="宋体" w:hint="default"/>
                <w:sz w:val="18"/>
                <w:szCs w:val="18"/>
              </w:rPr>
              <w:t>政</w:t>
            </w:r>
            <w:r>
              <w:rPr>
                <w:rFonts w:ascii="宋体" w:hAnsi="宋体" w:cs="宋体" w:eastAsia="宋体" w:hint="default"/>
                <w:sz w:val="18"/>
                <w:szCs w:val="18"/>
              </w:rPr>
              <w:t> 拨款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800,000.00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hAnsi="宋体" w:cs="宋体" w:eastAsia="宋体"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hAnsi="宋体" w:cs="宋体" w:eastAsia="宋体" w:hint="default"/>
                <w:sz w:val="18"/>
                <w:szCs w:val="18"/>
              </w:rPr>
              <w:t>－</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800,000.00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w:t>
            </w:r>
          </w:p>
        </w:tc>
      </w:tr>
      <w:tr>
        <w:trPr>
          <w:trHeight w:val="714"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71"/>
              <w:jc w:val="left"/>
              <w:rPr>
                <w:rFonts w:ascii="宋体" w:hAnsi="宋体" w:cs="宋体" w:eastAsia="宋体" w:hint="default"/>
                <w:sz w:val="18"/>
                <w:szCs w:val="18"/>
              </w:rPr>
            </w:pPr>
            <w:r>
              <w:rPr>
                <w:rFonts w:ascii="宋体" w:hAnsi="宋体" w:cs="宋体" w:eastAsia="宋体" w:hint="default"/>
                <w:spacing w:val="24"/>
                <w:sz w:val="18"/>
                <w:szCs w:val="18"/>
              </w:rPr>
              <w:t>信息产业发</w:t>
            </w:r>
            <w:r>
              <w:rPr>
                <w:rFonts w:ascii="宋体" w:hAnsi="宋体" w:cs="宋体" w:eastAsia="宋体" w:hint="default"/>
                <w:spacing w:val="-86"/>
                <w:sz w:val="18"/>
                <w:szCs w:val="18"/>
              </w:rPr>
              <w:t> </w:t>
            </w:r>
            <w:r>
              <w:rPr>
                <w:rFonts w:ascii="宋体" w:hAnsi="宋体" w:cs="宋体" w:eastAsia="宋体" w:hint="default"/>
                <w:sz w:val="18"/>
                <w:szCs w:val="18"/>
              </w:rPr>
              <w:t>展专项资金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财</w:t>
            </w:r>
            <w:r>
              <w:rPr>
                <w:rFonts w:ascii="宋体" w:hAnsi="宋体" w:cs="宋体" w:eastAsia="宋体" w:hint="default"/>
                <w:spacing w:val="43"/>
                <w:sz w:val="18"/>
                <w:szCs w:val="18"/>
              </w:rPr>
              <w:t> </w:t>
            </w:r>
            <w:r>
              <w:rPr>
                <w:rFonts w:ascii="宋体" w:hAnsi="宋体" w:cs="宋体" w:eastAsia="宋体" w:hint="default"/>
                <w:sz w:val="18"/>
                <w:szCs w:val="18"/>
              </w:rPr>
              <w:t>政</w:t>
            </w:r>
            <w:r>
              <w:rPr>
                <w:rFonts w:ascii="宋体" w:hAnsi="宋体" w:cs="宋体" w:eastAsia="宋体" w:hint="default"/>
                <w:sz w:val="18"/>
                <w:szCs w:val="18"/>
              </w:rPr>
              <w:t> 拨款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2,000,000.00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hAnsi="宋体" w:cs="宋体" w:eastAsia="宋体"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hAnsi="宋体" w:cs="宋体" w:eastAsia="宋体" w:hint="default"/>
                <w:sz w:val="18"/>
                <w:szCs w:val="18"/>
              </w:rPr>
              <w:t>－</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2,000,000.00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w:t>
            </w:r>
          </w:p>
        </w:tc>
      </w:tr>
      <w:tr>
        <w:trPr>
          <w:trHeight w:val="1338"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71"/>
              <w:jc w:val="both"/>
              <w:rPr>
                <w:rFonts w:ascii="宋体" w:hAnsi="宋体" w:cs="宋体" w:eastAsia="宋体" w:hint="default"/>
                <w:sz w:val="18"/>
                <w:szCs w:val="18"/>
              </w:rPr>
            </w:pPr>
            <w:r>
              <w:rPr>
                <w:rFonts w:ascii="宋体" w:hAnsi="宋体" w:cs="宋体" w:eastAsia="宋体" w:hint="default"/>
                <w:spacing w:val="24"/>
                <w:sz w:val="18"/>
                <w:szCs w:val="18"/>
              </w:rPr>
              <w:t>分布式电子</w:t>
            </w:r>
            <w:r>
              <w:rPr>
                <w:rFonts w:ascii="宋体" w:hAnsi="宋体" w:cs="宋体" w:eastAsia="宋体" w:hint="default"/>
                <w:spacing w:val="-86"/>
                <w:sz w:val="18"/>
                <w:szCs w:val="18"/>
              </w:rPr>
              <w:t> </w:t>
            </w:r>
            <w:r>
              <w:rPr>
                <w:rFonts w:ascii="宋体" w:hAnsi="宋体" w:cs="宋体" w:eastAsia="宋体" w:hint="default"/>
                <w:spacing w:val="24"/>
                <w:sz w:val="18"/>
                <w:szCs w:val="18"/>
              </w:rPr>
              <w:t>数据取证关</w:t>
            </w:r>
            <w:r>
              <w:rPr>
                <w:rFonts w:ascii="宋体" w:hAnsi="宋体" w:cs="宋体" w:eastAsia="宋体" w:hint="default"/>
                <w:spacing w:val="-86"/>
                <w:sz w:val="18"/>
                <w:szCs w:val="18"/>
              </w:rPr>
              <w:t> </w:t>
            </w:r>
            <w:r>
              <w:rPr>
                <w:rFonts w:ascii="宋体" w:hAnsi="宋体" w:cs="宋体" w:eastAsia="宋体" w:hint="default"/>
                <w:spacing w:val="24"/>
                <w:sz w:val="18"/>
                <w:szCs w:val="18"/>
              </w:rPr>
              <w:t>键技术研究</w:t>
            </w:r>
            <w:r>
              <w:rPr>
                <w:rFonts w:ascii="宋体" w:hAnsi="宋体" w:cs="宋体" w:eastAsia="宋体" w:hint="default"/>
                <w:spacing w:val="-86"/>
                <w:sz w:val="18"/>
                <w:szCs w:val="18"/>
              </w:rPr>
              <w:t> </w:t>
            </w:r>
            <w:r>
              <w:rPr>
                <w:rFonts w:ascii="宋体" w:hAnsi="宋体" w:cs="宋体" w:eastAsia="宋体" w:hint="default"/>
                <w:sz w:val="18"/>
                <w:szCs w:val="18"/>
              </w:rPr>
              <w:t>项目</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财</w:t>
            </w:r>
            <w:r>
              <w:rPr>
                <w:rFonts w:ascii="宋体" w:hAnsi="宋体" w:cs="宋体" w:eastAsia="宋体" w:hint="default"/>
                <w:spacing w:val="43"/>
                <w:sz w:val="18"/>
                <w:szCs w:val="18"/>
              </w:rPr>
              <w:t> </w:t>
            </w:r>
            <w:r>
              <w:rPr>
                <w:rFonts w:ascii="宋体" w:hAnsi="宋体" w:cs="宋体" w:eastAsia="宋体" w:hint="default"/>
                <w:sz w:val="18"/>
                <w:szCs w:val="18"/>
              </w:rPr>
              <w:t>政</w:t>
            </w:r>
            <w:r>
              <w:rPr>
                <w:rFonts w:ascii="宋体" w:hAnsi="宋体" w:cs="宋体" w:eastAsia="宋体" w:hint="default"/>
                <w:sz w:val="18"/>
                <w:szCs w:val="18"/>
              </w:rPr>
              <w:t> 拨款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300,000.00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hAnsi="宋体" w:cs="宋体" w:eastAsia="宋体"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hAnsi="宋体" w:cs="宋体" w:eastAsia="宋体" w:hint="default"/>
                <w:sz w:val="18"/>
                <w:szCs w:val="18"/>
              </w:rPr>
              <w:t>－</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300,000.00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1026"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71"/>
              <w:jc w:val="both"/>
              <w:rPr>
                <w:rFonts w:ascii="宋体" w:hAnsi="宋体" w:cs="宋体" w:eastAsia="宋体" w:hint="default"/>
                <w:sz w:val="18"/>
                <w:szCs w:val="18"/>
              </w:rPr>
            </w:pPr>
            <w:r>
              <w:rPr>
                <w:rFonts w:ascii="宋体" w:hAnsi="宋体" w:cs="宋体" w:eastAsia="宋体" w:hint="default"/>
                <w:spacing w:val="24"/>
                <w:sz w:val="18"/>
                <w:szCs w:val="18"/>
              </w:rPr>
              <w:t>中小企业技</w:t>
            </w:r>
            <w:r>
              <w:rPr>
                <w:rFonts w:ascii="宋体" w:hAnsi="宋体" w:cs="宋体" w:eastAsia="宋体" w:hint="default"/>
                <w:spacing w:val="-86"/>
                <w:sz w:val="18"/>
                <w:szCs w:val="18"/>
              </w:rPr>
              <w:t> </w:t>
            </w:r>
            <w:r>
              <w:rPr>
                <w:rFonts w:ascii="宋体" w:hAnsi="宋体" w:cs="宋体" w:eastAsia="宋体" w:hint="default"/>
                <w:spacing w:val="24"/>
                <w:sz w:val="18"/>
                <w:szCs w:val="18"/>
              </w:rPr>
              <w:t>术创新基金</w:t>
            </w:r>
            <w:r>
              <w:rPr>
                <w:rFonts w:ascii="宋体" w:hAnsi="宋体" w:cs="宋体" w:eastAsia="宋体" w:hint="default"/>
                <w:spacing w:val="-86"/>
                <w:sz w:val="18"/>
                <w:szCs w:val="18"/>
              </w:rPr>
              <w:t> </w:t>
            </w:r>
            <w:r>
              <w:rPr>
                <w:rFonts w:ascii="宋体" w:hAnsi="宋体" w:cs="宋体" w:eastAsia="宋体" w:hint="default"/>
                <w:sz w:val="18"/>
                <w:szCs w:val="18"/>
              </w:rPr>
              <w:t>配套项目</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财</w:t>
            </w:r>
            <w:r>
              <w:rPr>
                <w:rFonts w:ascii="宋体" w:hAnsi="宋体" w:cs="宋体" w:eastAsia="宋体" w:hint="default"/>
                <w:spacing w:val="43"/>
                <w:sz w:val="18"/>
                <w:szCs w:val="18"/>
              </w:rPr>
              <w:t> </w:t>
            </w:r>
            <w:r>
              <w:rPr>
                <w:rFonts w:ascii="宋体" w:hAnsi="宋体" w:cs="宋体" w:eastAsia="宋体" w:hint="default"/>
                <w:sz w:val="18"/>
                <w:szCs w:val="18"/>
              </w:rPr>
              <w:t>政</w:t>
            </w:r>
            <w:r>
              <w:rPr>
                <w:rFonts w:ascii="宋体" w:hAnsi="宋体" w:cs="宋体" w:eastAsia="宋体" w:hint="default"/>
                <w:sz w:val="18"/>
                <w:szCs w:val="18"/>
              </w:rPr>
              <w:t> 拨款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800,000.00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hAnsi="宋体" w:cs="宋体" w:eastAsia="宋体"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hAnsi="宋体" w:cs="宋体" w:eastAsia="宋体" w:hint="default"/>
                <w:sz w:val="18"/>
                <w:szCs w:val="18"/>
              </w:rPr>
              <w:t>－</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800,000.00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1026"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71"/>
              <w:jc w:val="both"/>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12"/>
                <w:sz w:val="18"/>
                <w:szCs w:val="18"/>
              </w:rPr>
              <w:t> </w:t>
            </w:r>
            <w:r>
              <w:rPr>
                <w:rFonts w:ascii="宋体" w:hAnsi="宋体" w:cs="宋体" w:eastAsia="宋体" w:hint="default"/>
                <w:spacing w:val="8"/>
                <w:sz w:val="18"/>
                <w:szCs w:val="18"/>
              </w:rPr>
              <w:t>年支持</w:t>
            </w:r>
            <w:r>
              <w:rPr>
                <w:rFonts w:ascii="宋体" w:hAnsi="宋体" w:cs="宋体" w:eastAsia="宋体" w:hint="default"/>
                <w:sz w:val="18"/>
                <w:szCs w:val="18"/>
              </w:rPr>
              <w:t> </w:t>
            </w:r>
            <w:r>
              <w:rPr>
                <w:rFonts w:ascii="宋体" w:hAnsi="宋体" w:cs="宋体" w:eastAsia="宋体" w:hint="default"/>
                <w:spacing w:val="24"/>
                <w:sz w:val="18"/>
                <w:szCs w:val="18"/>
              </w:rPr>
              <w:t>大数据示范</w:t>
            </w:r>
            <w:r>
              <w:rPr>
                <w:rFonts w:ascii="宋体" w:hAnsi="宋体" w:cs="宋体" w:eastAsia="宋体" w:hint="default"/>
                <w:spacing w:val="-86"/>
                <w:sz w:val="18"/>
                <w:szCs w:val="18"/>
              </w:rPr>
              <w:t> </w:t>
            </w:r>
            <w:r>
              <w:rPr>
                <w:rFonts w:ascii="宋体" w:hAnsi="宋体" w:cs="宋体" w:eastAsia="宋体" w:hint="default"/>
                <w:sz w:val="18"/>
                <w:szCs w:val="18"/>
              </w:rPr>
              <w:t>应用资金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财</w:t>
            </w:r>
            <w:r>
              <w:rPr>
                <w:rFonts w:ascii="宋体" w:hAnsi="宋体" w:cs="宋体" w:eastAsia="宋体" w:hint="default"/>
                <w:spacing w:val="43"/>
                <w:sz w:val="18"/>
                <w:szCs w:val="18"/>
              </w:rPr>
              <w:t> </w:t>
            </w:r>
            <w:r>
              <w:rPr>
                <w:rFonts w:ascii="宋体" w:hAnsi="宋体" w:cs="宋体" w:eastAsia="宋体" w:hint="default"/>
                <w:sz w:val="18"/>
                <w:szCs w:val="18"/>
              </w:rPr>
              <w:t>政</w:t>
            </w:r>
            <w:r>
              <w:rPr>
                <w:rFonts w:ascii="宋体" w:hAnsi="宋体" w:cs="宋体" w:eastAsia="宋体" w:hint="default"/>
                <w:sz w:val="18"/>
                <w:szCs w:val="18"/>
              </w:rPr>
              <w:t> 拨款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800,000.00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hAnsi="宋体" w:cs="宋体" w:eastAsia="宋体"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hAnsi="宋体" w:cs="宋体" w:eastAsia="宋体" w:hint="default"/>
                <w:sz w:val="18"/>
                <w:szCs w:val="18"/>
              </w:rPr>
              <w:t>－</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800,000.00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w:t>
            </w:r>
          </w:p>
        </w:tc>
      </w:tr>
      <w:tr>
        <w:trPr>
          <w:trHeight w:val="986"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71"/>
              <w:jc w:val="both"/>
              <w:rPr>
                <w:rFonts w:ascii="宋体" w:hAnsi="宋体" w:cs="宋体" w:eastAsia="宋体" w:hint="default"/>
                <w:sz w:val="18"/>
                <w:szCs w:val="18"/>
              </w:rPr>
            </w:pPr>
            <w:r>
              <w:rPr>
                <w:rFonts w:ascii="宋体" w:hAnsi="宋体" w:cs="宋体" w:eastAsia="宋体" w:hint="default"/>
                <w:spacing w:val="24"/>
                <w:sz w:val="18"/>
                <w:szCs w:val="18"/>
              </w:rPr>
              <w:t>广域分布式</w:t>
            </w:r>
            <w:r>
              <w:rPr>
                <w:rFonts w:ascii="宋体" w:hAnsi="宋体" w:cs="宋体" w:eastAsia="宋体" w:hint="default"/>
                <w:spacing w:val="-86"/>
                <w:sz w:val="18"/>
                <w:szCs w:val="18"/>
              </w:rPr>
              <w:t> </w:t>
            </w:r>
            <w:r>
              <w:rPr>
                <w:rFonts w:ascii="宋体" w:hAnsi="宋体" w:cs="宋体" w:eastAsia="宋体" w:hint="default"/>
                <w:spacing w:val="24"/>
                <w:sz w:val="18"/>
                <w:szCs w:val="18"/>
              </w:rPr>
              <w:t>数据计算资</w:t>
            </w:r>
            <w:r>
              <w:rPr>
                <w:rFonts w:ascii="宋体" w:hAnsi="宋体" w:cs="宋体" w:eastAsia="宋体" w:hint="default"/>
                <w:spacing w:val="-86"/>
                <w:sz w:val="18"/>
                <w:szCs w:val="18"/>
              </w:rPr>
              <w:t> </w:t>
            </w:r>
            <w:r>
              <w:rPr>
                <w:rFonts w:ascii="宋体" w:hAnsi="宋体" w:cs="宋体" w:eastAsia="宋体" w:hint="default"/>
                <w:spacing w:val="24"/>
                <w:sz w:val="18"/>
                <w:szCs w:val="18"/>
              </w:rPr>
              <w:t>源调度技术</w:t>
            </w:r>
            <w:r>
              <w:rPr>
                <w:rFonts w:ascii="宋体" w:hAnsi="宋体" w:cs="宋体" w:eastAsia="宋体" w:hint="default"/>
                <w:spacing w:val="-59"/>
                <w:sz w:val="18"/>
                <w:szCs w:val="18"/>
              </w:rPr>
              <w:t> </w:t>
            </w:r>
            <w:r>
              <w:rPr>
                <w:rFonts w:ascii="宋体" w:hAnsi="宋体" w:cs="宋体" w:eastAsia="宋体" w:hint="default"/>
                <w:sz w:val="18"/>
                <w:szCs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财</w:t>
            </w:r>
            <w:r>
              <w:rPr>
                <w:rFonts w:ascii="宋体" w:hAnsi="宋体" w:cs="宋体" w:eastAsia="宋体" w:hint="default"/>
                <w:spacing w:val="43"/>
                <w:sz w:val="18"/>
                <w:szCs w:val="18"/>
              </w:rPr>
              <w:t> </w:t>
            </w:r>
            <w:r>
              <w:rPr>
                <w:rFonts w:ascii="宋体" w:hAnsi="宋体" w:cs="宋体" w:eastAsia="宋体" w:hint="default"/>
                <w:sz w:val="18"/>
                <w:szCs w:val="18"/>
              </w:rPr>
              <w:t>政</w:t>
            </w:r>
            <w:r>
              <w:rPr>
                <w:rFonts w:ascii="宋体" w:hAnsi="宋体" w:cs="宋体" w:eastAsia="宋体" w:hint="default"/>
                <w:sz w:val="18"/>
                <w:szCs w:val="18"/>
              </w:rPr>
              <w:t> 拨款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280,200.00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hAnsi="宋体" w:cs="宋体" w:eastAsia="宋体" w:hint="default"/>
                <w:sz w:val="18"/>
                <w:szCs w:val="18"/>
              </w:rPr>
              <w:t>－</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280,200.00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95"/>
              <w:jc w:val="left"/>
              <w:rPr>
                <w:rFonts w:ascii="宋体" w:hAnsi="宋体" w:cs="宋体" w:eastAsia="宋体" w:hint="default"/>
                <w:sz w:val="18"/>
                <w:szCs w:val="18"/>
              </w:rPr>
            </w:pPr>
            <w:r>
              <w:rPr>
                <w:rFonts w:ascii="宋体" w:hAnsi="宋体" w:cs="宋体" w:eastAsia="宋体" w:hint="default"/>
                <w:spacing w:val="7"/>
                <w:sz w:val="18"/>
                <w:szCs w:val="18"/>
              </w:rPr>
              <w:t>部分与资 </w:t>
            </w:r>
            <w:r>
              <w:rPr>
                <w:rFonts w:ascii="宋体" w:hAnsi="宋体" w:cs="宋体" w:eastAsia="宋体" w:hint="default"/>
                <w:sz w:val="18"/>
                <w:szCs w:val="18"/>
              </w:rPr>
              <w:t>产相关</w:t>
            </w:r>
          </w:p>
        </w:tc>
      </w:tr>
    </w:tbl>
    <w:p>
      <w:pPr>
        <w:spacing w:after="0" w:line="319" w:lineRule="auto"/>
        <w:jc w:val="left"/>
        <w:rPr>
          <w:rFonts w:ascii="宋体" w:hAnsi="宋体" w:cs="宋体" w:eastAsia="宋体" w:hint="default"/>
          <w:sz w:val="18"/>
          <w:szCs w:val="18"/>
        </w:rPr>
        <w:sectPr>
          <w:pgSz w:w="11910" w:h="16840"/>
          <w:pgMar w:header="747" w:footer="982" w:top="1060" w:bottom="118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242"/>
        <w:gridCol w:w="709"/>
        <w:gridCol w:w="1418"/>
        <w:gridCol w:w="1296"/>
        <w:gridCol w:w="1296"/>
        <w:gridCol w:w="667"/>
        <w:gridCol w:w="1417"/>
        <w:gridCol w:w="851"/>
        <w:gridCol w:w="958"/>
      </w:tblGrid>
      <w:tr>
        <w:trPr>
          <w:trHeight w:val="362"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研究</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71"/>
              <w:jc w:val="both"/>
              <w:rPr>
                <w:rFonts w:ascii="宋体" w:hAnsi="宋体" w:cs="宋体" w:eastAsia="宋体" w:hint="default"/>
                <w:sz w:val="18"/>
                <w:szCs w:val="18"/>
              </w:rPr>
            </w:pPr>
            <w:r>
              <w:rPr>
                <w:rFonts w:ascii="宋体" w:hAnsi="宋体" w:cs="宋体" w:eastAsia="宋体" w:hint="default"/>
                <w:spacing w:val="24"/>
                <w:sz w:val="18"/>
                <w:szCs w:val="18"/>
              </w:rPr>
              <w:t>移动终端操</w:t>
            </w:r>
            <w:r>
              <w:rPr>
                <w:rFonts w:ascii="宋体" w:hAnsi="宋体" w:cs="宋体" w:eastAsia="宋体" w:hint="default"/>
                <w:spacing w:val="-86"/>
                <w:sz w:val="18"/>
                <w:szCs w:val="18"/>
              </w:rPr>
              <w:t> </w:t>
            </w:r>
            <w:r>
              <w:rPr>
                <w:rFonts w:ascii="宋体" w:hAnsi="宋体" w:cs="宋体" w:eastAsia="宋体" w:hint="default"/>
                <w:spacing w:val="24"/>
                <w:sz w:val="18"/>
                <w:szCs w:val="18"/>
              </w:rPr>
              <w:t>作系统数据</w:t>
            </w:r>
            <w:r>
              <w:rPr>
                <w:rFonts w:ascii="宋体" w:hAnsi="宋体" w:cs="宋体" w:eastAsia="宋体" w:hint="default"/>
                <w:spacing w:val="-86"/>
                <w:sz w:val="18"/>
                <w:szCs w:val="18"/>
              </w:rPr>
              <w:t> </w:t>
            </w:r>
            <w:r>
              <w:rPr>
                <w:rFonts w:ascii="宋体" w:hAnsi="宋体" w:cs="宋体" w:eastAsia="宋体" w:hint="default"/>
                <w:spacing w:val="24"/>
                <w:sz w:val="18"/>
                <w:szCs w:val="18"/>
              </w:rPr>
              <w:t>解析技术研</w:t>
            </w:r>
            <w:r>
              <w:rPr>
                <w:rFonts w:ascii="宋体" w:hAnsi="宋体" w:cs="宋体" w:eastAsia="宋体" w:hint="default"/>
                <w:spacing w:val="-86"/>
                <w:sz w:val="18"/>
                <w:szCs w:val="18"/>
              </w:rPr>
              <w:t> </w:t>
            </w:r>
            <w:r>
              <w:rPr>
                <w:rFonts w:ascii="宋体" w:hAnsi="宋体" w:cs="宋体" w:eastAsia="宋体" w:hint="default"/>
                <w:sz w:val="18"/>
                <w:szCs w:val="18"/>
              </w:rPr>
              <w:t>究</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财</w:t>
            </w:r>
            <w:r>
              <w:rPr>
                <w:rFonts w:ascii="宋体" w:hAnsi="宋体" w:cs="宋体" w:eastAsia="宋体" w:hint="default"/>
                <w:spacing w:val="43"/>
                <w:sz w:val="18"/>
                <w:szCs w:val="18"/>
              </w:rPr>
              <w:t> </w:t>
            </w:r>
            <w:r>
              <w:rPr>
                <w:rFonts w:ascii="宋体" w:hAnsi="宋体" w:cs="宋体" w:eastAsia="宋体" w:hint="default"/>
                <w:sz w:val="18"/>
                <w:szCs w:val="18"/>
              </w:rPr>
              <w:t>政</w:t>
            </w:r>
            <w:r>
              <w:rPr>
                <w:rFonts w:ascii="宋体" w:hAnsi="宋体" w:cs="宋体" w:eastAsia="宋体" w:hint="default"/>
                <w:sz w:val="18"/>
                <w:szCs w:val="18"/>
              </w:rPr>
              <w:t> 拨款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253,500.00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hAnsi="宋体" w:cs="宋体" w:eastAsia="宋体" w:hint="default"/>
                <w:sz w:val="18"/>
                <w:szCs w:val="18"/>
              </w:rPr>
              <w:t>－</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253,500.00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95"/>
              <w:jc w:val="left"/>
              <w:rPr>
                <w:rFonts w:ascii="宋体" w:hAnsi="宋体" w:cs="宋体" w:eastAsia="宋体" w:hint="default"/>
                <w:sz w:val="18"/>
                <w:szCs w:val="18"/>
              </w:rPr>
            </w:pPr>
            <w:r>
              <w:rPr>
                <w:rFonts w:ascii="宋体" w:hAnsi="宋体" w:cs="宋体" w:eastAsia="宋体" w:hint="default"/>
                <w:spacing w:val="7"/>
                <w:sz w:val="18"/>
                <w:szCs w:val="18"/>
              </w:rPr>
              <w:t>部分与资 </w:t>
            </w:r>
            <w:r>
              <w:rPr>
                <w:rFonts w:ascii="宋体" w:hAnsi="宋体" w:cs="宋体" w:eastAsia="宋体" w:hint="default"/>
                <w:sz w:val="18"/>
                <w:szCs w:val="18"/>
              </w:rPr>
              <w:t>产相关</w:t>
            </w:r>
          </w:p>
        </w:tc>
      </w:tr>
      <w:tr>
        <w:trPr>
          <w:trHeight w:val="1026"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71"/>
              <w:jc w:val="both"/>
              <w:rPr>
                <w:rFonts w:ascii="宋体" w:hAnsi="宋体" w:cs="宋体" w:eastAsia="宋体" w:hint="default"/>
                <w:sz w:val="18"/>
                <w:szCs w:val="18"/>
              </w:rPr>
            </w:pPr>
            <w:r>
              <w:rPr>
                <w:rFonts w:ascii="宋体" w:hAnsi="宋体" w:cs="宋体" w:eastAsia="宋体" w:hint="default"/>
                <w:spacing w:val="24"/>
                <w:sz w:val="18"/>
                <w:szCs w:val="18"/>
              </w:rPr>
              <w:t>低俗信息监</w:t>
            </w:r>
            <w:r>
              <w:rPr>
                <w:rFonts w:ascii="宋体" w:hAnsi="宋体" w:cs="宋体" w:eastAsia="宋体" w:hint="default"/>
                <w:spacing w:val="-86"/>
                <w:sz w:val="18"/>
                <w:szCs w:val="18"/>
              </w:rPr>
              <w:t> </w:t>
            </w:r>
            <w:r>
              <w:rPr>
                <w:rFonts w:ascii="宋体" w:hAnsi="宋体" w:cs="宋体" w:eastAsia="宋体" w:hint="default"/>
                <w:spacing w:val="24"/>
                <w:sz w:val="18"/>
                <w:szCs w:val="18"/>
              </w:rPr>
              <w:t>测预警技术</w:t>
            </w:r>
            <w:r>
              <w:rPr>
                <w:rFonts w:ascii="宋体" w:hAnsi="宋体" w:cs="宋体" w:eastAsia="宋体" w:hint="default"/>
                <w:spacing w:val="-86"/>
                <w:sz w:val="18"/>
                <w:szCs w:val="18"/>
              </w:rPr>
              <w:t> </w:t>
            </w:r>
            <w:r>
              <w:rPr>
                <w:rFonts w:ascii="宋体" w:hAnsi="宋体" w:cs="宋体" w:eastAsia="宋体" w:hint="default"/>
                <w:sz w:val="18"/>
                <w:szCs w:val="18"/>
              </w:rPr>
              <w:t>应用示范</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财</w:t>
            </w:r>
            <w:r>
              <w:rPr>
                <w:rFonts w:ascii="宋体" w:hAnsi="宋体" w:cs="宋体" w:eastAsia="宋体" w:hint="default"/>
                <w:spacing w:val="43"/>
                <w:sz w:val="18"/>
                <w:szCs w:val="18"/>
              </w:rPr>
              <w:t> </w:t>
            </w:r>
            <w:r>
              <w:rPr>
                <w:rFonts w:ascii="宋体" w:hAnsi="宋体" w:cs="宋体" w:eastAsia="宋体" w:hint="default"/>
                <w:sz w:val="18"/>
                <w:szCs w:val="18"/>
              </w:rPr>
              <w:t>政</w:t>
            </w:r>
            <w:r>
              <w:rPr>
                <w:rFonts w:ascii="宋体" w:hAnsi="宋体" w:cs="宋体" w:eastAsia="宋体" w:hint="default"/>
                <w:sz w:val="18"/>
                <w:szCs w:val="18"/>
              </w:rPr>
              <w:t> 拨款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435,600.00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hAnsi="宋体" w:cs="宋体" w:eastAsia="宋体" w:hint="default"/>
                <w:sz w:val="18"/>
                <w:szCs w:val="18"/>
              </w:rPr>
              <w:t>－</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435,600.00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95"/>
              <w:jc w:val="left"/>
              <w:rPr>
                <w:rFonts w:ascii="宋体" w:hAnsi="宋体" w:cs="宋体" w:eastAsia="宋体" w:hint="default"/>
                <w:sz w:val="18"/>
                <w:szCs w:val="18"/>
              </w:rPr>
            </w:pPr>
            <w:r>
              <w:rPr>
                <w:rFonts w:ascii="宋体" w:hAnsi="宋体" w:cs="宋体" w:eastAsia="宋体" w:hint="default"/>
                <w:spacing w:val="7"/>
                <w:sz w:val="18"/>
                <w:szCs w:val="18"/>
              </w:rPr>
              <w:t>与资产相 </w:t>
            </w:r>
            <w:r>
              <w:rPr>
                <w:rFonts w:ascii="宋体" w:hAnsi="宋体" w:cs="宋体" w:eastAsia="宋体" w:hint="default"/>
                <w:sz w:val="18"/>
                <w:szCs w:val="18"/>
              </w:rPr>
              <w:t>关</w:t>
            </w:r>
          </w:p>
        </w:tc>
      </w:tr>
      <w:tr>
        <w:trPr>
          <w:trHeight w:val="1338"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71"/>
              <w:jc w:val="both"/>
              <w:rPr>
                <w:rFonts w:ascii="宋体" w:hAnsi="宋体" w:cs="宋体" w:eastAsia="宋体" w:hint="default"/>
                <w:sz w:val="18"/>
                <w:szCs w:val="18"/>
              </w:rPr>
            </w:pPr>
            <w:r>
              <w:rPr>
                <w:rFonts w:ascii="宋体" w:hAnsi="宋体" w:cs="宋体" w:eastAsia="宋体" w:hint="default"/>
                <w:spacing w:val="24"/>
                <w:sz w:val="18"/>
                <w:szCs w:val="18"/>
              </w:rPr>
              <w:t>多源通讯信</w:t>
            </w:r>
            <w:r>
              <w:rPr>
                <w:rFonts w:ascii="宋体" w:hAnsi="宋体" w:cs="宋体" w:eastAsia="宋体" w:hint="default"/>
                <w:spacing w:val="-86"/>
                <w:sz w:val="18"/>
                <w:szCs w:val="18"/>
              </w:rPr>
              <w:t> </w:t>
            </w:r>
            <w:r>
              <w:rPr>
                <w:rFonts w:ascii="宋体" w:hAnsi="宋体" w:cs="宋体" w:eastAsia="宋体" w:hint="default"/>
                <w:spacing w:val="24"/>
                <w:sz w:val="18"/>
                <w:szCs w:val="18"/>
              </w:rPr>
              <w:t>息的数据预</w:t>
            </w:r>
            <w:r>
              <w:rPr>
                <w:rFonts w:ascii="宋体" w:hAnsi="宋体" w:cs="宋体" w:eastAsia="宋体" w:hint="default"/>
                <w:spacing w:val="-86"/>
                <w:sz w:val="18"/>
                <w:szCs w:val="18"/>
              </w:rPr>
              <w:t> </w:t>
            </w:r>
            <w:r>
              <w:rPr>
                <w:rFonts w:ascii="宋体" w:hAnsi="宋体" w:cs="宋体" w:eastAsia="宋体" w:hint="default"/>
                <w:spacing w:val="24"/>
                <w:sz w:val="18"/>
                <w:szCs w:val="18"/>
              </w:rPr>
              <w:t>处理技术研</w:t>
            </w:r>
            <w:r>
              <w:rPr>
                <w:rFonts w:ascii="宋体" w:hAnsi="宋体" w:cs="宋体" w:eastAsia="宋体" w:hint="default"/>
                <w:spacing w:val="-86"/>
                <w:sz w:val="18"/>
                <w:szCs w:val="18"/>
              </w:rPr>
              <w:t> </w:t>
            </w:r>
            <w:r>
              <w:rPr>
                <w:rFonts w:ascii="宋体" w:hAnsi="宋体" w:cs="宋体" w:eastAsia="宋体" w:hint="default"/>
                <w:sz w:val="18"/>
                <w:szCs w:val="18"/>
              </w:rPr>
              <w:t>究</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财</w:t>
            </w:r>
            <w:r>
              <w:rPr>
                <w:rFonts w:ascii="宋体" w:hAnsi="宋体" w:cs="宋体" w:eastAsia="宋体" w:hint="default"/>
                <w:spacing w:val="43"/>
                <w:sz w:val="18"/>
                <w:szCs w:val="18"/>
              </w:rPr>
              <w:t> </w:t>
            </w:r>
            <w:r>
              <w:rPr>
                <w:rFonts w:ascii="宋体" w:hAnsi="宋体" w:cs="宋体" w:eastAsia="宋体" w:hint="default"/>
                <w:sz w:val="18"/>
                <w:szCs w:val="18"/>
              </w:rPr>
              <w:t>政</w:t>
            </w:r>
            <w:r>
              <w:rPr>
                <w:rFonts w:ascii="宋体" w:hAnsi="宋体" w:cs="宋体" w:eastAsia="宋体" w:hint="default"/>
                <w:sz w:val="18"/>
                <w:szCs w:val="18"/>
              </w:rPr>
              <w:t> 拨款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253,500.00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hAnsi="宋体" w:cs="宋体" w:eastAsia="宋体" w:hint="default"/>
                <w:sz w:val="18"/>
                <w:szCs w:val="18"/>
              </w:rPr>
              <w:t>－</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253,500.00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95"/>
              <w:jc w:val="left"/>
              <w:rPr>
                <w:rFonts w:ascii="宋体" w:hAnsi="宋体" w:cs="宋体" w:eastAsia="宋体" w:hint="default"/>
                <w:sz w:val="18"/>
                <w:szCs w:val="18"/>
              </w:rPr>
            </w:pPr>
            <w:r>
              <w:rPr>
                <w:rFonts w:ascii="宋体" w:hAnsi="宋体" w:cs="宋体" w:eastAsia="宋体" w:hint="default"/>
                <w:spacing w:val="7"/>
                <w:sz w:val="18"/>
                <w:szCs w:val="18"/>
              </w:rPr>
              <w:t>与资产相 </w:t>
            </w:r>
            <w:r>
              <w:rPr>
                <w:rFonts w:ascii="宋体" w:hAnsi="宋体" w:cs="宋体" w:eastAsia="宋体" w:hint="default"/>
                <w:sz w:val="18"/>
                <w:szCs w:val="18"/>
              </w:rPr>
              <w:t>关</w:t>
            </w:r>
          </w:p>
        </w:tc>
      </w:tr>
      <w:tr>
        <w:trPr>
          <w:trHeight w:val="1338"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both"/>
              <w:rPr>
                <w:rFonts w:ascii="宋体" w:hAnsi="宋体" w:cs="宋体" w:eastAsia="宋体" w:hint="default"/>
                <w:sz w:val="18"/>
                <w:szCs w:val="18"/>
              </w:rPr>
            </w:pPr>
            <w:r>
              <w:rPr>
                <w:rFonts w:ascii="宋体" w:hAnsi="宋体" w:cs="宋体" w:eastAsia="宋体" w:hint="default"/>
                <w:sz w:val="18"/>
                <w:szCs w:val="18"/>
              </w:rPr>
              <w:t>2017-2018</w:t>
            </w:r>
            <w:r>
              <w:rPr>
                <w:rFonts w:ascii="宋体" w:hAnsi="宋体" w:cs="宋体" w:eastAsia="宋体" w:hint="default"/>
                <w:spacing w:val="-54"/>
                <w:sz w:val="18"/>
                <w:szCs w:val="18"/>
              </w:rPr>
              <w:t> </w:t>
            </w:r>
            <w:r>
              <w:rPr>
                <w:rFonts w:ascii="宋体" w:hAnsi="宋体" w:cs="宋体" w:eastAsia="宋体" w:hint="default"/>
                <w:sz w:val="18"/>
                <w:szCs w:val="18"/>
              </w:rPr>
              <w:t>年</w:t>
            </w:r>
          </w:p>
          <w:p>
            <w:pPr>
              <w:pStyle w:val="TableParagraph"/>
              <w:spacing w:line="319" w:lineRule="auto" w:before="75"/>
              <w:ind w:left="103" w:right="71"/>
              <w:jc w:val="both"/>
              <w:rPr>
                <w:rFonts w:ascii="宋体" w:hAnsi="宋体" w:cs="宋体" w:eastAsia="宋体" w:hint="default"/>
                <w:sz w:val="18"/>
                <w:szCs w:val="18"/>
              </w:rPr>
            </w:pPr>
            <w:r>
              <w:rPr>
                <w:rFonts w:ascii="宋体" w:hAnsi="宋体" w:cs="宋体" w:eastAsia="宋体" w:hint="default"/>
                <w:spacing w:val="24"/>
                <w:sz w:val="18"/>
                <w:szCs w:val="18"/>
              </w:rPr>
              <w:t>国家认定企</w:t>
            </w:r>
            <w:r>
              <w:rPr>
                <w:rFonts w:ascii="宋体" w:hAnsi="宋体" w:cs="宋体" w:eastAsia="宋体" w:hint="default"/>
                <w:spacing w:val="-86"/>
                <w:sz w:val="18"/>
                <w:szCs w:val="18"/>
              </w:rPr>
              <w:t> </w:t>
            </w:r>
            <w:r>
              <w:rPr>
                <w:rFonts w:ascii="宋体" w:hAnsi="宋体" w:cs="宋体" w:eastAsia="宋体" w:hint="default"/>
                <w:spacing w:val="24"/>
                <w:sz w:val="18"/>
                <w:szCs w:val="18"/>
              </w:rPr>
              <w:t>业技术中心</w:t>
            </w:r>
            <w:r>
              <w:rPr>
                <w:rFonts w:ascii="宋体" w:hAnsi="宋体" w:cs="宋体" w:eastAsia="宋体" w:hint="default"/>
                <w:spacing w:val="-86"/>
                <w:sz w:val="18"/>
                <w:szCs w:val="18"/>
              </w:rPr>
              <w:t> </w:t>
            </w:r>
            <w:r>
              <w:rPr>
                <w:rFonts w:ascii="宋体" w:hAnsi="宋体" w:cs="宋体" w:eastAsia="宋体" w:hint="default"/>
                <w:sz w:val="18"/>
                <w:szCs w:val="18"/>
              </w:rPr>
              <w:t>研发费用</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财</w:t>
            </w:r>
            <w:r>
              <w:rPr>
                <w:rFonts w:ascii="宋体" w:hAnsi="宋体" w:cs="宋体" w:eastAsia="宋体" w:hint="default"/>
                <w:spacing w:val="43"/>
                <w:sz w:val="18"/>
                <w:szCs w:val="18"/>
              </w:rPr>
              <w:t> </w:t>
            </w:r>
            <w:r>
              <w:rPr>
                <w:rFonts w:ascii="宋体" w:hAnsi="宋体" w:cs="宋体" w:eastAsia="宋体" w:hint="default"/>
                <w:sz w:val="18"/>
                <w:szCs w:val="18"/>
              </w:rPr>
              <w:t>政</w:t>
            </w:r>
            <w:r>
              <w:rPr>
                <w:rFonts w:ascii="宋体" w:hAnsi="宋体" w:cs="宋体" w:eastAsia="宋体" w:hint="default"/>
                <w:sz w:val="18"/>
                <w:szCs w:val="18"/>
              </w:rPr>
              <w:t> 拨款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4,200,000.00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hAnsi="宋体" w:cs="宋体" w:eastAsia="宋体" w:hint="default"/>
                <w:sz w:val="18"/>
                <w:szCs w:val="18"/>
              </w:rPr>
              <w:t>－</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4,200,000.00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95"/>
              <w:jc w:val="left"/>
              <w:rPr>
                <w:rFonts w:ascii="宋体" w:hAnsi="宋体" w:cs="宋体" w:eastAsia="宋体" w:hint="default"/>
                <w:sz w:val="18"/>
                <w:szCs w:val="18"/>
              </w:rPr>
            </w:pPr>
            <w:r>
              <w:rPr>
                <w:rFonts w:ascii="宋体" w:hAnsi="宋体" w:cs="宋体" w:eastAsia="宋体" w:hint="default"/>
                <w:spacing w:val="7"/>
                <w:sz w:val="18"/>
                <w:szCs w:val="18"/>
              </w:rPr>
              <w:t>与资产相 </w:t>
            </w:r>
            <w:r>
              <w:rPr>
                <w:rFonts w:ascii="宋体" w:hAnsi="宋体" w:cs="宋体" w:eastAsia="宋体" w:hint="default"/>
                <w:sz w:val="18"/>
                <w:szCs w:val="18"/>
              </w:rPr>
              <w:t>关</w:t>
            </w:r>
          </w:p>
        </w:tc>
      </w:tr>
      <w:tr>
        <w:trPr>
          <w:trHeight w:val="714"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71"/>
              <w:jc w:val="left"/>
              <w:rPr>
                <w:rFonts w:ascii="宋体" w:hAnsi="宋体" w:cs="宋体" w:eastAsia="宋体" w:hint="default"/>
                <w:sz w:val="18"/>
                <w:szCs w:val="18"/>
              </w:rPr>
            </w:pPr>
            <w:r>
              <w:rPr>
                <w:rFonts w:ascii="宋体" w:hAnsi="宋体" w:cs="宋体" w:eastAsia="宋体" w:hint="default"/>
                <w:spacing w:val="24"/>
                <w:sz w:val="18"/>
                <w:szCs w:val="18"/>
              </w:rPr>
              <w:t>司法大数据</w:t>
            </w:r>
            <w:r>
              <w:rPr>
                <w:rFonts w:ascii="宋体" w:hAnsi="宋体" w:cs="宋体" w:eastAsia="宋体" w:hint="default"/>
                <w:spacing w:val="-86"/>
                <w:sz w:val="18"/>
                <w:szCs w:val="18"/>
              </w:rPr>
              <w:t> </w:t>
            </w:r>
            <w:r>
              <w:rPr>
                <w:rFonts w:ascii="宋体" w:hAnsi="宋体" w:cs="宋体" w:eastAsia="宋体" w:hint="default"/>
                <w:sz w:val="18"/>
                <w:szCs w:val="18"/>
              </w:rPr>
              <w:t>智能化平台</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财</w:t>
            </w:r>
            <w:r>
              <w:rPr>
                <w:rFonts w:ascii="宋体" w:hAnsi="宋体" w:cs="宋体" w:eastAsia="宋体" w:hint="default"/>
                <w:spacing w:val="43"/>
                <w:sz w:val="18"/>
                <w:szCs w:val="18"/>
              </w:rPr>
              <w:t> </w:t>
            </w:r>
            <w:r>
              <w:rPr>
                <w:rFonts w:ascii="宋体" w:hAnsi="宋体" w:cs="宋体" w:eastAsia="宋体" w:hint="default"/>
                <w:sz w:val="18"/>
                <w:szCs w:val="18"/>
              </w:rPr>
              <w:t>政</w:t>
            </w:r>
            <w:r>
              <w:rPr>
                <w:rFonts w:ascii="宋体" w:hAnsi="宋体" w:cs="宋体" w:eastAsia="宋体" w:hint="default"/>
                <w:sz w:val="18"/>
                <w:szCs w:val="18"/>
              </w:rPr>
              <w:t> 拨款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1,133,500.00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hAnsi="宋体" w:cs="宋体" w:eastAsia="宋体" w:hint="default"/>
                <w:sz w:val="18"/>
                <w:szCs w:val="18"/>
              </w:rPr>
              <w:t>－</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1,133,500.00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95"/>
              <w:jc w:val="left"/>
              <w:rPr>
                <w:rFonts w:ascii="宋体" w:hAnsi="宋体" w:cs="宋体" w:eastAsia="宋体" w:hint="default"/>
                <w:sz w:val="18"/>
                <w:szCs w:val="18"/>
              </w:rPr>
            </w:pPr>
            <w:r>
              <w:rPr>
                <w:rFonts w:ascii="宋体" w:hAnsi="宋体" w:cs="宋体" w:eastAsia="宋体" w:hint="default"/>
                <w:spacing w:val="7"/>
                <w:sz w:val="18"/>
                <w:szCs w:val="18"/>
              </w:rPr>
              <w:t>与资产相 </w:t>
            </w:r>
            <w:r>
              <w:rPr>
                <w:rFonts w:ascii="宋体" w:hAnsi="宋体" w:cs="宋体" w:eastAsia="宋体" w:hint="default"/>
                <w:sz w:val="18"/>
                <w:szCs w:val="18"/>
              </w:rPr>
              <w:t>关</w:t>
            </w:r>
          </w:p>
        </w:tc>
      </w:tr>
      <w:tr>
        <w:trPr>
          <w:trHeight w:val="402"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0"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2"/>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5" w:right="0"/>
              <w:jc w:val="lef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21,669,515.04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9,756,300.00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3,326,713.23</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28,099,101.81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r>
    </w:tbl>
    <w:p>
      <w:pPr>
        <w:spacing w:line="240" w:lineRule="auto" w:before="1"/>
        <w:rPr>
          <w:rFonts w:ascii="Times New Roman" w:hAnsi="Times New Roman" w:cs="Times New Roman" w:eastAsia="Times New Roman" w:hint="default"/>
          <w:sz w:val="21"/>
          <w:szCs w:val="21"/>
        </w:rPr>
      </w:pPr>
    </w:p>
    <w:p>
      <w:pPr>
        <w:pStyle w:val="BodyText"/>
        <w:spacing w:line="240" w:lineRule="auto" w:before="35"/>
        <w:ind w:left="497" w:right="1021"/>
        <w:jc w:val="left"/>
      </w:pPr>
      <w:r>
        <w:rPr/>
        <w:t>（</w:t>
      </w:r>
      <w:r>
        <w:rPr>
          <w:rFonts w:ascii="Times New Roman" w:hAnsi="Times New Roman" w:cs="Times New Roman" w:eastAsia="Times New Roman" w:hint="default"/>
        </w:rPr>
        <w:t>2</w:t>
      </w:r>
      <w:r>
        <w:rPr/>
        <w:t>）</w:t>
      </w:r>
      <w:r>
        <w:rPr>
          <w:spacing w:val="-74"/>
        </w:rPr>
        <w:t> </w:t>
      </w:r>
      <w:r>
        <w:rPr/>
        <w:t>采用总额法计入当期损益的政府补助情况</w:t>
      </w:r>
    </w:p>
    <w:p>
      <w:pPr>
        <w:spacing w:line="240" w:lineRule="auto" w:before="7"/>
        <w:rPr>
          <w:rFonts w:ascii="宋体" w:hAnsi="宋体" w:cs="宋体" w:eastAsia="宋体" w:hint="default"/>
          <w:sz w:val="22"/>
          <w:szCs w:val="22"/>
        </w:rPr>
      </w:pPr>
    </w:p>
    <w:tbl>
      <w:tblPr>
        <w:tblW w:w="0" w:type="auto"/>
        <w:jc w:val="left"/>
        <w:tblInd w:w="101" w:type="dxa"/>
        <w:tblLayout w:type="fixed"/>
        <w:tblCellMar>
          <w:top w:w="0" w:type="dxa"/>
          <w:left w:w="0" w:type="dxa"/>
          <w:bottom w:w="0" w:type="dxa"/>
          <w:right w:w="0" w:type="dxa"/>
        </w:tblCellMar>
        <w:tblLook w:val="01E0"/>
      </w:tblPr>
      <w:tblGrid>
        <w:gridCol w:w="3926"/>
        <w:gridCol w:w="1136"/>
        <w:gridCol w:w="1631"/>
        <w:gridCol w:w="1614"/>
        <w:gridCol w:w="1547"/>
      </w:tblGrid>
      <w:tr>
        <w:trPr>
          <w:trHeight w:val="714"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b/>
                <w:bCs/>
                <w:sz w:val="18"/>
                <w:szCs w:val="18"/>
              </w:rPr>
              <w:t>补助项目</w:t>
            </w:r>
            <w:r>
              <w:rPr>
                <w:rFonts w:ascii="宋体" w:hAnsi="宋体" w:cs="宋体" w:eastAsia="宋体" w:hint="default"/>
                <w:sz w:val="18"/>
                <w:szCs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hAnsi="宋体" w:cs="宋体" w:eastAsia="宋体" w:hint="default"/>
                <w:b/>
                <w:bCs/>
                <w:w w:val="95"/>
                <w:sz w:val="18"/>
                <w:szCs w:val="18"/>
              </w:rPr>
              <w:t>本年计入损益的</w:t>
            </w:r>
            <w:r>
              <w:rPr>
                <w:rFonts w:ascii="宋体" w:hAnsi="宋体" w:cs="宋体" w:eastAsia="宋体" w:hint="default"/>
                <w:sz w:val="18"/>
                <w:szCs w:val="18"/>
              </w:rPr>
            </w:r>
          </w:p>
          <w:p>
            <w:pPr>
              <w:pStyle w:val="TableParagraph"/>
              <w:spacing w:line="240" w:lineRule="auto" w:before="76"/>
              <w:ind w:right="101"/>
              <w:jc w:val="righ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2" w:right="236"/>
              <w:jc w:val="left"/>
              <w:rPr>
                <w:rFonts w:ascii="宋体" w:hAnsi="宋体" w:cs="宋体" w:eastAsia="宋体" w:hint="default"/>
                <w:sz w:val="18"/>
                <w:szCs w:val="18"/>
              </w:rPr>
            </w:pPr>
            <w:r>
              <w:rPr>
                <w:rFonts w:ascii="宋体" w:hAnsi="宋体" w:cs="宋体" w:eastAsia="宋体" w:hint="default"/>
                <w:b/>
                <w:bCs/>
                <w:sz w:val="18"/>
                <w:szCs w:val="18"/>
              </w:rPr>
              <w:t>本年计入损益的</w:t>
            </w:r>
            <w:r>
              <w:rPr>
                <w:rFonts w:ascii="宋体" w:hAnsi="宋体" w:cs="宋体" w:eastAsia="宋体" w:hint="default"/>
                <w:b/>
                <w:bCs/>
                <w:w w:val="99"/>
                <w:sz w:val="18"/>
                <w:szCs w:val="18"/>
              </w:rPr>
              <w:t> </w:t>
            </w:r>
            <w:r>
              <w:rPr>
                <w:rFonts w:ascii="宋体" w:hAnsi="宋体" w:cs="宋体" w:eastAsia="宋体" w:hint="default"/>
                <w:b/>
                <w:bCs/>
                <w:sz w:val="18"/>
                <w:szCs w:val="18"/>
              </w:rPr>
              <w:t>列报项目</w:t>
            </w:r>
            <w:r>
              <w:rPr>
                <w:rFonts w:ascii="宋体" w:hAnsi="宋体" w:cs="宋体" w:eastAsia="宋体" w:hint="default"/>
                <w:sz w:val="18"/>
                <w:szCs w:val="18"/>
              </w:rPr>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2" w:right="257"/>
              <w:jc w:val="left"/>
              <w:rPr>
                <w:rFonts w:ascii="宋体" w:hAnsi="宋体" w:cs="宋体" w:eastAsia="宋体" w:hint="default"/>
                <w:sz w:val="18"/>
                <w:szCs w:val="18"/>
              </w:rPr>
            </w:pPr>
            <w:r>
              <w:rPr>
                <w:rFonts w:ascii="宋体" w:hAnsi="宋体" w:cs="宋体" w:eastAsia="宋体" w:hint="default"/>
                <w:b/>
                <w:bCs/>
                <w:sz w:val="18"/>
                <w:szCs w:val="18"/>
              </w:rPr>
              <w:t>与资产相关/与</w:t>
            </w:r>
            <w:r>
              <w:rPr>
                <w:rFonts w:ascii="宋体" w:hAnsi="宋体" w:cs="宋体" w:eastAsia="宋体" w:hint="default"/>
                <w:b/>
                <w:bCs/>
                <w:spacing w:val="1"/>
                <w:w w:val="99"/>
                <w:sz w:val="18"/>
                <w:szCs w:val="18"/>
              </w:rPr>
              <w:t> </w:t>
            </w:r>
            <w:r>
              <w:rPr>
                <w:rFonts w:ascii="宋体" w:hAnsi="宋体" w:cs="宋体" w:eastAsia="宋体" w:hint="default"/>
                <w:b/>
                <w:bCs/>
                <w:sz w:val="18"/>
                <w:szCs w:val="18"/>
              </w:rPr>
              <w:t>收益相关</w:t>
            </w:r>
            <w:r>
              <w:rPr>
                <w:rFonts w:ascii="宋体" w:hAnsi="宋体" w:cs="宋体" w:eastAsia="宋体" w:hint="default"/>
                <w:sz w:val="18"/>
                <w:szCs w:val="18"/>
              </w:rPr>
            </w:r>
          </w:p>
        </w:tc>
      </w:tr>
      <w:tr>
        <w:trPr>
          <w:trHeight w:val="407"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软件增值税退税款</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48,585,751.02</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408"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软件和信息技术服务业发展专项资金</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6,254,700.00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407"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企业研发经费补助</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6,112,642.00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407"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厦门超级计算中心滚动支持</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1,600,001.16</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资产</w:t>
            </w:r>
          </w:p>
        </w:tc>
      </w:tr>
      <w:tr>
        <w:trPr>
          <w:trHeight w:val="407"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多源、多通道网络空间数据采集技术研究项目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1,055,000.00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资产</w:t>
            </w:r>
          </w:p>
        </w:tc>
      </w:tr>
      <w:tr>
        <w:trPr>
          <w:trHeight w:val="407"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高新技术企业认定奖励</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1,000,000.00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407"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软件信息企业增产增速奖励</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1,000,000.00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714"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95"/>
              <w:jc w:val="left"/>
              <w:rPr>
                <w:rFonts w:ascii="宋体" w:hAnsi="宋体" w:cs="宋体" w:eastAsia="宋体" w:hint="default"/>
                <w:sz w:val="18"/>
                <w:szCs w:val="18"/>
              </w:rPr>
            </w:pPr>
            <w:r>
              <w:rPr>
                <w:rFonts w:ascii="宋体" w:hAnsi="宋体" w:cs="宋体" w:eastAsia="宋体" w:hint="default"/>
                <w:spacing w:val="5"/>
                <w:sz w:val="18"/>
                <w:szCs w:val="18"/>
              </w:rPr>
              <w:t>以物联网为龙头的新一代信息技术产业发展资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金补助</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1,000,000.00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408"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众创空间扶持</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1,000,000.00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407"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地方贡献增量奖励</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818,000.00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714"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4"/>
                <w:sz w:val="18"/>
                <w:szCs w:val="18"/>
              </w:rPr>
              <w:t>思明区质量技术奖质量奖（工信部知识产权标杆</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企业）</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800,000.00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407"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科技定额兑现政策</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781,198.00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收益</w:t>
            </w:r>
          </w:p>
        </w:tc>
      </w:tr>
    </w:tbl>
    <w:p>
      <w:pPr>
        <w:spacing w:after="0" w:line="240" w:lineRule="auto"/>
        <w:jc w:val="left"/>
        <w:rPr>
          <w:rFonts w:ascii="宋体" w:hAnsi="宋体" w:cs="宋体" w:eastAsia="宋体" w:hint="default"/>
          <w:sz w:val="18"/>
          <w:szCs w:val="18"/>
        </w:rPr>
        <w:sectPr>
          <w:pgSz w:w="11910" w:h="16840"/>
          <w:pgMar w:header="747" w:footer="982" w:top="1060" w:bottom="118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3926"/>
        <w:gridCol w:w="1136"/>
        <w:gridCol w:w="1631"/>
        <w:gridCol w:w="1614"/>
        <w:gridCol w:w="1547"/>
      </w:tblGrid>
      <w:tr>
        <w:trPr>
          <w:trHeight w:val="407"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个税手续费</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718,870.95</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407"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标准化工作专项项目奖励</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610,796.12</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408"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质量技术奖标准化奖励</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600,000.00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407"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517,559.97</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407"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年度新建院士专家工作站建设专项经费</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500,000.00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744"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市级工程中心资助</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500,000.00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407"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支持军民融合创新发展补助</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500,000.00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407"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软件开发项目市外中标（签约）奖</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457,234.00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407"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国家服务业发展引导资金“电子数据存证云”</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386,519.13</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资产</w:t>
            </w:r>
          </w:p>
        </w:tc>
      </w:tr>
      <w:tr>
        <w:trPr>
          <w:trHeight w:val="408"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年房租补贴</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386,505.00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407"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应届生社保补贴</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338,879.31</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407"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实时通总部企业扶持资金</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332,262.00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407"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年第二批厦门市产业转型升级专项资金</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200,000.00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407"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计算机软件著作权登记证书累计奖</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200,000.00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407"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专利补贴</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186,432.00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408"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社保补差与社保补贴</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172,852.96</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407"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标准化战略资助资金</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150,000.00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407"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基于手机云的手机综合取证系统</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124,763.62</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资产</w:t>
            </w:r>
          </w:p>
        </w:tc>
      </w:tr>
      <w:tr>
        <w:trPr>
          <w:trHeight w:val="407"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科技项目计划</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120,000.00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407"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年技术交易奖励金</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115,767.00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407"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劳务协作奖励</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105,636.66</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754"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98"/>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16"/>
                <w:sz w:val="18"/>
                <w:szCs w:val="18"/>
              </w:rPr>
              <w:t> </w:t>
            </w:r>
            <w:r>
              <w:rPr>
                <w:rFonts w:ascii="宋体" w:hAnsi="宋体" w:cs="宋体" w:eastAsia="宋体" w:hint="default"/>
                <w:sz w:val="18"/>
                <w:szCs w:val="18"/>
              </w:rPr>
              <w:t>年厦门市科学技术奖二等奖（城市公共安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全管理平台）奖金</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100,000.00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407"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杰出青年创新创业人才计划扶持培养经费</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100,000.00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407"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两化融合试点奖补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100,000.00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407"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企业知识产权贯标认证补贴</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100,000.00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408"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薪酬津贴</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100,000.00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828"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基于云技术的证据链综合取证平台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99,999.98</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资产</w:t>
            </w:r>
          </w:p>
        </w:tc>
      </w:tr>
      <w:tr>
        <w:trPr>
          <w:trHeight w:val="701"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98"/>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16"/>
                <w:sz w:val="18"/>
                <w:szCs w:val="18"/>
              </w:rPr>
              <w:t> </w:t>
            </w:r>
            <w:r>
              <w:rPr>
                <w:rFonts w:ascii="宋体" w:hAnsi="宋体" w:cs="宋体" w:eastAsia="宋体" w:hint="default"/>
                <w:sz w:val="18"/>
                <w:szCs w:val="18"/>
              </w:rPr>
              <w:t>年地方外经贸发展专项资金（服务贸易和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服务外包项目）”资助金</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96,800.00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407"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年外经贸发展专项第五批项目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85,000.00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407"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生育津贴</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77,407.82</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收益</w:t>
            </w:r>
          </w:p>
        </w:tc>
      </w:tr>
    </w:tbl>
    <w:p>
      <w:pPr>
        <w:spacing w:after="0" w:line="240" w:lineRule="auto"/>
        <w:jc w:val="left"/>
        <w:rPr>
          <w:rFonts w:ascii="宋体" w:hAnsi="宋体" w:cs="宋体" w:eastAsia="宋体" w:hint="default"/>
          <w:sz w:val="18"/>
          <w:szCs w:val="18"/>
        </w:rPr>
        <w:sectPr>
          <w:pgSz w:w="11910" w:h="16840"/>
          <w:pgMar w:header="747" w:footer="982" w:top="1060" w:bottom="118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3926"/>
        <w:gridCol w:w="1136"/>
        <w:gridCol w:w="1631"/>
        <w:gridCol w:w="1614"/>
        <w:gridCol w:w="1547"/>
      </w:tblGrid>
      <w:tr>
        <w:trPr>
          <w:trHeight w:val="407"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科技型小微企业引才补贴</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72,000.00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407"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知识产权试点企业奖励奖金</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50,000.00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408"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院士专家工作站经费补助</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30,000.00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714"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95"/>
              <w:jc w:val="left"/>
              <w:rPr>
                <w:rFonts w:ascii="宋体" w:hAnsi="宋体" w:cs="宋体" w:eastAsia="宋体" w:hint="default"/>
                <w:sz w:val="18"/>
                <w:szCs w:val="18"/>
              </w:rPr>
            </w:pPr>
            <w:r>
              <w:rPr>
                <w:rFonts w:ascii="宋体" w:hAnsi="宋体" w:cs="宋体" w:eastAsia="宋体" w:hint="default"/>
                <w:spacing w:val="5"/>
                <w:sz w:val="18"/>
                <w:szCs w:val="18"/>
              </w:rPr>
              <w:t>基于云计算平台的空气质量预报预警与决策支</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持服务关键技术研究</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27,600.00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资产</w:t>
            </w:r>
          </w:p>
        </w:tc>
      </w:tr>
      <w:tr>
        <w:trPr>
          <w:trHeight w:val="713"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95"/>
              <w:jc w:val="left"/>
              <w:rPr>
                <w:rFonts w:ascii="宋体" w:hAnsi="宋体" w:cs="宋体" w:eastAsia="宋体" w:hint="default"/>
                <w:sz w:val="18"/>
                <w:szCs w:val="18"/>
              </w:rPr>
            </w:pPr>
            <w:r>
              <w:rPr>
                <w:rFonts w:ascii="宋体" w:hAnsi="宋体" w:cs="宋体" w:eastAsia="宋体" w:hint="default"/>
                <w:spacing w:val="5"/>
                <w:sz w:val="18"/>
                <w:szCs w:val="18"/>
              </w:rPr>
              <w:t>面向互联网的海量内容信息分析挖掘关键技术</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及系统</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15,678.44</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部分与资产相关</w:t>
            </w:r>
          </w:p>
        </w:tc>
      </w:tr>
      <w:tr>
        <w:trPr>
          <w:trHeight w:val="408"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人员培训补贴</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15,000.00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407"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电子取证关键技术研究</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14,115.07</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部分与资产相关</w:t>
            </w:r>
          </w:p>
        </w:tc>
      </w:tr>
      <w:tr>
        <w:trPr>
          <w:trHeight w:val="407"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思明区</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年第一季度企业招用本市农村</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12,633.27</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407"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男职工护理费</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11,760.00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407"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高新技术产品奖励</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10,000.00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408"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知识产权资助资金</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10,000.00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407"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企业录用本市农村户口劳动力的社保补贴</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3,922.40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407"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实时通下拨经费</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3,000.00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407"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知识产权补贴</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3,000.00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714"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95"/>
              <w:jc w:val="left"/>
              <w:rPr>
                <w:rFonts w:ascii="宋体" w:hAnsi="宋体" w:cs="宋体" w:eastAsia="宋体" w:hint="default"/>
                <w:sz w:val="18"/>
                <w:szCs w:val="18"/>
              </w:rPr>
            </w:pPr>
            <w:r>
              <w:rPr>
                <w:rFonts w:ascii="宋体" w:hAnsi="宋体" w:cs="宋体" w:eastAsia="宋体" w:hint="default"/>
                <w:spacing w:val="5"/>
                <w:sz w:val="18"/>
                <w:szCs w:val="18"/>
              </w:rPr>
              <w:t>面向新型信息技术和应用环境的网络管控技术</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研究</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2,881.66</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部分与资产相关</w:t>
            </w:r>
          </w:p>
        </w:tc>
      </w:tr>
      <w:tr>
        <w:trPr>
          <w:trHeight w:val="407"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企业注册补贴</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1,800.00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407"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资质认定补贴</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1,500.00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408"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文明劝导奖励</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1,000.00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407"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科技政策定额扶持资金</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154.17</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资产</w:t>
            </w:r>
          </w:p>
        </w:tc>
      </w:tr>
      <w:tr>
        <w:trPr>
          <w:trHeight w:val="407"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2"/>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w w:val="95"/>
                <w:sz w:val="18"/>
              </w:rPr>
              <w:t>78,376,623.71</w:t>
            </w:r>
            <w:r>
              <w:rPr>
                <w:rFonts w:ascii="宋体"/>
                <w:sz w:val="18"/>
              </w:rPr>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r>
    </w:tbl>
    <w:p>
      <w:pPr>
        <w:spacing w:line="240" w:lineRule="auto" w:before="8"/>
        <w:rPr>
          <w:rFonts w:ascii="Times New Roman" w:hAnsi="Times New Roman" w:cs="Times New Roman" w:eastAsia="Times New Roman" w:hint="default"/>
          <w:sz w:val="21"/>
          <w:szCs w:val="21"/>
        </w:rPr>
      </w:pPr>
    </w:p>
    <w:p>
      <w:pPr>
        <w:pStyle w:val="Heading3"/>
        <w:spacing w:line="240" w:lineRule="auto" w:before="35"/>
        <w:ind w:left="214" w:right="1021"/>
        <w:jc w:val="left"/>
        <w:rPr>
          <w:b w:val="0"/>
          <w:bCs w:val="0"/>
        </w:rPr>
      </w:pPr>
      <w:r>
        <w:rPr>
          <w:rFonts w:ascii="Times New Roman" w:hAnsi="Times New Roman" w:cs="Times New Roman" w:eastAsia="Times New Roman" w:hint="default"/>
        </w:rPr>
        <w:t>74</w:t>
      </w:r>
      <w:r>
        <w:rPr/>
        <w:t>、其他</w:t>
      </w:r>
      <w:r>
        <w:rPr>
          <w:b w:val="0"/>
          <w:bCs w:val="0"/>
        </w:rPr>
      </w:r>
    </w:p>
    <w:p>
      <w:pPr>
        <w:spacing w:line="240" w:lineRule="auto" w:before="8"/>
        <w:rPr>
          <w:rFonts w:ascii="宋体" w:hAnsi="宋体" w:cs="宋体" w:eastAsia="宋体" w:hint="default"/>
          <w:b/>
          <w:bCs/>
          <w:sz w:val="26"/>
          <w:szCs w:val="26"/>
        </w:rPr>
      </w:pPr>
    </w:p>
    <w:p>
      <w:pPr>
        <w:spacing w:before="0"/>
        <w:ind w:left="214" w:right="1021"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3"/>
        <w:rPr>
          <w:rFonts w:ascii="宋体" w:hAnsi="宋体" w:cs="宋体" w:eastAsia="宋体" w:hint="default"/>
          <w:sz w:val="24"/>
          <w:szCs w:val="24"/>
        </w:rPr>
      </w:pPr>
    </w:p>
    <w:p>
      <w:pPr>
        <w:spacing w:line="506" w:lineRule="auto" w:before="0"/>
        <w:ind w:left="214" w:right="8326" w:firstLine="0"/>
        <w:jc w:val="left"/>
        <w:rPr>
          <w:rFonts w:ascii="宋体" w:hAnsi="宋体" w:cs="宋体" w:eastAsia="宋体" w:hint="default"/>
          <w:sz w:val="18"/>
          <w:szCs w:val="18"/>
        </w:rPr>
      </w:pPr>
      <w:r>
        <w:rPr>
          <w:rFonts w:ascii="宋体" w:hAnsi="宋体" w:cs="宋体" w:eastAsia="宋体" w:hint="default"/>
          <w:b/>
          <w:bCs/>
          <w:sz w:val="24"/>
          <w:szCs w:val="24"/>
        </w:rPr>
        <w:t>八、合并范围的变更</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3"/>
        <w:spacing w:line="240" w:lineRule="auto" w:before="151"/>
        <w:ind w:left="214" w:right="1021"/>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7"/>
        <w:rPr>
          <w:rFonts w:ascii="宋体" w:hAnsi="宋体" w:cs="宋体" w:eastAsia="宋体" w:hint="default"/>
          <w:b/>
          <w:bCs/>
          <w:sz w:val="26"/>
          <w:szCs w:val="26"/>
        </w:rPr>
      </w:pPr>
    </w:p>
    <w:p>
      <w:pPr>
        <w:spacing w:before="0"/>
        <w:ind w:left="214" w:right="1021"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82" w:top="1060" w:bottom="1180" w:left="92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8"/>
        <w:rPr>
          <w:rFonts w:ascii="宋体" w:hAnsi="宋体" w:cs="宋体" w:eastAsia="宋体" w:hint="default"/>
          <w:b/>
          <w:bCs/>
          <w:sz w:val="26"/>
          <w:szCs w:val="26"/>
        </w:rPr>
      </w:pPr>
    </w:p>
    <w:p>
      <w:pPr>
        <w:pStyle w:val="BodyText"/>
        <w:spacing w:line="391" w:lineRule="auto"/>
        <w:ind w:left="153" w:right="1630"/>
        <w:jc w:val="left"/>
      </w:pPr>
      <w:r>
        <w:rPr>
          <w:sz w:val="18"/>
          <w:szCs w:val="18"/>
        </w:rPr>
        <w:t>说明其他原因导致的合并范围变动（如，新设子公司、清算子公司等）及其相关情况： </w:t>
      </w:r>
      <w:r>
        <w:rPr>
          <w:rFonts w:ascii="Times New Roman" w:hAnsi="Times New Roman" w:cs="Times New Roman" w:eastAsia="Times New Roman" w:hint="default"/>
        </w:rPr>
        <w:t>(1)</w:t>
      </w:r>
      <w:r>
        <w:rPr/>
        <w:t>设立美亚京安：</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日，本公司独资设立美亚京安，注册资本为</w:t>
      </w:r>
      <w:r>
        <w:rPr>
          <w:rFonts w:ascii="Times New Roman" w:hAnsi="Times New Roman" w:cs="Times New Roman" w:eastAsia="Times New Roman" w:hint="default"/>
        </w:rPr>
        <w:t>1,000.00</w:t>
      </w:r>
      <w:r>
        <w:rPr/>
        <w:t>万元。 </w:t>
      </w:r>
      <w:r>
        <w:rPr>
          <w:rFonts w:ascii="Times New Roman" w:hAnsi="Times New Roman" w:cs="Times New Roman" w:eastAsia="Times New Roman" w:hint="default"/>
        </w:rPr>
        <w:t>(2)</w:t>
      </w:r>
      <w:r>
        <w:rPr/>
        <w:t>设立美亚榕安：</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5</w:t>
      </w:r>
      <w:r>
        <w:rPr/>
        <w:t>日，本公司独资设立美亚榕安，注册资本为</w:t>
      </w:r>
      <w:r>
        <w:rPr>
          <w:rFonts w:ascii="Times New Roman" w:hAnsi="Times New Roman" w:cs="Times New Roman" w:eastAsia="Times New Roman" w:hint="default"/>
        </w:rPr>
        <w:t>5,000.00</w:t>
      </w:r>
      <w:r>
        <w:rPr/>
        <w:t>万元。 </w:t>
      </w:r>
      <w:r>
        <w:rPr>
          <w:rFonts w:ascii="Times New Roman" w:hAnsi="Times New Roman" w:cs="Times New Roman" w:eastAsia="Times New Roman" w:hint="default"/>
        </w:rPr>
        <w:t>(3)</w:t>
      </w:r>
      <w:r>
        <w:rPr/>
        <w:t>设立美银智投：</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26</w:t>
      </w:r>
      <w:r>
        <w:rPr/>
        <w:t>日，本公司独资设立美银智投，注册资本为</w:t>
      </w:r>
      <w:r>
        <w:rPr>
          <w:rFonts w:ascii="Times New Roman" w:hAnsi="Times New Roman" w:cs="Times New Roman" w:eastAsia="Times New Roman" w:hint="default"/>
        </w:rPr>
        <w:t>1,000.00</w:t>
      </w:r>
      <w:r>
        <w:rPr/>
        <w:t>万元。 </w:t>
      </w:r>
      <w:r>
        <w:rPr>
          <w:rFonts w:ascii="Times New Roman" w:hAnsi="Times New Roman" w:cs="Times New Roman" w:eastAsia="Times New Roman" w:hint="default"/>
          <w:spacing w:val="-1"/>
        </w:rPr>
        <w:t>(4)</w:t>
      </w:r>
      <w:r>
        <w:rPr>
          <w:spacing w:val="-1"/>
        </w:rPr>
        <w:t>设立美亚亿安：</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4</w:t>
      </w:r>
      <w:r>
        <w:rPr>
          <w:spacing w:val="-1"/>
        </w:rPr>
        <w:t>日，本公司与厦门环亚众智科技合伙企业（有限合伙）共同设立美亚</w:t>
      </w:r>
      <w:r>
        <w:rPr>
          <w:spacing w:val="-101"/>
        </w:rPr>
        <w:t> </w:t>
      </w:r>
      <w:r>
        <w:rPr>
          <w:spacing w:val="-101"/>
        </w:rPr>
      </w:r>
      <w:r>
        <w:rPr/>
        <w:t>亿安，注册资本为</w:t>
      </w:r>
      <w:r>
        <w:rPr>
          <w:rFonts w:ascii="Times New Roman" w:hAnsi="Times New Roman" w:cs="Times New Roman" w:eastAsia="Times New Roman" w:hint="default"/>
        </w:rPr>
        <w:t>1,000.00</w:t>
      </w:r>
      <w:r>
        <w:rPr/>
        <w:t>万元，其中本公司持股</w:t>
      </w:r>
      <w:r>
        <w:rPr>
          <w:rFonts w:ascii="Times New Roman" w:hAnsi="Times New Roman" w:cs="Times New Roman" w:eastAsia="Times New Roman" w:hint="default"/>
        </w:rPr>
        <w:t>55%</w:t>
      </w:r>
      <w:r>
        <w:rPr/>
        <w:t>，厦门环亚众智科技合伙企业（有限合伙）持</w:t>
      </w:r>
      <w:r>
        <w:rPr>
          <w:spacing w:val="-81"/>
        </w:rPr>
        <w:t> </w:t>
      </w:r>
      <w:r>
        <w:rPr>
          <w:spacing w:val="-81"/>
        </w:rPr>
      </w:r>
      <w:r>
        <w:rPr/>
        <w:t>股</w:t>
      </w:r>
      <w:r>
        <w:rPr>
          <w:rFonts w:ascii="Times New Roman" w:hAnsi="Times New Roman" w:cs="Times New Roman" w:eastAsia="Times New Roman" w:hint="default"/>
        </w:rPr>
        <w:t>45%</w:t>
      </w:r>
      <w:r>
        <w:rPr/>
        <w:t>。</w:t>
      </w:r>
    </w:p>
    <w:p>
      <w:pPr>
        <w:spacing w:line="240" w:lineRule="auto" w:before="4"/>
        <w:rPr>
          <w:rFonts w:ascii="宋体" w:hAnsi="宋体" w:cs="宋体" w:eastAsia="宋体" w:hint="default"/>
          <w:sz w:val="19"/>
          <w:szCs w:val="19"/>
        </w:rPr>
      </w:pPr>
    </w:p>
    <w:p>
      <w:pPr>
        <w:spacing w:line="484" w:lineRule="auto" w:before="0"/>
        <w:ind w:left="154" w:right="810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4"/>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038"/>
        <w:gridCol w:w="992"/>
        <w:gridCol w:w="1134"/>
        <w:gridCol w:w="1276"/>
        <w:gridCol w:w="1418"/>
        <w:gridCol w:w="2341"/>
      </w:tblGrid>
      <w:tr>
        <w:trPr>
          <w:trHeight w:val="401" w:hRule="exact"/>
        </w:trPr>
        <w:tc>
          <w:tcPr>
            <w:tcW w:w="13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0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9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1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69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23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3D3D3"/>
          </w:tcPr>
          <w:p>
            <w:pPr/>
          </w:p>
        </w:tc>
        <w:tc>
          <w:tcPr>
            <w:tcW w:w="1038" w:type="dxa"/>
            <w:vMerge/>
            <w:tcBorders>
              <w:left w:val="single" w:sz="4" w:space="0" w:color="000000"/>
              <w:bottom w:val="single" w:sz="4" w:space="0" w:color="000000"/>
              <w:right w:val="single" w:sz="4" w:space="0" w:color="000000"/>
            </w:tcBorders>
            <w:shd w:val="clear" w:color="auto" w:fill="D3D3D3"/>
          </w:tcPr>
          <w:p>
            <w:pPr/>
          </w:p>
        </w:tc>
        <w:tc>
          <w:tcPr>
            <w:tcW w:w="992" w:type="dxa"/>
            <w:vMerge/>
            <w:tcBorders>
              <w:left w:val="single" w:sz="4" w:space="0" w:color="000000"/>
              <w:bottom w:val="single" w:sz="4" w:space="0" w:color="000000"/>
              <w:right w:val="single" w:sz="4" w:space="0" w:color="000000"/>
            </w:tcBorders>
            <w:shd w:val="clear" w:color="auto" w:fill="D3D3D3"/>
          </w:tcPr>
          <w:p>
            <w:pPr/>
          </w:p>
        </w:tc>
        <w:tc>
          <w:tcPr>
            <w:tcW w:w="1134" w:type="dxa"/>
            <w:vMerge/>
            <w:tcBorders>
              <w:left w:val="single" w:sz="4" w:space="0" w:color="000000"/>
              <w:bottom w:val="single" w:sz="4" w:space="0" w:color="000000"/>
              <w:right w:val="single" w:sz="4" w:space="0" w:color="000000"/>
            </w:tcBorders>
            <w:shd w:val="clear" w:color="auto" w:fill="D3D3D3"/>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2341"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美亚研究所</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32"/>
              <w:jc w:val="right"/>
              <w:rPr>
                <w:rFonts w:ascii="宋体" w:hAnsi="宋体" w:cs="宋体" w:eastAsia="宋体" w:hint="default"/>
                <w:sz w:val="18"/>
                <w:szCs w:val="18"/>
              </w:rPr>
            </w:pPr>
            <w:r>
              <w:rPr>
                <w:rFonts w:ascii="宋体" w:hAnsi="宋体" w:cs="宋体" w:eastAsia="宋体" w:hint="default"/>
                <w:sz w:val="18"/>
                <w:szCs w:val="18"/>
              </w:rPr>
              <w:t>厦门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厦门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综合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香港鼎永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32"/>
              <w:jc w:val="right"/>
              <w:rPr>
                <w:rFonts w:ascii="宋体" w:hAnsi="宋体" w:cs="宋体" w:eastAsia="宋体" w:hint="default"/>
                <w:sz w:val="18"/>
                <w:szCs w:val="18"/>
              </w:rPr>
            </w:pPr>
            <w:r>
              <w:rPr>
                <w:rFonts w:ascii="宋体" w:hAnsi="宋体" w:cs="宋体" w:eastAsia="宋体" w:hint="default"/>
                <w:sz w:val="18"/>
                <w:szCs w:val="18"/>
              </w:rPr>
              <w:t>香港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综合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51.00%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美亚中敏</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32"/>
              <w:jc w:val="right"/>
              <w:rPr>
                <w:rFonts w:ascii="宋体" w:hAnsi="宋体" w:cs="宋体" w:eastAsia="宋体" w:hint="default"/>
                <w:sz w:val="18"/>
                <w:szCs w:val="18"/>
              </w:rPr>
            </w:pPr>
            <w:r>
              <w:rPr>
                <w:rFonts w:ascii="宋体" w:hAnsi="宋体" w:cs="宋体" w:eastAsia="宋体" w:hint="default"/>
                <w:sz w:val="18"/>
                <w:szCs w:val="18"/>
              </w:rPr>
              <w:t>厦门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厦门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综合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67.73%</w:t>
            </w:r>
          </w:p>
        </w:tc>
        <w:tc>
          <w:tcPr>
            <w:tcW w:w="141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珠海新德汇</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32"/>
              <w:jc w:val="right"/>
              <w:rPr>
                <w:rFonts w:ascii="宋体" w:hAnsi="宋体" w:cs="宋体" w:eastAsia="宋体" w:hint="default"/>
                <w:sz w:val="18"/>
                <w:szCs w:val="18"/>
              </w:rPr>
            </w:pPr>
            <w:r>
              <w:rPr>
                <w:rFonts w:ascii="宋体" w:hAnsi="宋体" w:cs="宋体" w:eastAsia="宋体" w:hint="default"/>
                <w:sz w:val="18"/>
                <w:szCs w:val="18"/>
              </w:rPr>
              <w:t>珠海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珠海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综合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安胜科技</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32"/>
              <w:jc w:val="right"/>
              <w:rPr>
                <w:rFonts w:ascii="宋体" w:hAnsi="宋体" w:cs="宋体" w:eastAsia="宋体" w:hint="default"/>
                <w:sz w:val="18"/>
                <w:szCs w:val="18"/>
              </w:rPr>
            </w:pPr>
            <w:r>
              <w:rPr>
                <w:rFonts w:ascii="宋体" w:hAnsi="宋体" w:cs="宋体" w:eastAsia="宋体" w:hint="default"/>
                <w:sz w:val="18"/>
                <w:szCs w:val="18"/>
              </w:rPr>
              <w:t>厦门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厦门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综合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75.00%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武汉大千</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32"/>
              <w:jc w:val="right"/>
              <w:rPr>
                <w:rFonts w:ascii="宋体" w:hAnsi="宋体" w:cs="宋体" w:eastAsia="宋体" w:hint="default"/>
                <w:sz w:val="18"/>
                <w:szCs w:val="18"/>
              </w:rPr>
            </w:pPr>
            <w:r>
              <w:rPr>
                <w:rFonts w:ascii="宋体" w:hAnsi="宋体" w:cs="宋体" w:eastAsia="宋体" w:hint="default"/>
                <w:sz w:val="18"/>
                <w:szCs w:val="18"/>
              </w:rPr>
              <w:t>武汉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武汉</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综合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51.00%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江苏税软</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32"/>
              <w:jc w:val="right"/>
              <w:rPr>
                <w:rFonts w:ascii="宋体" w:hAnsi="宋体" w:cs="宋体" w:eastAsia="宋体" w:hint="default"/>
                <w:sz w:val="18"/>
                <w:szCs w:val="18"/>
              </w:rPr>
            </w:pPr>
            <w:r>
              <w:rPr>
                <w:rFonts w:ascii="宋体" w:hAnsi="宋体" w:cs="宋体" w:eastAsia="宋体" w:hint="default"/>
                <w:sz w:val="18"/>
                <w:szCs w:val="18"/>
              </w:rPr>
              <w:t>无锡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无锡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综合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无锡博盾</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32"/>
              <w:jc w:val="right"/>
              <w:rPr>
                <w:rFonts w:ascii="宋体" w:hAnsi="宋体" w:cs="宋体" w:eastAsia="宋体" w:hint="default"/>
                <w:sz w:val="18"/>
                <w:szCs w:val="18"/>
              </w:rPr>
            </w:pPr>
            <w:r>
              <w:rPr>
                <w:rFonts w:ascii="宋体" w:hAnsi="宋体" w:cs="宋体" w:eastAsia="宋体" w:hint="default"/>
                <w:sz w:val="18"/>
                <w:szCs w:val="18"/>
              </w:rPr>
              <w:t>无锡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无锡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综合</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85.00%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美亚宏数</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32"/>
              <w:jc w:val="right"/>
              <w:rPr>
                <w:rFonts w:ascii="宋体" w:hAnsi="宋体" w:cs="宋体" w:eastAsia="宋体" w:hint="default"/>
                <w:sz w:val="18"/>
                <w:szCs w:val="18"/>
              </w:rPr>
            </w:pPr>
            <w:r>
              <w:rPr>
                <w:rFonts w:ascii="宋体" w:hAnsi="宋体" w:cs="宋体" w:eastAsia="宋体" w:hint="default"/>
                <w:sz w:val="18"/>
                <w:szCs w:val="18"/>
              </w:rPr>
              <w:t>北京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综合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82.27%</w:t>
            </w:r>
          </w:p>
        </w:tc>
        <w:tc>
          <w:tcPr>
            <w:tcW w:w="141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国信宏数</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32"/>
              <w:jc w:val="right"/>
              <w:rPr>
                <w:rFonts w:ascii="宋体" w:hAnsi="宋体" w:cs="宋体" w:eastAsia="宋体" w:hint="default"/>
                <w:sz w:val="18"/>
                <w:szCs w:val="18"/>
              </w:rPr>
            </w:pPr>
            <w:r>
              <w:rPr>
                <w:rFonts w:ascii="宋体" w:hAnsi="宋体" w:cs="宋体" w:eastAsia="宋体" w:hint="default"/>
                <w:sz w:val="18"/>
                <w:szCs w:val="18"/>
              </w:rPr>
              <w:t>北京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综合</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78.18%</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038"/>
        <w:gridCol w:w="992"/>
        <w:gridCol w:w="1134"/>
        <w:gridCol w:w="1276"/>
        <w:gridCol w:w="1418"/>
        <w:gridCol w:w="2341"/>
      </w:tblGrid>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美亚智讯</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2"/>
              <w:jc w:val="right"/>
              <w:rPr>
                <w:rFonts w:ascii="宋体" w:hAnsi="宋体" w:cs="宋体" w:eastAsia="宋体" w:hint="default"/>
                <w:sz w:val="18"/>
                <w:szCs w:val="18"/>
              </w:rPr>
            </w:pPr>
            <w:r>
              <w:rPr>
                <w:rFonts w:ascii="宋体" w:hAnsi="宋体" w:cs="宋体" w:eastAsia="宋体" w:hint="default"/>
                <w:sz w:val="18"/>
                <w:szCs w:val="18"/>
              </w:rPr>
              <w:t>北京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综合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58.47%</w:t>
            </w:r>
          </w:p>
        </w:tc>
        <w:tc>
          <w:tcPr>
            <w:tcW w:w="141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美亚商鼎</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2"/>
              <w:jc w:val="right"/>
              <w:rPr>
                <w:rFonts w:ascii="宋体" w:hAnsi="宋体" w:cs="宋体" w:eastAsia="宋体" w:hint="default"/>
                <w:sz w:val="18"/>
                <w:szCs w:val="18"/>
              </w:rPr>
            </w:pPr>
            <w:r>
              <w:rPr>
                <w:rFonts w:ascii="宋体" w:hAnsi="宋体" w:cs="宋体" w:eastAsia="宋体" w:hint="default"/>
                <w:sz w:val="18"/>
                <w:szCs w:val="18"/>
              </w:rPr>
              <w:t>厦门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厦门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综合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62.00%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美亚天信</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2"/>
              <w:jc w:val="right"/>
              <w:rPr>
                <w:rFonts w:ascii="宋体" w:hAnsi="宋体" w:cs="宋体" w:eastAsia="宋体" w:hint="default"/>
                <w:sz w:val="18"/>
                <w:szCs w:val="18"/>
              </w:rPr>
            </w:pPr>
            <w:r>
              <w:rPr>
                <w:rFonts w:ascii="宋体" w:hAnsi="宋体" w:cs="宋体" w:eastAsia="宋体" w:hint="default"/>
                <w:sz w:val="18"/>
                <w:szCs w:val="18"/>
              </w:rPr>
              <w:t>厦门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厦门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综合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0" w:right="0"/>
              <w:jc w:val="left"/>
              <w:rPr>
                <w:rFonts w:ascii="Times New Roman" w:hAnsi="Times New Roman" w:cs="Times New Roman" w:eastAsia="Times New Roman" w:hint="default"/>
                <w:sz w:val="18"/>
                <w:szCs w:val="18"/>
              </w:rPr>
            </w:pPr>
            <w:r>
              <w:rPr>
                <w:rFonts w:ascii="Times New Roman"/>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美亚京安</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2"/>
              <w:jc w:val="right"/>
              <w:rPr>
                <w:rFonts w:ascii="宋体" w:hAnsi="宋体" w:cs="宋体" w:eastAsia="宋体" w:hint="default"/>
                <w:sz w:val="18"/>
                <w:szCs w:val="18"/>
              </w:rPr>
            </w:pPr>
            <w:r>
              <w:rPr>
                <w:rFonts w:ascii="宋体" w:hAnsi="宋体" w:cs="宋体" w:eastAsia="宋体" w:hint="default"/>
                <w:sz w:val="18"/>
                <w:szCs w:val="18"/>
              </w:rPr>
              <w:t>北京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综合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0" w:right="0"/>
              <w:jc w:val="left"/>
              <w:rPr>
                <w:rFonts w:ascii="Times New Roman" w:hAnsi="Times New Roman" w:cs="Times New Roman" w:eastAsia="Times New Roman" w:hint="default"/>
                <w:sz w:val="18"/>
                <w:szCs w:val="18"/>
              </w:rPr>
            </w:pPr>
            <w:r>
              <w:rPr>
                <w:rFonts w:ascii="Times New Roman"/>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美亚榕安</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2"/>
              <w:jc w:val="right"/>
              <w:rPr>
                <w:rFonts w:ascii="宋体" w:hAnsi="宋体" w:cs="宋体" w:eastAsia="宋体" w:hint="default"/>
                <w:sz w:val="18"/>
                <w:szCs w:val="18"/>
              </w:rPr>
            </w:pPr>
            <w:r>
              <w:rPr>
                <w:rFonts w:ascii="宋体" w:hAnsi="宋体" w:cs="宋体" w:eastAsia="宋体" w:hint="default"/>
                <w:sz w:val="18"/>
                <w:szCs w:val="18"/>
              </w:rPr>
              <w:t>福州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福州</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综合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0" w:right="0"/>
              <w:jc w:val="left"/>
              <w:rPr>
                <w:rFonts w:ascii="Times New Roman" w:hAnsi="Times New Roman" w:cs="Times New Roman" w:eastAsia="Times New Roman" w:hint="default"/>
                <w:sz w:val="18"/>
                <w:szCs w:val="18"/>
              </w:rPr>
            </w:pPr>
            <w:r>
              <w:rPr>
                <w:rFonts w:ascii="Times New Roman"/>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美银智投</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2"/>
              <w:jc w:val="right"/>
              <w:rPr>
                <w:rFonts w:ascii="宋体" w:hAnsi="宋体" w:cs="宋体" w:eastAsia="宋体" w:hint="default"/>
                <w:sz w:val="18"/>
                <w:szCs w:val="18"/>
              </w:rPr>
            </w:pPr>
            <w:r>
              <w:rPr>
                <w:rFonts w:ascii="宋体" w:hAnsi="宋体" w:cs="宋体" w:eastAsia="宋体" w:hint="default"/>
                <w:sz w:val="18"/>
                <w:szCs w:val="18"/>
              </w:rPr>
              <w:t>厦门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厦门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综合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0" w:right="0"/>
              <w:jc w:val="left"/>
              <w:rPr>
                <w:rFonts w:ascii="Times New Roman" w:hAnsi="Times New Roman" w:cs="Times New Roman" w:eastAsia="Times New Roman" w:hint="default"/>
                <w:sz w:val="18"/>
                <w:szCs w:val="18"/>
              </w:rPr>
            </w:pPr>
            <w:r>
              <w:rPr>
                <w:rFonts w:ascii="Times New Roman"/>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美亚亿安</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2"/>
              <w:jc w:val="right"/>
              <w:rPr>
                <w:rFonts w:ascii="宋体" w:hAnsi="宋体" w:cs="宋体" w:eastAsia="宋体" w:hint="default"/>
                <w:sz w:val="18"/>
                <w:szCs w:val="18"/>
              </w:rPr>
            </w:pPr>
            <w:r>
              <w:rPr>
                <w:rFonts w:ascii="宋体" w:hAnsi="宋体" w:cs="宋体" w:eastAsia="宋体" w:hint="default"/>
                <w:sz w:val="18"/>
                <w:szCs w:val="18"/>
              </w:rPr>
              <w:t>厦门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厦门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综合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55.00%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5"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18"/>
        <w:gridCol w:w="1700"/>
        <w:gridCol w:w="2626"/>
        <w:gridCol w:w="1913"/>
        <w:gridCol w:w="1913"/>
      </w:tblGrid>
      <w:tr>
        <w:trPr>
          <w:trHeight w:val="764"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26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本期归属于少数股东的损益</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6"/>
              <w:ind w:left="591" w:right="49"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美亚中敏</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32.27%</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1,318,701.26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10,509,745.42</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武汉大千</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49.00%</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-5,015,947.54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5,753,672.73</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安胜科技</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2,544,431.25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9,109,145.35</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美亚商鼎</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38.00%</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3,371,413.37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7,323,269.99</w:t>
            </w:r>
          </w:p>
        </w:tc>
      </w:tr>
    </w:tbl>
    <w:p>
      <w:pPr>
        <w:spacing w:line="360" w:lineRule="auto" w:before="51"/>
        <w:ind w:left="153" w:right="6431"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4"/>
        <w:gridCol w:w="736"/>
        <w:gridCol w:w="734"/>
        <w:gridCol w:w="736"/>
        <w:gridCol w:w="734"/>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1"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3D3D3"/>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美亚中 敏</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70,756,7</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97.21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5,595,71</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5.25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閤</w:t>
            </w:r>
          </w:p>
          <w:p>
            <w:pPr>
              <w:pStyle w:val="TableParagraph"/>
              <w:spacing w:line="240" w:lineRule="auto" w:before="116"/>
              <w:ind w:right="19"/>
              <w:jc w:val="right"/>
              <w:rPr>
                <w:rFonts w:ascii="Times New Roman" w:hAnsi="Times New Roman" w:cs="Times New Roman" w:eastAsia="Times New Roman" w:hint="default"/>
                <w:sz w:val="18"/>
                <w:szCs w:val="18"/>
              </w:rPr>
            </w:pPr>
            <w:r>
              <w:rPr>
                <w:rFonts w:ascii="Times New Roman"/>
                <w:sz w:val="18"/>
              </w:rPr>
              <w:t>6,352,51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43,470,2</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31.82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43,670,2</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31.82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70,560,2</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33.43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5,724,71</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8.73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76,284,9</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52.16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47,306,0</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31.44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47,506,0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31.44</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武汉大 千</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21,654,6</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43.13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3,048,32</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1.40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24,702,9</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64.53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12,379,2</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52.81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581,522.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12,960,7</w:t>
            </w:r>
          </w:p>
          <w:p>
            <w:pPr>
              <w:pStyle w:val="TableParagraph"/>
              <w:spacing w:line="240" w:lineRule="auto" w:before="106"/>
              <w:ind w:left="296" w:right="0"/>
              <w:jc w:val="left"/>
              <w:rPr>
                <w:rFonts w:ascii="Times New Roman" w:hAnsi="Times New Roman" w:cs="Times New Roman" w:eastAsia="Times New Roman" w:hint="default"/>
                <w:sz w:val="18"/>
                <w:szCs w:val="18"/>
              </w:rPr>
            </w:pPr>
            <w:r>
              <w:rPr>
                <w:rFonts w:ascii="Times New Roman"/>
                <w:sz w:val="18"/>
              </w:rPr>
              <w:t>75.31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23,758,5</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05.16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6,166,84</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4.26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29,925,3</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49.42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7,044,06</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5.43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763,045.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7,807,11</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0.43</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安胜科 技</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74,380,1</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93.03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6,162,41</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4.40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80,542,6</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07.43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44,106,0</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26.04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44,106,0</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26.04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75,531,4</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52.82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3,790,23</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5.60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79,321,6</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88.42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52,934,2</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85.77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52,934,2</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85.77</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美亚商 鼎</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35,423,0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34.75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3,128,53</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6.97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38,551,5</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71.72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19,279,8</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08.61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19,279,8</w:t>
            </w:r>
          </w:p>
          <w:p>
            <w:pPr>
              <w:pStyle w:val="TableParagraph"/>
              <w:spacing w:line="240" w:lineRule="auto" w:before="106"/>
              <w:ind w:left="296" w:right="0"/>
              <w:jc w:val="left"/>
              <w:rPr>
                <w:rFonts w:ascii="Times New Roman" w:hAnsi="Times New Roman" w:cs="Times New Roman" w:eastAsia="Times New Roman" w:hint="default"/>
                <w:sz w:val="18"/>
                <w:szCs w:val="18"/>
              </w:rPr>
            </w:pPr>
            <w:r>
              <w:rPr>
                <w:rFonts w:ascii="Times New Roman"/>
                <w:sz w:val="18"/>
              </w:rPr>
              <w:t>08.61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14,631,1</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98.50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814,229.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15,445,4</w:t>
            </w:r>
          </w:p>
          <w:p>
            <w:pPr>
              <w:pStyle w:val="TableParagraph"/>
              <w:spacing w:line="240" w:lineRule="auto" w:before="106"/>
              <w:ind w:left="303" w:right="0"/>
              <w:jc w:val="left"/>
              <w:rPr>
                <w:rFonts w:ascii="Times New Roman" w:hAnsi="Times New Roman" w:cs="Times New Roman" w:eastAsia="Times New Roman" w:hint="default"/>
                <w:sz w:val="18"/>
                <w:szCs w:val="18"/>
              </w:rPr>
            </w:pPr>
            <w:r>
              <w:rPr>
                <w:rFonts w:ascii="Times New Roman"/>
                <w:sz w:val="18"/>
              </w:rPr>
              <w:t>28.11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4,870,78</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7.54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4,870,78</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7.54</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4253"/>
        <w:gridCol w:w="4255"/>
      </w:tblGrid>
      <w:tr>
        <w:trPr>
          <w:trHeight w:val="402" w:hRule="exact"/>
        </w:trPr>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3"/>
        <w:gridCol w:w="1063"/>
        <w:gridCol w:w="1066"/>
      </w:tblGrid>
      <w:tr>
        <w:trPr>
          <w:trHeight w:val="714" w:hRule="exact"/>
        </w:trPr>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7"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美亚中敏</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169,756,449.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4,086,461.90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4,086,461.90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260,897.31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191,186,614.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2,165,855.84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2,165,855.84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-1,298,198.54</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武汉大千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9,859,759.09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-10,236,627.6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-10,236,627.6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1,653,885.93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14,185,247.4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6" w:right="0"/>
              <w:jc w:val="center"/>
              <w:rPr>
                <w:rFonts w:ascii="Times New Roman" w:hAnsi="Times New Roman" w:cs="Times New Roman" w:eastAsia="Times New Roman" w:hint="default"/>
                <w:sz w:val="18"/>
                <w:szCs w:val="18"/>
              </w:rPr>
            </w:pPr>
            <w:r>
              <w:rPr>
                <w:rFonts w:ascii="Times New Roman"/>
                <w:sz w:val="18"/>
              </w:rPr>
              <w:t>-440,792.38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-440,792.38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294,723.15</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安胜科技</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102,764,441.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10,177,725.0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10,177,725.0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-18,411,820.1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98,838,589.9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12,205,105.3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12,205,105.3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25,487,129.0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美亚商鼎</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35,190,579.0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8,872,140.44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8,872,140.44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12,166,996.2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15,496,512.7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1,212,798.28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1,212,798.28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2,224,912.36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0"/>
        <w:ind w:right="0"/>
        <w:jc w:val="left"/>
      </w:pPr>
      <w:r>
        <w:rPr/>
        <w:t>上表中武汉大千的数据为以收购日的公允价值持续计算编制。</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9850"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836"/>
        <w:gridCol w:w="1276"/>
        <w:gridCol w:w="1134"/>
        <w:gridCol w:w="992"/>
        <w:gridCol w:w="1134"/>
        <w:gridCol w:w="834"/>
        <w:gridCol w:w="1366"/>
      </w:tblGrid>
      <w:tr>
        <w:trPr>
          <w:trHeight w:val="401" w:hRule="exact"/>
        </w:trPr>
        <w:tc>
          <w:tcPr>
            <w:tcW w:w="28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22"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82"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1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9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3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9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1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276" w:type="dxa"/>
            <w:vMerge/>
            <w:tcBorders>
              <w:left w:val="single" w:sz="4" w:space="0" w:color="000000"/>
              <w:bottom w:val="single" w:sz="4" w:space="0" w:color="000000"/>
              <w:right w:val="single" w:sz="4" w:space="0" w:color="000000"/>
            </w:tcBorders>
            <w:shd w:val="clear" w:color="auto" w:fill="D3D3D3"/>
          </w:tcPr>
          <w:p>
            <w:pPr/>
          </w:p>
        </w:tc>
        <w:tc>
          <w:tcPr>
            <w:tcW w:w="1134" w:type="dxa"/>
            <w:vMerge/>
            <w:tcBorders>
              <w:left w:val="single" w:sz="4" w:space="0" w:color="000000"/>
              <w:bottom w:val="single" w:sz="4" w:space="0" w:color="000000"/>
              <w:right w:val="single" w:sz="4" w:space="0" w:color="000000"/>
            </w:tcBorders>
            <w:shd w:val="clear" w:color="auto" w:fill="D3D3D3"/>
          </w:tcPr>
          <w:p>
            <w:pPr/>
          </w:p>
        </w:tc>
        <w:tc>
          <w:tcPr>
            <w:tcW w:w="992" w:type="dxa"/>
            <w:vMerge/>
            <w:tcBorders>
              <w:left w:val="single" w:sz="4" w:space="0" w:color="000000"/>
              <w:bottom w:val="single" w:sz="4" w:space="0" w:color="000000"/>
              <w:right w:val="single" w:sz="4" w:space="0" w:color="000000"/>
            </w:tcBorders>
            <w:shd w:val="clear" w:color="auto" w:fill="D3D3D3"/>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厦门服云信息科技有限公司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5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综合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29.21%</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北京万诚信用评价有限公司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5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综合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28.00%</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厦门正信世纪信息科技有限公司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5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综合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20.00%</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厦门市美亚梧桐投资管理有限公司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5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综合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39.20%</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沈阳城市公共安全科技有限公司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52"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综合</w:t>
            </w:r>
          </w:p>
        </w:tc>
        <w:tc>
          <w:tcPr>
            <w:tcW w:w="1134"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北京万方智讯信息技术有限公司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5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综合</w:t>
            </w:r>
          </w:p>
        </w:tc>
        <w:tc>
          <w:tcPr>
            <w:tcW w:w="1134"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6"/>
        <w:ind w:left="153" w:right="0"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after="0"/>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214" w:right="1021"/>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8"/>
        <w:rPr>
          <w:rFonts w:ascii="宋体" w:hAnsi="宋体" w:cs="宋体" w:eastAsia="宋体" w:hint="default"/>
          <w:b/>
          <w:bCs/>
          <w:sz w:val="26"/>
          <w:szCs w:val="26"/>
        </w:rPr>
      </w:pPr>
    </w:p>
    <w:p>
      <w:pPr>
        <w:spacing w:before="0"/>
        <w:ind w:left="214" w:right="1021"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left="214" w:right="1021"/>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
        </w:tc>
        <w:tc>
          <w:tcPr>
            <w:tcW w:w="41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1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41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10"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37" w:right="137"/>
              <w:jc w:val="left"/>
              <w:rPr>
                <w:rFonts w:ascii="宋体" w:hAnsi="宋体" w:cs="宋体" w:eastAsia="宋体" w:hint="default"/>
                <w:sz w:val="18"/>
                <w:szCs w:val="18"/>
              </w:rPr>
            </w:pPr>
            <w:r>
              <w:rPr>
                <w:rFonts w:ascii="宋体" w:hAnsi="宋体" w:cs="宋体" w:eastAsia="宋体" w:hint="default"/>
                <w:sz w:val="18"/>
                <w:szCs w:val="18"/>
              </w:rPr>
              <w:t>厦门服云信息 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37" w:right="138"/>
              <w:jc w:val="center"/>
              <w:rPr>
                <w:rFonts w:ascii="宋体" w:hAnsi="宋体" w:cs="宋体" w:eastAsia="宋体" w:hint="default"/>
                <w:sz w:val="18"/>
                <w:szCs w:val="18"/>
              </w:rPr>
            </w:pPr>
            <w:r>
              <w:rPr>
                <w:rFonts w:ascii="宋体" w:hAnsi="宋体" w:cs="宋体" w:eastAsia="宋体" w:hint="default"/>
                <w:sz w:val="18"/>
                <w:szCs w:val="18"/>
              </w:rPr>
              <w:t>厦门市美亚梧 桐投资管理有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36" w:right="138"/>
              <w:jc w:val="center"/>
              <w:rPr>
                <w:rFonts w:ascii="宋体" w:hAnsi="宋体" w:cs="宋体" w:eastAsia="宋体" w:hint="default"/>
                <w:sz w:val="18"/>
                <w:szCs w:val="18"/>
              </w:rPr>
            </w:pPr>
            <w:r>
              <w:rPr>
                <w:rFonts w:ascii="宋体" w:hAnsi="宋体" w:cs="宋体" w:eastAsia="宋体" w:hint="default"/>
                <w:sz w:val="18"/>
                <w:szCs w:val="18"/>
              </w:rPr>
              <w:t>沈阳城市公共 安全技术有限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37" w:right="137"/>
              <w:jc w:val="left"/>
              <w:rPr>
                <w:rFonts w:ascii="宋体" w:hAnsi="宋体" w:cs="宋体" w:eastAsia="宋体" w:hint="default"/>
                <w:sz w:val="18"/>
                <w:szCs w:val="18"/>
              </w:rPr>
            </w:pPr>
            <w:r>
              <w:rPr>
                <w:rFonts w:ascii="宋体" w:hAnsi="宋体" w:cs="宋体" w:eastAsia="宋体" w:hint="default"/>
                <w:sz w:val="18"/>
                <w:szCs w:val="18"/>
              </w:rPr>
              <w:t>厦门服云信息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37" w:right="137"/>
              <w:jc w:val="center"/>
              <w:rPr>
                <w:rFonts w:ascii="宋体" w:hAnsi="宋体" w:cs="宋体" w:eastAsia="宋体" w:hint="default"/>
                <w:sz w:val="18"/>
                <w:szCs w:val="18"/>
              </w:rPr>
            </w:pPr>
            <w:r>
              <w:rPr>
                <w:rFonts w:ascii="宋体" w:hAnsi="宋体" w:cs="宋体" w:eastAsia="宋体" w:hint="default"/>
                <w:sz w:val="18"/>
                <w:szCs w:val="18"/>
              </w:rPr>
              <w:t>厦门市美亚梧 桐投资管理有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37" w:right="137"/>
              <w:jc w:val="center"/>
              <w:rPr>
                <w:rFonts w:ascii="宋体" w:hAnsi="宋体" w:cs="宋体" w:eastAsia="宋体" w:hint="default"/>
                <w:sz w:val="18"/>
                <w:szCs w:val="18"/>
              </w:rPr>
            </w:pPr>
            <w:r>
              <w:rPr>
                <w:rFonts w:ascii="宋体" w:hAnsi="宋体" w:cs="宋体" w:eastAsia="宋体" w:hint="default"/>
                <w:sz w:val="18"/>
                <w:szCs w:val="18"/>
              </w:rPr>
              <w:t>沈阳城市公共 安全技术有限 公司</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42,469,048.97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8,248,472.11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5,116,372.72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41,189,799.58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14,683,889.01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23,911,473.67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1,211,783.68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宋体" w:hAnsi="宋体" w:cs="宋体" w:eastAsia="宋体" w:hint="default"/>
                <w:sz w:val="18"/>
                <w:szCs w:val="18"/>
              </w:rPr>
              <w:t>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285,051.56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285,051.56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1,316,976.91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260,822.11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43,680,832.65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8,248,472.11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5,401,424.28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42,506,776.49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14,683,889.01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24,172,295.78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11,421,825.97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5,834,029.08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4,217,061.47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36,845,669.63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9,802,350.59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19,890,321.61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11,421,825.97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5,834,029.08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4,217,061.47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36,845,669.63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9,802,350.59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19,890,321.61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32,259,006.68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2,414,443.03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1,184,362.81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5,661,106.86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4,881,538.42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4,281,974.17</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3"/>
              <w:jc w:val="left"/>
              <w:rPr>
                <w:rFonts w:ascii="宋体" w:hAnsi="宋体" w:cs="宋体" w:eastAsia="宋体" w:hint="default"/>
                <w:sz w:val="18"/>
                <w:szCs w:val="18"/>
              </w:rPr>
            </w:pPr>
            <w:r>
              <w:rPr>
                <w:rFonts w:ascii="宋体" w:hAnsi="宋体" w:cs="宋体" w:eastAsia="宋体" w:hint="default"/>
                <w:sz w:val="18"/>
                <w:szCs w:val="18"/>
              </w:rPr>
              <w:t>归属于母公司 股东权益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32,259,006.68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2,414,443.03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5,661,106.86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4,881,538.42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4,281,974.17</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3"/>
              <w:jc w:val="both"/>
              <w:rPr>
                <w:rFonts w:ascii="宋体" w:hAnsi="宋体" w:cs="宋体" w:eastAsia="宋体" w:hint="default"/>
                <w:sz w:val="18"/>
                <w:szCs w:val="18"/>
              </w:rPr>
            </w:pPr>
            <w:r>
              <w:rPr>
                <w:rFonts w:ascii="宋体" w:hAnsi="宋体" w:cs="宋体" w:eastAsia="宋体" w:hint="default"/>
                <w:sz w:val="18"/>
                <w:szCs w:val="18"/>
              </w:rPr>
              <w:t>按持股比例计 算的净资产份 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9,422,855.85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946,461.68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873,745.13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1,840,425.84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2,391,953.83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2,112,789.67</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3"/>
              <w:jc w:val="both"/>
              <w:rPr>
                <w:rFonts w:ascii="宋体" w:hAnsi="宋体" w:cs="宋体" w:eastAsia="宋体" w:hint="default"/>
                <w:sz w:val="18"/>
                <w:szCs w:val="18"/>
              </w:rPr>
            </w:pPr>
            <w:r>
              <w:rPr>
                <w:rFonts w:ascii="宋体" w:hAnsi="宋体" w:cs="宋体" w:eastAsia="宋体" w:hint="default"/>
                <w:sz w:val="18"/>
                <w:szCs w:val="18"/>
              </w:rPr>
              <w:t>对联营企业权 益投资的账面 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9,422,855.85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946,461.68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873,745.13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1,840,425.84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2,391,953.83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2,112,789.67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32,716,170.60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4,628,301.48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20,754.72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23,771,594.87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8,183,254.18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28,235,849.06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-3,319,445.86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-1,487,940.68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-3097,611.36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-10,057,593.82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4,638,833.51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281,974.17</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-3,319,445.86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-1,487,940.68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-3097,611.36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-10,057,593.82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4,638,833.51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281,974.17</w:t>
            </w:r>
          </w:p>
        </w:tc>
      </w:tr>
    </w:tbl>
    <w:p>
      <w:pPr>
        <w:spacing w:before="51"/>
        <w:ind w:left="214" w:right="1021"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12"/>
          <w:szCs w:val="12"/>
        </w:rPr>
      </w:pPr>
    </w:p>
    <w:p>
      <w:pPr>
        <w:pStyle w:val="BodyText"/>
        <w:spacing w:line="386" w:lineRule="auto"/>
        <w:ind w:left="213" w:right="1022"/>
        <w:jc w:val="left"/>
      </w:pPr>
      <w:r>
        <w:rPr>
          <w:spacing w:val="-3"/>
        </w:rPr>
        <w:t>（</w:t>
      </w:r>
      <w:r>
        <w:rPr>
          <w:rFonts w:ascii="Times New Roman" w:hAnsi="Times New Roman" w:cs="Times New Roman" w:eastAsia="Times New Roman" w:hint="default"/>
          <w:spacing w:val="-3"/>
        </w:rPr>
        <w:t>1</w:t>
      </w:r>
      <w:r>
        <w:rPr>
          <w:spacing w:val="-3"/>
        </w:rPr>
        <w:t>）沈阳城市公共安全技术有限公司设立时注册资本</w:t>
      </w:r>
      <w:r>
        <w:rPr>
          <w:rFonts w:ascii="Times New Roman" w:hAnsi="Times New Roman" w:cs="Times New Roman" w:eastAsia="Times New Roman" w:hint="default"/>
          <w:spacing w:val="-3"/>
        </w:rPr>
        <w:t>1,000</w:t>
      </w:r>
      <w:r>
        <w:rPr>
          <w:spacing w:val="-3"/>
        </w:rPr>
        <w:t>万元，其中本公司认缴</w:t>
      </w:r>
      <w:r>
        <w:rPr>
          <w:rFonts w:ascii="Times New Roman" w:hAnsi="Times New Roman" w:cs="Times New Roman" w:eastAsia="Times New Roman" w:hint="default"/>
          <w:spacing w:val="-3"/>
        </w:rPr>
        <w:t>400</w:t>
      </w:r>
      <w:r>
        <w:rPr>
          <w:spacing w:val="-3"/>
        </w:rPr>
        <w:t>万元，持股比例</w:t>
      </w:r>
      <w:r>
        <w:rPr>
          <w:rFonts w:ascii="Times New Roman" w:hAnsi="Times New Roman" w:cs="Times New Roman" w:eastAsia="Times New Roman" w:hint="default"/>
          <w:spacing w:val="-3"/>
        </w:rPr>
        <w:t>40%</w:t>
      </w:r>
      <w:r>
        <w:rPr>
          <w:spacing w:val="-3"/>
        </w:rPr>
        <w:t>。</w:t>
      </w:r>
      <w:r>
        <w:rPr>
          <w:spacing w:val="-97"/>
        </w:rPr>
        <w:t> </w:t>
      </w: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日，沈阳城市公共安全技术有限公司实收资本</w:t>
      </w:r>
      <w:r>
        <w:rPr>
          <w:rFonts w:ascii="Times New Roman" w:hAnsi="Times New Roman" w:cs="Times New Roman" w:eastAsia="Times New Roman" w:hint="default"/>
        </w:rPr>
        <w:t>400</w:t>
      </w:r>
      <w:r>
        <w:rPr/>
        <w:t>万元，其中本公司出资</w:t>
      </w:r>
      <w:r>
        <w:rPr>
          <w:rFonts w:ascii="Times New Roman" w:hAnsi="Times New Roman" w:cs="Times New Roman" w:eastAsia="Times New Roman" w:hint="default"/>
        </w:rPr>
        <w:t>200</w:t>
      </w:r>
      <w:r>
        <w:rPr/>
        <w:t>万元，沈阳 城市公共集团有限公司出资</w:t>
      </w:r>
      <w:r>
        <w:rPr>
          <w:rFonts w:ascii="Times New Roman" w:hAnsi="Times New Roman" w:cs="Times New Roman" w:eastAsia="Times New Roman" w:hint="default"/>
        </w:rPr>
        <w:t>200</w:t>
      </w:r>
      <w:r>
        <w:rPr/>
        <w:t>万元，</w:t>
      </w:r>
      <w:r>
        <w:rPr>
          <w:rFonts w:ascii="Times New Roman" w:hAnsi="Times New Roman" w:cs="Times New Roman" w:eastAsia="Times New Roman" w:hint="default"/>
        </w:rPr>
        <w:t>2018</w:t>
      </w:r>
      <w:r>
        <w:rPr/>
        <w:t>年本公司按约定出资比例</w:t>
      </w:r>
      <w:r>
        <w:rPr>
          <w:rFonts w:ascii="Times New Roman" w:hAnsi="Times New Roman" w:cs="Times New Roman" w:eastAsia="Times New Roman" w:hint="default"/>
        </w:rPr>
        <w:t>40%</w:t>
      </w:r>
      <w:r>
        <w:rPr/>
        <w:t>确认享有的未分配利润</w:t>
      </w:r>
    </w:p>
    <w:p>
      <w:pPr>
        <w:pStyle w:val="BodyText"/>
        <w:spacing w:line="240" w:lineRule="auto" w:before="35"/>
        <w:ind w:left="214" w:right="1021"/>
        <w:jc w:val="left"/>
      </w:pPr>
      <w:r>
        <w:rPr>
          <w:rFonts w:ascii="Times New Roman" w:hAnsi="Times New Roman" w:cs="Times New Roman" w:eastAsia="Times New Roman" w:hint="default"/>
        </w:rPr>
        <w:t>-1,126,254.87</w:t>
      </w:r>
      <w:r>
        <w:rPr/>
        <w:t>元。</w:t>
      </w:r>
    </w:p>
    <w:p>
      <w:pPr>
        <w:spacing w:line="240" w:lineRule="auto" w:before="7"/>
        <w:rPr>
          <w:rFonts w:ascii="宋体" w:hAnsi="宋体" w:cs="宋体" w:eastAsia="宋体" w:hint="default"/>
          <w:sz w:val="30"/>
          <w:szCs w:val="30"/>
        </w:rPr>
      </w:pPr>
    </w:p>
    <w:p>
      <w:pPr>
        <w:pStyle w:val="Heading3"/>
        <w:spacing w:line="240" w:lineRule="auto"/>
        <w:ind w:left="214" w:right="1021"/>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7" w:footer="982" w:top="1060" w:bottom="1180" w:left="92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63"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63"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63"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3,516,329.52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2,442,649.68</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63"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-3,324,076.47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-1,582,072.36</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-3,324,076.47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-1,582,072.36</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9"/>
          <w:szCs w:val="19"/>
        </w:rPr>
      </w:pPr>
    </w:p>
    <w:p>
      <w:pPr>
        <w:pStyle w:val="BodyText"/>
        <w:spacing w:line="386" w:lineRule="auto"/>
        <w:ind w:right="1126" w:hanging="1"/>
        <w:jc w:val="both"/>
      </w:pPr>
      <w:r>
        <w:rPr>
          <w:spacing w:val="-3"/>
        </w:rPr>
        <w:t>（</w:t>
      </w:r>
      <w:r>
        <w:rPr>
          <w:rFonts w:ascii="Times New Roman" w:hAnsi="Times New Roman" w:cs="Times New Roman" w:eastAsia="Times New Roman" w:hint="default"/>
          <w:spacing w:val="-3"/>
        </w:rPr>
        <w:t>1</w:t>
      </w:r>
      <w:r>
        <w:rPr>
          <w:spacing w:val="-3"/>
        </w:rPr>
        <w:t>）北京万诚信用评价有限公司持续亏损，其中本公司持有的</w:t>
      </w:r>
      <w:r>
        <w:rPr>
          <w:rFonts w:ascii="Times New Roman" w:hAnsi="Times New Roman" w:cs="Times New Roman" w:eastAsia="Times New Roman" w:hint="default"/>
          <w:spacing w:val="-3"/>
        </w:rPr>
        <w:t>28%</w:t>
      </w:r>
      <w:r>
        <w:rPr>
          <w:spacing w:val="-3"/>
        </w:rPr>
        <w:t>股权已亏损完，子公司美亚商鼎本年新</w:t>
      </w:r>
      <w:r>
        <w:rPr>
          <w:spacing w:val="-59"/>
        </w:rPr>
        <w:t> </w:t>
      </w:r>
      <w:r>
        <w:rPr>
          <w:spacing w:val="-59"/>
        </w:rPr>
      </w:r>
      <w:r>
        <w:rPr/>
        <w:t>增的投资在合并层面已亏损</w:t>
      </w:r>
      <w:r>
        <w:rPr>
          <w:rFonts w:ascii="Times New Roman" w:hAnsi="Times New Roman" w:cs="Times New Roman" w:eastAsia="Times New Roman" w:hint="default"/>
        </w:rPr>
        <w:t>1,107,602.38</w:t>
      </w:r>
      <w:r>
        <w:rPr/>
        <w:t>元，长期股权投资金额剩余</w:t>
      </w:r>
      <w:r>
        <w:rPr>
          <w:rFonts w:ascii="Times New Roman" w:hAnsi="Times New Roman" w:cs="Times New Roman" w:eastAsia="Times New Roman" w:hint="default"/>
        </w:rPr>
        <w:t>1,756,322.15</w:t>
      </w:r>
      <w:r>
        <w:rPr/>
        <w:t>元；厦门正信世纪信息科</w:t>
      </w:r>
      <w:r>
        <w:rPr>
          <w:spacing w:val="-46"/>
        </w:rPr>
        <w:t> </w:t>
      </w:r>
      <w:r>
        <w:rPr>
          <w:spacing w:val="-46"/>
        </w:rPr>
      </w:r>
      <w:r>
        <w:rPr/>
        <w:t>技有限公司本年无营业收入，净利润</w:t>
      </w:r>
      <w:r>
        <w:rPr>
          <w:rFonts w:ascii="Times New Roman" w:hAnsi="Times New Roman" w:cs="Times New Roman" w:eastAsia="Times New Roman" w:hint="default"/>
        </w:rPr>
        <w:t>-349,811.52</w:t>
      </w:r>
      <w:r>
        <w:rPr/>
        <w:t>元，对本公司的影响很小；上述两家公司本年在其他不重</w:t>
      </w:r>
      <w:r>
        <w:rPr>
          <w:spacing w:val="-101"/>
        </w:rPr>
        <w:t> </w:t>
      </w:r>
      <w:r>
        <w:rPr>
          <w:spacing w:val="-101"/>
        </w:rPr>
      </w:r>
      <w:r>
        <w:rPr/>
        <w:t>要联营企业的汇总财务信息中列示。</w:t>
      </w:r>
    </w:p>
    <w:p>
      <w:pPr>
        <w:spacing w:line="240" w:lineRule="auto" w:before="12"/>
        <w:rPr>
          <w:rFonts w:ascii="宋体" w:hAnsi="宋体" w:cs="宋体" w:eastAsia="宋体" w:hint="default"/>
          <w:sz w:val="21"/>
          <w:szCs w:val="21"/>
        </w:rPr>
      </w:pPr>
    </w:p>
    <w:p>
      <w:pPr>
        <w:pStyle w:val="Heading3"/>
        <w:spacing w:line="240" w:lineRule="auto"/>
        <w:ind w:right="0"/>
        <w:jc w:val="both"/>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2"/>
        <w:gridCol w:w="2392"/>
        <w:gridCol w:w="2394"/>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50" w:right="20"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009" w:right="109" w:hanging="900"/>
              <w:jc w:val="left"/>
              <w:rPr>
                <w:rFonts w:ascii="宋体" w:hAnsi="宋体" w:cs="宋体" w:eastAsia="宋体" w:hint="default"/>
                <w:sz w:val="18"/>
                <w:szCs w:val="18"/>
              </w:rPr>
            </w:pPr>
            <w:r>
              <w:rPr>
                <w:rFonts w:ascii="宋体" w:hAnsi="宋体" w:cs="宋体" w:eastAsia="宋体" w:hint="default"/>
                <w:sz w:val="18"/>
                <w:szCs w:val="18"/>
              </w:rPr>
              <w:t>北京万方智讯信息技术有限 公司</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9" w:right="0"/>
              <w:jc w:val="left"/>
              <w:rPr>
                <w:rFonts w:ascii="Times New Roman" w:hAnsi="Times New Roman" w:cs="Times New Roman" w:eastAsia="Times New Roman" w:hint="default"/>
                <w:sz w:val="18"/>
                <w:szCs w:val="18"/>
              </w:rPr>
            </w:pPr>
            <w:r>
              <w:rPr>
                <w:rFonts w:ascii="Times New Roman"/>
                <w:sz w:val="18"/>
              </w:rPr>
              <w:t>-251,755.28</w:t>
            </w:r>
          </w:p>
        </w:tc>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91" w:right="0"/>
              <w:jc w:val="left"/>
              <w:rPr>
                <w:rFonts w:ascii="Times New Roman" w:hAnsi="Times New Roman" w:cs="Times New Roman" w:eastAsia="Times New Roman" w:hint="default"/>
                <w:sz w:val="18"/>
                <w:szCs w:val="18"/>
              </w:rPr>
            </w:pPr>
            <w:r>
              <w:rPr>
                <w:rFonts w:ascii="Times New Roman"/>
                <w:sz w:val="18"/>
              </w:rPr>
              <w:t>-251,755.28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both"/>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未纳入合并财务报表范围的结构化主体的相关说明：无</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6</w:t>
      </w:r>
      <w:r>
        <w:rPr/>
        <w:t>、其他</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4"/>
          <w:szCs w:val="24"/>
        </w:rPr>
      </w:pPr>
    </w:p>
    <w:p>
      <w:pPr>
        <w:pStyle w:val="Heading2"/>
        <w:spacing w:line="240" w:lineRule="auto"/>
        <w:ind w:right="0"/>
        <w:jc w:val="both"/>
        <w:rPr>
          <w:b w:val="0"/>
          <w:bCs w:val="0"/>
        </w:rPr>
      </w:pPr>
      <w:r>
        <w:rPr/>
        <w:t>十、与金融工具相关的风险</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129"/>
        <w:jc w:val="both"/>
      </w:pPr>
      <w:r>
        <w:rPr>
          <w:spacing w:val="-1"/>
        </w:rPr>
        <w:t>本集团的主要金融工具包括货币资金、应收账款、应收票据、应收利息、其他应收款、其他流动资产、可</w:t>
      </w:r>
      <w:r>
        <w:rPr>
          <w:spacing w:val="-83"/>
        </w:rPr>
        <w:t> </w:t>
      </w:r>
      <w:r>
        <w:rPr>
          <w:spacing w:val="-83"/>
        </w:rPr>
      </w:r>
      <w:r>
        <w:rPr>
          <w:spacing w:val="-1"/>
        </w:rPr>
        <w:t>供出售金融资产、应付账款、应付票据、其他应付款。各项金融工具的详细情况已于相关附注内披露。与</w:t>
      </w:r>
      <w:r>
        <w:rPr>
          <w:spacing w:val="-83"/>
        </w:rPr>
        <w:t> </w:t>
      </w:r>
      <w:r>
        <w:rPr>
          <w:spacing w:val="-83"/>
        </w:rPr>
      </w:r>
      <w:r>
        <w:rPr>
          <w:spacing w:val="-1"/>
        </w:rPr>
        <w:t>这些金融工具有关的风险，以及本集团为降低这些风险所采取的风险管理政策如下所述。本集团管理层对</w:t>
      </w:r>
      <w:r>
        <w:rPr>
          <w:spacing w:val="-81"/>
        </w:rPr>
        <w:t> </w:t>
      </w:r>
      <w:r>
        <w:rPr>
          <w:spacing w:val="-81"/>
        </w:rPr>
      </w:r>
      <w:r>
        <w:rPr/>
        <w:t>这些风险敞口进行管理和监控以确保将上述风险控制在限定的范围之内。</w:t>
      </w:r>
    </w:p>
    <w:p>
      <w:pPr>
        <w:spacing w:line="240" w:lineRule="auto" w:before="0"/>
        <w:rPr>
          <w:rFonts w:ascii="宋体" w:hAnsi="宋体" w:cs="宋体" w:eastAsia="宋体" w:hint="default"/>
          <w:sz w:val="20"/>
          <w:szCs w:val="20"/>
        </w:rPr>
      </w:pPr>
    </w:p>
    <w:p>
      <w:pPr>
        <w:pStyle w:val="BodyText"/>
        <w:spacing w:line="240" w:lineRule="auto"/>
        <w:ind w:left="153" w:right="0"/>
        <w:jc w:val="both"/>
      </w:pPr>
      <w:r>
        <w:rPr>
          <w:rFonts w:ascii="Times New Roman" w:hAnsi="Times New Roman" w:cs="Times New Roman" w:eastAsia="Times New Roman" w:hint="default"/>
        </w:rPr>
        <w:t>1</w:t>
      </w:r>
      <w:r>
        <w:rPr/>
        <w:t>、风险管理目标和政策</w:t>
      </w:r>
    </w:p>
    <w:p>
      <w:pPr>
        <w:spacing w:line="240" w:lineRule="auto" w:before="1"/>
        <w:rPr>
          <w:rFonts w:ascii="宋体" w:hAnsi="宋体" w:cs="宋体" w:eastAsia="宋体" w:hint="default"/>
          <w:sz w:val="30"/>
          <w:szCs w:val="30"/>
        </w:rPr>
      </w:pPr>
    </w:p>
    <w:p>
      <w:pPr>
        <w:pStyle w:val="BodyText"/>
        <w:spacing w:line="408" w:lineRule="auto"/>
        <w:ind w:right="1129"/>
        <w:jc w:val="both"/>
      </w:pPr>
      <w:r>
        <w:rPr>
          <w:spacing w:val="-1"/>
        </w:rPr>
        <w:t>本集团从事风险管理的目标是在风险和收益之间取得适当的平衡，力求降低金融风险对本集团财务业绩的</w:t>
      </w:r>
      <w:r>
        <w:rPr>
          <w:spacing w:val="-81"/>
        </w:rPr>
        <w:t> </w:t>
      </w:r>
      <w:r>
        <w:rPr>
          <w:spacing w:val="-81"/>
        </w:rPr>
      </w:r>
      <w:r>
        <w:rPr>
          <w:spacing w:val="-1"/>
        </w:rPr>
        <w:t>不利影响。基于该风险管理目标，本集团已制定风险管理政策以辨别和分析本集团所面临的风险，设定适</w:t>
      </w:r>
      <w:r>
        <w:rPr>
          <w:spacing w:val="-83"/>
        </w:rPr>
        <w:t> </w:t>
      </w:r>
      <w:r>
        <w:rPr>
          <w:spacing w:val="-83"/>
        </w:rPr>
      </w:r>
      <w:r>
        <w:rPr>
          <w:spacing w:val="-1"/>
        </w:rPr>
        <w:t>当的风险可接受水平并设计相应的内部控制程序，以监控本集团的风险水平。本集团会定期审阅这些风险</w:t>
      </w:r>
      <w:r>
        <w:rPr>
          <w:spacing w:val="-81"/>
        </w:rPr>
        <w:t> </w:t>
      </w:r>
      <w:r>
        <w:rPr>
          <w:spacing w:val="-81"/>
        </w:rPr>
      </w:r>
      <w:r>
        <w:rPr>
          <w:spacing w:val="-1"/>
        </w:rPr>
        <w:t>管理政策及有关内部控制系统，以适应市场情况或本集团经营活动的改变。本集团的内部审计部门也定期</w:t>
      </w:r>
      <w:r>
        <w:rPr>
          <w:spacing w:val="-81"/>
        </w:rPr>
        <w:t> </w:t>
      </w:r>
      <w:r>
        <w:rPr>
          <w:spacing w:val="-81"/>
        </w:rPr>
      </w:r>
      <w:r>
        <w:rPr/>
        <w:t>或随机检查内部控制系统的执行是否符合风险管理政策。</w:t>
      </w:r>
    </w:p>
    <w:p>
      <w:pPr>
        <w:spacing w:line="240" w:lineRule="auto" w:before="0"/>
        <w:rPr>
          <w:rFonts w:ascii="宋体" w:hAnsi="宋体" w:cs="宋体" w:eastAsia="宋体" w:hint="default"/>
          <w:sz w:val="20"/>
          <w:szCs w:val="20"/>
        </w:rPr>
      </w:pPr>
    </w:p>
    <w:p>
      <w:pPr>
        <w:pStyle w:val="BodyText"/>
        <w:spacing w:line="408" w:lineRule="auto"/>
        <w:ind w:right="1131"/>
        <w:jc w:val="both"/>
      </w:pPr>
      <w:r>
        <w:rPr>
          <w:spacing w:val="-1"/>
        </w:rPr>
        <w:t>本集团的金融工具导致的主要风险是信用风险、流动性风险、市场风险（包括利率风险、汇率风险和商品</w:t>
      </w:r>
      <w:r>
        <w:rPr>
          <w:spacing w:val="-82"/>
        </w:rPr>
        <w:t> </w:t>
      </w:r>
      <w:r>
        <w:rPr>
          <w:spacing w:val="-82"/>
        </w:rPr>
      </w:r>
      <w:r>
        <w:rPr/>
        <w:t>价格风险</w:t>
      </w:r>
      <w:r>
        <w:rPr>
          <w:rFonts w:ascii="Times New Roman" w:hAnsi="Times New Roman" w:cs="Times New Roman" w:eastAsia="Times New Roman" w:hint="default"/>
        </w:rPr>
        <w:t>/</w:t>
      </w:r>
      <w:r>
        <w:rPr/>
        <w:t>权益工具价格风险）。</w:t>
      </w:r>
    </w:p>
    <w:p>
      <w:pPr>
        <w:spacing w:line="240" w:lineRule="auto" w:before="8"/>
        <w:rPr>
          <w:rFonts w:ascii="宋体" w:hAnsi="宋体" w:cs="宋体" w:eastAsia="宋体" w:hint="default"/>
          <w:sz w:val="17"/>
          <w:szCs w:val="17"/>
        </w:rPr>
      </w:pPr>
    </w:p>
    <w:p>
      <w:pPr>
        <w:pStyle w:val="BodyText"/>
        <w:spacing w:line="408" w:lineRule="auto"/>
        <w:ind w:right="1129"/>
        <w:jc w:val="both"/>
      </w:pPr>
      <w:r>
        <w:rPr>
          <w:spacing w:val="-1"/>
        </w:rPr>
        <w:t>董事会负责规划并建立本集团的风险管理架构，指定本集团的风险管理政策和相关指引并监督风险管理措</w:t>
      </w:r>
      <w:r>
        <w:rPr>
          <w:spacing w:val="-81"/>
        </w:rPr>
        <w:t> </w:t>
      </w:r>
      <w:r>
        <w:rPr>
          <w:spacing w:val="-81"/>
        </w:rPr>
      </w:r>
      <w:r>
        <w:rPr>
          <w:spacing w:val="-1"/>
        </w:rPr>
        <w:t>施的执行情况。本集团已制定风险管理政策以识别和分析本集团所面临的风险，这些风险管理政策对特定</w:t>
      </w:r>
      <w:r>
        <w:rPr>
          <w:spacing w:val="-81"/>
        </w:rPr>
        <w:t> </w:t>
      </w:r>
      <w:r>
        <w:rPr>
          <w:spacing w:val="-81"/>
        </w:rPr>
      </w:r>
      <w:r>
        <w:rPr>
          <w:spacing w:val="-1"/>
        </w:rPr>
        <w:t>风险进行了明确规定，涵盖了信用风险、流动性风险和市场风险管理等诸多方面。本集团定期评估市场环</w:t>
      </w:r>
      <w:r>
        <w:rPr>
          <w:spacing w:val="-83"/>
        </w:rPr>
        <w:t> </w:t>
      </w:r>
      <w:r>
        <w:rPr>
          <w:spacing w:val="-83"/>
        </w:rPr>
      </w:r>
      <w:r>
        <w:rPr>
          <w:spacing w:val="-1"/>
        </w:rPr>
        <w:t>境及本集团经营活动的变化以决定是否对风险管理政策及系统进行更新。本集团的风险管理由风险管理委</w:t>
      </w:r>
      <w:r>
        <w:rPr>
          <w:spacing w:val="-81"/>
        </w:rPr>
        <w:t> </w:t>
      </w:r>
      <w:r>
        <w:rPr>
          <w:spacing w:val="-81"/>
        </w:rPr>
      </w:r>
      <w:r>
        <w:rPr>
          <w:spacing w:val="-1"/>
        </w:rPr>
        <w:t>员会按照董事会批准的政策开展。风险管理委员会通过与本集团其他业务部门的紧密合作来识别、评价和</w:t>
      </w:r>
      <w:r>
        <w:rPr>
          <w:spacing w:val="-81"/>
        </w:rPr>
        <w:t> </w:t>
      </w:r>
      <w:r>
        <w:rPr>
          <w:spacing w:val="-81"/>
        </w:rPr>
      </w:r>
      <w:r>
        <w:rPr>
          <w:spacing w:val="-1"/>
        </w:rPr>
        <w:t>规避相关风险。本集团内部审计部门就风险管理控制及程序进行定期的审核，并将审核结果上报本集团的</w:t>
      </w:r>
      <w:r>
        <w:rPr>
          <w:spacing w:val="-81"/>
        </w:rPr>
        <w:t> </w:t>
      </w:r>
      <w:r>
        <w:rPr>
          <w:spacing w:val="-81"/>
        </w:rPr>
      </w:r>
      <w:r>
        <w:rPr/>
        <w:t>审计委员会。</w:t>
      </w:r>
    </w:p>
    <w:p>
      <w:pPr>
        <w:spacing w:line="240" w:lineRule="auto" w:before="0"/>
        <w:rPr>
          <w:rFonts w:ascii="宋体" w:hAnsi="宋体" w:cs="宋体" w:eastAsia="宋体" w:hint="default"/>
          <w:sz w:val="20"/>
          <w:szCs w:val="20"/>
        </w:rPr>
      </w:pPr>
    </w:p>
    <w:p>
      <w:pPr>
        <w:pStyle w:val="BodyText"/>
        <w:spacing w:line="408" w:lineRule="auto"/>
        <w:ind w:right="1131"/>
        <w:jc w:val="both"/>
      </w:pPr>
      <w:r>
        <w:rPr>
          <w:spacing w:val="-1"/>
        </w:rPr>
        <w:t>本集团通过适当的多样化投资及业务组合来分散金融工具风险，并通过制定相应的风险管理政策减少集中</w:t>
      </w:r>
      <w:r>
        <w:rPr>
          <w:spacing w:val="-81"/>
        </w:rPr>
        <w:t> </w:t>
      </w:r>
      <w:r>
        <w:rPr>
          <w:spacing w:val="-81"/>
        </w:rPr>
      </w:r>
      <w:r>
        <w:rPr/>
        <w:t>于任何单一行业、特定地区或特定交易对手方的风险。</w:t>
      </w:r>
    </w:p>
    <w:p>
      <w:pPr>
        <w:spacing w:after="0" w:line="408" w:lineRule="auto"/>
        <w:jc w:val="both"/>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580" w:lineRule="auto" w:before="174"/>
        <w:ind w:right="2770" w:hanging="1"/>
        <w:jc w:val="left"/>
      </w:pPr>
      <w:r>
        <w:rPr/>
        <w:t>（</w:t>
      </w:r>
      <w:r>
        <w:rPr>
          <w:rFonts w:ascii="Times New Roman" w:hAnsi="Times New Roman" w:cs="Times New Roman" w:eastAsia="Times New Roman" w:hint="default"/>
        </w:rPr>
        <w:t>1</w:t>
      </w:r>
      <w:r>
        <w:rPr/>
        <w:t>）信用风险 信用风险，是指交易对手方未能履行合同义务而导致本集团产生财务损失的风险。 本集团对信用风险按组合分类进行管理。信用风险主要产生于银行存款和应收款项等。</w:t>
      </w:r>
    </w:p>
    <w:p>
      <w:pPr>
        <w:pStyle w:val="BodyText"/>
        <w:spacing w:line="408" w:lineRule="auto" w:before="111"/>
        <w:ind w:right="1108"/>
        <w:jc w:val="both"/>
      </w:pPr>
      <w:r>
        <w:rPr>
          <w:spacing w:val="3"/>
        </w:rPr>
        <w:t>本集团银行存款主要存放于国有银行和其它大中型上市银行，本集团预期银行存款不存在重大的信用风</w:t>
      </w:r>
      <w:r>
        <w:rPr>
          <w:spacing w:val="-78"/>
        </w:rPr>
        <w:t> </w:t>
      </w:r>
      <w:r>
        <w:rPr>
          <w:spacing w:val="-78"/>
        </w:rPr>
      </w:r>
      <w:r>
        <w:rPr/>
        <w:t>险。</w:t>
      </w:r>
    </w:p>
    <w:p>
      <w:pPr>
        <w:spacing w:line="240" w:lineRule="auto" w:before="0"/>
        <w:rPr>
          <w:rFonts w:ascii="宋体" w:hAnsi="宋体" w:cs="宋体" w:eastAsia="宋体" w:hint="default"/>
          <w:sz w:val="20"/>
          <w:szCs w:val="20"/>
        </w:rPr>
      </w:pPr>
    </w:p>
    <w:p>
      <w:pPr>
        <w:pStyle w:val="BodyText"/>
        <w:spacing w:line="408" w:lineRule="auto"/>
        <w:ind w:right="1108"/>
        <w:jc w:val="both"/>
      </w:pPr>
      <w:r>
        <w:rPr/>
        <w:t>对于应收款项，本集团设定相关政策以控制信用风险敞口。本集团基于对债务人的财务状况、外部评级、 </w:t>
      </w:r>
      <w:r>
        <w:rPr>
          <w:spacing w:val="-1"/>
        </w:rPr>
        <w:t>从第三方获取担保的可能性、信用记录及其它因素诸如目前市场状况等评估债务人的信用资质并设置相应</w:t>
      </w:r>
      <w:r>
        <w:rPr>
          <w:spacing w:val="-81"/>
        </w:rPr>
        <w:t> </w:t>
      </w:r>
      <w:r>
        <w:rPr>
          <w:spacing w:val="-81"/>
        </w:rPr>
      </w:r>
      <w:r>
        <w:rPr>
          <w:spacing w:val="-1"/>
        </w:rPr>
        <w:t>欠款额度与信用期限。本集团会定期对债务人信用记录进行监控，对于信用记录不良的债务人，本集团会</w:t>
      </w:r>
      <w:r>
        <w:rPr>
          <w:spacing w:val="-83"/>
        </w:rPr>
        <w:t> </w:t>
      </w:r>
      <w:r>
        <w:rPr>
          <w:spacing w:val="-83"/>
        </w:rPr>
      </w:r>
      <w:r>
        <w:rPr/>
        <w:t>采用书面催款、缩短信用期或取消信用期等方式，以确保本集团的整体信用风险在可控的范围内。</w:t>
      </w:r>
    </w:p>
    <w:p>
      <w:pPr>
        <w:spacing w:line="240" w:lineRule="auto" w:before="0"/>
        <w:rPr>
          <w:rFonts w:ascii="宋体" w:hAnsi="宋体" w:cs="宋体" w:eastAsia="宋体" w:hint="default"/>
          <w:sz w:val="20"/>
          <w:szCs w:val="20"/>
        </w:rPr>
      </w:pPr>
    </w:p>
    <w:p>
      <w:pPr>
        <w:pStyle w:val="BodyText"/>
        <w:spacing w:line="408" w:lineRule="auto"/>
        <w:ind w:right="1067"/>
        <w:jc w:val="both"/>
      </w:pPr>
      <w:r>
        <w:rPr/>
        <w:t>本集团所承受的最大信用风险敞口为资产负债表中每项金融资产的账面金额。本集团没有提供任何其他可 能令本集团承受信用风险的担保。</w:t>
      </w:r>
    </w:p>
    <w:p>
      <w:pPr>
        <w:spacing w:line="240" w:lineRule="auto" w:before="0"/>
        <w:rPr>
          <w:rFonts w:ascii="宋体" w:hAnsi="宋体" w:cs="宋体" w:eastAsia="宋体" w:hint="default"/>
          <w:sz w:val="20"/>
          <w:szCs w:val="20"/>
        </w:rPr>
      </w:pPr>
    </w:p>
    <w:p>
      <w:pPr>
        <w:pStyle w:val="BodyText"/>
        <w:spacing w:line="386" w:lineRule="auto"/>
        <w:ind w:left="153" w:right="1067"/>
        <w:jc w:val="both"/>
      </w:pPr>
      <w:r>
        <w:rPr>
          <w:spacing w:val="-4"/>
        </w:rPr>
        <w:t>本集团应收账款中，欠款金额前五大客户的应收账款占本集团应收账款总额的</w:t>
      </w:r>
      <w:r>
        <w:rPr>
          <w:rFonts w:ascii="Times New Roman" w:hAnsi="Times New Roman" w:cs="Times New Roman" w:eastAsia="Times New Roman" w:hint="default"/>
          <w:spacing w:val="-4"/>
        </w:rPr>
        <w:t>20.59%</w:t>
      </w:r>
      <w:r>
        <w:rPr>
          <w:spacing w:val="-4"/>
        </w:rPr>
        <w:t>（</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12.75%</w:t>
      </w:r>
      <w:r>
        <w:rPr>
          <w:spacing w:val="-4"/>
        </w:rPr>
        <w:t>）；</w:t>
      </w:r>
      <w:r>
        <w:rPr>
          <w:spacing w:val="-97"/>
        </w:rPr>
        <w:t> </w:t>
      </w:r>
      <w:r>
        <w:rPr>
          <w:spacing w:val="2"/>
        </w:rPr>
        <w:t>本集团其他应收款中，欠款金额前五大公司的其他应收款占本集团其他应收款总额的</w:t>
      </w:r>
      <w:r>
        <w:rPr>
          <w:rFonts w:ascii="Times New Roman" w:hAnsi="Times New Roman" w:cs="Times New Roman" w:eastAsia="Times New Roman" w:hint="default"/>
          <w:spacing w:val="2"/>
        </w:rPr>
        <w:t>26.96%</w:t>
      </w:r>
      <w:r>
        <w:rPr>
          <w:spacing w:val="2"/>
        </w:rPr>
        <w:t>（</w:t>
      </w:r>
      <w:r>
        <w:rPr>
          <w:rFonts w:ascii="Times New Roman" w:hAnsi="Times New Roman" w:cs="Times New Roman" w:eastAsia="Times New Roman" w:hint="default"/>
          <w:spacing w:val="2"/>
        </w:rPr>
        <w:t>2017</w:t>
      </w:r>
      <w:r>
        <w:rPr>
          <w:spacing w:val="2"/>
        </w:rPr>
        <w:t>年：</w:t>
      </w:r>
      <w:r>
        <w:rPr>
          <w:spacing w:val="-63"/>
        </w:rPr>
        <w:t> </w:t>
      </w:r>
      <w:r>
        <w:rPr>
          <w:rFonts w:ascii="Times New Roman" w:hAnsi="Times New Roman" w:cs="Times New Roman" w:eastAsia="Times New Roman" w:hint="default"/>
        </w:rPr>
        <w:t>25.98%</w:t>
      </w:r>
      <w:r>
        <w:rPr/>
        <w:t>）。</w:t>
      </w:r>
    </w:p>
    <w:p>
      <w:pPr>
        <w:spacing w:line="240" w:lineRule="auto" w:before="3"/>
        <w:rPr>
          <w:rFonts w:ascii="宋体" w:hAnsi="宋体" w:cs="宋体" w:eastAsia="宋体" w:hint="default"/>
          <w:sz w:val="19"/>
          <w:szCs w:val="19"/>
        </w:rPr>
      </w:pPr>
    </w:p>
    <w:p>
      <w:pPr>
        <w:pStyle w:val="BodyText"/>
        <w:spacing w:line="564" w:lineRule="auto"/>
        <w:ind w:right="1129" w:hanging="1"/>
        <w:jc w:val="both"/>
      </w:pPr>
      <w:r>
        <w:rPr/>
        <w:t>（</w:t>
      </w:r>
      <w:r>
        <w:rPr>
          <w:rFonts w:ascii="Times New Roman" w:hAnsi="Times New Roman" w:cs="Times New Roman" w:eastAsia="Times New Roman" w:hint="default"/>
        </w:rPr>
        <w:t>2</w:t>
      </w:r>
      <w:r>
        <w:rPr/>
        <w:t>）流动性风险 流动性风险，是指本集团在履行以交付现金或其他金融资产的方式结算的义务时发生资金短缺的风险。</w:t>
      </w:r>
    </w:p>
    <w:p>
      <w:pPr>
        <w:pStyle w:val="BodyText"/>
        <w:spacing w:line="408" w:lineRule="auto" w:before="125"/>
        <w:ind w:right="1129"/>
        <w:jc w:val="both"/>
      </w:pPr>
      <w:r>
        <w:rPr>
          <w:spacing w:val="-1"/>
        </w:rPr>
        <w:t>管理流动风险时，本集团保持管理层认为充分的现金及现金等价物并对其进行监控，以满足本集团经营需</w:t>
      </w:r>
      <w:r>
        <w:rPr>
          <w:spacing w:val="-81"/>
        </w:rPr>
        <w:t> </w:t>
      </w:r>
      <w:r>
        <w:rPr>
          <w:spacing w:val="-81"/>
        </w:rPr>
      </w:r>
      <w:r>
        <w:rPr>
          <w:spacing w:val="-1"/>
        </w:rPr>
        <w:t>要，并降低现金流量波动的影响。本集团管理层对银行借款的使用情况进行监控并确保遵守借款协议。同</w:t>
      </w:r>
      <w:r>
        <w:rPr>
          <w:spacing w:val="-83"/>
        </w:rPr>
        <w:t> </w:t>
      </w:r>
      <w:r>
        <w:rPr>
          <w:spacing w:val="-83"/>
        </w:rPr>
      </w:r>
      <w:r>
        <w:rPr/>
        <w:t>时从主要金融机构获得提供足够备用资金的承诺，以满足短期和长期的资金需求。</w:t>
      </w:r>
    </w:p>
    <w:p>
      <w:pPr>
        <w:spacing w:line="240" w:lineRule="auto" w:before="0"/>
        <w:rPr>
          <w:rFonts w:ascii="宋体" w:hAnsi="宋体" w:cs="宋体" w:eastAsia="宋体" w:hint="default"/>
          <w:sz w:val="20"/>
          <w:szCs w:val="20"/>
        </w:rPr>
      </w:pPr>
    </w:p>
    <w:p>
      <w:pPr>
        <w:pStyle w:val="BodyText"/>
        <w:spacing w:line="240" w:lineRule="auto"/>
        <w:ind w:right="0"/>
        <w:jc w:val="both"/>
      </w:pPr>
      <w:r>
        <w:rPr/>
        <w:t>期末本集团持有的金融负债按未折现剩余合同现金流量的到期期限分析如下（单位：人民币元）：</w:t>
      </w:r>
    </w:p>
    <w:p>
      <w:pPr>
        <w:spacing w:line="240" w:lineRule="auto" w:before="6"/>
        <w:rPr>
          <w:rFonts w:ascii="宋体" w:hAnsi="宋体" w:cs="宋体" w:eastAsia="宋体" w:hint="default"/>
          <w:sz w:val="26"/>
          <w:szCs w:val="26"/>
        </w:rPr>
      </w:pPr>
    </w:p>
    <w:p>
      <w:pPr>
        <w:spacing w:line="20" w:lineRule="exact"/>
        <w:ind w:left="146" w:right="0" w:firstLine="0"/>
        <w:rPr>
          <w:rFonts w:ascii="宋体" w:hAnsi="宋体" w:cs="宋体" w:eastAsia="宋体" w:hint="default"/>
          <w:sz w:val="2"/>
          <w:szCs w:val="2"/>
        </w:rPr>
      </w:pPr>
      <w:r>
        <w:rPr>
          <w:rFonts w:ascii="宋体" w:hAnsi="宋体" w:cs="宋体" w:eastAsia="宋体" w:hint="default"/>
          <w:sz w:val="2"/>
          <w:szCs w:val="2"/>
        </w:rPr>
        <w:pict>
          <v:group style="width:453.6pt;height:.75pt;mso-position-horizontal-relative:char;mso-position-vertical-relative:line" coordorigin="0,0" coordsize="9072,15">
            <v:group style="position:absolute;left:7;top:7;width:9058;height:2" coordorigin="7,7" coordsize="9058,2">
              <v:shape style="position:absolute;left:7;top:7;width:9058;height:2" coordorigin="7,7" coordsize="9058,0" path="m7,7l9065,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2243" w:right="790"/>
        <w:jc w:val="center"/>
        <w:rPr>
          <w:b w:val="0"/>
          <w:bCs w:val="0"/>
        </w:rPr>
      </w:pPr>
      <w:r>
        <w:rPr/>
        <w:t>年末数</w:t>
      </w:r>
      <w:r>
        <w:rPr>
          <w:b w:val="0"/>
          <w:bCs w:val="0"/>
        </w:rPr>
      </w:r>
    </w:p>
    <w:p>
      <w:pPr>
        <w:spacing w:line="240" w:lineRule="auto" w:before="6"/>
        <w:rPr>
          <w:rFonts w:ascii="宋体" w:hAnsi="宋体" w:cs="宋体" w:eastAsia="宋体" w:hint="default"/>
          <w:b/>
          <w:bCs/>
          <w:sz w:val="5"/>
          <w:szCs w:val="5"/>
        </w:rPr>
      </w:pPr>
    </w:p>
    <w:tbl>
      <w:tblPr>
        <w:tblW w:w="0" w:type="auto"/>
        <w:jc w:val="left"/>
        <w:tblInd w:w="153" w:type="dxa"/>
        <w:tblLayout w:type="fixed"/>
        <w:tblCellMar>
          <w:top w:w="0" w:type="dxa"/>
          <w:left w:w="0" w:type="dxa"/>
          <w:bottom w:w="0" w:type="dxa"/>
          <w:right w:w="0" w:type="dxa"/>
        </w:tblCellMar>
        <w:tblLook w:val="01E0"/>
      </w:tblPr>
      <w:tblGrid>
        <w:gridCol w:w="2112"/>
        <w:gridCol w:w="2219"/>
        <w:gridCol w:w="1217"/>
        <w:gridCol w:w="1366"/>
        <w:gridCol w:w="2212"/>
      </w:tblGrid>
      <w:tr>
        <w:trPr>
          <w:trHeight w:val="352" w:hRule="exact"/>
        </w:trPr>
        <w:tc>
          <w:tcPr>
            <w:tcW w:w="2112"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15"/>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21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70"/>
              <w:jc w:val="right"/>
              <w:rPr>
                <w:rFonts w:ascii="宋体" w:hAnsi="宋体" w:cs="宋体" w:eastAsia="宋体" w:hint="default"/>
                <w:sz w:val="18"/>
                <w:szCs w:val="18"/>
              </w:rPr>
            </w:pPr>
            <w:r>
              <w:rPr>
                <w:rFonts w:ascii="宋体" w:hAnsi="宋体" w:cs="宋体" w:eastAsia="宋体" w:hint="default"/>
                <w:b/>
                <w:bCs/>
                <w:w w:val="95"/>
                <w:sz w:val="18"/>
                <w:szCs w:val="18"/>
              </w:rPr>
              <w:t>一年以内</w:t>
            </w:r>
            <w:r>
              <w:rPr>
                <w:rFonts w:ascii="宋体" w:hAnsi="宋体" w:cs="宋体" w:eastAsia="宋体" w:hint="default"/>
                <w:sz w:val="18"/>
                <w:szCs w:val="18"/>
              </w:rPr>
            </w:r>
          </w:p>
        </w:tc>
        <w:tc>
          <w:tcPr>
            <w:tcW w:w="1217"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8" w:right="0"/>
              <w:jc w:val="center"/>
              <w:rPr>
                <w:rFonts w:ascii="宋体" w:hAnsi="宋体" w:cs="宋体" w:eastAsia="宋体" w:hint="default"/>
                <w:sz w:val="18"/>
                <w:szCs w:val="18"/>
              </w:rPr>
            </w:pPr>
            <w:r>
              <w:rPr>
                <w:rFonts w:ascii="宋体" w:hAnsi="宋体" w:cs="宋体" w:eastAsia="宋体" w:hint="default"/>
                <w:b/>
                <w:bCs/>
                <w:sz w:val="18"/>
                <w:szCs w:val="18"/>
              </w:rPr>
              <w:t>一至二年以内</w:t>
            </w:r>
            <w:r>
              <w:rPr>
                <w:rFonts w:ascii="宋体" w:hAnsi="宋体" w:cs="宋体" w:eastAsia="宋体" w:hint="default"/>
                <w:sz w:val="18"/>
                <w:szCs w:val="18"/>
              </w:rPr>
            </w:r>
          </w:p>
        </w:tc>
        <w:tc>
          <w:tcPr>
            <w:tcW w:w="136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218"/>
              <w:jc w:val="right"/>
              <w:rPr>
                <w:rFonts w:ascii="宋体" w:hAnsi="宋体" w:cs="宋体" w:eastAsia="宋体" w:hint="default"/>
                <w:sz w:val="18"/>
                <w:szCs w:val="18"/>
              </w:rPr>
            </w:pPr>
            <w:r>
              <w:rPr>
                <w:rFonts w:ascii="宋体" w:hAnsi="宋体" w:cs="宋体" w:eastAsia="宋体" w:hint="default"/>
                <w:b/>
                <w:bCs/>
                <w:w w:val="95"/>
                <w:sz w:val="18"/>
                <w:szCs w:val="18"/>
              </w:rPr>
              <w:t>二至三年以内</w:t>
            </w:r>
            <w:r>
              <w:rPr>
                <w:rFonts w:ascii="宋体" w:hAnsi="宋体" w:cs="宋体" w:eastAsia="宋体" w:hint="default"/>
                <w:sz w:val="18"/>
                <w:szCs w:val="18"/>
              </w:rPr>
            </w:r>
          </w:p>
        </w:tc>
        <w:tc>
          <w:tcPr>
            <w:tcW w:w="2212" w:type="dxa"/>
            <w:tcBorders>
              <w:top w:val="single" w:sz="8" w:space="0" w:color="000000"/>
              <w:left w:val="nil" w:sz="6" w:space="0" w:color="auto"/>
              <w:bottom w:val="single" w:sz="8" w:space="0" w:color="000000"/>
              <w:right w:val="nil" w:sz="6" w:space="0" w:color="auto"/>
            </w:tcBorders>
          </w:tcPr>
          <w:p>
            <w:pPr>
              <w:pStyle w:val="TableParagraph"/>
              <w:tabs>
                <w:tab w:pos="1466" w:val="left" w:leader="none"/>
              </w:tabs>
              <w:spacing w:line="240" w:lineRule="auto" w:before="21"/>
              <w:ind w:right="8"/>
              <w:jc w:val="right"/>
              <w:rPr>
                <w:rFonts w:ascii="宋体" w:hAnsi="宋体" w:cs="宋体" w:eastAsia="宋体" w:hint="default"/>
                <w:sz w:val="18"/>
                <w:szCs w:val="18"/>
              </w:rPr>
            </w:pPr>
            <w:r>
              <w:rPr>
                <w:rFonts w:ascii="宋体" w:hAnsi="宋体" w:cs="宋体" w:eastAsia="宋体" w:hint="default"/>
                <w:b/>
                <w:bCs/>
                <w:w w:val="95"/>
                <w:sz w:val="18"/>
                <w:szCs w:val="18"/>
              </w:rPr>
              <w:t>三年以上</w:t>
              <w:tab/>
            </w:r>
            <w:r>
              <w:rPr>
                <w:rFonts w:ascii="宋体" w:hAnsi="宋体" w:cs="宋体" w:eastAsia="宋体" w:hint="default"/>
                <w:b/>
                <w:bCs/>
                <w:sz w:val="18"/>
                <w:szCs w:val="18"/>
              </w:rPr>
              <w:t>合</w:t>
            </w:r>
            <w:r>
              <w:rPr>
                <w:rFonts w:ascii="宋体" w:hAnsi="宋体" w:cs="宋体" w:eastAsia="宋体" w:hint="default"/>
                <w:b/>
                <w:bCs/>
                <w:spacing w:val="62"/>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r>
      <w:tr>
        <w:trPr>
          <w:trHeight w:val="353" w:hRule="exact"/>
        </w:trPr>
        <w:tc>
          <w:tcPr>
            <w:tcW w:w="2112"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2219" w:type="dxa"/>
            <w:tcBorders>
              <w:top w:val="single" w:sz="8" w:space="0" w:color="000000"/>
              <w:left w:val="nil" w:sz="6" w:space="0" w:color="auto"/>
              <w:bottom w:val="single" w:sz="8" w:space="0" w:color="000000"/>
              <w:right w:val="nil" w:sz="6" w:space="0" w:color="auto"/>
            </w:tcBorders>
          </w:tcPr>
          <w:p>
            <w:pPr/>
          </w:p>
        </w:tc>
        <w:tc>
          <w:tcPr>
            <w:tcW w:w="1217" w:type="dxa"/>
            <w:tcBorders>
              <w:top w:val="single" w:sz="8" w:space="0" w:color="000000"/>
              <w:left w:val="nil" w:sz="6" w:space="0" w:color="auto"/>
              <w:bottom w:val="single" w:sz="8" w:space="0" w:color="000000"/>
              <w:right w:val="nil" w:sz="6" w:space="0" w:color="auto"/>
            </w:tcBorders>
          </w:tcPr>
          <w:p>
            <w:pPr/>
          </w:p>
        </w:tc>
        <w:tc>
          <w:tcPr>
            <w:tcW w:w="1366" w:type="dxa"/>
            <w:tcBorders>
              <w:top w:val="single" w:sz="8" w:space="0" w:color="000000"/>
              <w:left w:val="nil" w:sz="6" w:space="0" w:color="auto"/>
              <w:bottom w:val="single" w:sz="8" w:space="0" w:color="000000"/>
              <w:right w:val="nil" w:sz="6" w:space="0" w:color="auto"/>
            </w:tcBorders>
          </w:tcPr>
          <w:p>
            <w:pPr/>
          </w:p>
        </w:tc>
        <w:tc>
          <w:tcPr>
            <w:tcW w:w="2212" w:type="dxa"/>
            <w:tcBorders>
              <w:top w:val="single" w:sz="8" w:space="0" w:color="000000"/>
              <w:left w:val="nil" w:sz="6" w:space="0" w:color="auto"/>
              <w:bottom w:val="single" w:sz="8" w:space="0" w:color="000000"/>
              <w:right w:val="nil" w:sz="6" w:space="0" w:color="auto"/>
            </w:tcBorders>
          </w:tcPr>
          <w:p>
            <w:pPr/>
          </w:p>
        </w:tc>
      </w:tr>
      <w:tr>
        <w:trPr>
          <w:trHeight w:val="352" w:hRule="exact"/>
        </w:trPr>
        <w:tc>
          <w:tcPr>
            <w:tcW w:w="2112"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219" w:type="dxa"/>
            <w:tcBorders>
              <w:top w:val="single" w:sz="8" w:space="0" w:color="000000"/>
              <w:left w:val="nil" w:sz="6" w:space="0" w:color="auto"/>
              <w:bottom w:val="single" w:sz="8" w:space="0" w:color="000000"/>
              <w:right w:val="nil" w:sz="6" w:space="0" w:color="auto"/>
            </w:tcBorders>
          </w:tcPr>
          <w:p>
            <w:pPr>
              <w:pStyle w:val="TableParagraph"/>
              <w:spacing w:line="240" w:lineRule="auto" w:before="61"/>
              <w:ind w:right="68"/>
              <w:jc w:val="right"/>
              <w:rPr>
                <w:rFonts w:ascii="Times New Roman" w:hAnsi="Times New Roman" w:cs="Times New Roman" w:eastAsia="Times New Roman" w:hint="default"/>
                <w:sz w:val="18"/>
                <w:szCs w:val="18"/>
              </w:rPr>
            </w:pPr>
            <w:r>
              <w:rPr>
                <w:rFonts w:ascii="Times New Roman"/>
                <w:spacing w:val="-1"/>
                <w:sz w:val="18"/>
              </w:rPr>
              <w:t>78,812,370.00</w:t>
            </w:r>
          </w:p>
        </w:tc>
        <w:tc>
          <w:tcPr>
            <w:tcW w:w="1217" w:type="dxa"/>
            <w:tcBorders>
              <w:top w:val="single" w:sz="8" w:space="0" w:color="000000"/>
              <w:left w:val="nil" w:sz="6" w:space="0" w:color="auto"/>
              <w:bottom w:val="single" w:sz="8" w:space="0" w:color="000000"/>
              <w:right w:val="nil" w:sz="6" w:space="0" w:color="auto"/>
            </w:tcBorders>
          </w:tcPr>
          <w:p>
            <w:pPr/>
          </w:p>
        </w:tc>
        <w:tc>
          <w:tcPr>
            <w:tcW w:w="136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218"/>
              <w:jc w:val="right"/>
              <w:rPr>
                <w:rFonts w:ascii="宋体" w:hAnsi="宋体" w:cs="宋体" w:eastAsia="宋体" w:hint="default"/>
                <w:sz w:val="18"/>
                <w:szCs w:val="18"/>
              </w:rPr>
            </w:pPr>
            <w:r>
              <w:rPr>
                <w:rFonts w:ascii="宋体" w:hAnsi="宋体" w:cs="宋体" w:eastAsia="宋体" w:hint="default"/>
                <w:sz w:val="18"/>
                <w:szCs w:val="18"/>
              </w:rPr>
              <w:t>－</w:t>
            </w:r>
          </w:p>
        </w:tc>
        <w:tc>
          <w:tcPr>
            <w:tcW w:w="2212" w:type="dxa"/>
            <w:tcBorders>
              <w:top w:val="single" w:sz="8" w:space="0" w:color="000000"/>
              <w:left w:val="nil" w:sz="6" w:space="0" w:color="auto"/>
              <w:bottom w:val="single" w:sz="8" w:space="0" w:color="000000"/>
              <w:right w:val="nil" w:sz="6" w:space="0" w:color="auto"/>
            </w:tcBorders>
          </w:tcPr>
          <w:p>
            <w:pPr>
              <w:pStyle w:val="TableParagraph"/>
              <w:tabs>
                <w:tab w:pos="404" w:val="left" w:leader="none"/>
              </w:tabs>
              <w:spacing w:line="240" w:lineRule="auto" w:before="21"/>
              <w:ind w:right="7"/>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78,812,370.00</w:t>
            </w:r>
          </w:p>
        </w:tc>
      </w:tr>
      <w:tr>
        <w:trPr>
          <w:trHeight w:val="352" w:hRule="exact"/>
        </w:trPr>
        <w:tc>
          <w:tcPr>
            <w:tcW w:w="2112"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19" w:type="dxa"/>
            <w:tcBorders>
              <w:top w:val="single" w:sz="8" w:space="0" w:color="000000"/>
              <w:left w:val="nil" w:sz="6" w:space="0" w:color="auto"/>
              <w:bottom w:val="single" w:sz="8" w:space="0" w:color="000000"/>
              <w:right w:val="nil" w:sz="6" w:space="0" w:color="auto"/>
            </w:tcBorders>
          </w:tcPr>
          <w:p>
            <w:pPr>
              <w:pStyle w:val="TableParagraph"/>
              <w:spacing w:line="240" w:lineRule="auto" w:before="61"/>
              <w:ind w:right="68"/>
              <w:jc w:val="right"/>
              <w:rPr>
                <w:rFonts w:ascii="Times New Roman" w:hAnsi="Times New Roman" w:cs="Times New Roman" w:eastAsia="Times New Roman" w:hint="default"/>
                <w:sz w:val="18"/>
                <w:szCs w:val="18"/>
              </w:rPr>
            </w:pPr>
            <w:r>
              <w:rPr>
                <w:rFonts w:ascii="Times New Roman"/>
                <w:spacing w:val="-1"/>
                <w:sz w:val="18"/>
              </w:rPr>
              <w:t>137,903,947.46</w:t>
            </w:r>
          </w:p>
        </w:tc>
        <w:tc>
          <w:tcPr>
            <w:tcW w:w="1217" w:type="dxa"/>
            <w:tcBorders>
              <w:top w:val="single" w:sz="8" w:space="0" w:color="000000"/>
              <w:left w:val="nil" w:sz="6" w:space="0" w:color="auto"/>
              <w:bottom w:val="single" w:sz="8" w:space="0" w:color="000000"/>
              <w:right w:val="nil" w:sz="6" w:space="0" w:color="auto"/>
            </w:tcBorders>
          </w:tcPr>
          <w:p>
            <w:pPr>
              <w:pStyle w:val="TableParagraph"/>
              <w:spacing w:line="240" w:lineRule="auto" w:before="61"/>
              <w:ind w:left="58" w:right="0"/>
              <w:jc w:val="center"/>
              <w:rPr>
                <w:rFonts w:ascii="Times New Roman" w:hAnsi="Times New Roman" w:cs="Times New Roman" w:eastAsia="Times New Roman" w:hint="default"/>
                <w:sz w:val="18"/>
                <w:szCs w:val="18"/>
              </w:rPr>
            </w:pPr>
            <w:r>
              <w:rPr>
                <w:rFonts w:ascii="Times New Roman"/>
                <w:sz w:val="18"/>
              </w:rPr>
              <w:t>20,951,380.39</w:t>
            </w:r>
          </w:p>
        </w:tc>
        <w:tc>
          <w:tcPr>
            <w:tcW w:w="1366" w:type="dxa"/>
            <w:tcBorders>
              <w:top w:val="single" w:sz="8" w:space="0" w:color="000000"/>
              <w:left w:val="nil" w:sz="6" w:space="0" w:color="auto"/>
              <w:bottom w:val="single" w:sz="8" w:space="0" w:color="000000"/>
              <w:right w:val="nil" w:sz="6" w:space="0" w:color="auto"/>
            </w:tcBorders>
          </w:tcPr>
          <w:p>
            <w:pPr>
              <w:pStyle w:val="TableParagraph"/>
              <w:spacing w:line="240" w:lineRule="auto" w:before="61"/>
              <w:ind w:right="217"/>
              <w:jc w:val="right"/>
              <w:rPr>
                <w:rFonts w:ascii="Times New Roman" w:hAnsi="Times New Roman" w:cs="Times New Roman" w:eastAsia="Times New Roman" w:hint="default"/>
                <w:sz w:val="18"/>
                <w:szCs w:val="18"/>
              </w:rPr>
            </w:pPr>
            <w:r>
              <w:rPr>
                <w:rFonts w:ascii="Times New Roman"/>
                <w:sz w:val="18"/>
              </w:rPr>
              <w:t>728,991.45</w:t>
            </w:r>
          </w:p>
        </w:tc>
        <w:tc>
          <w:tcPr>
            <w:tcW w:w="2212"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7"/>
              <w:jc w:val="righ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159,584,319.300</w:t>
            </w:r>
          </w:p>
        </w:tc>
      </w:tr>
      <w:tr>
        <w:trPr>
          <w:trHeight w:val="350" w:hRule="exact"/>
        </w:trPr>
        <w:tc>
          <w:tcPr>
            <w:tcW w:w="2112" w:type="dxa"/>
            <w:tcBorders>
              <w:top w:val="single" w:sz="8"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219" w:type="dxa"/>
            <w:tcBorders>
              <w:top w:val="single" w:sz="8" w:space="0" w:color="000000"/>
              <w:left w:val="nil" w:sz="6" w:space="0" w:color="auto"/>
              <w:bottom w:val="single" w:sz="6" w:space="0" w:color="000000"/>
              <w:right w:val="nil" w:sz="6" w:space="0" w:color="auto"/>
            </w:tcBorders>
          </w:tcPr>
          <w:p>
            <w:pPr>
              <w:pStyle w:val="TableParagraph"/>
              <w:spacing w:line="240" w:lineRule="auto" w:before="61"/>
              <w:ind w:right="68"/>
              <w:jc w:val="right"/>
              <w:rPr>
                <w:rFonts w:ascii="Times New Roman" w:hAnsi="Times New Roman" w:cs="Times New Roman" w:eastAsia="Times New Roman" w:hint="default"/>
                <w:sz w:val="18"/>
                <w:szCs w:val="18"/>
              </w:rPr>
            </w:pPr>
            <w:r>
              <w:rPr>
                <w:rFonts w:ascii="Times New Roman"/>
                <w:spacing w:val="-1"/>
                <w:sz w:val="18"/>
              </w:rPr>
              <w:t>112,794,692.63</w:t>
            </w:r>
          </w:p>
        </w:tc>
        <w:tc>
          <w:tcPr>
            <w:tcW w:w="1217" w:type="dxa"/>
            <w:tcBorders>
              <w:top w:val="single" w:sz="8" w:space="0" w:color="000000"/>
              <w:left w:val="nil" w:sz="6" w:space="0" w:color="auto"/>
              <w:bottom w:val="single" w:sz="6" w:space="0" w:color="000000"/>
              <w:right w:val="nil" w:sz="6" w:space="0" w:color="auto"/>
            </w:tcBorders>
          </w:tcPr>
          <w:p>
            <w:pPr/>
          </w:p>
        </w:tc>
        <w:tc>
          <w:tcPr>
            <w:tcW w:w="1366" w:type="dxa"/>
            <w:tcBorders>
              <w:top w:val="single" w:sz="8" w:space="0" w:color="000000"/>
              <w:left w:val="nil" w:sz="6" w:space="0" w:color="auto"/>
              <w:bottom w:val="single" w:sz="6" w:space="0" w:color="000000"/>
              <w:right w:val="nil" w:sz="6" w:space="0" w:color="auto"/>
            </w:tcBorders>
          </w:tcPr>
          <w:p>
            <w:pPr>
              <w:pStyle w:val="TableParagraph"/>
              <w:spacing w:line="240" w:lineRule="auto" w:before="21"/>
              <w:ind w:right="218"/>
              <w:jc w:val="right"/>
              <w:rPr>
                <w:rFonts w:ascii="宋体" w:hAnsi="宋体" w:cs="宋体" w:eastAsia="宋体" w:hint="default"/>
                <w:sz w:val="18"/>
                <w:szCs w:val="18"/>
              </w:rPr>
            </w:pPr>
            <w:r>
              <w:rPr>
                <w:rFonts w:ascii="宋体" w:hAnsi="宋体" w:cs="宋体" w:eastAsia="宋体" w:hint="default"/>
                <w:sz w:val="18"/>
                <w:szCs w:val="18"/>
              </w:rPr>
              <w:t>－</w:t>
            </w:r>
          </w:p>
        </w:tc>
        <w:tc>
          <w:tcPr>
            <w:tcW w:w="2212" w:type="dxa"/>
            <w:tcBorders>
              <w:top w:val="single" w:sz="8" w:space="0" w:color="000000"/>
              <w:left w:val="nil" w:sz="6" w:space="0" w:color="auto"/>
              <w:bottom w:val="single" w:sz="6" w:space="0" w:color="000000"/>
              <w:right w:val="nil" w:sz="6" w:space="0" w:color="auto"/>
            </w:tcBorders>
          </w:tcPr>
          <w:p>
            <w:pPr>
              <w:pStyle w:val="TableParagraph"/>
              <w:spacing w:line="240" w:lineRule="auto" w:before="21"/>
              <w:ind w:right="7"/>
              <w:jc w:val="righ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112,794,692.63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3"/>
        <w:rPr>
          <w:rFonts w:ascii="宋体" w:hAnsi="宋体" w:cs="宋体" w:eastAsia="宋体" w:hint="default"/>
          <w:b/>
          <w:bCs/>
          <w:sz w:val="29"/>
          <w:szCs w:val="29"/>
        </w:rPr>
      </w:pPr>
    </w:p>
    <w:tbl>
      <w:tblPr>
        <w:tblW w:w="0" w:type="auto"/>
        <w:jc w:val="left"/>
        <w:tblInd w:w="153" w:type="dxa"/>
        <w:tblLayout w:type="fixed"/>
        <w:tblCellMar>
          <w:top w:w="0" w:type="dxa"/>
          <w:left w:w="0" w:type="dxa"/>
          <w:bottom w:w="0" w:type="dxa"/>
          <w:right w:w="0" w:type="dxa"/>
        </w:tblCellMar>
        <w:tblLook w:val="01E0"/>
      </w:tblPr>
      <w:tblGrid>
        <w:gridCol w:w="2817"/>
        <w:gridCol w:w="1538"/>
        <w:gridCol w:w="1262"/>
        <w:gridCol w:w="1140"/>
        <w:gridCol w:w="1166"/>
        <w:gridCol w:w="1202"/>
      </w:tblGrid>
      <w:tr>
        <w:trPr>
          <w:trHeight w:val="352" w:hRule="exact"/>
        </w:trPr>
        <w:tc>
          <w:tcPr>
            <w:tcW w:w="2817"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38" w:type="dxa"/>
            <w:tcBorders>
              <w:top w:val="single" w:sz="8" w:space="0" w:color="000000"/>
              <w:left w:val="nil" w:sz="6" w:space="0" w:color="auto"/>
              <w:bottom w:val="single" w:sz="8" w:space="0" w:color="000000"/>
              <w:right w:val="nil" w:sz="6" w:space="0" w:color="auto"/>
            </w:tcBorders>
          </w:tcPr>
          <w:p>
            <w:pPr>
              <w:pStyle w:val="TableParagraph"/>
              <w:spacing w:line="240" w:lineRule="auto" w:before="61"/>
              <w:ind w:right="95"/>
              <w:jc w:val="right"/>
              <w:rPr>
                <w:rFonts w:ascii="Arial Narrow" w:hAnsi="Arial Narrow" w:cs="Arial Narrow" w:eastAsia="Arial Narrow" w:hint="default"/>
                <w:sz w:val="18"/>
                <w:szCs w:val="18"/>
              </w:rPr>
            </w:pPr>
            <w:r>
              <w:rPr>
                <w:rFonts w:ascii="Arial Narrow"/>
                <w:spacing w:val="-1"/>
                <w:sz w:val="18"/>
              </w:rPr>
              <w:t>25,531,503.29</w:t>
            </w:r>
          </w:p>
        </w:tc>
        <w:tc>
          <w:tcPr>
            <w:tcW w:w="1262" w:type="dxa"/>
            <w:tcBorders>
              <w:top w:val="single" w:sz="8" w:space="0" w:color="000000"/>
              <w:left w:val="nil" w:sz="6" w:space="0" w:color="auto"/>
              <w:bottom w:val="single" w:sz="8" w:space="0" w:color="000000"/>
              <w:right w:val="nil" w:sz="6" w:space="0" w:color="auto"/>
            </w:tcBorders>
          </w:tcPr>
          <w:p>
            <w:pPr>
              <w:pStyle w:val="TableParagraph"/>
              <w:spacing w:line="240" w:lineRule="auto" w:before="61"/>
              <w:ind w:right="33"/>
              <w:jc w:val="center"/>
              <w:rPr>
                <w:rFonts w:ascii="Times New Roman" w:hAnsi="Times New Roman" w:cs="Times New Roman" w:eastAsia="Times New Roman" w:hint="default"/>
                <w:sz w:val="18"/>
                <w:szCs w:val="18"/>
              </w:rPr>
            </w:pPr>
            <w:r>
              <w:rPr>
                <w:rFonts w:ascii="Times New Roman"/>
                <w:sz w:val="18"/>
              </w:rPr>
              <w:t>35,797,423.20</w:t>
            </w:r>
          </w:p>
        </w:tc>
        <w:tc>
          <w:tcPr>
            <w:tcW w:w="114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62"/>
              <w:jc w:val="right"/>
              <w:rPr>
                <w:rFonts w:ascii="宋体" w:hAnsi="宋体" w:cs="宋体" w:eastAsia="宋体" w:hint="default"/>
                <w:sz w:val="18"/>
                <w:szCs w:val="18"/>
              </w:rPr>
            </w:pPr>
            <w:r>
              <w:rPr>
                <w:rFonts w:ascii="宋体" w:hAnsi="宋体" w:cs="宋体" w:eastAsia="宋体" w:hint="default"/>
                <w:sz w:val="18"/>
                <w:szCs w:val="18"/>
              </w:rPr>
              <w:t>－</w:t>
            </w:r>
          </w:p>
        </w:tc>
        <w:tc>
          <w:tcPr>
            <w:tcW w:w="116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65"/>
              <w:jc w:val="right"/>
              <w:rPr>
                <w:rFonts w:ascii="宋体" w:hAnsi="宋体" w:cs="宋体" w:eastAsia="宋体" w:hint="default"/>
                <w:sz w:val="18"/>
                <w:szCs w:val="18"/>
              </w:rPr>
            </w:pPr>
            <w:r>
              <w:rPr>
                <w:rFonts w:ascii="宋体" w:hAnsi="宋体" w:cs="宋体" w:eastAsia="宋体" w:hint="default"/>
                <w:sz w:val="18"/>
                <w:szCs w:val="18"/>
              </w:rPr>
              <w:t>－</w:t>
            </w:r>
          </w:p>
        </w:tc>
        <w:tc>
          <w:tcPr>
            <w:tcW w:w="1202" w:type="dxa"/>
            <w:tcBorders>
              <w:top w:val="single" w:sz="8" w:space="0" w:color="000000"/>
              <w:left w:val="nil" w:sz="6" w:space="0" w:color="auto"/>
              <w:bottom w:val="single" w:sz="8" w:space="0" w:color="000000"/>
              <w:right w:val="nil" w:sz="6" w:space="0" w:color="auto"/>
            </w:tcBorders>
          </w:tcPr>
          <w:p>
            <w:pPr>
              <w:pStyle w:val="TableParagraph"/>
              <w:spacing w:line="240" w:lineRule="auto" w:before="61"/>
              <w:ind w:right="9"/>
              <w:jc w:val="right"/>
              <w:rPr>
                <w:rFonts w:ascii="Arial Narrow" w:hAnsi="Arial Narrow" w:cs="Arial Narrow" w:eastAsia="Arial Narrow" w:hint="default"/>
                <w:sz w:val="18"/>
                <w:szCs w:val="18"/>
              </w:rPr>
            </w:pPr>
            <w:r>
              <w:rPr>
                <w:rFonts w:ascii="Arial Narrow"/>
                <w:spacing w:val="-1"/>
                <w:sz w:val="18"/>
              </w:rPr>
              <w:t>61,328,926.49</w:t>
            </w:r>
          </w:p>
        </w:tc>
      </w:tr>
      <w:tr>
        <w:trPr>
          <w:trHeight w:val="353" w:hRule="exact"/>
        </w:trPr>
        <w:tc>
          <w:tcPr>
            <w:tcW w:w="2817"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538" w:type="dxa"/>
            <w:tcBorders>
              <w:top w:val="single" w:sz="8" w:space="0" w:color="000000"/>
              <w:left w:val="nil" w:sz="6" w:space="0" w:color="auto"/>
              <w:bottom w:val="single" w:sz="8" w:space="0" w:color="000000"/>
              <w:right w:val="nil" w:sz="6" w:space="0" w:color="auto"/>
            </w:tcBorders>
          </w:tcPr>
          <w:p>
            <w:pPr>
              <w:pStyle w:val="TableParagraph"/>
              <w:spacing w:line="240" w:lineRule="auto" w:before="61"/>
              <w:ind w:right="93"/>
              <w:jc w:val="right"/>
              <w:rPr>
                <w:rFonts w:ascii="Times New Roman" w:hAnsi="Times New Roman" w:cs="Times New Roman" w:eastAsia="Times New Roman" w:hint="default"/>
                <w:sz w:val="18"/>
                <w:szCs w:val="18"/>
              </w:rPr>
            </w:pPr>
            <w:r>
              <w:rPr>
                <w:rFonts w:ascii="Times New Roman"/>
                <w:sz w:val="18"/>
              </w:rPr>
              <w:t>27,714.26</w:t>
            </w:r>
          </w:p>
        </w:tc>
        <w:tc>
          <w:tcPr>
            <w:tcW w:w="1262" w:type="dxa"/>
            <w:tcBorders>
              <w:top w:val="single" w:sz="8" w:space="0" w:color="000000"/>
              <w:left w:val="nil" w:sz="6" w:space="0" w:color="auto"/>
              <w:bottom w:val="single" w:sz="8" w:space="0" w:color="000000"/>
              <w:right w:val="nil" w:sz="6" w:space="0" w:color="auto"/>
            </w:tcBorders>
          </w:tcPr>
          <w:p>
            <w:pPr/>
          </w:p>
        </w:tc>
        <w:tc>
          <w:tcPr>
            <w:tcW w:w="1140" w:type="dxa"/>
            <w:tcBorders>
              <w:top w:val="single" w:sz="8" w:space="0" w:color="000000"/>
              <w:left w:val="nil" w:sz="6" w:space="0" w:color="auto"/>
              <w:bottom w:val="single" w:sz="8" w:space="0" w:color="000000"/>
              <w:right w:val="nil" w:sz="6" w:space="0" w:color="auto"/>
            </w:tcBorders>
          </w:tcPr>
          <w:p>
            <w:pPr/>
          </w:p>
        </w:tc>
        <w:tc>
          <w:tcPr>
            <w:tcW w:w="1166" w:type="dxa"/>
            <w:tcBorders>
              <w:top w:val="single" w:sz="8" w:space="0" w:color="000000"/>
              <w:left w:val="nil" w:sz="6" w:space="0" w:color="auto"/>
              <w:bottom w:val="single" w:sz="8" w:space="0" w:color="000000"/>
              <w:right w:val="nil" w:sz="6" w:space="0" w:color="auto"/>
            </w:tcBorders>
          </w:tcPr>
          <w:p>
            <w:pPr/>
          </w:p>
        </w:tc>
        <w:tc>
          <w:tcPr>
            <w:tcW w:w="1202" w:type="dxa"/>
            <w:tcBorders>
              <w:top w:val="single" w:sz="8" w:space="0" w:color="000000"/>
              <w:left w:val="nil" w:sz="6" w:space="0" w:color="auto"/>
              <w:bottom w:val="single" w:sz="8"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z w:val="18"/>
              </w:rPr>
              <w:t>27,714.26</w:t>
            </w:r>
          </w:p>
        </w:tc>
      </w:tr>
      <w:tr>
        <w:trPr>
          <w:trHeight w:val="352" w:hRule="exact"/>
        </w:trPr>
        <w:tc>
          <w:tcPr>
            <w:tcW w:w="2817"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538" w:type="dxa"/>
            <w:tcBorders>
              <w:top w:val="single" w:sz="8" w:space="0" w:color="000000"/>
              <w:left w:val="nil" w:sz="6" w:space="0" w:color="auto"/>
              <w:bottom w:val="single" w:sz="8" w:space="0" w:color="000000"/>
              <w:right w:val="nil" w:sz="6" w:space="0" w:color="auto"/>
            </w:tcBorders>
          </w:tcPr>
          <w:p>
            <w:pPr>
              <w:pStyle w:val="TableParagraph"/>
              <w:spacing w:line="240" w:lineRule="auto" w:before="61"/>
              <w:ind w:right="93"/>
              <w:jc w:val="right"/>
              <w:rPr>
                <w:rFonts w:ascii="Times New Roman" w:hAnsi="Times New Roman" w:cs="Times New Roman" w:eastAsia="Times New Roman" w:hint="default"/>
                <w:sz w:val="18"/>
                <w:szCs w:val="18"/>
              </w:rPr>
            </w:pPr>
            <w:r>
              <w:rPr>
                <w:rFonts w:ascii="Times New Roman"/>
                <w:spacing w:val="-1"/>
                <w:sz w:val="18"/>
              </w:rPr>
              <w:t>1,486,502.41</w:t>
            </w:r>
          </w:p>
        </w:tc>
        <w:tc>
          <w:tcPr>
            <w:tcW w:w="1262" w:type="dxa"/>
            <w:tcBorders>
              <w:top w:val="single" w:sz="8" w:space="0" w:color="000000"/>
              <w:left w:val="nil" w:sz="6" w:space="0" w:color="auto"/>
              <w:bottom w:val="single" w:sz="8" w:space="0" w:color="000000"/>
              <w:right w:val="nil" w:sz="6" w:space="0" w:color="auto"/>
            </w:tcBorders>
          </w:tcPr>
          <w:p>
            <w:pPr/>
          </w:p>
        </w:tc>
        <w:tc>
          <w:tcPr>
            <w:tcW w:w="1140" w:type="dxa"/>
            <w:tcBorders>
              <w:top w:val="single" w:sz="8" w:space="0" w:color="000000"/>
              <w:left w:val="nil" w:sz="6" w:space="0" w:color="auto"/>
              <w:bottom w:val="single" w:sz="8" w:space="0" w:color="000000"/>
              <w:right w:val="nil" w:sz="6" w:space="0" w:color="auto"/>
            </w:tcBorders>
          </w:tcPr>
          <w:p>
            <w:pPr/>
          </w:p>
        </w:tc>
        <w:tc>
          <w:tcPr>
            <w:tcW w:w="1166" w:type="dxa"/>
            <w:tcBorders>
              <w:top w:val="single" w:sz="8" w:space="0" w:color="000000"/>
              <w:left w:val="nil" w:sz="6" w:space="0" w:color="auto"/>
              <w:bottom w:val="single" w:sz="8" w:space="0" w:color="000000"/>
              <w:right w:val="nil" w:sz="6" w:space="0" w:color="auto"/>
            </w:tcBorders>
          </w:tcPr>
          <w:p>
            <w:pPr/>
          </w:p>
        </w:tc>
        <w:tc>
          <w:tcPr>
            <w:tcW w:w="1202" w:type="dxa"/>
            <w:tcBorders>
              <w:top w:val="single" w:sz="8" w:space="0" w:color="000000"/>
              <w:left w:val="nil" w:sz="6" w:space="0" w:color="auto"/>
              <w:bottom w:val="single" w:sz="8"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1,486,502.41</w:t>
            </w:r>
          </w:p>
        </w:tc>
      </w:tr>
      <w:tr>
        <w:trPr>
          <w:trHeight w:val="352" w:hRule="exact"/>
        </w:trPr>
        <w:tc>
          <w:tcPr>
            <w:tcW w:w="2817"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38" w:type="dxa"/>
            <w:tcBorders>
              <w:top w:val="single" w:sz="8" w:space="0" w:color="000000"/>
              <w:left w:val="nil" w:sz="6" w:space="0" w:color="auto"/>
              <w:bottom w:val="single" w:sz="8" w:space="0" w:color="000000"/>
              <w:right w:val="nil" w:sz="6" w:space="0" w:color="auto"/>
            </w:tcBorders>
          </w:tcPr>
          <w:p>
            <w:pPr/>
          </w:p>
        </w:tc>
        <w:tc>
          <w:tcPr>
            <w:tcW w:w="1262" w:type="dxa"/>
            <w:tcBorders>
              <w:top w:val="single" w:sz="8" w:space="0" w:color="000000"/>
              <w:left w:val="nil" w:sz="6" w:space="0" w:color="auto"/>
              <w:bottom w:val="single" w:sz="8" w:space="0" w:color="000000"/>
              <w:right w:val="nil" w:sz="6" w:space="0" w:color="auto"/>
            </w:tcBorders>
          </w:tcPr>
          <w:p>
            <w:pPr>
              <w:pStyle w:val="TableParagraph"/>
              <w:spacing w:line="240" w:lineRule="auto" w:before="61"/>
              <w:ind w:left="54" w:right="0"/>
              <w:jc w:val="center"/>
              <w:rPr>
                <w:rFonts w:ascii="Times New Roman" w:hAnsi="Times New Roman" w:cs="Times New Roman" w:eastAsia="Times New Roman" w:hint="default"/>
                <w:sz w:val="18"/>
                <w:szCs w:val="18"/>
              </w:rPr>
            </w:pPr>
            <w:r>
              <w:rPr>
                <w:rFonts w:ascii="Times New Roman"/>
                <w:sz w:val="18"/>
              </w:rPr>
              <w:t>1,560,999.34</w:t>
            </w:r>
          </w:p>
        </w:tc>
        <w:tc>
          <w:tcPr>
            <w:tcW w:w="1140" w:type="dxa"/>
            <w:tcBorders>
              <w:top w:val="single" w:sz="8" w:space="0" w:color="000000"/>
              <w:left w:val="nil" w:sz="6" w:space="0" w:color="auto"/>
              <w:bottom w:val="single" w:sz="8" w:space="0" w:color="000000"/>
              <w:right w:val="nil" w:sz="6" w:space="0" w:color="auto"/>
            </w:tcBorders>
          </w:tcPr>
          <w:p>
            <w:pPr>
              <w:pStyle w:val="TableParagraph"/>
              <w:spacing w:line="240" w:lineRule="auto" w:before="61"/>
              <w:ind w:right="61"/>
              <w:jc w:val="right"/>
              <w:rPr>
                <w:rFonts w:ascii="Times New Roman" w:hAnsi="Times New Roman" w:cs="Times New Roman" w:eastAsia="Times New Roman" w:hint="default"/>
                <w:sz w:val="18"/>
                <w:szCs w:val="18"/>
              </w:rPr>
            </w:pPr>
            <w:r>
              <w:rPr>
                <w:rFonts w:ascii="Times New Roman"/>
                <w:spacing w:val="-1"/>
                <w:sz w:val="18"/>
              </w:rPr>
              <w:t>1,639,229.71</w:t>
            </w:r>
          </w:p>
        </w:tc>
        <w:tc>
          <w:tcPr>
            <w:tcW w:w="1166" w:type="dxa"/>
            <w:tcBorders>
              <w:top w:val="single" w:sz="8" w:space="0" w:color="000000"/>
              <w:left w:val="nil" w:sz="6" w:space="0" w:color="auto"/>
              <w:bottom w:val="single" w:sz="8" w:space="0" w:color="000000"/>
              <w:right w:val="nil" w:sz="6" w:space="0" w:color="auto"/>
            </w:tcBorders>
          </w:tcPr>
          <w:p>
            <w:pPr>
              <w:pStyle w:val="TableParagraph"/>
              <w:spacing w:line="240" w:lineRule="auto" w:before="61"/>
              <w:ind w:right="64"/>
              <w:jc w:val="right"/>
              <w:rPr>
                <w:rFonts w:ascii="Times New Roman" w:hAnsi="Times New Roman" w:cs="Times New Roman" w:eastAsia="Times New Roman" w:hint="default"/>
                <w:sz w:val="18"/>
                <w:szCs w:val="18"/>
              </w:rPr>
            </w:pPr>
            <w:r>
              <w:rPr>
                <w:rFonts w:ascii="Times New Roman"/>
                <w:spacing w:val="-1"/>
                <w:sz w:val="18"/>
              </w:rPr>
              <w:t>13,823,723.40</w:t>
            </w:r>
          </w:p>
        </w:tc>
        <w:tc>
          <w:tcPr>
            <w:tcW w:w="1202" w:type="dxa"/>
            <w:tcBorders>
              <w:top w:val="single" w:sz="8" w:space="0" w:color="000000"/>
              <w:left w:val="nil" w:sz="6" w:space="0" w:color="auto"/>
              <w:bottom w:val="single" w:sz="8"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17,023,952.45</w:t>
            </w:r>
          </w:p>
        </w:tc>
      </w:tr>
      <w:tr>
        <w:trPr>
          <w:trHeight w:val="350" w:hRule="exact"/>
        </w:trPr>
        <w:tc>
          <w:tcPr>
            <w:tcW w:w="2817" w:type="dxa"/>
            <w:tcBorders>
              <w:top w:val="single" w:sz="8" w:space="0" w:color="000000"/>
              <w:left w:val="nil" w:sz="6" w:space="0" w:color="auto"/>
              <w:bottom w:val="single" w:sz="6" w:space="0" w:color="000000"/>
              <w:right w:val="nil" w:sz="6" w:space="0" w:color="auto"/>
            </w:tcBorders>
          </w:tcPr>
          <w:p>
            <w:pPr>
              <w:pStyle w:val="TableParagraph"/>
              <w:spacing w:line="240" w:lineRule="auto" w:before="21"/>
              <w:ind w:left="511" w:right="0"/>
              <w:jc w:val="left"/>
              <w:rPr>
                <w:rFonts w:ascii="宋体" w:hAnsi="宋体" w:cs="宋体" w:eastAsia="宋体" w:hint="default"/>
                <w:sz w:val="18"/>
                <w:szCs w:val="18"/>
              </w:rPr>
            </w:pPr>
            <w:r>
              <w:rPr>
                <w:rFonts w:ascii="宋体" w:hAnsi="宋体" w:cs="宋体" w:eastAsia="宋体" w:hint="default"/>
                <w:b/>
                <w:bCs/>
                <w:sz w:val="18"/>
                <w:szCs w:val="18"/>
              </w:rPr>
              <w:t>金融负债和或有负债合计</w:t>
            </w:r>
            <w:r>
              <w:rPr>
                <w:rFonts w:ascii="宋体" w:hAnsi="宋体" w:cs="宋体" w:eastAsia="宋体" w:hint="default"/>
                <w:sz w:val="18"/>
                <w:szCs w:val="18"/>
              </w:rPr>
            </w:r>
          </w:p>
        </w:tc>
        <w:tc>
          <w:tcPr>
            <w:tcW w:w="1538" w:type="dxa"/>
            <w:tcBorders>
              <w:top w:val="single" w:sz="8" w:space="0" w:color="000000"/>
              <w:left w:val="nil" w:sz="6" w:space="0" w:color="auto"/>
              <w:bottom w:val="single" w:sz="6" w:space="0" w:color="000000"/>
              <w:right w:val="nil" w:sz="6" w:space="0" w:color="auto"/>
            </w:tcBorders>
          </w:tcPr>
          <w:p>
            <w:pPr>
              <w:pStyle w:val="TableParagraph"/>
              <w:spacing w:line="240" w:lineRule="auto" w:before="61"/>
              <w:ind w:right="93"/>
              <w:jc w:val="right"/>
              <w:rPr>
                <w:rFonts w:ascii="Times New Roman" w:hAnsi="Times New Roman" w:cs="Times New Roman" w:eastAsia="Times New Roman" w:hint="default"/>
                <w:sz w:val="18"/>
                <w:szCs w:val="18"/>
              </w:rPr>
            </w:pPr>
            <w:r>
              <w:rPr>
                <w:rFonts w:ascii="Times New Roman"/>
                <w:spacing w:val="-1"/>
                <w:sz w:val="18"/>
              </w:rPr>
              <w:t>356,556,730.05</w:t>
            </w:r>
          </w:p>
        </w:tc>
        <w:tc>
          <w:tcPr>
            <w:tcW w:w="1262" w:type="dxa"/>
            <w:tcBorders>
              <w:top w:val="single" w:sz="8" w:space="0" w:color="000000"/>
              <w:left w:val="nil" w:sz="6" w:space="0" w:color="auto"/>
              <w:bottom w:val="single" w:sz="6" w:space="0" w:color="000000"/>
              <w:right w:val="nil" w:sz="6" w:space="0" w:color="auto"/>
            </w:tcBorders>
          </w:tcPr>
          <w:p>
            <w:pPr>
              <w:pStyle w:val="TableParagraph"/>
              <w:spacing w:line="240" w:lineRule="auto" w:before="61"/>
              <w:ind w:right="33"/>
              <w:jc w:val="center"/>
              <w:rPr>
                <w:rFonts w:ascii="Times New Roman" w:hAnsi="Times New Roman" w:cs="Times New Roman" w:eastAsia="Times New Roman" w:hint="default"/>
                <w:sz w:val="18"/>
                <w:szCs w:val="18"/>
              </w:rPr>
            </w:pPr>
            <w:r>
              <w:rPr>
                <w:rFonts w:ascii="Times New Roman"/>
                <w:sz w:val="18"/>
              </w:rPr>
              <w:t>58,309,802.93</w:t>
            </w:r>
          </w:p>
        </w:tc>
        <w:tc>
          <w:tcPr>
            <w:tcW w:w="1140" w:type="dxa"/>
            <w:tcBorders>
              <w:top w:val="single" w:sz="8" w:space="0" w:color="000000"/>
              <w:left w:val="nil" w:sz="6" w:space="0" w:color="auto"/>
              <w:bottom w:val="single" w:sz="6" w:space="0" w:color="000000"/>
              <w:right w:val="nil" w:sz="6" w:space="0" w:color="auto"/>
            </w:tcBorders>
          </w:tcPr>
          <w:p>
            <w:pPr>
              <w:pStyle w:val="TableParagraph"/>
              <w:spacing w:line="240" w:lineRule="auto" w:before="61"/>
              <w:ind w:right="61"/>
              <w:jc w:val="right"/>
              <w:rPr>
                <w:rFonts w:ascii="Times New Roman" w:hAnsi="Times New Roman" w:cs="Times New Roman" w:eastAsia="Times New Roman" w:hint="default"/>
                <w:sz w:val="18"/>
                <w:szCs w:val="18"/>
              </w:rPr>
            </w:pPr>
            <w:r>
              <w:rPr>
                <w:rFonts w:ascii="Times New Roman"/>
                <w:spacing w:val="-1"/>
                <w:sz w:val="18"/>
              </w:rPr>
              <w:t>2,368,221.16</w:t>
            </w:r>
          </w:p>
        </w:tc>
        <w:tc>
          <w:tcPr>
            <w:tcW w:w="1166" w:type="dxa"/>
            <w:tcBorders>
              <w:top w:val="single" w:sz="8" w:space="0" w:color="000000"/>
              <w:left w:val="nil" w:sz="6" w:space="0" w:color="auto"/>
              <w:bottom w:val="single" w:sz="6" w:space="0" w:color="000000"/>
              <w:right w:val="nil" w:sz="6" w:space="0" w:color="auto"/>
            </w:tcBorders>
          </w:tcPr>
          <w:p>
            <w:pPr>
              <w:pStyle w:val="TableParagraph"/>
              <w:spacing w:line="240" w:lineRule="auto" w:before="61"/>
              <w:ind w:right="64"/>
              <w:jc w:val="right"/>
              <w:rPr>
                <w:rFonts w:ascii="Times New Roman" w:hAnsi="Times New Roman" w:cs="Times New Roman" w:eastAsia="Times New Roman" w:hint="default"/>
                <w:sz w:val="18"/>
                <w:szCs w:val="18"/>
              </w:rPr>
            </w:pPr>
            <w:r>
              <w:rPr>
                <w:rFonts w:ascii="Times New Roman"/>
                <w:spacing w:val="-1"/>
                <w:sz w:val="18"/>
              </w:rPr>
              <w:t>13,823,723.40</w:t>
            </w:r>
          </w:p>
        </w:tc>
        <w:tc>
          <w:tcPr>
            <w:tcW w:w="1202" w:type="dxa"/>
            <w:tcBorders>
              <w:top w:val="single" w:sz="8" w:space="0" w:color="000000"/>
              <w:left w:val="nil" w:sz="6" w:space="0" w:color="auto"/>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431,058,477.54</w:t>
            </w:r>
          </w:p>
        </w:tc>
      </w:tr>
    </w:tbl>
    <w:p>
      <w:pPr>
        <w:spacing w:line="240" w:lineRule="auto" w:before="10"/>
        <w:rPr>
          <w:rFonts w:ascii="宋体" w:hAnsi="宋体" w:cs="宋体" w:eastAsia="宋体" w:hint="default"/>
          <w:b/>
          <w:bCs/>
          <w:sz w:val="4"/>
          <w:szCs w:val="4"/>
        </w:rPr>
      </w:pPr>
    </w:p>
    <w:p>
      <w:pPr>
        <w:pStyle w:val="BodyText"/>
        <w:spacing w:line="240" w:lineRule="auto" w:before="35"/>
        <w:ind w:right="0"/>
        <w:jc w:val="left"/>
      </w:pPr>
      <w:r>
        <w:rPr>
          <w:spacing w:val="3"/>
        </w:rPr>
        <w:t>年初本集团持有的金融资产、金融负债和表外担保项目按未折现剩余合同现金流量的到期期限分析如下</w:t>
      </w:r>
      <w:r>
        <w:rPr/>
      </w:r>
    </w:p>
    <w:p>
      <w:pPr>
        <w:pStyle w:val="BodyText"/>
        <w:spacing w:line="240" w:lineRule="auto" w:before="37"/>
        <w:ind w:right="0"/>
        <w:jc w:val="left"/>
      </w:pPr>
      <w:r>
        <w:rPr/>
        <w:t>（单位：人民币元）：</w:t>
      </w:r>
    </w:p>
    <w:p>
      <w:pPr>
        <w:spacing w:line="240" w:lineRule="auto" w:before="0"/>
        <w:rPr>
          <w:rFonts w:ascii="宋体" w:hAnsi="宋体" w:cs="宋体" w:eastAsia="宋体" w:hint="default"/>
          <w:sz w:val="21"/>
          <w:szCs w:val="21"/>
        </w:rPr>
      </w:pPr>
    </w:p>
    <w:tbl>
      <w:tblPr>
        <w:tblW w:w="0" w:type="auto"/>
        <w:jc w:val="left"/>
        <w:tblInd w:w="153" w:type="dxa"/>
        <w:tblLayout w:type="fixed"/>
        <w:tblCellMar>
          <w:top w:w="0" w:type="dxa"/>
          <w:left w:w="0" w:type="dxa"/>
          <w:bottom w:w="0" w:type="dxa"/>
          <w:right w:w="0" w:type="dxa"/>
        </w:tblCellMar>
        <w:tblLook w:val="01E0"/>
      </w:tblPr>
      <w:tblGrid>
        <w:gridCol w:w="2585"/>
        <w:gridCol w:w="1804"/>
        <w:gridCol w:w="1254"/>
        <w:gridCol w:w="1326"/>
        <w:gridCol w:w="953"/>
        <w:gridCol w:w="1202"/>
      </w:tblGrid>
      <w:tr>
        <w:trPr>
          <w:trHeight w:val="349" w:hRule="exact"/>
        </w:trPr>
        <w:tc>
          <w:tcPr>
            <w:tcW w:w="5644" w:type="dxa"/>
            <w:gridSpan w:val="3"/>
            <w:tcBorders>
              <w:top w:val="single" w:sz="6" w:space="0" w:color="000000"/>
              <w:left w:val="nil" w:sz="6" w:space="0" w:color="auto"/>
              <w:bottom w:val="single" w:sz="8" w:space="0" w:color="000000"/>
              <w:right w:val="nil" w:sz="6" w:space="0" w:color="auto"/>
            </w:tcBorders>
          </w:tcPr>
          <w:p>
            <w:pPr/>
          </w:p>
        </w:tc>
        <w:tc>
          <w:tcPr>
            <w:tcW w:w="1326" w:type="dxa"/>
            <w:tcBorders>
              <w:top w:val="single" w:sz="6" w:space="0" w:color="000000"/>
              <w:left w:val="nil" w:sz="6" w:space="0" w:color="auto"/>
              <w:bottom w:val="single" w:sz="8" w:space="0" w:color="000000"/>
              <w:right w:val="nil" w:sz="6" w:space="0" w:color="auto"/>
            </w:tcBorders>
          </w:tcPr>
          <w:p>
            <w:pPr>
              <w:pStyle w:val="TableParagraph"/>
              <w:spacing w:line="240" w:lineRule="auto" w:before="21"/>
              <w:ind w:left="138" w:right="0"/>
              <w:jc w:val="left"/>
              <w:rPr>
                <w:rFonts w:ascii="宋体" w:hAnsi="宋体" w:cs="宋体" w:eastAsia="宋体" w:hint="default"/>
                <w:sz w:val="18"/>
                <w:szCs w:val="18"/>
              </w:rPr>
            </w:pPr>
            <w:r>
              <w:rPr>
                <w:rFonts w:ascii="宋体" w:hAnsi="宋体" w:cs="宋体" w:eastAsia="宋体" w:hint="default"/>
                <w:b/>
                <w:bCs/>
                <w:sz w:val="18"/>
                <w:szCs w:val="18"/>
              </w:rPr>
              <w:t>年初数</w:t>
            </w:r>
            <w:r>
              <w:rPr>
                <w:rFonts w:ascii="宋体" w:hAnsi="宋体" w:cs="宋体" w:eastAsia="宋体" w:hint="default"/>
                <w:sz w:val="18"/>
                <w:szCs w:val="18"/>
              </w:rPr>
            </w:r>
          </w:p>
        </w:tc>
        <w:tc>
          <w:tcPr>
            <w:tcW w:w="2155" w:type="dxa"/>
            <w:gridSpan w:val="2"/>
            <w:tcBorders>
              <w:top w:val="single" w:sz="6" w:space="0" w:color="000000"/>
              <w:left w:val="nil" w:sz="6" w:space="0" w:color="auto"/>
              <w:bottom w:val="single" w:sz="8" w:space="0" w:color="000000"/>
              <w:right w:val="nil" w:sz="6" w:space="0" w:color="auto"/>
            </w:tcBorders>
          </w:tcPr>
          <w:p>
            <w:pPr/>
          </w:p>
        </w:tc>
      </w:tr>
      <w:tr>
        <w:trPr>
          <w:trHeight w:val="353" w:hRule="exact"/>
        </w:trPr>
        <w:tc>
          <w:tcPr>
            <w:tcW w:w="2585"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15"/>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804"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89"/>
              <w:jc w:val="right"/>
              <w:rPr>
                <w:rFonts w:ascii="宋体" w:hAnsi="宋体" w:cs="宋体" w:eastAsia="宋体" w:hint="default"/>
                <w:sz w:val="18"/>
                <w:szCs w:val="18"/>
              </w:rPr>
            </w:pPr>
            <w:r>
              <w:rPr>
                <w:rFonts w:ascii="宋体" w:hAnsi="宋体" w:cs="宋体" w:eastAsia="宋体" w:hint="default"/>
                <w:b/>
                <w:bCs/>
                <w:w w:val="95"/>
                <w:sz w:val="18"/>
                <w:szCs w:val="18"/>
              </w:rPr>
              <w:t>一年以内</w:t>
            </w:r>
            <w:r>
              <w:rPr>
                <w:rFonts w:ascii="宋体" w:hAnsi="宋体" w:cs="宋体" w:eastAsia="宋体" w:hint="default"/>
                <w:sz w:val="18"/>
                <w:szCs w:val="18"/>
              </w:rPr>
            </w:r>
          </w:p>
        </w:tc>
        <w:tc>
          <w:tcPr>
            <w:tcW w:w="1254"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78"/>
              <w:jc w:val="right"/>
              <w:rPr>
                <w:rFonts w:ascii="宋体" w:hAnsi="宋体" w:cs="宋体" w:eastAsia="宋体" w:hint="default"/>
                <w:sz w:val="18"/>
                <w:szCs w:val="18"/>
              </w:rPr>
            </w:pPr>
            <w:r>
              <w:rPr>
                <w:rFonts w:ascii="宋体" w:hAnsi="宋体" w:cs="宋体" w:eastAsia="宋体" w:hint="default"/>
                <w:b/>
                <w:bCs/>
                <w:w w:val="95"/>
                <w:sz w:val="18"/>
                <w:szCs w:val="18"/>
              </w:rPr>
              <w:t>一至二年以内</w:t>
            </w:r>
            <w:r>
              <w:rPr>
                <w:rFonts w:ascii="宋体" w:hAnsi="宋体" w:cs="宋体" w:eastAsia="宋体" w:hint="default"/>
                <w:sz w:val="18"/>
                <w:szCs w:val="18"/>
              </w:rPr>
            </w:r>
          </w:p>
        </w:tc>
        <w:tc>
          <w:tcPr>
            <w:tcW w:w="132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79" w:right="0"/>
              <w:jc w:val="left"/>
              <w:rPr>
                <w:rFonts w:ascii="宋体" w:hAnsi="宋体" w:cs="宋体" w:eastAsia="宋体" w:hint="default"/>
                <w:sz w:val="18"/>
                <w:szCs w:val="18"/>
              </w:rPr>
            </w:pPr>
            <w:r>
              <w:rPr>
                <w:rFonts w:ascii="宋体" w:hAnsi="宋体" w:cs="宋体" w:eastAsia="宋体" w:hint="default"/>
                <w:b/>
                <w:bCs/>
                <w:sz w:val="18"/>
                <w:szCs w:val="18"/>
              </w:rPr>
              <w:t>二至三年以内</w:t>
            </w:r>
            <w:r>
              <w:rPr>
                <w:rFonts w:ascii="宋体" w:hAnsi="宋体" w:cs="宋体" w:eastAsia="宋体" w:hint="default"/>
                <w:sz w:val="18"/>
                <w:szCs w:val="18"/>
              </w:rPr>
            </w:r>
          </w:p>
        </w:tc>
        <w:tc>
          <w:tcPr>
            <w:tcW w:w="953"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65"/>
              <w:jc w:val="right"/>
              <w:rPr>
                <w:rFonts w:ascii="宋体" w:hAnsi="宋体" w:cs="宋体" w:eastAsia="宋体" w:hint="default"/>
                <w:sz w:val="18"/>
                <w:szCs w:val="18"/>
              </w:rPr>
            </w:pPr>
            <w:r>
              <w:rPr>
                <w:rFonts w:ascii="宋体" w:hAnsi="宋体" w:cs="宋体" w:eastAsia="宋体" w:hint="default"/>
                <w:b/>
                <w:bCs/>
                <w:w w:val="95"/>
                <w:sz w:val="18"/>
                <w:szCs w:val="18"/>
              </w:rPr>
              <w:t>三年以上</w:t>
            </w:r>
            <w:r>
              <w:rPr>
                <w:rFonts w:ascii="宋体" w:hAnsi="宋体" w:cs="宋体" w:eastAsia="宋体" w:hint="default"/>
                <w:sz w:val="18"/>
                <w:szCs w:val="18"/>
              </w:rPr>
            </w:r>
          </w:p>
        </w:tc>
        <w:tc>
          <w:tcPr>
            <w:tcW w:w="1202"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2"/>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r>
      <w:tr>
        <w:trPr>
          <w:trHeight w:val="352" w:hRule="exact"/>
        </w:trPr>
        <w:tc>
          <w:tcPr>
            <w:tcW w:w="2585"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804" w:type="dxa"/>
            <w:tcBorders>
              <w:top w:val="single" w:sz="8" w:space="0" w:color="000000"/>
              <w:left w:val="nil" w:sz="6" w:space="0" w:color="auto"/>
              <w:bottom w:val="single" w:sz="8" w:space="0" w:color="000000"/>
              <w:right w:val="nil" w:sz="6" w:space="0" w:color="auto"/>
            </w:tcBorders>
          </w:tcPr>
          <w:p>
            <w:pPr/>
          </w:p>
        </w:tc>
        <w:tc>
          <w:tcPr>
            <w:tcW w:w="1254" w:type="dxa"/>
            <w:tcBorders>
              <w:top w:val="single" w:sz="8" w:space="0" w:color="000000"/>
              <w:left w:val="nil" w:sz="6" w:space="0" w:color="auto"/>
              <w:bottom w:val="single" w:sz="8" w:space="0" w:color="000000"/>
              <w:right w:val="nil" w:sz="6" w:space="0" w:color="auto"/>
            </w:tcBorders>
          </w:tcPr>
          <w:p>
            <w:pPr/>
          </w:p>
        </w:tc>
        <w:tc>
          <w:tcPr>
            <w:tcW w:w="1326" w:type="dxa"/>
            <w:tcBorders>
              <w:top w:val="single" w:sz="8" w:space="0" w:color="000000"/>
              <w:left w:val="nil" w:sz="6" w:space="0" w:color="auto"/>
              <w:bottom w:val="single" w:sz="8" w:space="0" w:color="000000"/>
              <w:right w:val="nil" w:sz="6" w:space="0" w:color="auto"/>
            </w:tcBorders>
          </w:tcPr>
          <w:p>
            <w:pPr/>
          </w:p>
        </w:tc>
        <w:tc>
          <w:tcPr>
            <w:tcW w:w="953" w:type="dxa"/>
            <w:tcBorders>
              <w:top w:val="single" w:sz="8" w:space="0" w:color="000000"/>
              <w:left w:val="nil" w:sz="6" w:space="0" w:color="auto"/>
              <w:bottom w:val="single" w:sz="8" w:space="0" w:color="000000"/>
              <w:right w:val="nil" w:sz="6" w:space="0" w:color="auto"/>
            </w:tcBorders>
          </w:tcPr>
          <w:p>
            <w:pPr/>
          </w:p>
        </w:tc>
        <w:tc>
          <w:tcPr>
            <w:tcW w:w="1202" w:type="dxa"/>
            <w:tcBorders>
              <w:top w:val="single" w:sz="8" w:space="0" w:color="000000"/>
              <w:left w:val="nil" w:sz="6" w:space="0" w:color="auto"/>
              <w:bottom w:val="single" w:sz="8" w:space="0" w:color="000000"/>
              <w:right w:val="nil" w:sz="6" w:space="0" w:color="auto"/>
            </w:tcBorders>
          </w:tcPr>
          <w:p>
            <w:pPr/>
          </w:p>
        </w:tc>
      </w:tr>
      <w:tr>
        <w:trPr>
          <w:trHeight w:val="352" w:hRule="exact"/>
        </w:trPr>
        <w:tc>
          <w:tcPr>
            <w:tcW w:w="2585"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04" w:type="dxa"/>
            <w:tcBorders>
              <w:top w:val="single" w:sz="8" w:space="0" w:color="000000"/>
              <w:left w:val="nil" w:sz="6" w:space="0" w:color="auto"/>
              <w:bottom w:val="single" w:sz="8" w:space="0" w:color="000000"/>
              <w:right w:val="nil" w:sz="6" w:space="0" w:color="auto"/>
            </w:tcBorders>
          </w:tcPr>
          <w:p>
            <w:pPr>
              <w:pStyle w:val="TableParagraph"/>
              <w:spacing w:line="240" w:lineRule="auto" w:before="61"/>
              <w:ind w:right="88"/>
              <w:jc w:val="right"/>
              <w:rPr>
                <w:rFonts w:ascii="Times New Roman" w:hAnsi="Times New Roman" w:cs="Times New Roman" w:eastAsia="Times New Roman" w:hint="default"/>
                <w:sz w:val="18"/>
                <w:szCs w:val="18"/>
              </w:rPr>
            </w:pPr>
            <w:r>
              <w:rPr>
                <w:rFonts w:ascii="Times New Roman"/>
                <w:spacing w:val="-1"/>
                <w:sz w:val="18"/>
              </w:rPr>
              <w:t>5,805,800.00</w:t>
            </w:r>
          </w:p>
        </w:tc>
        <w:tc>
          <w:tcPr>
            <w:tcW w:w="1254"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78"/>
              <w:jc w:val="right"/>
              <w:rPr>
                <w:rFonts w:ascii="宋体" w:hAnsi="宋体" w:cs="宋体" w:eastAsia="宋体" w:hint="default"/>
                <w:sz w:val="18"/>
                <w:szCs w:val="18"/>
              </w:rPr>
            </w:pPr>
            <w:r>
              <w:rPr>
                <w:rFonts w:ascii="宋体" w:hAnsi="宋体" w:cs="宋体" w:eastAsia="宋体" w:hint="default"/>
                <w:sz w:val="18"/>
                <w:szCs w:val="18"/>
              </w:rPr>
              <w:t>－</w:t>
            </w:r>
          </w:p>
        </w:tc>
        <w:tc>
          <w:tcPr>
            <w:tcW w:w="132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161"/>
              <w:jc w:val="right"/>
              <w:rPr>
                <w:rFonts w:ascii="宋体" w:hAnsi="宋体" w:cs="宋体" w:eastAsia="宋体" w:hint="default"/>
                <w:sz w:val="18"/>
                <w:szCs w:val="18"/>
              </w:rPr>
            </w:pPr>
            <w:r>
              <w:rPr>
                <w:rFonts w:ascii="宋体" w:hAnsi="宋体" w:cs="宋体" w:eastAsia="宋体" w:hint="default"/>
                <w:sz w:val="18"/>
                <w:szCs w:val="18"/>
              </w:rPr>
              <w:t>－</w:t>
            </w:r>
          </w:p>
        </w:tc>
        <w:tc>
          <w:tcPr>
            <w:tcW w:w="953"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65"/>
              <w:jc w:val="right"/>
              <w:rPr>
                <w:rFonts w:ascii="宋体" w:hAnsi="宋体" w:cs="宋体" w:eastAsia="宋体" w:hint="default"/>
                <w:sz w:val="18"/>
                <w:szCs w:val="18"/>
              </w:rPr>
            </w:pPr>
            <w:r>
              <w:rPr>
                <w:rFonts w:ascii="宋体" w:hAnsi="宋体" w:cs="宋体" w:eastAsia="宋体" w:hint="default"/>
                <w:sz w:val="18"/>
                <w:szCs w:val="18"/>
              </w:rPr>
              <w:t>－</w:t>
            </w:r>
          </w:p>
        </w:tc>
        <w:tc>
          <w:tcPr>
            <w:tcW w:w="1202" w:type="dxa"/>
            <w:tcBorders>
              <w:top w:val="single" w:sz="8" w:space="0" w:color="000000"/>
              <w:left w:val="nil" w:sz="6" w:space="0" w:color="auto"/>
              <w:bottom w:val="single" w:sz="8"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5,805,800.00</w:t>
            </w:r>
          </w:p>
        </w:tc>
      </w:tr>
      <w:tr>
        <w:trPr>
          <w:trHeight w:val="353" w:hRule="exact"/>
        </w:trPr>
        <w:tc>
          <w:tcPr>
            <w:tcW w:w="2585"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04" w:type="dxa"/>
            <w:tcBorders>
              <w:top w:val="single" w:sz="8" w:space="0" w:color="000000"/>
              <w:left w:val="nil" w:sz="6" w:space="0" w:color="auto"/>
              <w:bottom w:val="single" w:sz="8" w:space="0" w:color="000000"/>
              <w:right w:val="nil" w:sz="6" w:space="0" w:color="auto"/>
            </w:tcBorders>
          </w:tcPr>
          <w:p>
            <w:pPr>
              <w:pStyle w:val="TableParagraph"/>
              <w:spacing w:line="240" w:lineRule="auto" w:before="61"/>
              <w:ind w:right="88"/>
              <w:jc w:val="right"/>
              <w:rPr>
                <w:rFonts w:ascii="Times New Roman" w:hAnsi="Times New Roman" w:cs="Times New Roman" w:eastAsia="Times New Roman" w:hint="default"/>
                <w:sz w:val="18"/>
                <w:szCs w:val="18"/>
              </w:rPr>
            </w:pPr>
            <w:r>
              <w:rPr>
                <w:rFonts w:ascii="Times New Roman"/>
                <w:spacing w:val="-1"/>
                <w:sz w:val="18"/>
              </w:rPr>
              <w:t>134,621,142.90</w:t>
            </w:r>
          </w:p>
        </w:tc>
        <w:tc>
          <w:tcPr>
            <w:tcW w:w="1254" w:type="dxa"/>
            <w:tcBorders>
              <w:top w:val="single" w:sz="8" w:space="0" w:color="000000"/>
              <w:left w:val="nil" w:sz="6" w:space="0" w:color="auto"/>
              <w:bottom w:val="single" w:sz="8" w:space="0" w:color="000000"/>
              <w:right w:val="nil" w:sz="6" w:space="0" w:color="auto"/>
            </w:tcBorders>
          </w:tcPr>
          <w:p>
            <w:pPr>
              <w:pStyle w:val="TableParagraph"/>
              <w:spacing w:line="240" w:lineRule="auto" w:before="61"/>
              <w:ind w:right="77"/>
              <w:jc w:val="right"/>
              <w:rPr>
                <w:rFonts w:ascii="Times New Roman" w:hAnsi="Times New Roman" w:cs="Times New Roman" w:eastAsia="Times New Roman" w:hint="default"/>
                <w:sz w:val="18"/>
                <w:szCs w:val="18"/>
              </w:rPr>
            </w:pPr>
            <w:r>
              <w:rPr>
                <w:rFonts w:ascii="Times New Roman"/>
                <w:spacing w:val="-1"/>
                <w:sz w:val="18"/>
              </w:rPr>
              <w:t>10,349,022.72</w:t>
            </w:r>
          </w:p>
        </w:tc>
        <w:tc>
          <w:tcPr>
            <w:tcW w:w="132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161"/>
              <w:jc w:val="right"/>
              <w:rPr>
                <w:rFonts w:ascii="宋体" w:hAnsi="宋体" w:cs="宋体" w:eastAsia="宋体" w:hint="default"/>
                <w:sz w:val="18"/>
                <w:szCs w:val="18"/>
              </w:rPr>
            </w:pPr>
            <w:r>
              <w:rPr>
                <w:rFonts w:ascii="宋体" w:hAnsi="宋体" w:cs="宋体" w:eastAsia="宋体" w:hint="default"/>
                <w:sz w:val="18"/>
                <w:szCs w:val="18"/>
              </w:rPr>
              <w:t>－</w:t>
            </w:r>
          </w:p>
        </w:tc>
        <w:tc>
          <w:tcPr>
            <w:tcW w:w="953"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65"/>
              <w:jc w:val="right"/>
              <w:rPr>
                <w:rFonts w:ascii="宋体" w:hAnsi="宋体" w:cs="宋体" w:eastAsia="宋体" w:hint="default"/>
                <w:sz w:val="18"/>
                <w:szCs w:val="18"/>
              </w:rPr>
            </w:pPr>
            <w:r>
              <w:rPr>
                <w:rFonts w:ascii="宋体" w:hAnsi="宋体" w:cs="宋体" w:eastAsia="宋体" w:hint="default"/>
                <w:sz w:val="18"/>
                <w:szCs w:val="18"/>
              </w:rPr>
              <w:t>－</w:t>
            </w:r>
          </w:p>
        </w:tc>
        <w:tc>
          <w:tcPr>
            <w:tcW w:w="1202" w:type="dxa"/>
            <w:tcBorders>
              <w:top w:val="single" w:sz="8" w:space="0" w:color="000000"/>
              <w:left w:val="nil" w:sz="6" w:space="0" w:color="auto"/>
              <w:bottom w:val="single" w:sz="8"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144,970,165.62</w:t>
            </w:r>
          </w:p>
        </w:tc>
      </w:tr>
      <w:tr>
        <w:trPr>
          <w:trHeight w:val="352" w:hRule="exact"/>
        </w:trPr>
        <w:tc>
          <w:tcPr>
            <w:tcW w:w="2585"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04" w:type="dxa"/>
            <w:tcBorders>
              <w:top w:val="single" w:sz="8" w:space="0" w:color="000000"/>
              <w:left w:val="nil" w:sz="6" w:space="0" w:color="auto"/>
              <w:bottom w:val="single" w:sz="8" w:space="0" w:color="000000"/>
              <w:right w:val="nil" w:sz="6" w:space="0" w:color="auto"/>
            </w:tcBorders>
          </w:tcPr>
          <w:p>
            <w:pPr>
              <w:pStyle w:val="TableParagraph"/>
              <w:spacing w:line="240" w:lineRule="auto" w:before="61"/>
              <w:ind w:right="88"/>
              <w:jc w:val="right"/>
              <w:rPr>
                <w:rFonts w:ascii="Times New Roman" w:hAnsi="Times New Roman" w:cs="Times New Roman" w:eastAsia="Times New Roman" w:hint="default"/>
                <w:sz w:val="18"/>
                <w:szCs w:val="18"/>
              </w:rPr>
            </w:pPr>
            <w:r>
              <w:rPr>
                <w:rFonts w:ascii="Times New Roman"/>
                <w:spacing w:val="-1"/>
                <w:sz w:val="18"/>
              </w:rPr>
              <w:t>100,734,648.29</w:t>
            </w:r>
          </w:p>
        </w:tc>
        <w:tc>
          <w:tcPr>
            <w:tcW w:w="1254"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78"/>
              <w:jc w:val="right"/>
              <w:rPr>
                <w:rFonts w:ascii="宋体" w:hAnsi="宋体" w:cs="宋体" w:eastAsia="宋体" w:hint="default"/>
                <w:sz w:val="18"/>
                <w:szCs w:val="18"/>
              </w:rPr>
            </w:pPr>
            <w:r>
              <w:rPr>
                <w:rFonts w:ascii="宋体" w:hAnsi="宋体" w:cs="宋体" w:eastAsia="宋体" w:hint="default"/>
                <w:sz w:val="18"/>
                <w:szCs w:val="18"/>
              </w:rPr>
              <w:t>－</w:t>
            </w:r>
          </w:p>
        </w:tc>
        <w:tc>
          <w:tcPr>
            <w:tcW w:w="132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161"/>
              <w:jc w:val="right"/>
              <w:rPr>
                <w:rFonts w:ascii="宋体" w:hAnsi="宋体" w:cs="宋体" w:eastAsia="宋体" w:hint="default"/>
                <w:sz w:val="18"/>
                <w:szCs w:val="18"/>
              </w:rPr>
            </w:pPr>
            <w:r>
              <w:rPr>
                <w:rFonts w:ascii="宋体" w:hAnsi="宋体" w:cs="宋体" w:eastAsia="宋体" w:hint="default"/>
                <w:sz w:val="18"/>
                <w:szCs w:val="18"/>
              </w:rPr>
              <w:t>－</w:t>
            </w:r>
          </w:p>
        </w:tc>
        <w:tc>
          <w:tcPr>
            <w:tcW w:w="953"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65"/>
              <w:jc w:val="right"/>
              <w:rPr>
                <w:rFonts w:ascii="宋体" w:hAnsi="宋体" w:cs="宋体" w:eastAsia="宋体" w:hint="default"/>
                <w:sz w:val="18"/>
                <w:szCs w:val="18"/>
              </w:rPr>
            </w:pPr>
            <w:r>
              <w:rPr>
                <w:rFonts w:ascii="宋体" w:hAnsi="宋体" w:cs="宋体" w:eastAsia="宋体" w:hint="default"/>
                <w:sz w:val="18"/>
                <w:szCs w:val="18"/>
              </w:rPr>
              <w:t>－</w:t>
            </w:r>
          </w:p>
        </w:tc>
        <w:tc>
          <w:tcPr>
            <w:tcW w:w="1202" w:type="dxa"/>
            <w:tcBorders>
              <w:top w:val="single" w:sz="8" w:space="0" w:color="000000"/>
              <w:left w:val="nil" w:sz="6" w:space="0" w:color="auto"/>
              <w:bottom w:val="single" w:sz="8"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100,734,648.29</w:t>
            </w:r>
          </w:p>
        </w:tc>
      </w:tr>
      <w:tr>
        <w:trPr>
          <w:trHeight w:val="352" w:hRule="exact"/>
        </w:trPr>
        <w:tc>
          <w:tcPr>
            <w:tcW w:w="2585"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04" w:type="dxa"/>
            <w:tcBorders>
              <w:top w:val="single" w:sz="8" w:space="0" w:color="000000"/>
              <w:left w:val="nil" w:sz="6" w:space="0" w:color="auto"/>
              <w:bottom w:val="single" w:sz="8" w:space="0" w:color="000000"/>
              <w:right w:val="nil" w:sz="6" w:space="0" w:color="auto"/>
            </w:tcBorders>
          </w:tcPr>
          <w:p>
            <w:pPr>
              <w:pStyle w:val="TableParagraph"/>
              <w:spacing w:line="240" w:lineRule="auto" w:before="61"/>
              <w:ind w:right="88"/>
              <w:jc w:val="right"/>
              <w:rPr>
                <w:rFonts w:ascii="Times New Roman" w:hAnsi="Times New Roman" w:cs="Times New Roman" w:eastAsia="Times New Roman" w:hint="default"/>
                <w:sz w:val="18"/>
                <w:szCs w:val="18"/>
              </w:rPr>
            </w:pPr>
            <w:r>
              <w:rPr>
                <w:rFonts w:ascii="Times New Roman"/>
                <w:spacing w:val="-1"/>
                <w:sz w:val="18"/>
              </w:rPr>
              <w:t>18,692,854.54</w:t>
            </w:r>
          </w:p>
        </w:tc>
        <w:tc>
          <w:tcPr>
            <w:tcW w:w="1254" w:type="dxa"/>
            <w:tcBorders>
              <w:top w:val="single" w:sz="8" w:space="0" w:color="000000"/>
              <w:left w:val="nil" w:sz="6" w:space="0" w:color="auto"/>
              <w:bottom w:val="single" w:sz="8" w:space="0" w:color="000000"/>
              <w:right w:val="nil" w:sz="6" w:space="0" w:color="auto"/>
            </w:tcBorders>
          </w:tcPr>
          <w:p>
            <w:pPr>
              <w:pStyle w:val="TableParagraph"/>
              <w:spacing w:line="240" w:lineRule="auto" w:before="61"/>
              <w:ind w:right="77"/>
              <w:jc w:val="right"/>
              <w:rPr>
                <w:rFonts w:ascii="Times New Roman" w:hAnsi="Times New Roman" w:cs="Times New Roman" w:eastAsia="Times New Roman" w:hint="default"/>
                <w:sz w:val="18"/>
                <w:szCs w:val="18"/>
              </w:rPr>
            </w:pPr>
            <w:r>
              <w:rPr>
                <w:rFonts w:ascii="Times New Roman"/>
                <w:spacing w:val="-1"/>
                <w:sz w:val="18"/>
              </w:rPr>
              <w:t>67,691,499.00</w:t>
            </w:r>
          </w:p>
        </w:tc>
        <w:tc>
          <w:tcPr>
            <w:tcW w:w="132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161"/>
              <w:jc w:val="right"/>
              <w:rPr>
                <w:rFonts w:ascii="宋体" w:hAnsi="宋体" w:cs="宋体" w:eastAsia="宋体" w:hint="default"/>
                <w:sz w:val="18"/>
                <w:szCs w:val="18"/>
              </w:rPr>
            </w:pPr>
            <w:r>
              <w:rPr>
                <w:rFonts w:ascii="宋体" w:hAnsi="宋体" w:cs="宋体" w:eastAsia="宋体" w:hint="default"/>
                <w:sz w:val="18"/>
                <w:szCs w:val="18"/>
              </w:rPr>
              <w:t>－</w:t>
            </w:r>
          </w:p>
        </w:tc>
        <w:tc>
          <w:tcPr>
            <w:tcW w:w="953"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65"/>
              <w:jc w:val="right"/>
              <w:rPr>
                <w:rFonts w:ascii="宋体" w:hAnsi="宋体" w:cs="宋体" w:eastAsia="宋体" w:hint="default"/>
                <w:sz w:val="18"/>
                <w:szCs w:val="18"/>
              </w:rPr>
            </w:pPr>
            <w:r>
              <w:rPr>
                <w:rFonts w:ascii="宋体" w:hAnsi="宋体" w:cs="宋体" w:eastAsia="宋体" w:hint="default"/>
                <w:sz w:val="18"/>
                <w:szCs w:val="18"/>
              </w:rPr>
              <w:t>－</w:t>
            </w:r>
          </w:p>
        </w:tc>
        <w:tc>
          <w:tcPr>
            <w:tcW w:w="1202" w:type="dxa"/>
            <w:tcBorders>
              <w:top w:val="single" w:sz="8" w:space="0" w:color="000000"/>
              <w:left w:val="nil" w:sz="6" w:space="0" w:color="auto"/>
              <w:bottom w:val="single" w:sz="8"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86,384,353.54</w:t>
            </w:r>
          </w:p>
        </w:tc>
      </w:tr>
      <w:tr>
        <w:trPr>
          <w:trHeight w:val="350" w:hRule="exact"/>
        </w:trPr>
        <w:tc>
          <w:tcPr>
            <w:tcW w:w="2585" w:type="dxa"/>
            <w:tcBorders>
              <w:top w:val="single" w:sz="8"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b/>
                <w:bCs/>
                <w:sz w:val="18"/>
                <w:szCs w:val="18"/>
              </w:rPr>
              <w:t>金融负债和或有负债合计</w:t>
            </w:r>
            <w:r>
              <w:rPr>
                <w:rFonts w:ascii="宋体" w:hAnsi="宋体" w:cs="宋体" w:eastAsia="宋体" w:hint="default"/>
                <w:sz w:val="18"/>
                <w:szCs w:val="18"/>
              </w:rPr>
            </w:r>
          </w:p>
        </w:tc>
        <w:tc>
          <w:tcPr>
            <w:tcW w:w="1804" w:type="dxa"/>
            <w:tcBorders>
              <w:top w:val="single" w:sz="8" w:space="0" w:color="000000"/>
              <w:left w:val="nil" w:sz="6" w:space="0" w:color="auto"/>
              <w:bottom w:val="single" w:sz="6" w:space="0" w:color="000000"/>
              <w:right w:val="nil" w:sz="6" w:space="0" w:color="auto"/>
            </w:tcBorders>
          </w:tcPr>
          <w:p>
            <w:pPr>
              <w:pStyle w:val="TableParagraph"/>
              <w:spacing w:line="240" w:lineRule="auto" w:before="61"/>
              <w:ind w:right="88"/>
              <w:jc w:val="right"/>
              <w:rPr>
                <w:rFonts w:ascii="Times New Roman" w:hAnsi="Times New Roman" w:cs="Times New Roman" w:eastAsia="Times New Roman" w:hint="default"/>
                <w:sz w:val="18"/>
                <w:szCs w:val="18"/>
              </w:rPr>
            </w:pPr>
            <w:r>
              <w:rPr>
                <w:rFonts w:ascii="Times New Roman"/>
                <w:spacing w:val="-1"/>
                <w:sz w:val="18"/>
              </w:rPr>
              <w:t>259,854,445.73</w:t>
            </w:r>
          </w:p>
        </w:tc>
        <w:tc>
          <w:tcPr>
            <w:tcW w:w="1254" w:type="dxa"/>
            <w:tcBorders>
              <w:top w:val="single" w:sz="8" w:space="0" w:color="000000"/>
              <w:left w:val="nil" w:sz="6" w:space="0" w:color="auto"/>
              <w:bottom w:val="single" w:sz="6" w:space="0" w:color="000000"/>
              <w:right w:val="nil" w:sz="6" w:space="0" w:color="auto"/>
            </w:tcBorders>
          </w:tcPr>
          <w:p>
            <w:pPr>
              <w:pStyle w:val="TableParagraph"/>
              <w:spacing w:line="240" w:lineRule="auto" w:before="61"/>
              <w:ind w:right="77"/>
              <w:jc w:val="right"/>
              <w:rPr>
                <w:rFonts w:ascii="Times New Roman" w:hAnsi="Times New Roman" w:cs="Times New Roman" w:eastAsia="Times New Roman" w:hint="default"/>
                <w:sz w:val="18"/>
                <w:szCs w:val="18"/>
              </w:rPr>
            </w:pPr>
            <w:r>
              <w:rPr>
                <w:rFonts w:ascii="Times New Roman"/>
                <w:spacing w:val="-1"/>
                <w:sz w:val="18"/>
              </w:rPr>
              <w:t>78,040,521.72</w:t>
            </w:r>
          </w:p>
        </w:tc>
        <w:tc>
          <w:tcPr>
            <w:tcW w:w="1326" w:type="dxa"/>
            <w:tcBorders>
              <w:top w:val="single" w:sz="8" w:space="0" w:color="000000"/>
              <w:left w:val="nil" w:sz="6" w:space="0" w:color="auto"/>
              <w:bottom w:val="single" w:sz="6" w:space="0" w:color="000000"/>
              <w:right w:val="nil" w:sz="6" w:space="0" w:color="auto"/>
            </w:tcBorders>
          </w:tcPr>
          <w:p>
            <w:pPr>
              <w:pStyle w:val="TableParagraph"/>
              <w:spacing w:line="240" w:lineRule="auto" w:before="21"/>
              <w:ind w:right="161"/>
              <w:jc w:val="right"/>
              <w:rPr>
                <w:rFonts w:ascii="宋体" w:hAnsi="宋体" w:cs="宋体" w:eastAsia="宋体" w:hint="default"/>
                <w:sz w:val="18"/>
                <w:szCs w:val="18"/>
              </w:rPr>
            </w:pPr>
            <w:r>
              <w:rPr>
                <w:rFonts w:ascii="宋体" w:hAnsi="宋体" w:cs="宋体" w:eastAsia="宋体" w:hint="default"/>
                <w:sz w:val="18"/>
                <w:szCs w:val="18"/>
              </w:rPr>
              <w:t>－</w:t>
            </w:r>
          </w:p>
        </w:tc>
        <w:tc>
          <w:tcPr>
            <w:tcW w:w="953" w:type="dxa"/>
            <w:tcBorders>
              <w:top w:val="single" w:sz="8" w:space="0" w:color="000000"/>
              <w:left w:val="nil" w:sz="6" w:space="0" w:color="auto"/>
              <w:bottom w:val="single" w:sz="6" w:space="0" w:color="000000"/>
              <w:right w:val="nil" w:sz="6" w:space="0" w:color="auto"/>
            </w:tcBorders>
          </w:tcPr>
          <w:p>
            <w:pPr>
              <w:pStyle w:val="TableParagraph"/>
              <w:spacing w:line="240" w:lineRule="auto" w:before="21"/>
              <w:ind w:right="65"/>
              <w:jc w:val="right"/>
              <w:rPr>
                <w:rFonts w:ascii="宋体" w:hAnsi="宋体" w:cs="宋体" w:eastAsia="宋体" w:hint="default"/>
                <w:sz w:val="18"/>
                <w:szCs w:val="18"/>
              </w:rPr>
            </w:pPr>
            <w:r>
              <w:rPr>
                <w:rFonts w:ascii="宋体" w:hAnsi="宋体" w:cs="宋体" w:eastAsia="宋体" w:hint="default"/>
                <w:sz w:val="18"/>
                <w:szCs w:val="18"/>
              </w:rPr>
              <w:t>－</w:t>
            </w:r>
          </w:p>
        </w:tc>
        <w:tc>
          <w:tcPr>
            <w:tcW w:w="1202" w:type="dxa"/>
            <w:tcBorders>
              <w:top w:val="single" w:sz="8" w:space="0" w:color="000000"/>
              <w:left w:val="nil" w:sz="6" w:space="0" w:color="auto"/>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337,894,967.45</w:t>
            </w:r>
          </w:p>
        </w:tc>
      </w:tr>
    </w:tbl>
    <w:p>
      <w:pPr>
        <w:spacing w:line="240" w:lineRule="auto" w:before="10"/>
        <w:rPr>
          <w:rFonts w:ascii="宋体" w:hAnsi="宋体" w:cs="宋体" w:eastAsia="宋体" w:hint="default"/>
          <w:sz w:val="10"/>
          <w:szCs w:val="10"/>
        </w:rPr>
      </w:pPr>
    </w:p>
    <w:p>
      <w:pPr>
        <w:pStyle w:val="BodyText"/>
        <w:spacing w:line="240" w:lineRule="auto" w:before="35"/>
        <w:ind w:right="0"/>
        <w:jc w:val="both"/>
      </w:pPr>
      <w:r>
        <w:rPr/>
        <w:t>上表中披露的金融负债金额为未经折现的合同现金流量，因而可能与资产负债表中的账面金额有所不同。</w:t>
      </w:r>
    </w:p>
    <w:p>
      <w:pPr>
        <w:spacing w:line="240" w:lineRule="auto" w:before="0"/>
        <w:rPr>
          <w:rFonts w:ascii="宋体" w:hAnsi="宋体" w:cs="宋体" w:eastAsia="宋体" w:hint="default"/>
          <w:sz w:val="20"/>
          <w:szCs w:val="20"/>
        </w:rPr>
      </w:pPr>
    </w:p>
    <w:p>
      <w:pPr>
        <w:pStyle w:val="BodyText"/>
        <w:spacing w:line="240" w:lineRule="auto" w:before="147"/>
        <w:ind w:left="153" w:right="0"/>
        <w:jc w:val="both"/>
      </w:pPr>
      <w:r>
        <w:rPr/>
        <w:t>（</w:t>
      </w:r>
      <w:r>
        <w:rPr>
          <w:rFonts w:ascii="Times New Roman" w:hAnsi="Times New Roman" w:cs="Times New Roman" w:eastAsia="Times New Roman" w:hint="default"/>
        </w:rPr>
        <w:t>3</w:t>
      </w:r>
      <w:r>
        <w:rPr/>
        <w:t>）市场风险</w:t>
      </w:r>
    </w:p>
    <w:p>
      <w:pPr>
        <w:spacing w:line="240" w:lineRule="auto" w:before="1"/>
        <w:rPr>
          <w:rFonts w:ascii="宋体" w:hAnsi="宋体" w:cs="宋体" w:eastAsia="宋体" w:hint="default"/>
          <w:sz w:val="30"/>
          <w:szCs w:val="30"/>
        </w:rPr>
      </w:pPr>
    </w:p>
    <w:p>
      <w:pPr>
        <w:pStyle w:val="BodyText"/>
        <w:spacing w:line="408" w:lineRule="auto"/>
        <w:ind w:right="1129"/>
        <w:jc w:val="both"/>
      </w:pPr>
      <w:r>
        <w:rPr>
          <w:spacing w:val="-1"/>
        </w:rPr>
        <w:t>金融工具的市场风险，是指金融工具的公允价值或未来现金流量因市场价格变动而发生波动的风险，包括</w:t>
      </w:r>
      <w:r>
        <w:rPr>
          <w:spacing w:val="-81"/>
        </w:rPr>
        <w:t> </w:t>
      </w:r>
      <w:r>
        <w:rPr>
          <w:spacing w:val="-81"/>
        </w:rPr>
      </w:r>
      <w:r>
        <w:rPr/>
        <w:t>利率风险、汇率风险和其他价格风险。</w:t>
      </w:r>
    </w:p>
    <w:p>
      <w:pPr>
        <w:spacing w:line="240" w:lineRule="auto" w:before="0"/>
        <w:rPr>
          <w:rFonts w:ascii="宋体" w:hAnsi="宋体" w:cs="宋体" w:eastAsia="宋体" w:hint="default"/>
          <w:sz w:val="20"/>
          <w:szCs w:val="20"/>
        </w:rPr>
      </w:pPr>
    </w:p>
    <w:p>
      <w:pPr>
        <w:pStyle w:val="BodyText"/>
        <w:spacing w:line="240" w:lineRule="auto"/>
        <w:ind w:right="0"/>
        <w:jc w:val="both"/>
      </w:pPr>
      <w:r>
        <w:rPr/>
        <w:t>利率风险</w:t>
      </w:r>
    </w:p>
    <w:p>
      <w:pPr>
        <w:spacing w:line="240" w:lineRule="auto" w:before="0"/>
        <w:rPr>
          <w:rFonts w:ascii="宋体" w:hAnsi="宋体" w:cs="宋体" w:eastAsia="宋体" w:hint="default"/>
          <w:sz w:val="20"/>
          <w:szCs w:val="20"/>
        </w:rPr>
      </w:pPr>
    </w:p>
    <w:p>
      <w:pPr>
        <w:pStyle w:val="BodyText"/>
        <w:spacing w:line="408" w:lineRule="auto" w:before="147"/>
        <w:ind w:right="1129"/>
        <w:jc w:val="both"/>
      </w:pPr>
      <w:r>
        <w:rPr>
          <w:spacing w:val="-1"/>
        </w:rPr>
        <w:t>利率风险，是指金融工具的公允价值或未来现金流量因市场利率变动而发生波动的风险。利率风险可源于</w:t>
      </w:r>
      <w:r>
        <w:rPr>
          <w:spacing w:val="-81"/>
        </w:rPr>
        <w:t> </w:t>
      </w:r>
      <w:r>
        <w:rPr>
          <w:spacing w:val="-81"/>
        </w:rPr>
      </w:r>
      <w:r>
        <w:rPr/>
        <w:t>已确认的计息金融工具和未确认的金融工具（如某些贷款承诺）。</w:t>
      </w:r>
    </w:p>
    <w:p>
      <w:pPr>
        <w:spacing w:line="240" w:lineRule="auto" w:before="0"/>
        <w:rPr>
          <w:rFonts w:ascii="宋体" w:hAnsi="宋体" w:cs="宋体" w:eastAsia="宋体" w:hint="default"/>
          <w:sz w:val="20"/>
          <w:szCs w:val="20"/>
        </w:rPr>
      </w:pPr>
    </w:p>
    <w:p>
      <w:pPr>
        <w:pStyle w:val="BodyText"/>
        <w:spacing w:line="240" w:lineRule="auto"/>
        <w:ind w:right="0"/>
        <w:jc w:val="both"/>
      </w:pPr>
      <w:r>
        <w:rPr/>
        <w:t>本集团的利率风险主要产生于长期银行借款，利率为浮动利率。</w:t>
      </w:r>
    </w:p>
    <w:p>
      <w:pPr>
        <w:spacing w:line="240" w:lineRule="auto" w:before="0"/>
        <w:rPr>
          <w:rFonts w:ascii="宋体" w:hAnsi="宋体" w:cs="宋体" w:eastAsia="宋体" w:hint="default"/>
          <w:sz w:val="20"/>
          <w:szCs w:val="20"/>
        </w:rPr>
      </w:pPr>
    </w:p>
    <w:p>
      <w:pPr>
        <w:pStyle w:val="BodyText"/>
        <w:spacing w:line="408" w:lineRule="auto" w:before="147"/>
        <w:ind w:right="1129"/>
        <w:jc w:val="both"/>
      </w:pPr>
      <w:r>
        <w:rPr>
          <w:spacing w:val="-1"/>
        </w:rPr>
        <w:t>本集团密切关注利率变动对本集团利率风险的影响。本集团目前并未采取利率对冲政策，但管理层负责监</w:t>
      </w:r>
      <w:r>
        <w:rPr>
          <w:spacing w:val="-81"/>
        </w:rPr>
        <w:t> </w:t>
      </w:r>
      <w:r>
        <w:rPr>
          <w:spacing w:val="-81"/>
        </w:rPr>
      </w:r>
      <w:r>
        <w:rPr>
          <w:spacing w:val="-1"/>
        </w:rPr>
        <w:t>控利率风险，并将于需要时考虑对冲重大利率风险。由于定期存款为短期存款，故银行存款的公允价值利</w:t>
      </w:r>
      <w:r>
        <w:rPr>
          <w:spacing w:val="-83"/>
        </w:rPr>
        <w:t> </w:t>
      </w:r>
      <w:r>
        <w:rPr>
          <w:spacing w:val="-83"/>
        </w:rPr>
      </w:r>
      <w:r>
        <w:rPr/>
        <w:t>率风险并不重大。</w:t>
      </w:r>
    </w:p>
    <w:p>
      <w:pPr>
        <w:spacing w:line="240" w:lineRule="auto" w:before="0"/>
        <w:rPr>
          <w:rFonts w:ascii="宋体" w:hAnsi="宋体" w:cs="宋体" w:eastAsia="宋体" w:hint="default"/>
          <w:sz w:val="20"/>
          <w:szCs w:val="20"/>
        </w:rPr>
      </w:pPr>
    </w:p>
    <w:p>
      <w:pPr>
        <w:pStyle w:val="BodyText"/>
        <w:spacing w:line="240" w:lineRule="auto"/>
        <w:ind w:right="0"/>
        <w:jc w:val="both"/>
      </w:pPr>
      <w:r>
        <w:rPr/>
        <w:t>本集团持有的计息金融负债如下（单位：人民币元）：</w:t>
      </w:r>
    </w:p>
    <w:p>
      <w:pPr>
        <w:spacing w:line="240" w:lineRule="auto" w:before="6"/>
        <w:rPr>
          <w:rFonts w:ascii="宋体" w:hAnsi="宋体" w:cs="宋体" w:eastAsia="宋体" w:hint="default"/>
          <w:sz w:val="26"/>
          <w:szCs w:val="26"/>
        </w:rPr>
      </w:pPr>
    </w:p>
    <w:p>
      <w:pPr>
        <w:spacing w:line="20" w:lineRule="exact"/>
        <w:ind w:left="146" w:right="0" w:firstLine="0"/>
        <w:rPr>
          <w:rFonts w:ascii="宋体" w:hAnsi="宋体" w:cs="宋体" w:eastAsia="宋体" w:hint="default"/>
          <w:sz w:val="2"/>
          <w:szCs w:val="2"/>
        </w:rPr>
      </w:pPr>
      <w:r>
        <w:rPr>
          <w:rFonts w:ascii="宋体" w:hAnsi="宋体" w:cs="宋体" w:eastAsia="宋体" w:hint="default"/>
          <w:sz w:val="2"/>
          <w:szCs w:val="2"/>
        </w:rPr>
        <w:pict>
          <v:group style="width:457.5pt;height:.75pt;mso-position-horizontal-relative:char;mso-position-vertical-relative:line" coordorigin="0,0" coordsize="9150,15">
            <v:group style="position:absolute;left:7;top:7;width:9136;height:2" coordorigin="7,7" coordsize="9136,2">
              <v:shape style="position:absolute;left:7;top:7;width:9136;height:2" coordorigin="7,7" coordsize="9136,0" path="m7,7l9143,7e" filled="false" stroked="true" strokeweight=".72pt" strokecolor="#000000">
                <v:path arrowok="t"/>
              </v:shape>
            </v:group>
          </v:group>
        </w:pict>
      </w:r>
      <w:r>
        <w:rPr>
          <w:rFonts w:ascii="宋体" w:hAnsi="宋体" w:cs="宋体" w:eastAsia="宋体" w:hint="default"/>
          <w:sz w:val="2"/>
          <w:szCs w:val="2"/>
        </w:rPr>
      </w:r>
    </w:p>
    <w:p>
      <w:pPr>
        <w:tabs>
          <w:tab w:pos="5696" w:val="left" w:leader="none"/>
          <w:tab w:pos="8736" w:val="left" w:leader="none"/>
        </w:tabs>
        <w:spacing w:before="15"/>
        <w:ind w:left="163" w:right="0" w:firstLine="0"/>
        <w:jc w:val="both"/>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62"/>
          <w:sz w:val="18"/>
          <w:szCs w:val="18"/>
        </w:rPr>
        <w:t> </w:t>
      </w:r>
      <w:r>
        <w:rPr>
          <w:rFonts w:ascii="宋体" w:hAnsi="宋体" w:cs="宋体" w:eastAsia="宋体" w:hint="default"/>
          <w:b/>
          <w:bCs/>
          <w:sz w:val="18"/>
          <w:szCs w:val="18"/>
        </w:rPr>
        <w:t>目</w:t>
        <w:tab/>
      </w:r>
      <w:r>
        <w:rPr>
          <w:rFonts w:ascii="宋体" w:hAnsi="宋体" w:cs="宋体" w:eastAsia="宋体" w:hint="default"/>
          <w:b/>
          <w:bCs/>
          <w:w w:val="95"/>
          <w:sz w:val="18"/>
          <w:szCs w:val="18"/>
        </w:rPr>
        <w:t>本年数</w:t>
        <w:tab/>
      </w:r>
      <w:r>
        <w:rPr>
          <w:rFonts w:ascii="宋体" w:hAnsi="宋体" w:cs="宋体" w:eastAsia="宋体" w:hint="default"/>
          <w:b/>
          <w:bCs/>
          <w:sz w:val="18"/>
          <w:szCs w:val="18"/>
        </w:rPr>
        <w:t>上年数</w:t>
      </w:r>
      <w:r>
        <w:rPr>
          <w:rFonts w:ascii="宋体" w:hAnsi="宋体" w:cs="宋体" w:eastAsia="宋体" w:hint="default"/>
          <w:sz w:val="18"/>
          <w:szCs w:val="18"/>
        </w:rPr>
      </w:r>
    </w:p>
    <w:p>
      <w:pPr>
        <w:spacing w:line="240" w:lineRule="auto" w:before="10"/>
        <w:rPr>
          <w:rFonts w:ascii="宋体" w:hAnsi="宋体" w:cs="宋体" w:eastAsia="宋体" w:hint="default"/>
          <w:b/>
          <w:bCs/>
          <w:sz w:val="5"/>
          <w:szCs w:val="5"/>
        </w:rPr>
      </w:pPr>
    </w:p>
    <w:p>
      <w:pPr>
        <w:spacing w:line="20" w:lineRule="exact"/>
        <w:ind w:left="144" w:right="0" w:firstLine="0"/>
        <w:rPr>
          <w:rFonts w:ascii="宋体" w:hAnsi="宋体" w:cs="宋体" w:eastAsia="宋体" w:hint="default"/>
          <w:sz w:val="2"/>
          <w:szCs w:val="2"/>
        </w:rPr>
      </w:pPr>
      <w:r>
        <w:rPr>
          <w:rFonts w:ascii="宋体" w:hAnsi="宋体" w:cs="宋体" w:eastAsia="宋体" w:hint="default"/>
          <w:sz w:val="2"/>
          <w:szCs w:val="2"/>
        </w:rPr>
        <w:pict>
          <v:group style="width:457.75pt;height:1pt;mso-position-horizontal-relative:char;mso-position-vertical-relative:line" coordorigin="0,0" coordsize="9155,20">
            <v:group style="position:absolute;left:10;top:10;width:9136;height:2" coordorigin="10,10" coordsize="9136,2">
              <v:shape style="position:absolute;left:10;top:10;width:9136;height:2" coordorigin="10,10" coordsize="9136,0" path="m10,10l9145,10e" filled="false" stroked="true" strokeweight=".96002pt" strokecolor="#000000">
                <v:path arrowok="t"/>
              </v:shape>
            </v:group>
          </v:group>
        </w:pict>
      </w:r>
      <w:r>
        <w:rPr>
          <w:rFonts w:ascii="宋体" w:hAnsi="宋体" w:cs="宋体" w:eastAsia="宋体" w:hint="default"/>
          <w:sz w:val="2"/>
          <w:szCs w:val="2"/>
        </w:rPr>
      </w:r>
    </w:p>
    <w:p>
      <w:pPr>
        <w:tabs>
          <w:tab w:pos="5204" w:val="left" w:leader="none"/>
          <w:tab w:pos="9098" w:val="left" w:leader="none"/>
        </w:tabs>
        <w:spacing w:before="15"/>
        <w:ind w:left="163" w:right="0" w:firstLine="0"/>
        <w:jc w:val="both"/>
        <w:rPr>
          <w:rFonts w:ascii="宋体" w:hAnsi="宋体" w:cs="宋体" w:eastAsia="宋体" w:hint="default"/>
          <w:sz w:val="18"/>
          <w:szCs w:val="18"/>
        </w:rPr>
      </w:pPr>
      <w:r>
        <w:rPr>
          <w:rFonts w:ascii="宋体" w:hAnsi="宋体" w:cs="宋体" w:eastAsia="宋体" w:hint="default"/>
          <w:sz w:val="18"/>
          <w:szCs w:val="18"/>
        </w:rPr>
        <w:t>金融负债</w:t>
        <w:tab/>
      </w:r>
      <w:r>
        <w:rPr>
          <w:rFonts w:ascii="Times New Roman" w:hAnsi="Times New Roman" w:cs="Times New Roman" w:eastAsia="Times New Roman" w:hint="default"/>
          <w:spacing w:val="-1"/>
          <w:sz w:val="18"/>
          <w:szCs w:val="18"/>
        </w:rPr>
        <w:t>18,510,454.86</w:t>
        <w:tab/>
      </w:r>
      <w:r>
        <w:rPr>
          <w:rFonts w:ascii="宋体" w:hAnsi="宋体" w:cs="宋体" w:eastAsia="宋体" w:hint="default"/>
          <w:sz w:val="18"/>
          <w:szCs w:val="18"/>
        </w:rPr>
        <w:t>－</w:t>
      </w:r>
    </w:p>
    <w:p>
      <w:pPr>
        <w:spacing w:line="240" w:lineRule="auto" w:before="11"/>
        <w:rPr>
          <w:rFonts w:ascii="宋体" w:hAnsi="宋体" w:cs="宋体" w:eastAsia="宋体" w:hint="default"/>
          <w:sz w:val="4"/>
          <w:szCs w:val="4"/>
        </w:rPr>
      </w:pP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458.5pt;height:1pt;mso-position-horizontal-relative:char;mso-position-vertical-relative:line" coordorigin="0,0" coordsize="9170,20">
            <v:group style="position:absolute;left:10;top:10;width:3627;height:2" coordorigin="10,10" coordsize="3627,2">
              <v:shape style="position:absolute;left:10;top:10;width:3627;height:2" coordorigin="10,10" coordsize="3627,0" path="m10,10l3636,10e" filled="false" stroked="true" strokeweight=".95999pt" strokecolor="#000000">
                <v:path arrowok="t"/>
              </v:shape>
            </v:group>
            <v:group style="position:absolute;left:3622;top:10;width:2499;height:2" coordorigin="3622,10" coordsize="2499,2">
              <v:shape style="position:absolute;left:3622;top:10;width:2499;height:2" coordorigin="3622,10" coordsize="2499,0" path="m3622,10l6120,10e" filled="false" stroked="true" strokeweight=".95999pt" strokecolor="#000000">
                <v:path arrowok="t"/>
              </v:shape>
            </v:group>
            <v:group style="position:absolute;left:6106;top:10;width:3054;height:2" coordorigin="6106,10" coordsize="3054,2">
              <v:shape style="position:absolute;left:6106;top:10;width:3054;height:2" coordorigin="6106,10" coordsize="3054,0" path="m6106,10l9160,10e" filled="false" stroked="true" strokeweight=".95999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47" w:footer="982" w:top="1060" w:bottom="1180" w:left="980" w:right="0"/>
        </w:sectPr>
      </w:pPr>
    </w:p>
    <w:p>
      <w:pPr>
        <w:spacing w:line="240" w:lineRule="auto" w:before="1"/>
        <w:rPr>
          <w:rFonts w:ascii="宋体" w:hAnsi="宋体" w:cs="宋体" w:eastAsia="宋体" w:hint="default"/>
          <w:sz w:val="29"/>
          <w:szCs w:val="29"/>
        </w:rPr>
      </w:pPr>
      <w:r>
        <w:rPr/>
        <w:pict>
          <v:group style="position:absolute;margin-left:55.619999pt;margin-top:740.52002pt;width:458.25pt;height:.75pt;mso-position-horizontal-relative:page;mso-position-vertical-relative:page;z-index:-1297840" coordorigin="1112,14810" coordsize="9165,15">
            <v:group style="position:absolute;left:1120;top:14818;width:2850;height:2" coordorigin="1120,14818" coordsize="2850,2">
              <v:shape style="position:absolute;left:1120;top:14818;width:2850;height:2" coordorigin="1120,14818" coordsize="2850,0" path="m1120,14818l3970,14818e" filled="false" stroked="true" strokeweight=".72pt" strokecolor="#000000">
                <v:path arrowok="t"/>
              </v:shape>
            </v:group>
            <v:group style="position:absolute;left:3955;top:14818;width:1589;height:2" coordorigin="3955,14818" coordsize="1589,2">
              <v:shape style="position:absolute;left:3955;top:14818;width:1589;height:2" coordorigin="3955,14818" coordsize="1589,0" path="m3955,14818l5544,14818e" filled="false" stroked="true" strokeweight=".72pt" strokecolor="#000000">
                <v:path arrowok="t"/>
              </v:shape>
            </v:group>
            <v:group style="position:absolute;left:5530;top:14818;width:1590;height:2" coordorigin="5530,14818" coordsize="1590,2">
              <v:shape style="position:absolute;left:5530;top:14818;width:1590;height:2" coordorigin="5530,14818" coordsize="1590,0" path="m5530,14818l7120,14818e" filled="false" stroked="true" strokeweight=".72pt" strokecolor="#000000">
                <v:path arrowok="t"/>
              </v:shape>
            </v:group>
            <v:group style="position:absolute;left:7105;top:14818;width:1589;height:2" coordorigin="7105,14818" coordsize="1589,2">
              <v:shape style="position:absolute;left:7105;top:14818;width:1589;height:2" coordorigin="7105,14818" coordsize="1589,0" path="m7105,14818l8694,14818e" filled="false" stroked="true" strokeweight=".72pt" strokecolor="#000000">
                <v:path arrowok="t"/>
              </v:shape>
            </v:group>
            <v:group style="position:absolute;left:8680;top:14818;width:1590;height:2" coordorigin="8680,14818" coordsize="1590,2">
              <v:shape style="position:absolute;left:8680;top:14818;width:1590;height:2" coordorigin="8680,14818" coordsize="1590,0" path="m8680,14818l10270,14818e" filled="false" stroked="true" strokeweight=".72pt" strokecolor="#000000">
                <v:path arrowok="t"/>
              </v:shape>
            </v:group>
            <w10:wrap type="none"/>
          </v:group>
        </w:pict>
      </w:r>
    </w:p>
    <w:tbl>
      <w:tblPr>
        <w:tblW w:w="0" w:type="auto"/>
        <w:jc w:val="left"/>
        <w:tblInd w:w="153" w:type="dxa"/>
        <w:tblLayout w:type="fixed"/>
        <w:tblCellMar>
          <w:top w:w="0" w:type="dxa"/>
          <w:left w:w="0" w:type="dxa"/>
          <w:bottom w:w="0" w:type="dxa"/>
          <w:right w:w="0" w:type="dxa"/>
        </w:tblCellMar>
        <w:tblLook w:val="01E0"/>
      </w:tblPr>
      <w:tblGrid>
        <w:gridCol w:w="3160"/>
        <w:gridCol w:w="4355"/>
        <w:gridCol w:w="1621"/>
      </w:tblGrid>
      <w:tr>
        <w:trPr>
          <w:trHeight w:val="349" w:hRule="exact"/>
        </w:trPr>
        <w:tc>
          <w:tcPr>
            <w:tcW w:w="3160" w:type="dxa"/>
            <w:tcBorders>
              <w:top w:val="single" w:sz="6" w:space="0" w:color="000000"/>
              <w:left w:val="nil" w:sz="6" w:space="0" w:color="auto"/>
              <w:bottom w:val="single" w:sz="8"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其中：短期借款</w:t>
            </w:r>
          </w:p>
        </w:tc>
        <w:tc>
          <w:tcPr>
            <w:tcW w:w="4355" w:type="dxa"/>
            <w:tcBorders>
              <w:top w:val="single" w:sz="6" w:space="0" w:color="000000"/>
              <w:left w:val="nil" w:sz="6" w:space="0" w:color="auto"/>
              <w:bottom w:val="single" w:sz="8" w:space="0" w:color="000000"/>
              <w:right w:val="nil" w:sz="6" w:space="0" w:color="auto"/>
            </w:tcBorders>
          </w:tcPr>
          <w:p>
            <w:pPr>
              <w:pStyle w:val="TableParagraph"/>
              <w:spacing w:line="240" w:lineRule="auto" w:before="21"/>
              <w:ind w:right="1427"/>
              <w:jc w:val="right"/>
              <w:rPr>
                <w:rFonts w:ascii="宋体" w:hAnsi="宋体" w:cs="宋体" w:eastAsia="宋体" w:hint="default"/>
                <w:sz w:val="18"/>
                <w:szCs w:val="18"/>
              </w:rPr>
            </w:pPr>
            <w:r>
              <w:rPr>
                <w:rFonts w:ascii="宋体" w:hAnsi="宋体" w:cs="宋体" w:eastAsia="宋体" w:hint="default"/>
                <w:sz w:val="18"/>
                <w:szCs w:val="18"/>
              </w:rPr>
              <w:t>－</w:t>
            </w:r>
          </w:p>
        </w:tc>
        <w:tc>
          <w:tcPr>
            <w:tcW w:w="1621" w:type="dxa"/>
            <w:tcBorders>
              <w:top w:val="single" w:sz="6" w:space="0" w:color="000000"/>
              <w:left w:val="nil" w:sz="6" w:space="0" w:color="auto"/>
              <w:bottom w:val="single" w:sz="8"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348" w:hRule="exact"/>
        </w:trPr>
        <w:tc>
          <w:tcPr>
            <w:tcW w:w="3160"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9"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2"/>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4355"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1426"/>
              <w:jc w:val="right"/>
              <w:rPr>
                <w:rFonts w:ascii="Times New Roman" w:hAnsi="Times New Roman" w:cs="Times New Roman" w:eastAsia="Times New Roman" w:hint="default"/>
                <w:sz w:val="18"/>
                <w:szCs w:val="18"/>
              </w:rPr>
            </w:pPr>
            <w:r>
              <w:rPr>
                <w:rFonts w:ascii="Times New Roman"/>
                <w:b/>
                <w:spacing w:val="-1"/>
                <w:sz w:val="18"/>
              </w:rPr>
              <w:t>18,510,454.86</w:t>
            </w:r>
            <w:r>
              <w:rPr>
                <w:rFonts w:ascii="Times New Roman"/>
                <w:spacing w:val="-1"/>
                <w:sz w:val="18"/>
              </w:rPr>
            </w:r>
          </w:p>
        </w:tc>
        <w:tc>
          <w:tcPr>
            <w:tcW w:w="1621"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right="11"/>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r>
    </w:tbl>
    <w:p>
      <w:pPr>
        <w:spacing w:line="240" w:lineRule="auto" w:before="12"/>
        <w:rPr>
          <w:rFonts w:ascii="宋体" w:hAnsi="宋体" w:cs="宋体" w:eastAsia="宋体" w:hint="default"/>
          <w:sz w:val="17"/>
          <w:szCs w:val="17"/>
        </w:rPr>
      </w:pPr>
    </w:p>
    <w:p>
      <w:pPr>
        <w:pStyle w:val="BodyText"/>
        <w:spacing w:line="386" w:lineRule="auto" w:before="35"/>
        <w:ind w:right="1130"/>
        <w:jc w:val="both"/>
      </w:pPr>
      <w:r>
        <w:rPr/>
        <w:t>于 </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 </w:t>
      </w:r>
      <w:r>
        <w:rPr/>
        <w:t>日，如果以浮动利率计算的借款利率上升或下降</w:t>
      </w:r>
      <w:r>
        <w:rPr>
          <w:rFonts w:ascii="Times New Roman" w:hAnsi="Times New Roman" w:cs="Times New Roman" w:eastAsia="Times New Roman" w:hint="default"/>
        </w:rPr>
        <w:t>50</w:t>
      </w:r>
      <w:r>
        <w:rPr>
          <w:rFonts w:ascii="Times New Roman" w:hAnsi="Times New Roman" w:cs="Times New Roman" w:eastAsia="Times New Roman" w:hint="default"/>
          <w:spacing w:val="22"/>
        </w:rPr>
        <w:t> </w:t>
      </w:r>
      <w:r>
        <w:rPr/>
        <w:t>个基点，而其它因素保持不变，本 集团的净利润及股东权益将减少或增加约</w:t>
      </w:r>
      <w:r>
        <w:rPr>
          <w:rFonts w:ascii="Times New Roman" w:hAnsi="Times New Roman" w:cs="Times New Roman" w:eastAsia="Times New Roman" w:hint="default"/>
        </w:rPr>
        <w:t>83,297.05</w:t>
      </w:r>
      <w:r>
        <w:rPr/>
        <w:t>元。</w:t>
      </w:r>
    </w:p>
    <w:p>
      <w:pPr>
        <w:spacing w:line="240" w:lineRule="auto" w:before="3"/>
        <w:rPr>
          <w:rFonts w:ascii="宋体" w:hAnsi="宋体" w:cs="宋体" w:eastAsia="宋体" w:hint="default"/>
          <w:sz w:val="19"/>
          <w:szCs w:val="19"/>
        </w:rPr>
      </w:pPr>
    </w:p>
    <w:p>
      <w:pPr>
        <w:pStyle w:val="BodyText"/>
        <w:spacing w:line="240" w:lineRule="auto"/>
        <w:ind w:right="0"/>
        <w:jc w:val="both"/>
      </w:pPr>
      <w:r>
        <w:rPr/>
        <w:t>汇率风险</w:t>
      </w:r>
    </w:p>
    <w:p>
      <w:pPr>
        <w:spacing w:line="240" w:lineRule="auto" w:before="0"/>
        <w:rPr>
          <w:rFonts w:ascii="宋体" w:hAnsi="宋体" w:cs="宋体" w:eastAsia="宋体" w:hint="default"/>
          <w:sz w:val="20"/>
          <w:szCs w:val="20"/>
        </w:rPr>
      </w:pPr>
    </w:p>
    <w:p>
      <w:pPr>
        <w:pStyle w:val="BodyText"/>
        <w:spacing w:line="408" w:lineRule="auto" w:before="147"/>
        <w:ind w:right="1131"/>
        <w:jc w:val="both"/>
      </w:pPr>
      <w:r>
        <w:rPr>
          <w:spacing w:val="-1"/>
        </w:rPr>
        <w:t>汇率风险，是指金融工具的公允价值或未来现金流量因外汇汇率变动而发生波动的风险。汇率风险可源于</w:t>
      </w:r>
      <w:r>
        <w:rPr>
          <w:spacing w:val="-81"/>
        </w:rPr>
        <w:t> </w:t>
      </w:r>
      <w:r>
        <w:rPr>
          <w:spacing w:val="-81"/>
        </w:rPr>
      </w:r>
      <w:r>
        <w:rPr/>
        <w:t>以记账本位币之外的外币进行计价的金融工具。</w:t>
      </w:r>
    </w:p>
    <w:p>
      <w:pPr>
        <w:spacing w:line="240" w:lineRule="auto" w:before="0"/>
        <w:rPr>
          <w:rFonts w:ascii="宋体" w:hAnsi="宋体" w:cs="宋体" w:eastAsia="宋体" w:hint="default"/>
          <w:sz w:val="20"/>
          <w:szCs w:val="20"/>
        </w:rPr>
      </w:pPr>
    </w:p>
    <w:p>
      <w:pPr>
        <w:pStyle w:val="BodyText"/>
        <w:spacing w:line="408" w:lineRule="auto"/>
        <w:ind w:right="1130"/>
        <w:jc w:val="both"/>
      </w:pPr>
      <w:r>
        <w:rPr>
          <w:spacing w:val="-1"/>
        </w:rPr>
        <w:t>本集团的主要经营位于中国境内，主要业务以人民币结算。因此，本集团所承担的外汇变动市场风险不重</w:t>
      </w:r>
      <w:r>
        <w:rPr>
          <w:spacing w:val="-83"/>
        </w:rPr>
        <w:t> </w:t>
      </w:r>
      <w:r>
        <w:rPr>
          <w:spacing w:val="-83"/>
        </w:rPr>
      </w:r>
      <w:r>
        <w:rPr/>
        <w:t>大。</w:t>
      </w:r>
    </w:p>
    <w:p>
      <w:pPr>
        <w:spacing w:line="240" w:lineRule="auto" w:before="0"/>
        <w:rPr>
          <w:rFonts w:ascii="宋体" w:hAnsi="宋体" w:cs="宋体" w:eastAsia="宋体" w:hint="default"/>
          <w:sz w:val="20"/>
          <w:szCs w:val="20"/>
        </w:rPr>
      </w:pPr>
    </w:p>
    <w:p>
      <w:pPr>
        <w:pStyle w:val="BodyText"/>
        <w:spacing w:line="597" w:lineRule="auto"/>
        <w:ind w:right="1131"/>
        <w:jc w:val="both"/>
      </w:pPr>
      <w:r>
        <w:rPr/>
        <w:t>本集团年末外币金融资产和外币金融负债列示见本附注项目注释其他之外币货币性项目说明。 其他价格风险</w:t>
      </w:r>
    </w:p>
    <w:p>
      <w:pPr>
        <w:pStyle w:val="BodyText"/>
        <w:spacing w:line="408" w:lineRule="auto" w:before="96"/>
        <w:ind w:right="1131"/>
        <w:jc w:val="both"/>
      </w:pPr>
      <w:r>
        <w:rPr>
          <w:spacing w:val="-1"/>
        </w:rPr>
        <w:t>其他价格风险，是指汇率风险和利率风险以外的市场价格变动而发生波动的风险，无论这些变动是由于与</w:t>
      </w:r>
      <w:r>
        <w:rPr>
          <w:spacing w:val="-81"/>
        </w:rPr>
        <w:t> </w:t>
      </w:r>
      <w:r>
        <w:rPr>
          <w:spacing w:val="-81"/>
        </w:rPr>
      </w:r>
      <w:r>
        <w:rPr>
          <w:spacing w:val="-1"/>
        </w:rPr>
        <w:t>单项金融工具或其发行方有关的因素而引起的，还是由于与市场内交易的所有类似金融工具有关的因素而</w:t>
      </w:r>
      <w:r>
        <w:rPr>
          <w:spacing w:val="-81"/>
        </w:rPr>
        <w:t> </w:t>
      </w:r>
      <w:r>
        <w:rPr>
          <w:spacing w:val="-81"/>
        </w:rPr>
      </w:r>
      <w:r>
        <w:rPr/>
        <w:t>引起的。其他价格风险可源于商品价格或权益工具价格等的变化。</w:t>
      </w:r>
    </w:p>
    <w:p>
      <w:pPr>
        <w:spacing w:line="240" w:lineRule="auto" w:before="0"/>
        <w:rPr>
          <w:rFonts w:ascii="宋体" w:hAnsi="宋体" w:cs="宋体" w:eastAsia="宋体" w:hint="default"/>
          <w:sz w:val="20"/>
          <w:szCs w:val="20"/>
        </w:rPr>
      </w:pPr>
    </w:p>
    <w:p>
      <w:pPr>
        <w:pStyle w:val="BodyText"/>
        <w:spacing w:line="408" w:lineRule="auto"/>
        <w:ind w:right="1131"/>
        <w:jc w:val="both"/>
      </w:pPr>
      <w:r>
        <w:rPr>
          <w:spacing w:val="-1"/>
        </w:rPr>
        <w:t>本集团持有的分类为可供出售金融资产的投资在资产负债表日以公允价值计量。因此，本集团承担着证券</w:t>
      </w:r>
      <w:r>
        <w:rPr>
          <w:spacing w:val="-81"/>
        </w:rPr>
        <w:t> </w:t>
      </w:r>
      <w:r>
        <w:rPr>
          <w:spacing w:val="-81"/>
        </w:rPr>
      </w:r>
      <w:r>
        <w:rPr/>
        <w:t>市场变动的风险。</w:t>
      </w:r>
    </w:p>
    <w:p>
      <w:pPr>
        <w:spacing w:line="240" w:lineRule="auto" w:before="0"/>
        <w:rPr>
          <w:rFonts w:ascii="宋体" w:hAnsi="宋体" w:cs="宋体" w:eastAsia="宋体" w:hint="default"/>
          <w:sz w:val="20"/>
          <w:szCs w:val="20"/>
        </w:rPr>
      </w:pPr>
    </w:p>
    <w:p>
      <w:pPr>
        <w:pStyle w:val="BodyText"/>
        <w:spacing w:line="408" w:lineRule="auto"/>
        <w:ind w:right="1131"/>
        <w:jc w:val="both"/>
      </w:pPr>
      <w:r>
        <w:rPr>
          <w:spacing w:val="-1"/>
        </w:rPr>
        <w:t>本集团密切关注价格变动对本集团权益证券投资价格风险的影响。本集团目前并未采取任何措施规避其他</w:t>
      </w:r>
      <w:r>
        <w:rPr>
          <w:spacing w:val="-81"/>
        </w:rPr>
        <w:t> </w:t>
      </w:r>
      <w:r>
        <w:rPr>
          <w:spacing w:val="-81"/>
        </w:rPr>
      </w:r>
      <w:r>
        <w:rPr>
          <w:spacing w:val="-1"/>
        </w:rPr>
        <w:t>价格风险。但管理层负责监控其他价格风险，并将于需要时考虑采取持有多种权益证券组合的方式降低权</w:t>
      </w:r>
      <w:r>
        <w:rPr>
          <w:spacing w:val="-81"/>
        </w:rPr>
        <w:t> </w:t>
      </w:r>
      <w:r>
        <w:rPr>
          <w:spacing w:val="-81"/>
        </w:rPr>
      </w:r>
      <w:r>
        <w:rPr/>
        <w:t>益证券投资的价格风险。</w:t>
      </w:r>
    </w:p>
    <w:p>
      <w:pPr>
        <w:spacing w:line="240" w:lineRule="auto" w:before="0"/>
        <w:rPr>
          <w:rFonts w:ascii="宋体" w:hAnsi="宋体" w:cs="宋体" w:eastAsia="宋体" w:hint="default"/>
          <w:sz w:val="20"/>
          <w:szCs w:val="20"/>
        </w:rPr>
      </w:pPr>
    </w:p>
    <w:p>
      <w:pPr>
        <w:pStyle w:val="BodyText"/>
        <w:spacing w:line="240" w:lineRule="auto"/>
        <w:ind w:right="0"/>
        <w:jc w:val="both"/>
      </w:pPr>
      <w:r>
        <w:rPr/>
        <w:t>在其他变量不变的情况下</w:t>
      </w:r>
      <w:r>
        <w:rPr>
          <w:spacing w:val="-93"/>
        </w:rPr>
        <w:t>，</w:t>
      </w:r>
      <w:r>
        <w:rPr/>
        <w:t>权益证券投资价格本年</w:t>
      </w:r>
      <w:r>
        <w:rPr>
          <w:rFonts w:ascii="Times New Roman" w:hAnsi="Times New Roman" w:cs="Times New Roman" w:eastAsia="Times New Roman" w:hint="default"/>
        </w:rPr>
        <w:t>5%</w:t>
      </w:r>
      <w:r>
        <w:rPr/>
        <w:t>的变</w:t>
      </w:r>
      <w:r>
        <w:rPr>
          <w:spacing w:val="-2"/>
        </w:rPr>
        <w:t>动</w:t>
      </w:r>
      <w:r>
        <w:rPr/>
        <w:t>对本集团当期损益及其他综合收益的税后影响</w:t>
      </w:r>
    </w:p>
    <w:p>
      <w:pPr>
        <w:spacing w:line="240" w:lineRule="auto" w:before="11"/>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2871"/>
        <w:gridCol w:w="2537"/>
        <w:gridCol w:w="854"/>
        <w:gridCol w:w="2909"/>
      </w:tblGrid>
      <w:tr>
        <w:trPr>
          <w:trHeight w:val="663" w:hRule="exact"/>
        </w:trPr>
        <w:tc>
          <w:tcPr>
            <w:tcW w:w="2871" w:type="dxa"/>
            <w:tcBorders>
              <w:top w:val="nil" w:sz="6" w:space="0" w:color="auto"/>
              <w:left w:val="nil" w:sz="6" w:space="0" w:color="auto"/>
              <w:bottom w:val="single" w:sz="6" w:space="0" w:color="000000"/>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如下（单位：人民币万元）：</w:t>
            </w:r>
          </w:p>
        </w:tc>
        <w:tc>
          <w:tcPr>
            <w:tcW w:w="6300" w:type="dxa"/>
            <w:gridSpan w:val="3"/>
            <w:tcBorders>
              <w:top w:val="nil" w:sz="6" w:space="0" w:color="auto"/>
              <w:left w:val="nil" w:sz="6" w:space="0" w:color="auto"/>
              <w:bottom w:val="single" w:sz="6" w:space="0" w:color="000000"/>
              <w:right w:val="nil" w:sz="6" w:space="0" w:color="auto"/>
            </w:tcBorders>
          </w:tcPr>
          <w:p>
            <w:pPr/>
          </w:p>
        </w:tc>
      </w:tr>
      <w:tr>
        <w:trPr>
          <w:trHeight w:val="347" w:hRule="exact"/>
        </w:trPr>
        <w:tc>
          <w:tcPr>
            <w:tcW w:w="2871"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44"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6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537"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59"/>
              <w:jc w:val="right"/>
              <w:rPr>
                <w:rFonts w:ascii="宋体" w:hAnsi="宋体" w:cs="宋体" w:eastAsia="宋体" w:hint="default"/>
                <w:sz w:val="18"/>
                <w:szCs w:val="18"/>
              </w:rPr>
            </w:pPr>
            <w:r>
              <w:rPr>
                <w:rFonts w:ascii="宋体" w:hAnsi="宋体" w:cs="宋体" w:eastAsia="宋体" w:hint="default"/>
                <w:b/>
                <w:bCs/>
                <w:w w:val="95"/>
                <w:sz w:val="18"/>
                <w:szCs w:val="18"/>
              </w:rPr>
              <w:t>税后利润上升（下降）</w:t>
            </w:r>
            <w:r>
              <w:rPr>
                <w:rFonts w:ascii="宋体" w:hAnsi="宋体" w:cs="宋体" w:eastAsia="宋体" w:hint="default"/>
                <w:sz w:val="18"/>
                <w:szCs w:val="18"/>
              </w:rPr>
            </w:r>
          </w:p>
        </w:tc>
        <w:tc>
          <w:tcPr>
            <w:tcW w:w="854" w:type="dxa"/>
            <w:tcBorders>
              <w:top w:val="single" w:sz="6" w:space="0" w:color="000000"/>
              <w:left w:val="nil" w:sz="6" w:space="0" w:color="auto"/>
              <w:bottom w:val="single" w:sz="6" w:space="0" w:color="000000"/>
              <w:right w:val="nil" w:sz="6" w:space="0" w:color="auto"/>
            </w:tcBorders>
          </w:tcPr>
          <w:p>
            <w:pPr/>
          </w:p>
        </w:tc>
        <w:tc>
          <w:tcPr>
            <w:tcW w:w="2909"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250" w:right="0"/>
              <w:jc w:val="left"/>
              <w:rPr>
                <w:rFonts w:ascii="宋体" w:hAnsi="宋体" w:cs="宋体" w:eastAsia="宋体" w:hint="default"/>
                <w:sz w:val="18"/>
                <w:szCs w:val="18"/>
              </w:rPr>
            </w:pPr>
            <w:r>
              <w:rPr>
                <w:rFonts w:ascii="宋体" w:hAnsi="宋体" w:cs="宋体" w:eastAsia="宋体" w:hint="default"/>
                <w:b/>
                <w:bCs/>
                <w:sz w:val="18"/>
                <w:szCs w:val="18"/>
              </w:rPr>
              <w:t>其他综合收益上升（下降）</w:t>
            </w:r>
            <w:r>
              <w:rPr>
                <w:rFonts w:ascii="宋体" w:hAnsi="宋体" w:cs="宋体" w:eastAsia="宋体" w:hint="default"/>
                <w:sz w:val="18"/>
                <w:szCs w:val="18"/>
              </w:rPr>
            </w:r>
          </w:p>
        </w:tc>
      </w:tr>
      <w:tr>
        <w:trPr>
          <w:trHeight w:val="347" w:hRule="exact"/>
        </w:trPr>
        <w:tc>
          <w:tcPr>
            <w:tcW w:w="2871" w:type="dxa"/>
            <w:tcBorders>
              <w:top w:val="nil" w:sz="6" w:space="0" w:color="auto"/>
              <w:left w:val="nil" w:sz="6" w:space="0" w:color="auto"/>
              <w:bottom w:val="single" w:sz="6" w:space="0" w:color="000000"/>
              <w:right w:val="nil" w:sz="6" w:space="0" w:color="auto"/>
            </w:tcBorders>
          </w:tcPr>
          <w:p>
            <w:pPr/>
          </w:p>
        </w:tc>
        <w:tc>
          <w:tcPr>
            <w:tcW w:w="2537"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51" w:right="0"/>
              <w:jc w:val="center"/>
              <w:rPr>
                <w:rFonts w:ascii="宋体" w:hAnsi="宋体" w:cs="宋体" w:eastAsia="宋体" w:hint="default"/>
                <w:sz w:val="18"/>
                <w:szCs w:val="18"/>
              </w:rPr>
            </w:pPr>
            <w:r>
              <w:rPr>
                <w:rFonts w:ascii="宋体" w:hAnsi="宋体" w:cs="宋体" w:eastAsia="宋体" w:hint="default"/>
                <w:b/>
                <w:bCs/>
                <w:sz w:val="18"/>
                <w:szCs w:val="18"/>
              </w:rPr>
              <w:t>本年数</w:t>
            </w:r>
            <w:r>
              <w:rPr>
                <w:rFonts w:ascii="宋体" w:hAnsi="宋体" w:cs="宋体" w:eastAsia="宋体" w:hint="default"/>
                <w:sz w:val="18"/>
                <w:szCs w:val="18"/>
              </w:rPr>
            </w:r>
          </w:p>
        </w:tc>
        <w:tc>
          <w:tcPr>
            <w:tcW w:w="854"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59" w:right="0"/>
              <w:jc w:val="left"/>
              <w:rPr>
                <w:rFonts w:ascii="宋体" w:hAnsi="宋体" w:cs="宋体" w:eastAsia="宋体" w:hint="default"/>
                <w:sz w:val="18"/>
                <w:szCs w:val="18"/>
              </w:rPr>
            </w:pPr>
            <w:r>
              <w:rPr>
                <w:rFonts w:ascii="宋体" w:hAnsi="宋体" w:cs="宋体" w:eastAsia="宋体" w:hint="default"/>
                <w:b/>
                <w:bCs/>
                <w:sz w:val="18"/>
                <w:szCs w:val="18"/>
              </w:rPr>
              <w:t>上年数</w:t>
            </w:r>
            <w:r>
              <w:rPr>
                <w:rFonts w:ascii="宋体" w:hAnsi="宋体" w:cs="宋体" w:eastAsia="宋体" w:hint="default"/>
                <w:sz w:val="18"/>
                <w:szCs w:val="18"/>
              </w:rPr>
            </w:r>
          </w:p>
        </w:tc>
        <w:tc>
          <w:tcPr>
            <w:tcW w:w="2909" w:type="dxa"/>
            <w:tcBorders>
              <w:top w:val="single" w:sz="6" w:space="0" w:color="000000"/>
              <w:left w:val="nil" w:sz="6" w:space="0" w:color="auto"/>
              <w:bottom w:val="single" w:sz="6" w:space="0" w:color="000000"/>
              <w:right w:val="nil" w:sz="6" w:space="0" w:color="auto"/>
            </w:tcBorders>
          </w:tcPr>
          <w:p>
            <w:pPr>
              <w:pStyle w:val="TableParagraph"/>
              <w:tabs>
                <w:tab w:pos="1574" w:val="left" w:leader="none"/>
              </w:tabs>
              <w:spacing w:line="240" w:lineRule="auto" w:before="21"/>
              <w:ind w:right="7"/>
              <w:jc w:val="right"/>
              <w:rPr>
                <w:rFonts w:ascii="宋体" w:hAnsi="宋体" w:cs="宋体" w:eastAsia="宋体" w:hint="default"/>
                <w:sz w:val="18"/>
                <w:szCs w:val="18"/>
              </w:rPr>
            </w:pPr>
            <w:r>
              <w:rPr>
                <w:rFonts w:ascii="宋体" w:hAnsi="宋体" w:cs="宋体" w:eastAsia="宋体" w:hint="default"/>
                <w:b/>
                <w:bCs/>
                <w:w w:val="95"/>
                <w:sz w:val="18"/>
                <w:szCs w:val="18"/>
              </w:rPr>
              <w:t>本年数</w:t>
              <w:tab/>
            </w:r>
            <w:r>
              <w:rPr>
                <w:rFonts w:ascii="宋体" w:hAnsi="宋体" w:cs="宋体" w:eastAsia="宋体" w:hint="default"/>
                <w:b/>
                <w:bCs/>
                <w:sz w:val="18"/>
                <w:szCs w:val="18"/>
              </w:rPr>
              <w:t>上年数</w:t>
            </w:r>
            <w:r>
              <w:rPr>
                <w:rFonts w:ascii="宋体" w:hAnsi="宋体" w:cs="宋体" w:eastAsia="宋体" w:hint="default"/>
                <w:sz w:val="18"/>
                <w:szCs w:val="18"/>
              </w:rPr>
            </w:r>
          </w:p>
        </w:tc>
      </w:tr>
      <w:tr>
        <w:trPr>
          <w:trHeight w:val="347" w:hRule="exact"/>
        </w:trPr>
        <w:tc>
          <w:tcPr>
            <w:tcW w:w="2871"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44" w:right="0"/>
              <w:jc w:val="left"/>
              <w:rPr>
                <w:rFonts w:ascii="宋体" w:hAnsi="宋体" w:cs="宋体" w:eastAsia="宋体" w:hint="default"/>
                <w:sz w:val="18"/>
                <w:szCs w:val="18"/>
              </w:rPr>
            </w:pPr>
            <w:r>
              <w:rPr>
                <w:rFonts w:ascii="宋体" w:hAnsi="宋体" w:cs="宋体" w:eastAsia="宋体" w:hint="default"/>
                <w:sz w:val="18"/>
                <w:szCs w:val="18"/>
              </w:rPr>
              <w:t>因权益证券投资价格上升</w:t>
            </w:r>
          </w:p>
        </w:tc>
        <w:tc>
          <w:tcPr>
            <w:tcW w:w="2537" w:type="dxa"/>
            <w:tcBorders>
              <w:top w:val="single" w:sz="6" w:space="0" w:color="000000"/>
              <w:left w:val="nil" w:sz="6" w:space="0" w:color="auto"/>
              <w:bottom w:val="single" w:sz="6" w:space="0" w:color="000000"/>
              <w:right w:val="nil" w:sz="6" w:space="0" w:color="auto"/>
            </w:tcBorders>
          </w:tcPr>
          <w:p>
            <w:pPr>
              <w:pStyle w:val="TableParagraph"/>
              <w:tabs>
                <w:tab w:pos="1574" w:val="left" w:leader="none"/>
              </w:tabs>
              <w:spacing w:line="240" w:lineRule="auto" w:before="21"/>
              <w:ind w:right="83"/>
              <w:jc w:val="right"/>
              <w:rPr>
                <w:rFonts w:ascii="宋体" w:hAnsi="宋体" w:cs="宋体" w:eastAsia="宋体" w:hint="default"/>
                <w:sz w:val="18"/>
                <w:szCs w:val="18"/>
              </w:rPr>
            </w:pPr>
            <w:r>
              <w:rPr>
                <w:rFonts w:ascii="宋体" w:hAnsi="宋体" w:cs="宋体" w:eastAsia="宋体" w:hint="default"/>
                <w:sz w:val="18"/>
                <w:szCs w:val="18"/>
              </w:rPr>
              <w:t>－</w:t>
              <w:tab/>
              <w:t>－</w:t>
            </w:r>
          </w:p>
        </w:tc>
        <w:tc>
          <w:tcPr>
            <w:tcW w:w="854" w:type="dxa"/>
            <w:tcBorders>
              <w:top w:val="single" w:sz="6" w:space="0" w:color="000000"/>
              <w:left w:val="nil" w:sz="6" w:space="0" w:color="auto"/>
              <w:bottom w:val="single" w:sz="6" w:space="0" w:color="000000"/>
              <w:right w:val="nil" w:sz="6" w:space="0" w:color="auto"/>
            </w:tcBorders>
          </w:tcPr>
          <w:p>
            <w:pPr/>
          </w:p>
        </w:tc>
        <w:tc>
          <w:tcPr>
            <w:tcW w:w="2909" w:type="dxa"/>
            <w:tcBorders>
              <w:top w:val="single" w:sz="6" w:space="0" w:color="000000"/>
              <w:left w:val="nil" w:sz="6" w:space="0" w:color="auto"/>
              <w:bottom w:val="single" w:sz="6" w:space="0" w:color="000000"/>
              <w:right w:val="nil" w:sz="6" w:space="0" w:color="auto"/>
            </w:tcBorders>
          </w:tcPr>
          <w:p>
            <w:pPr>
              <w:pStyle w:val="TableParagraph"/>
              <w:tabs>
                <w:tab w:pos="1440" w:val="left" w:leader="none"/>
              </w:tabs>
              <w:spacing w:line="240" w:lineRule="auto" w:before="61"/>
              <w:ind w:right="7"/>
              <w:jc w:val="right"/>
              <w:rPr>
                <w:rFonts w:ascii="Times New Roman" w:hAnsi="Times New Roman" w:cs="Times New Roman" w:eastAsia="Times New Roman" w:hint="default"/>
                <w:sz w:val="18"/>
                <w:szCs w:val="18"/>
              </w:rPr>
            </w:pPr>
            <w:r>
              <w:rPr>
                <w:rFonts w:ascii="Times New Roman"/>
                <w:sz w:val="18"/>
              </w:rPr>
              <w:t>807.16</w:t>
              <w:tab/>
              <w:t>1,037.81</w:t>
            </w:r>
          </w:p>
        </w:tc>
      </w:tr>
      <w:tr>
        <w:trPr>
          <w:trHeight w:val="372" w:hRule="exact"/>
        </w:trPr>
        <w:tc>
          <w:tcPr>
            <w:tcW w:w="2871"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44" w:right="0"/>
              <w:jc w:val="left"/>
              <w:rPr>
                <w:rFonts w:ascii="宋体" w:hAnsi="宋体" w:cs="宋体" w:eastAsia="宋体" w:hint="default"/>
                <w:sz w:val="18"/>
                <w:szCs w:val="18"/>
              </w:rPr>
            </w:pPr>
            <w:r>
              <w:rPr>
                <w:rFonts w:ascii="宋体" w:hAnsi="宋体" w:cs="宋体" w:eastAsia="宋体" w:hint="default"/>
                <w:sz w:val="18"/>
                <w:szCs w:val="18"/>
              </w:rPr>
              <w:t>因权益证券投资价格下降</w:t>
            </w:r>
          </w:p>
        </w:tc>
        <w:tc>
          <w:tcPr>
            <w:tcW w:w="2537" w:type="dxa"/>
            <w:tcBorders>
              <w:top w:val="single" w:sz="6" w:space="0" w:color="000000"/>
              <w:left w:val="nil" w:sz="6" w:space="0" w:color="auto"/>
              <w:bottom w:val="nil" w:sz="6" w:space="0" w:color="auto"/>
              <w:right w:val="nil" w:sz="6" w:space="0" w:color="auto"/>
            </w:tcBorders>
          </w:tcPr>
          <w:p>
            <w:pPr>
              <w:pStyle w:val="TableParagraph"/>
              <w:tabs>
                <w:tab w:pos="1574" w:val="left" w:leader="none"/>
              </w:tabs>
              <w:spacing w:line="240" w:lineRule="auto" w:before="21"/>
              <w:ind w:right="83"/>
              <w:jc w:val="right"/>
              <w:rPr>
                <w:rFonts w:ascii="宋体" w:hAnsi="宋体" w:cs="宋体" w:eastAsia="宋体" w:hint="default"/>
                <w:sz w:val="18"/>
                <w:szCs w:val="18"/>
              </w:rPr>
            </w:pPr>
            <w:r>
              <w:rPr>
                <w:rFonts w:ascii="宋体" w:hAnsi="宋体" w:cs="宋体" w:eastAsia="宋体" w:hint="default"/>
                <w:sz w:val="18"/>
                <w:szCs w:val="18"/>
              </w:rPr>
              <w:t>－</w:t>
              <w:tab/>
              <w:t>－</w:t>
            </w:r>
          </w:p>
        </w:tc>
        <w:tc>
          <w:tcPr>
            <w:tcW w:w="854" w:type="dxa"/>
            <w:tcBorders>
              <w:top w:val="single" w:sz="6" w:space="0" w:color="000000"/>
              <w:left w:val="nil" w:sz="6" w:space="0" w:color="auto"/>
              <w:bottom w:val="nil" w:sz="6" w:space="0" w:color="auto"/>
              <w:right w:val="nil" w:sz="6" w:space="0" w:color="auto"/>
            </w:tcBorders>
          </w:tcPr>
          <w:p>
            <w:pPr/>
          </w:p>
        </w:tc>
        <w:tc>
          <w:tcPr>
            <w:tcW w:w="2909" w:type="dxa"/>
            <w:tcBorders>
              <w:top w:val="single" w:sz="6" w:space="0" w:color="000000"/>
              <w:left w:val="nil" w:sz="6" w:space="0" w:color="auto"/>
              <w:bottom w:val="nil" w:sz="6" w:space="0" w:color="auto"/>
              <w:right w:val="nil" w:sz="6" w:space="0" w:color="auto"/>
            </w:tcBorders>
          </w:tcPr>
          <w:p>
            <w:pPr>
              <w:pStyle w:val="TableParagraph"/>
              <w:tabs>
                <w:tab w:pos="1440" w:val="left" w:leader="none"/>
              </w:tabs>
              <w:spacing w:line="240" w:lineRule="auto" w:before="61"/>
              <w:ind w:right="7"/>
              <w:jc w:val="right"/>
              <w:rPr>
                <w:rFonts w:ascii="Times New Roman" w:hAnsi="Times New Roman" w:cs="Times New Roman" w:eastAsia="Times New Roman" w:hint="default"/>
                <w:sz w:val="18"/>
                <w:szCs w:val="18"/>
              </w:rPr>
            </w:pPr>
            <w:r>
              <w:rPr>
                <w:rFonts w:ascii="Times New Roman"/>
                <w:sz w:val="18"/>
              </w:rPr>
              <w:t>-807.16</w:t>
              <w:tab/>
              <w:t>-1,037.81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rFonts w:ascii="Times New Roman" w:hAnsi="Times New Roman" w:cs="Times New Roman" w:eastAsia="Times New Roman" w:hint="default"/>
        </w:rPr>
        <w:t>2</w:t>
      </w:r>
      <w:r>
        <w:rPr/>
        <w:t>、资本管理</w:t>
      </w:r>
    </w:p>
    <w:p>
      <w:pPr>
        <w:spacing w:line="240" w:lineRule="auto" w:before="1"/>
        <w:rPr>
          <w:rFonts w:ascii="宋体" w:hAnsi="宋体" w:cs="宋体" w:eastAsia="宋体" w:hint="default"/>
          <w:sz w:val="30"/>
          <w:szCs w:val="30"/>
        </w:rPr>
      </w:pPr>
    </w:p>
    <w:p>
      <w:pPr>
        <w:pStyle w:val="BodyText"/>
        <w:spacing w:line="408" w:lineRule="auto"/>
        <w:ind w:right="0"/>
        <w:jc w:val="left"/>
      </w:pPr>
      <w:r>
        <w:rPr>
          <w:spacing w:val="-1"/>
        </w:rPr>
        <w:t>本集团资本管理政策的目标是为了保障本集团能够持续经营，从而为股东提供回报，并使其他利益相关者</w:t>
      </w:r>
      <w:r>
        <w:rPr>
          <w:spacing w:val="-81"/>
        </w:rPr>
        <w:t> </w:t>
      </w:r>
      <w:r>
        <w:rPr>
          <w:spacing w:val="-81"/>
        </w:rPr>
      </w:r>
      <w:r>
        <w:rPr/>
        <w:t>获益，同时维持最佳的资本结构以降低资本成本。</w:t>
      </w:r>
    </w:p>
    <w:p>
      <w:pPr>
        <w:spacing w:line="240" w:lineRule="auto" w:before="0"/>
        <w:rPr>
          <w:rFonts w:ascii="宋体" w:hAnsi="宋体" w:cs="宋体" w:eastAsia="宋体" w:hint="default"/>
          <w:sz w:val="20"/>
          <w:szCs w:val="20"/>
        </w:rPr>
      </w:pPr>
    </w:p>
    <w:p>
      <w:pPr>
        <w:pStyle w:val="BodyText"/>
        <w:spacing w:line="408" w:lineRule="auto"/>
        <w:ind w:right="0"/>
        <w:jc w:val="left"/>
      </w:pPr>
      <w:r>
        <w:rPr>
          <w:spacing w:val="-1"/>
        </w:rPr>
        <w:t>为了维持或调整资本结构，本集团可能会调整支付给股东的股利金额、向股东返还资本、发行新股或出售</w:t>
      </w:r>
      <w:r>
        <w:rPr>
          <w:spacing w:val="-83"/>
        </w:rPr>
        <w:t> </w:t>
      </w:r>
      <w:r>
        <w:rPr>
          <w:spacing w:val="-83"/>
        </w:rPr>
      </w:r>
      <w:r>
        <w:rPr/>
        <w:t>资产以减低债务。</w:t>
      </w:r>
    </w:p>
    <w:p>
      <w:pPr>
        <w:spacing w:line="240" w:lineRule="auto" w:before="0"/>
        <w:rPr>
          <w:rFonts w:ascii="宋体" w:hAnsi="宋体" w:cs="宋体" w:eastAsia="宋体" w:hint="default"/>
          <w:sz w:val="20"/>
          <w:szCs w:val="20"/>
        </w:rPr>
      </w:pPr>
    </w:p>
    <w:p>
      <w:pPr>
        <w:pStyle w:val="BodyText"/>
        <w:spacing w:line="386" w:lineRule="auto"/>
        <w:ind w:right="0"/>
        <w:jc w:val="left"/>
      </w:pPr>
      <w:r>
        <w:rPr>
          <w:spacing w:val="-1"/>
        </w:rPr>
        <w:t>本集团以资产负债率（即总负债除以总资产）为基础对资本结构进行监控。于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日，本集团的</w:t>
      </w:r>
      <w:r>
        <w:rPr>
          <w:spacing w:val="-83"/>
        </w:rPr>
        <w:t> </w:t>
      </w:r>
      <w:r>
        <w:rPr>
          <w:spacing w:val="-83"/>
        </w:rPr>
      </w:r>
      <w:r>
        <w:rPr/>
        <w:t>资产负债率为</w:t>
      </w:r>
      <w:r>
        <w:rPr>
          <w:rFonts w:ascii="Times New Roman" w:hAnsi="Times New Roman" w:cs="Times New Roman" w:eastAsia="Times New Roman" w:hint="default"/>
        </w:rPr>
        <w:t>25.29%</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24.47%</w:t>
      </w:r>
      <w:r>
        <w:rPr/>
        <w:t>）。</w:t>
      </w: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4"/>
                <w:sz w:val="18"/>
                <w:szCs w:val="18"/>
              </w:rPr>
              <w:t>（二）可供出售金融资产</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179,369,486.94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179,369,486.94</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179,369,486.94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179,369,486.94</w:t>
            </w:r>
          </w:p>
        </w:tc>
      </w:tr>
      <w:tr>
        <w:trPr>
          <w:trHeight w:val="713"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非同一控制下企业合并 中取得的被购买方各项 可辨认资产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77,994,626.83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77,994,626.83</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非持续以公允价值计量 的资产总额</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77,994,626.83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77,994,626.83</w:t>
            </w:r>
          </w:p>
        </w:tc>
      </w:tr>
      <w:tr>
        <w:trPr>
          <w:trHeight w:val="1026"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非同一控制下企业合并 中取得的被购买方各项 可辨认负债</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14,075,067.89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14,075,067.89</w:t>
            </w:r>
          </w:p>
        </w:tc>
      </w:tr>
      <w:tr>
        <w:trPr>
          <w:trHeight w:val="715"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非持续以公允价值计量 的负债总额</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14,075,067.89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14,075,067.89</w:t>
            </w:r>
          </w:p>
        </w:tc>
      </w:tr>
    </w:tbl>
    <w:p>
      <w:pPr>
        <w:spacing w:line="240" w:lineRule="auto" w:before="1"/>
        <w:rPr>
          <w:rFonts w:ascii="宋体" w:hAnsi="宋体" w:cs="宋体" w:eastAsia="宋体" w:hint="default"/>
          <w:sz w:val="19"/>
          <w:szCs w:val="19"/>
        </w:rPr>
      </w:pPr>
    </w:p>
    <w:p>
      <w:pPr>
        <w:spacing w:line="568" w:lineRule="auto" w:before="35"/>
        <w:ind w:left="15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b/>
          <w:bCs/>
          <w:w w:val="99"/>
          <w:sz w:val="21"/>
          <w:szCs w:val="21"/>
        </w:rPr>
        <w:t> </w:t>
      </w:r>
      <w:r>
        <w:rPr>
          <w:rFonts w:ascii="宋体" w:hAnsi="宋体" w:cs="宋体" w:eastAsia="宋体" w:hint="default"/>
          <w:spacing w:val="-1"/>
          <w:sz w:val="21"/>
          <w:szCs w:val="21"/>
        </w:rPr>
        <w:t>第一层次公允价值计量为深圳市中新赛克科技股份有限公司在深交所上市，本公司持有的股权按公允价值</w:t>
      </w:r>
    </w:p>
    <w:p>
      <w:pPr>
        <w:spacing w:after="0" w:line="568" w:lineRule="auto"/>
        <w:jc w:val="left"/>
        <w:rPr>
          <w:rFonts w:ascii="宋体" w:hAnsi="宋体" w:cs="宋体" w:eastAsia="宋体" w:hint="default"/>
          <w:sz w:val="21"/>
          <w:szCs w:val="21"/>
        </w:rPr>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pStyle w:val="BodyText"/>
        <w:spacing w:line="240" w:lineRule="auto" w:before="174"/>
        <w:ind w:left="214" w:right="1021"/>
        <w:jc w:val="left"/>
      </w:pPr>
      <w:r>
        <w:rPr/>
        <w:t>计量。</w:t>
      </w:r>
    </w:p>
    <w:p>
      <w:pPr>
        <w:spacing w:line="240" w:lineRule="auto" w:before="0"/>
        <w:rPr>
          <w:rFonts w:ascii="宋体" w:hAnsi="宋体" w:cs="宋体" w:eastAsia="宋体" w:hint="default"/>
          <w:sz w:val="20"/>
          <w:szCs w:val="20"/>
        </w:rPr>
      </w:pPr>
    </w:p>
    <w:p>
      <w:pPr>
        <w:pStyle w:val="Heading3"/>
        <w:spacing w:line="240" w:lineRule="auto" w:before="153"/>
        <w:ind w:left="214" w:right="1021"/>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6"/>
          <w:szCs w:val="26"/>
        </w:rPr>
      </w:pPr>
    </w:p>
    <w:p>
      <w:pPr>
        <w:spacing w:before="0"/>
        <w:ind w:left="214" w:right="1021"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left="214" w:right="1021"/>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7"/>
        <w:rPr>
          <w:rFonts w:ascii="宋体" w:hAnsi="宋体" w:cs="宋体" w:eastAsia="宋体" w:hint="default"/>
          <w:b/>
          <w:bCs/>
          <w:sz w:val="30"/>
          <w:szCs w:val="30"/>
        </w:rPr>
      </w:pPr>
    </w:p>
    <w:p>
      <w:pPr>
        <w:pStyle w:val="BodyText"/>
        <w:spacing w:line="386" w:lineRule="auto"/>
        <w:ind w:left="213" w:right="1021"/>
        <w:jc w:val="left"/>
      </w:pPr>
      <w:r>
        <w:rPr>
          <w:spacing w:val="-1"/>
        </w:rPr>
        <w:t>第三层次公允价值计量为</w:t>
      </w:r>
      <w:r>
        <w:rPr>
          <w:rFonts w:ascii="Times New Roman" w:hAnsi="Times New Roman" w:cs="Times New Roman" w:eastAsia="Times New Roman" w:hint="default"/>
          <w:spacing w:val="-1"/>
        </w:rPr>
        <w:t>2015</w:t>
      </w:r>
      <w:r>
        <w:rPr>
          <w:spacing w:val="-1"/>
        </w:rPr>
        <w:t>年本公司通过非同一控制下企业合并中取得的被购买方各项可辨认资产、负</w:t>
      </w:r>
      <w:r>
        <w:rPr>
          <w:spacing w:val="-82"/>
        </w:rPr>
        <w:t> </w:t>
      </w:r>
      <w:r>
        <w:rPr>
          <w:spacing w:val="-82"/>
        </w:rPr>
      </w:r>
      <w:r>
        <w:rPr/>
        <w:t>债。</w:t>
      </w:r>
    </w:p>
    <w:p>
      <w:pPr>
        <w:spacing w:line="240" w:lineRule="auto" w:before="12"/>
        <w:rPr>
          <w:rFonts w:ascii="宋体" w:hAnsi="宋体" w:cs="宋体" w:eastAsia="宋体" w:hint="default"/>
          <w:sz w:val="21"/>
          <w:szCs w:val="21"/>
        </w:rPr>
      </w:pPr>
    </w:p>
    <w:p>
      <w:pPr>
        <w:pStyle w:val="Heading3"/>
        <w:spacing w:line="240" w:lineRule="auto"/>
        <w:ind w:left="213" w:right="1021"/>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6"/>
          <w:szCs w:val="26"/>
        </w:rPr>
      </w:pPr>
    </w:p>
    <w:p>
      <w:pPr>
        <w:spacing w:before="0"/>
        <w:ind w:left="214" w:right="1021"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left="214" w:right="1021"/>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6"/>
          <w:szCs w:val="26"/>
        </w:rPr>
      </w:pPr>
    </w:p>
    <w:p>
      <w:pPr>
        <w:spacing w:before="0"/>
        <w:ind w:left="214" w:right="1021"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left="214" w:right="1021"/>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6"/>
          <w:szCs w:val="26"/>
        </w:rPr>
      </w:pPr>
    </w:p>
    <w:p>
      <w:pPr>
        <w:spacing w:before="0"/>
        <w:ind w:left="214" w:right="1021"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left="214" w:right="1021"/>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8"/>
          <w:szCs w:val="28"/>
        </w:rPr>
      </w:pPr>
    </w:p>
    <w:p>
      <w:pPr>
        <w:pStyle w:val="BodyText"/>
        <w:spacing w:line="357" w:lineRule="auto"/>
        <w:ind w:left="213" w:right="1061"/>
        <w:jc w:val="left"/>
      </w:pPr>
      <w:r>
        <w:rPr/>
        <w:t>本集团以摊余成本计量的金融资产和金融负债主要包括：货币资金、应收票据</w:t>
      </w:r>
      <w:r>
        <w:rPr>
          <w:rFonts w:ascii="仿宋" w:hAnsi="仿宋" w:cs="仿宋" w:eastAsia="仿宋" w:hint="default"/>
          <w:sz w:val="24"/>
          <w:szCs w:val="24"/>
        </w:rPr>
        <w:t>及</w:t>
      </w:r>
      <w:r>
        <w:rPr/>
        <w:t>应收账款、其他应收款、 应付票据</w:t>
      </w:r>
      <w:r>
        <w:rPr>
          <w:rFonts w:ascii="仿宋" w:hAnsi="仿宋" w:cs="仿宋" w:eastAsia="仿宋" w:hint="default"/>
          <w:sz w:val="24"/>
          <w:szCs w:val="24"/>
        </w:rPr>
        <w:t>及</w:t>
      </w:r>
      <w:r>
        <w:rPr/>
        <w:t>应付账款、其他应付款等。</w:t>
      </w:r>
    </w:p>
    <w:p>
      <w:pPr>
        <w:spacing w:line="240" w:lineRule="auto" w:before="1"/>
        <w:rPr>
          <w:rFonts w:ascii="宋体" w:hAnsi="宋体" w:cs="宋体" w:eastAsia="宋体" w:hint="default"/>
          <w:sz w:val="21"/>
          <w:szCs w:val="21"/>
        </w:rPr>
      </w:pPr>
    </w:p>
    <w:p>
      <w:pPr>
        <w:pStyle w:val="BodyText"/>
        <w:spacing w:line="240" w:lineRule="auto"/>
        <w:ind w:left="213" w:right="1021"/>
        <w:jc w:val="left"/>
      </w:pPr>
      <w:r>
        <w:rPr/>
        <w:t>本集团不以公允价值计量的金融资产和金融负债的账面价值与公允价值相差很小。</w:t>
      </w:r>
    </w:p>
    <w:p>
      <w:pPr>
        <w:spacing w:line="240" w:lineRule="auto" w:before="0"/>
        <w:rPr>
          <w:rFonts w:ascii="宋体" w:hAnsi="宋体" w:cs="宋体" w:eastAsia="宋体" w:hint="default"/>
          <w:sz w:val="20"/>
          <w:szCs w:val="20"/>
        </w:rPr>
      </w:pPr>
    </w:p>
    <w:p>
      <w:pPr>
        <w:pStyle w:val="Heading3"/>
        <w:spacing w:line="240" w:lineRule="auto" w:before="153"/>
        <w:ind w:left="213" w:right="1021"/>
        <w:jc w:val="left"/>
        <w:rPr>
          <w:b w:val="0"/>
          <w:bCs w:val="0"/>
        </w:rPr>
      </w:pPr>
      <w:r>
        <w:rPr>
          <w:rFonts w:ascii="Times New Roman" w:hAnsi="Times New Roman" w:cs="Times New Roman" w:eastAsia="Times New Roman" w:hint="default"/>
        </w:rPr>
        <w:t>9</w:t>
      </w:r>
      <w:r>
        <w:rPr/>
        <w:t>、其他</w:t>
      </w:r>
      <w:r>
        <w:rPr>
          <w:b w:val="0"/>
          <w:bCs w:val="0"/>
        </w:rPr>
      </w:r>
    </w:p>
    <w:p>
      <w:pPr>
        <w:spacing w:line="240" w:lineRule="auto" w:before="8"/>
        <w:rPr>
          <w:rFonts w:ascii="宋体" w:hAnsi="宋体" w:cs="宋体" w:eastAsia="宋体" w:hint="default"/>
          <w:b/>
          <w:bCs/>
          <w:sz w:val="26"/>
          <w:szCs w:val="26"/>
        </w:rPr>
      </w:pPr>
    </w:p>
    <w:p>
      <w:pPr>
        <w:spacing w:before="0"/>
        <w:ind w:left="214" w:right="1021"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4"/>
          <w:szCs w:val="24"/>
        </w:rPr>
      </w:pPr>
    </w:p>
    <w:p>
      <w:pPr>
        <w:pStyle w:val="Heading2"/>
        <w:spacing w:line="240" w:lineRule="auto"/>
        <w:ind w:left="214" w:right="1021"/>
        <w:jc w:val="left"/>
        <w:rPr>
          <w:b w:val="0"/>
          <w:bCs w:val="0"/>
        </w:rPr>
      </w:pPr>
      <w:r>
        <w:rPr/>
        <w:t>十二、关联方及关联交易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14" w:right="1021"/>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2"/>
          <w:szCs w:val="12"/>
        </w:rPr>
      </w:pPr>
    </w:p>
    <w:tbl>
      <w:tblPr>
        <w:tblW w:w="0" w:type="auto"/>
        <w:jc w:val="left"/>
        <w:tblInd w:w="101" w:type="dxa"/>
        <w:tblLayout w:type="fixed"/>
        <w:tblCellMar>
          <w:top w:w="0" w:type="dxa"/>
          <w:left w:w="0" w:type="dxa"/>
          <w:bottom w:w="0" w:type="dxa"/>
          <w:right w:w="0" w:type="dxa"/>
        </w:tblCellMar>
        <w:tblLook w:val="01E0"/>
      </w:tblPr>
      <w:tblGrid>
        <w:gridCol w:w="2374"/>
        <w:gridCol w:w="7481"/>
      </w:tblGrid>
      <w:tr>
        <w:trPr>
          <w:trHeight w:val="32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关联方名称</w:t>
            </w:r>
            <w:r>
              <w:rPr>
                <w:rFonts w:ascii="宋体" w:hAnsi="宋体" w:cs="宋体" w:eastAsia="宋体" w:hint="default"/>
                <w:sz w:val="21"/>
                <w:szCs w:val="21"/>
              </w:rPr>
            </w:r>
          </w:p>
        </w:tc>
        <w:tc>
          <w:tcPr>
            <w:tcW w:w="748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与本集团关系</w:t>
            </w:r>
            <w:r>
              <w:rPr>
                <w:rFonts w:ascii="宋体" w:hAnsi="宋体" w:cs="宋体" w:eastAsia="宋体" w:hint="default"/>
                <w:sz w:val="21"/>
                <w:szCs w:val="21"/>
              </w:rPr>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郭永芳</w:t>
            </w:r>
          </w:p>
        </w:tc>
        <w:tc>
          <w:tcPr>
            <w:tcW w:w="748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1" w:right="0"/>
              <w:jc w:val="left"/>
              <w:rPr>
                <w:rFonts w:ascii="宋体" w:hAnsi="宋体" w:cs="宋体" w:eastAsia="宋体" w:hint="default"/>
                <w:sz w:val="21"/>
                <w:szCs w:val="21"/>
              </w:rPr>
            </w:pPr>
            <w:r>
              <w:rPr>
                <w:rFonts w:ascii="宋体" w:hAnsi="宋体" w:cs="宋体" w:eastAsia="宋体" w:hint="default"/>
                <w:sz w:val="21"/>
                <w:szCs w:val="21"/>
              </w:rPr>
              <w:t>本公司副董事长，持有本公司</w:t>
            </w:r>
            <w:r>
              <w:rPr>
                <w:rFonts w:ascii="Times New Roman" w:hAnsi="Times New Roman" w:cs="Times New Roman" w:eastAsia="Times New Roman" w:hint="default"/>
                <w:sz w:val="21"/>
                <w:szCs w:val="21"/>
              </w:rPr>
              <w:t>22.50%</w:t>
            </w:r>
            <w:r>
              <w:rPr>
                <w:rFonts w:ascii="宋体" w:hAnsi="宋体" w:cs="宋体" w:eastAsia="宋体" w:hint="default"/>
                <w:sz w:val="21"/>
                <w:szCs w:val="21"/>
              </w:rPr>
              <w:t>股份，本公司实际控制人</w:t>
            </w:r>
          </w:p>
        </w:tc>
      </w:tr>
      <w:tr>
        <w:trPr>
          <w:trHeight w:val="32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滕达</w:t>
            </w:r>
          </w:p>
        </w:tc>
        <w:tc>
          <w:tcPr>
            <w:tcW w:w="748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1" w:right="0"/>
              <w:jc w:val="left"/>
              <w:rPr>
                <w:rFonts w:ascii="宋体" w:hAnsi="宋体" w:cs="宋体" w:eastAsia="宋体" w:hint="default"/>
                <w:sz w:val="21"/>
                <w:szCs w:val="21"/>
              </w:rPr>
            </w:pPr>
            <w:r>
              <w:rPr>
                <w:rFonts w:ascii="宋体" w:hAnsi="宋体" w:cs="宋体" w:eastAsia="宋体" w:hint="default"/>
                <w:sz w:val="21"/>
                <w:szCs w:val="21"/>
              </w:rPr>
              <w:t>本公司董事长，郭永芳之子，持有本公司</w:t>
            </w:r>
            <w:r>
              <w:rPr>
                <w:rFonts w:ascii="Times New Roman" w:hAnsi="Times New Roman" w:cs="Times New Roman" w:eastAsia="Times New Roman" w:hint="default"/>
                <w:sz w:val="21"/>
                <w:szCs w:val="21"/>
              </w:rPr>
              <w:t>0.33%</w:t>
            </w:r>
            <w:r>
              <w:rPr>
                <w:rFonts w:ascii="宋体" w:hAnsi="宋体" w:cs="宋体" w:eastAsia="宋体" w:hint="default"/>
                <w:sz w:val="21"/>
                <w:szCs w:val="21"/>
              </w:rPr>
              <w:t>股份，本公司实际控制人</w:t>
            </w:r>
          </w:p>
        </w:tc>
      </w:tr>
    </w:tbl>
    <w:p>
      <w:pPr>
        <w:spacing w:after="0" w:line="276" w:lineRule="exact"/>
        <w:jc w:val="left"/>
        <w:rPr>
          <w:rFonts w:ascii="宋体" w:hAnsi="宋体" w:cs="宋体" w:eastAsia="宋体" w:hint="default"/>
          <w:sz w:val="21"/>
          <w:szCs w:val="21"/>
        </w:rPr>
        <w:sectPr>
          <w:pgSz w:w="11910" w:h="16840"/>
          <w:pgMar w:header="747" w:footer="982" w:top="1060" w:bottom="1180" w:left="920" w:right="0"/>
        </w:sectPr>
      </w:pPr>
    </w:p>
    <w:p>
      <w:pPr>
        <w:spacing w:line="240" w:lineRule="auto" w:before="6"/>
        <w:rPr>
          <w:rFonts w:ascii="宋体" w:hAnsi="宋体" w:cs="宋体" w:eastAsia="宋体" w:hint="default"/>
          <w:b/>
          <w:bCs/>
          <w:sz w:val="28"/>
          <w:szCs w:val="28"/>
        </w:rPr>
      </w:pPr>
    </w:p>
    <w:tbl>
      <w:tblPr>
        <w:tblW w:w="0" w:type="auto"/>
        <w:jc w:val="left"/>
        <w:tblInd w:w="101" w:type="dxa"/>
        <w:tblLayout w:type="fixed"/>
        <w:tblCellMar>
          <w:top w:w="0" w:type="dxa"/>
          <w:left w:w="0" w:type="dxa"/>
          <w:bottom w:w="0" w:type="dxa"/>
          <w:right w:w="0" w:type="dxa"/>
        </w:tblCellMar>
        <w:tblLook w:val="01E0"/>
      </w:tblPr>
      <w:tblGrid>
        <w:gridCol w:w="2374"/>
        <w:gridCol w:w="7481"/>
      </w:tblGrid>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李国林</w:t>
            </w:r>
          </w:p>
        </w:tc>
        <w:tc>
          <w:tcPr>
            <w:tcW w:w="748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1" w:right="0"/>
              <w:jc w:val="left"/>
              <w:rPr>
                <w:rFonts w:ascii="宋体" w:hAnsi="宋体" w:cs="宋体" w:eastAsia="宋体" w:hint="default"/>
                <w:sz w:val="21"/>
                <w:szCs w:val="21"/>
              </w:rPr>
            </w:pPr>
            <w:r>
              <w:rPr>
                <w:rFonts w:ascii="宋体" w:hAnsi="宋体" w:cs="宋体" w:eastAsia="宋体" w:hint="default"/>
                <w:sz w:val="21"/>
                <w:szCs w:val="21"/>
              </w:rPr>
              <w:t>本公司董事会成员，持有本公司</w:t>
            </w:r>
            <w:r>
              <w:rPr>
                <w:rFonts w:ascii="Times New Roman" w:hAnsi="Times New Roman" w:cs="Times New Roman" w:eastAsia="Times New Roman" w:hint="default"/>
                <w:sz w:val="21"/>
                <w:szCs w:val="21"/>
              </w:rPr>
              <w:t>11.94%</w:t>
            </w:r>
            <w:r>
              <w:rPr>
                <w:rFonts w:ascii="宋体" w:hAnsi="宋体" w:cs="宋体" w:eastAsia="宋体" w:hint="default"/>
                <w:sz w:val="21"/>
                <w:szCs w:val="21"/>
              </w:rPr>
              <w:t>股份</w:t>
            </w:r>
          </w:p>
        </w:tc>
      </w:tr>
      <w:tr>
        <w:trPr>
          <w:trHeight w:val="32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刘冬颖</w:t>
            </w:r>
          </w:p>
        </w:tc>
        <w:tc>
          <w:tcPr>
            <w:tcW w:w="7481"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1" w:right="0"/>
              <w:jc w:val="left"/>
              <w:rPr>
                <w:rFonts w:ascii="宋体" w:hAnsi="宋体" w:cs="宋体" w:eastAsia="宋体" w:hint="default"/>
                <w:sz w:val="21"/>
                <w:szCs w:val="21"/>
              </w:rPr>
            </w:pPr>
            <w:r>
              <w:rPr>
                <w:rFonts w:ascii="宋体" w:hAnsi="宋体" w:cs="宋体" w:eastAsia="宋体" w:hint="default"/>
                <w:sz w:val="21"/>
                <w:szCs w:val="21"/>
              </w:rPr>
              <w:t>持有本公司</w:t>
            </w:r>
            <w:r>
              <w:rPr>
                <w:rFonts w:ascii="Times New Roman" w:hAnsi="Times New Roman" w:cs="Times New Roman" w:eastAsia="Times New Roman" w:hint="default"/>
                <w:sz w:val="21"/>
                <w:szCs w:val="21"/>
              </w:rPr>
              <w:t>5.15%</w:t>
            </w:r>
            <w:r>
              <w:rPr>
                <w:rFonts w:ascii="宋体" w:hAnsi="宋体" w:cs="宋体" w:eastAsia="宋体" w:hint="default"/>
                <w:sz w:val="21"/>
                <w:szCs w:val="21"/>
              </w:rPr>
              <w:t>股份</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卓桂英</w:t>
            </w:r>
          </w:p>
        </w:tc>
        <w:tc>
          <w:tcPr>
            <w:tcW w:w="748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1" w:right="0"/>
              <w:jc w:val="left"/>
              <w:rPr>
                <w:rFonts w:ascii="宋体" w:hAnsi="宋体" w:cs="宋体" w:eastAsia="宋体" w:hint="default"/>
                <w:sz w:val="21"/>
                <w:szCs w:val="21"/>
              </w:rPr>
            </w:pPr>
            <w:r>
              <w:rPr>
                <w:rFonts w:ascii="宋体" w:hAnsi="宋体" w:cs="宋体" w:eastAsia="宋体" w:hint="default"/>
                <w:sz w:val="21"/>
                <w:szCs w:val="21"/>
              </w:rPr>
              <w:t>持有本公司</w:t>
            </w:r>
            <w:r>
              <w:rPr>
                <w:rFonts w:ascii="Times New Roman" w:hAnsi="Times New Roman" w:cs="Times New Roman" w:eastAsia="Times New Roman" w:hint="default"/>
                <w:sz w:val="21"/>
                <w:szCs w:val="21"/>
              </w:rPr>
              <w:t>5.15%</w:t>
            </w:r>
            <w:r>
              <w:rPr>
                <w:rFonts w:ascii="宋体" w:hAnsi="宋体" w:cs="宋体" w:eastAsia="宋体" w:hint="default"/>
                <w:sz w:val="21"/>
                <w:szCs w:val="21"/>
              </w:rPr>
              <w:t>股份</w:t>
            </w:r>
          </w:p>
        </w:tc>
      </w:tr>
    </w:tbl>
    <w:p>
      <w:pPr>
        <w:spacing w:line="240" w:lineRule="auto" w:before="5"/>
        <w:rPr>
          <w:rFonts w:ascii="宋体" w:hAnsi="宋体" w:cs="宋体" w:eastAsia="宋体" w:hint="default"/>
          <w:b/>
          <w:bCs/>
          <w:sz w:val="24"/>
          <w:szCs w:val="24"/>
        </w:rPr>
      </w:pPr>
    </w:p>
    <w:p>
      <w:pPr>
        <w:spacing w:line="360" w:lineRule="auto" w:before="44"/>
        <w:ind w:left="213" w:right="7871" w:firstLine="0"/>
        <w:jc w:val="left"/>
        <w:rPr>
          <w:rFonts w:ascii="宋体" w:hAnsi="宋体" w:cs="宋体" w:eastAsia="宋体" w:hint="default"/>
          <w:sz w:val="18"/>
          <w:szCs w:val="18"/>
        </w:rPr>
      </w:pPr>
      <w:r>
        <w:rPr>
          <w:rFonts w:ascii="宋体" w:hAnsi="宋体" w:cs="宋体" w:eastAsia="宋体" w:hint="default"/>
          <w:sz w:val="18"/>
          <w:szCs w:val="18"/>
        </w:rPr>
        <w:t>本企业最终控制方是郭永芳、滕达。 其他说明：</w:t>
      </w:r>
    </w:p>
    <w:p>
      <w:pPr>
        <w:spacing w:line="240" w:lineRule="auto" w:before="11"/>
        <w:rPr>
          <w:rFonts w:ascii="宋体" w:hAnsi="宋体" w:cs="宋体" w:eastAsia="宋体" w:hint="default"/>
          <w:sz w:val="19"/>
          <w:szCs w:val="19"/>
        </w:rPr>
      </w:pPr>
    </w:p>
    <w:p>
      <w:pPr>
        <w:spacing w:line="544" w:lineRule="auto" w:before="0"/>
        <w:ind w:left="214" w:right="73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338" w:lineRule="auto" w:before="52"/>
        <w:ind w:left="213" w:right="2291"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本企业重要的合营或联营企业详见附注九、</w:t>
      </w:r>
      <w:r>
        <w:rPr>
          <w:rFonts w:ascii="Times New Roman" w:hAnsi="Times New Roman" w:cs="Times New Roman" w:eastAsia="Times New Roman" w:hint="default"/>
          <w:sz w:val="18"/>
          <w:szCs w:val="18"/>
        </w:rPr>
        <w:t>3</w:t>
      </w:r>
      <w:r>
        <w:rPr>
          <w:rFonts w:ascii="宋体" w:hAnsi="宋体" w:cs="宋体" w:eastAsia="宋体" w:hint="default"/>
          <w:sz w:val="18"/>
          <w:szCs w:val="18"/>
        </w:rPr>
        <w:t>。 本期与本公司发生关联方交易，或前期与本公司发生关联方交易形成余额的其他合营或联营企业情况如下：</w:t>
      </w:r>
    </w:p>
    <w:p>
      <w:pPr>
        <w:spacing w:line="240" w:lineRule="auto" w:before="6"/>
        <w:rPr>
          <w:rFonts w:ascii="宋体" w:hAnsi="宋体" w:cs="宋体" w:eastAsia="宋体" w:hint="default"/>
          <w:sz w:val="2"/>
          <w:szCs w:val="2"/>
        </w:rPr>
      </w:pPr>
    </w:p>
    <w:tbl>
      <w:tblPr>
        <w:tblW w:w="0" w:type="auto"/>
        <w:jc w:val="left"/>
        <w:tblInd w:w="209" w:type="dxa"/>
        <w:tblLayout w:type="fixed"/>
        <w:tblCellMar>
          <w:top w:w="0" w:type="dxa"/>
          <w:left w:w="0" w:type="dxa"/>
          <w:bottom w:w="0" w:type="dxa"/>
          <w:right w:w="0" w:type="dxa"/>
        </w:tblCellMar>
        <w:tblLook w:val="01E0"/>
      </w:tblPr>
      <w:tblGrid>
        <w:gridCol w:w="3970"/>
        <w:gridCol w:w="5598"/>
      </w:tblGrid>
      <w:tr>
        <w:trPr>
          <w:trHeight w:val="402" w:hRule="exact"/>
        </w:trPr>
        <w:tc>
          <w:tcPr>
            <w:tcW w:w="3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68"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5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厦门服云信息科技有限公司</w:t>
            </w: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29.21%</w:t>
            </w:r>
            <w:r>
              <w:rPr>
                <w:rFonts w:ascii="宋体" w:hAnsi="宋体" w:cs="宋体" w:eastAsia="宋体" w:hint="default"/>
                <w:sz w:val="18"/>
                <w:szCs w:val="18"/>
              </w:rPr>
              <w:t>股权</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厦门市美亚梧桐投资管理有限公司</w:t>
            </w: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39.20%</w:t>
            </w:r>
            <w:r>
              <w:rPr>
                <w:rFonts w:ascii="宋体" w:hAnsi="宋体" w:cs="宋体" w:eastAsia="宋体" w:hint="default"/>
                <w:sz w:val="18"/>
                <w:szCs w:val="18"/>
              </w:rPr>
              <w:t>股权</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厦门正信世纪信息科技有限公司</w:t>
            </w: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宋体" w:hAnsi="宋体" w:cs="宋体" w:eastAsia="宋体" w:hint="default"/>
                <w:sz w:val="18"/>
                <w:szCs w:val="18"/>
              </w:rPr>
              <w:t>股权</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北京万诚信用评价有限公司</w:t>
            </w: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28.00%</w:t>
            </w:r>
            <w:r>
              <w:rPr>
                <w:rFonts w:ascii="宋体" w:hAnsi="宋体" w:cs="宋体" w:eastAsia="宋体" w:hint="default"/>
                <w:sz w:val="18"/>
                <w:szCs w:val="18"/>
              </w:rPr>
              <w:t>股权，本公司子公司美亚商鼎持有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18.00%</w:t>
            </w:r>
            <w:r>
              <w:rPr>
                <w:rFonts w:ascii="宋体" w:hAnsi="宋体" w:cs="宋体" w:eastAsia="宋体" w:hint="default"/>
                <w:sz w:val="18"/>
                <w:szCs w:val="18"/>
              </w:rPr>
              <w:t>股权</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北京万方智讯信息技术有限公司</w:t>
            </w: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本公司子公司美亚智讯持有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36.00%</w:t>
            </w:r>
            <w:r>
              <w:rPr>
                <w:rFonts w:ascii="宋体" w:hAnsi="宋体" w:cs="宋体" w:eastAsia="宋体" w:hint="default"/>
                <w:sz w:val="18"/>
                <w:szCs w:val="18"/>
              </w:rPr>
              <w:t>股权</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沈阳城市公共安全科技有限公司</w:t>
            </w: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本公司子公司美亚智讯持有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w:t>
            </w:r>
            <w:r>
              <w:rPr>
                <w:rFonts w:ascii="宋体" w:hAnsi="宋体" w:cs="宋体" w:eastAsia="宋体" w:hint="default"/>
                <w:sz w:val="18"/>
                <w:szCs w:val="18"/>
              </w:rPr>
              <w:t>股权</w:t>
            </w:r>
          </w:p>
        </w:tc>
      </w:tr>
    </w:tbl>
    <w:p>
      <w:pPr>
        <w:spacing w:before="51"/>
        <w:ind w:left="214" w:right="1021"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left="214" w:right="1021"/>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8"/>
        <w:rPr>
          <w:rFonts w:ascii="宋体" w:hAnsi="宋体" w:cs="宋体" w:eastAsia="宋体" w:hint="default"/>
          <w:b/>
          <w:bCs/>
          <w:sz w:val="25"/>
          <w:szCs w:val="25"/>
        </w:rPr>
      </w:pPr>
    </w:p>
    <w:tbl>
      <w:tblPr>
        <w:tblW w:w="0" w:type="auto"/>
        <w:jc w:val="left"/>
        <w:tblInd w:w="209" w:type="dxa"/>
        <w:tblLayout w:type="fixed"/>
        <w:tblCellMar>
          <w:top w:w="0" w:type="dxa"/>
          <w:left w:w="0" w:type="dxa"/>
          <w:bottom w:w="0" w:type="dxa"/>
          <w:right w:w="0" w:type="dxa"/>
        </w:tblCellMar>
        <w:tblLook w:val="01E0"/>
      </w:tblPr>
      <w:tblGrid>
        <w:gridCol w:w="3402"/>
        <w:gridCol w:w="6166"/>
      </w:tblGrid>
      <w:tr>
        <w:trPr>
          <w:trHeight w:val="401"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65"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6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杭州攀克网络技术有限公司</w:t>
            </w:r>
          </w:p>
        </w:tc>
        <w:tc>
          <w:tcPr>
            <w:tcW w:w="6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10.71%</w:t>
            </w:r>
            <w:r>
              <w:rPr>
                <w:rFonts w:ascii="宋体" w:hAnsi="宋体" w:cs="宋体" w:eastAsia="宋体" w:hint="default"/>
                <w:sz w:val="18"/>
                <w:szCs w:val="18"/>
              </w:rPr>
              <w:t>股权</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福建宏创科技信息有限公司</w:t>
            </w:r>
          </w:p>
        </w:tc>
        <w:tc>
          <w:tcPr>
            <w:tcW w:w="6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18.00%</w:t>
            </w:r>
            <w:r>
              <w:rPr>
                <w:rFonts w:ascii="宋体" w:hAnsi="宋体" w:cs="宋体" w:eastAsia="宋体" w:hint="default"/>
                <w:sz w:val="18"/>
                <w:szCs w:val="18"/>
              </w:rPr>
              <w:t>股权</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厦门市巨龙信息科技有限公司</w:t>
            </w:r>
          </w:p>
        </w:tc>
        <w:tc>
          <w:tcPr>
            <w:tcW w:w="6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6.91%</w:t>
            </w:r>
            <w:r>
              <w:rPr>
                <w:rFonts w:ascii="宋体" w:hAnsi="宋体" w:cs="宋体" w:eastAsia="宋体" w:hint="default"/>
                <w:sz w:val="18"/>
                <w:szCs w:val="18"/>
              </w:rPr>
              <w:t>股权</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北京攀克网络科技有限公司</w:t>
            </w:r>
          </w:p>
        </w:tc>
        <w:tc>
          <w:tcPr>
            <w:tcW w:w="6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杭州攀克网络技术有限公司的子公司</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柏科（常熟）电机有限公司</w:t>
            </w:r>
          </w:p>
        </w:tc>
        <w:tc>
          <w:tcPr>
            <w:tcW w:w="6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董事长滕达的直系亲属控制的企业</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常熟柏科特种车辆有限公司</w:t>
            </w:r>
          </w:p>
        </w:tc>
        <w:tc>
          <w:tcPr>
            <w:tcW w:w="6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董事长滕达为控股股东、本公司董事担任董事的企业</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福建七匹狼实业股份有限公司</w:t>
            </w:r>
          </w:p>
        </w:tc>
        <w:tc>
          <w:tcPr>
            <w:tcW w:w="6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本公司监事担任独立董事的企业</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美亚长城传媒（北京）有限公司</w:t>
            </w:r>
          </w:p>
        </w:tc>
        <w:tc>
          <w:tcPr>
            <w:tcW w:w="6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本公司董事担任董事长的企业</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厦门数宝信息科技合伙企业（有限合伙）</w:t>
            </w:r>
          </w:p>
        </w:tc>
        <w:tc>
          <w:tcPr>
            <w:tcW w:w="6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本公司董事和高管参与设立的合伙企业</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柏科智能（厦门）科技有限公司</w:t>
            </w:r>
          </w:p>
        </w:tc>
        <w:tc>
          <w:tcPr>
            <w:tcW w:w="6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董事长滕达持股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；董事长滕达的直系亲属在该公司担任董事长</w:t>
            </w:r>
          </w:p>
        </w:tc>
      </w:tr>
      <w:tr>
        <w:trPr>
          <w:trHeight w:val="403"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厦门吉比特网络技术股份有限公司</w:t>
            </w:r>
          </w:p>
        </w:tc>
        <w:tc>
          <w:tcPr>
            <w:tcW w:w="6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独立董事卢永华在该公司担任独立董事</w:t>
            </w:r>
          </w:p>
        </w:tc>
      </w:tr>
    </w:tbl>
    <w:p>
      <w:pPr>
        <w:spacing w:after="0" w:line="240" w:lineRule="auto"/>
        <w:jc w:val="left"/>
        <w:rPr>
          <w:rFonts w:ascii="宋体" w:hAnsi="宋体" w:cs="宋体" w:eastAsia="宋体" w:hint="default"/>
          <w:sz w:val="18"/>
          <w:szCs w:val="18"/>
        </w:rPr>
        <w:sectPr>
          <w:pgSz w:w="11910" w:h="16840"/>
          <w:pgMar w:header="747" w:footer="982" w:top="1060" w:bottom="1180" w:left="92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402"/>
        <w:gridCol w:w="6166"/>
      </w:tblGrid>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厦门点连电子商务有限公司</w:t>
            </w:r>
          </w:p>
        </w:tc>
        <w:tc>
          <w:tcPr>
            <w:tcW w:w="616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董事长滕达持股</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10.5%</w:t>
            </w:r>
            <w:r>
              <w:rPr>
                <w:rFonts w:ascii="宋体" w:hAnsi="宋体" w:cs="宋体" w:eastAsia="宋体" w:hint="default"/>
                <w:sz w:val="18"/>
                <w:szCs w:val="18"/>
              </w:rPr>
              <w:t>，高管赵庸持股</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，高管蔡志评、监事仲丽华分别持 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董事、经理、财务总监及董事会秘书</w:t>
            </w:r>
          </w:p>
        </w:tc>
        <w:tc>
          <w:tcPr>
            <w:tcW w:w="6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2"/>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36"/>
        <w:gridCol w:w="1560"/>
        <w:gridCol w:w="1134"/>
        <w:gridCol w:w="1559"/>
        <w:gridCol w:w="1134"/>
        <w:gridCol w:w="1346"/>
      </w:tblGrid>
      <w:tr>
        <w:trPr>
          <w:trHeight w:val="713"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91" w:right="110" w:hanging="180"/>
              <w:jc w:val="left"/>
              <w:rPr>
                <w:rFonts w:ascii="宋体" w:hAnsi="宋体" w:cs="宋体" w:eastAsia="宋体" w:hint="default"/>
                <w:sz w:val="18"/>
                <w:szCs w:val="18"/>
              </w:rPr>
            </w:pPr>
            <w:r>
              <w:rPr>
                <w:rFonts w:ascii="宋体" w:hAnsi="宋体" w:cs="宋体" w:eastAsia="宋体" w:hint="default"/>
                <w:sz w:val="18"/>
                <w:szCs w:val="18"/>
              </w:rPr>
              <w:t>是否超过交 易额度</w:t>
            </w:r>
          </w:p>
        </w:tc>
        <w:tc>
          <w:tcPr>
            <w:tcW w:w="13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杭州攀克网络技术有限公司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158,119.66</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北京攀克网络科技有限公司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156,667.97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156,667.97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厦门服云信息科技有限公司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接受服务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5,090,712.56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4,118,428.66</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厦门市巨龙信息科技有限公司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2,217,329.79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1,010,232.69</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柏科（常熟）电机有限公司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3,322,642.49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313,028.41</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常熟柏科特种车辆有限公司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接受服务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3,219,879.66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427,350.43</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厦门市美亚梧桐投资管理有限公司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接受服务</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194,174.76</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福建七匹狼实业股份有限公司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23,603.42</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福建宏创科技信息有限公司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663,724.14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663,724.14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柏科智能（厦门）科技有限公司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924,913.78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924,913.78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346"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2"/>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44"/>
        <w:gridCol w:w="2694"/>
        <w:gridCol w:w="1700"/>
        <w:gridCol w:w="1630"/>
      </w:tblGrid>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厦门服云信息科技有限公司</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提供服务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235,249.29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146,323.86</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北京万方智讯信息技术有限公司</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9,056.60</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福建宏创科技信息有限公司</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提供服务</w:t>
            </w:r>
            <w:r>
              <w:rPr>
                <w:rFonts w:ascii="Times New Roman" w:hAnsi="Times New Roman" w:cs="Times New Roman" w:eastAsia="Times New Roman" w:hint="default"/>
                <w:sz w:val="18"/>
                <w:szCs w:val="18"/>
              </w:rPr>
              <w:t>/</w:t>
            </w:r>
            <w:r>
              <w:rPr>
                <w:rFonts w:ascii="宋体" w:hAnsi="宋体" w:cs="宋体" w:eastAsia="宋体" w:hint="default"/>
                <w:sz w:val="18"/>
                <w:szCs w:val="18"/>
              </w:rPr>
              <w:t>技术贸易收入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4,060,648.95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8,809,105.02</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厦门市巨龙信息科技有限公司</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提供服务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6,603,297.23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94,358.98</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美亚长城传媒（北京）有限公司</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1700"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66,037.74</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厦门市美亚梧桐投资管理有限公司</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19,018.87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5,203.88</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厦门正信世纪信息科技有限公司</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1700"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30,769.23</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北京万诚信用评价有限公司</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提供服务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283,018.87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117,094.02</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柏科（常熟）电机有限公司</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32,275.86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287,132.99</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沈阳城市公共安全科技有限公司</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6,905,915.78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12,753,000.00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544"/>
        <w:gridCol w:w="2694"/>
        <w:gridCol w:w="1700"/>
        <w:gridCol w:w="1630"/>
      </w:tblGrid>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厦门吉比特网络技术股份有限公司</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15,094.34</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柏科智能（厦门）科技有限公司</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304,630.57</w:t>
            </w:r>
          </w:p>
        </w:tc>
        <w:tc>
          <w:tcPr>
            <w:tcW w:w="1630"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6"/>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77"/>
        <w:gridCol w:w="1805"/>
        <w:gridCol w:w="2393"/>
        <w:gridCol w:w="2393"/>
      </w:tblGrid>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承租方名称</w:t>
            </w:r>
          </w:p>
        </w:tc>
        <w:tc>
          <w:tcPr>
            <w:tcW w:w="1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厦门市美亚梧桐投资管理有限公司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44,529.09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41,906.86</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厦门点连电子商务有限公司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6,857.14</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本公司作为承租方：无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27"/>
          <w:szCs w:val="27"/>
        </w:rPr>
      </w:pPr>
    </w:p>
    <w:p>
      <w:pPr>
        <w:pStyle w:val="Heading3"/>
        <w:spacing w:line="240" w:lineRule="auto"/>
        <w:ind w:right="0"/>
        <w:jc w:val="left"/>
        <w:rPr>
          <w:b w:val="0"/>
          <w:bCs w:val="0"/>
        </w:rPr>
      </w:pPr>
      <w:r>
        <w:rPr/>
        <w:t>无（</w:t>
      </w:r>
      <w:r>
        <w:rPr>
          <w:rFonts w:ascii="Times New Roman" w:hAnsi="Times New Roman" w:cs="Times New Roman" w:eastAsia="Times New Roman" w:hint="default"/>
        </w:rPr>
        <w:t>6</w:t>
      </w:r>
      <w:r>
        <w:rPr/>
        <w:t>）关联方资产转让、债务重组情况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933.88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828.26</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9"/>
        <w:rPr>
          <w:rFonts w:ascii="宋体" w:hAnsi="宋体" w:cs="宋体" w:eastAsia="宋体" w:hint="default"/>
          <w:sz w:val="24"/>
          <w:szCs w:val="24"/>
        </w:rPr>
      </w:pPr>
      <w:r>
        <w:rPr/>
        <w:pict>
          <v:shape style="position:absolute;margin-left:234.539703pt;margin-top:412.619995pt;width:112.5pt;height:19.6pt;mso-position-horizontal-relative:page;mso-position-vertical-relative:page;z-index:-1297816"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有限合伙）</w:t>
                  </w:r>
                </w:p>
              </w:txbxContent>
            </v:textbox>
            <w10:wrap type="none"/>
          </v:shape>
        </w:pict>
      </w:r>
    </w:p>
    <w:p>
      <w:pPr>
        <w:pStyle w:val="Heading3"/>
        <w:spacing w:line="240" w:lineRule="auto" w:before="35"/>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76"/>
        <w:gridCol w:w="3120"/>
        <w:gridCol w:w="1416"/>
        <w:gridCol w:w="1277"/>
        <w:gridCol w:w="1417"/>
        <w:gridCol w:w="1061"/>
      </w:tblGrid>
      <w:tr>
        <w:trPr>
          <w:trHeight w:val="401" w:hRule="exact"/>
        </w:trPr>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12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7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276" w:type="dxa"/>
            <w:vMerge/>
            <w:tcBorders>
              <w:left w:val="single" w:sz="4" w:space="0" w:color="000000"/>
              <w:bottom w:val="single" w:sz="4" w:space="0" w:color="000000"/>
              <w:right w:val="single" w:sz="4" w:space="0" w:color="000000"/>
            </w:tcBorders>
            <w:shd w:val="clear" w:color="auto" w:fill="D3D3D3"/>
          </w:tcPr>
          <w:p>
            <w:pPr/>
          </w:p>
        </w:tc>
        <w:tc>
          <w:tcPr>
            <w:tcW w:w="3120" w:type="dxa"/>
            <w:vMerge/>
            <w:tcBorders>
              <w:left w:val="single" w:sz="4" w:space="0" w:color="000000"/>
              <w:bottom w:val="single" w:sz="4" w:space="0" w:color="000000"/>
              <w:right w:val="single" w:sz="4" w:space="0" w:color="000000"/>
            </w:tcBorders>
            <w:shd w:val="clear" w:color="auto" w:fill="D3D3D3"/>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7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柏科（常熟）电机有限公司</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335,945.60</w:t>
            </w: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福建宏创科技信息有限公司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4,723,319.97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502,537.25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4,135,443.01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231,486.40</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厦门服云信息科技有限公司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193,194.88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11,599.74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145,969.23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7,298.46</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厦门市巨龙信息科技有限公司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3,921,436.15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196,347.81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230,175.44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11,508.77</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沈阳城市公共安全科技有限公司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3,058,650.00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152,932.50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7,416,130.77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370,806.54</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厦门市美亚梧桐投资管理有限公司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45,962.11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w w:val="95"/>
                <w:sz w:val="18"/>
              </w:rPr>
              <w:t>2,298.11</w:t>
            </w:r>
          </w:p>
        </w:tc>
        <w:tc>
          <w:tcPr>
            <w:tcW w:w="141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北京万诚信用评价有限公司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厦门服云信息科技有限公司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621,489.08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72,803.65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259,301.69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30,973.13</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厦门正信世纪信息科技有限公司</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682.80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34.14</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厦门市巨龙信息科技有限公司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1,975,000.00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108,250.00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166,000.00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8,300.00</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北京万方智讯信息技术有限公司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668,876.11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33,443.81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79,086.06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3,954.30</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2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厦门数宝信息科技合伙企</w:t>
            </w:r>
            <w:r>
              <w:rPr>
                <w:rFonts w:ascii="宋体" w:hAnsi="宋体" w:cs="宋体" w:eastAsia="宋体" w:hint="default"/>
                <w:spacing w:val="-87"/>
                <w:sz w:val="18"/>
                <w:szCs w:val="18"/>
              </w:rPr>
              <w:t>业</w:t>
            </w:r>
            <w:r>
              <w:rPr>
                <w:rFonts w:ascii="宋体" w:hAnsi="宋体" w:cs="宋体" w:eastAsia="宋体" w:hint="default"/>
                <w:sz w:val="18"/>
                <w:szCs w:val="18"/>
              </w:rPr>
              <w:t>（</w:t>
            </w:r>
          </w:p>
        </w:tc>
        <w:tc>
          <w:tcPr>
            <w:tcW w:w="1416" w:type="dxa"/>
            <w:tcBorders>
              <w:top w:val="single" w:sz="4" w:space="0" w:color="000000"/>
              <w:left w:val="single" w:sz="13" w:space="0" w:color="FFFFFF"/>
              <w:bottom w:val="single" w:sz="4" w:space="0" w:color="000000"/>
              <w:right w:val="single" w:sz="13" w:space="0" w:color="FFFFFF"/>
            </w:tcBorders>
          </w:tcPr>
          <w:p>
            <w:pPr/>
          </w:p>
        </w:tc>
        <w:tc>
          <w:tcPr>
            <w:tcW w:w="1277" w:type="dxa"/>
            <w:tcBorders>
              <w:top w:val="single" w:sz="4" w:space="0" w:color="000000"/>
              <w:left w:val="single" w:sz="13" w:space="0" w:color="FFFFFF"/>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沈阳城市公共安全科技有限公司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柏科智能（厦门）科技有限公司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31,884.65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1,594.23</w:t>
            </w:r>
          </w:p>
        </w:tc>
        <w:tc>
          <w:tcPr>
            <w:tcW w:w="141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北京万方智讯信息技术有限公司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712,000.00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厦门市巨龙信息科技有限公司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2,967,329.79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沈阳城市公共安全科技有限公司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北京万诚信用评价有限公司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6,428,800.00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常熟柏科特种车辆有限公司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610,829.06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2,061,229.06</w:t>
            </w: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43"/>
        <w:gridCol w:w="3119"/>
        <w:gridCol w:w="2214"/>
        <w:gridCol w:w="2392"/>
      </w:tblGrid>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柏科（常熟）电机有限公司</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1,535,227.27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180,036.95</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厦门市巨龙信息科技有限公司</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119,325.00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1,811,683.97</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厦门服云信息科技有限公司</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2,187,432.03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160,368.68</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杭州攀克网络技术有限公司</w:t>
            </w:r>
          </w:p>
        </w:tc>
        <w:tc>
          <w:tcPr>
            <w:tcW w:w="2214"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76,923.08</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北京攀克网络科技有限公司</w:t>
            </w:r>
          </w:p>
        </w:tc>
        <w:tc>
          <w:tcPr>
            <w:tcW w:w="2214"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43"/>
        <w:gridCol w:w="3119"/>
        <w:gridCol w:w="2214"/>
        <w:gridCol w:w="2392"/>
      </w:tblGrid>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柏科智能（厦门）科技有限公司</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12,672.48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常熟柏科特种车辆有限公司</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33,617.13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福建宏创科技信息有限公司</w:t>
            </w:r>
          </w:p>
        </w:tc>
        <w:tc>
          <w:tcPr>
            <w:tcW w:w="2214"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17,094.02</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北京万诚信用评价有限公司</w:t>
            </w:r>
          </w:p>
        </w:tc>
        <w:tc>
          <w:tcPr>
            <w:tcW w:w="2214"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厦门市巨龙信息科技有限公司</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52,000.00</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厦门市美亚梧桐投资管理有限公司</w:t>
            </w:r>
          </w:p>
        </w:tc>
        <w:tc>
          <w:tcPr>
            <w:tcW w:w="2214"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20,953.43</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厦门点连电子商务有限公司</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福建宏创科技信息有限公司</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162,500.00</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十三、股份支付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454"/>
        <w:gridCol w:w="4114"/>
      </w:tblGrid>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4,800,272.00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280,288.00</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9"/>
          <w:szCs w:val="19"/>
        </w:rPr>
      </w:pPr>
    </w:p>
    <w:p>
      <w:pPr>
        <w:pStyle w:val="BodyText"/>
        <w:spacing w:line="386" w:lineRule="auto"/>
        <w:ind w:left="153" w:right="1125"/>
        <w:jc w:val="both"/>
      </w:pPr>
      <w:r>
        <w:rPr/>
        <w:t>说明</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13</w:t>
      </w:r>
      <w:r>
        <w:rPr/>
        <w:t>日召开第四届董事会第四次会议，审议通过了《关于公司第二期限制性股票激励计</w:t>
      </w:r>
      <w:r>
        <w:rPr>
          <w:spacing w:val="-35"/>
        </w:rPr>
        <w:t> </w:t>
      </w:r>
      <w:r>
        <w:rPr>
          <w:spacing w:val="-35"/>
        </w:rPr>
      </w:r>
      <w:r>
        <w:rPr/>
        <w:t>划首次授予部分第二个解锁期及预留部分第一个解锁期解锁条件成就的议案》，申请解禁对象共</w:t>
      </w:r>
      <w:r>
        <w:rPr>
          <w:rFonts w:ascii="Times New Roman" w:hAnsi="Times New Roman" w:cs="Times New Roman" w:eastAsia="Times New Roman" w:hint="default"/>
        </w:rPr>
        <w:t>530</w:t>
      </w:r>
      <w:r>
        <w:rPr/>
        <w:t>名，</w:t>
      </w:r>
      <w:r>
        <w:rPr>
          <w:spacing w:val="-33"/>
        </w:rPr>
        <w:t> </w:t>
      </w:r>
      <w:r>
        <w:rPr/>
        <w:t>解禁股数为</w:t>
      </w:r>
      <w:r>
        <w:rPr>
          <w:rFonts w:ascii="Times New Roman" w:hAnsi="Times New Roman" w:cs="Times New Roman" w:eastAsia="Times New Roman" w:hint="default"/>
        </w:rPr>
        <w:t>4,800,272</w:t>
      </w:r>
      <w:r>
        <w:rPr/>
        <w:t>股。</w:t>
      </w:r>
    </w:p>
    <w:p>
      <w:pPr>
        <w:spacing w:line="240" w:lineRule="auto" w:before="3"/>
        <w:rPr>
          <w:rFonts w:ascii="宋体" w:hAnsi="宋体" w:cs="宋体" w:eastAsia="宋体" w:hint="default"/>
          <w:sz w:val="19"/>
          <w:szCs w:val="19"/>
        </w:rPr>
      </w:pPr>
    </w:p>
    <w:p>
      <w:pPr>
        <w:pStyle w:val="BodyText"/>
        <w:spacing w:line="386" w:lineRule="auto"/>
        <w:ind w:right="1129" w:hanging="1"/>
        <w:jc w:val="both"/>
      </w:pPr>
      <w:r>
        <w:rPr>
          <w:spacing w:val="-1"/>
        </w:rPr>
        <w:t>说明</w:t>
      </w:r>
      <w:r>
        <w:rPr>
          <w:rFonts w:ascii="Times New Roman" w:hAnsi="Times New Roman" w:cs="Times New Roman" w:eastAsia="Times New Roman" w:hint="default"/>
          <w:spacing w:val="-1"/>
        </w:rPr>
        <w:t>2</w:t>
      </w:r>
      <w:r>
        <w:rPr>
          <w:spacing w:val="-1"/>
        </w:rPr>
        <w:t>：根据</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13</w:t>
      </w:r>
      <w:r>
        <w:rPr>
          <w:spacing w:val="-1"/>
        </w:rPr>
        <w:t>日召开的第三届董事会第二十一次会议决议、</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22</w:t>
      </w:r>
      <w:r>
        <w:rPr>
          <w:spacing w:val="-1"/>
        </w:rPr>
        <w:t>日召开的第三届董事</w:t>
      </w:r>
      <w:r>
        <w:rPr>
          <w:spacing w:val="-87"/>
        </w:rPr>
        <w:t> </w:t>
      </w:r>
      <w:r>
        <w:rPr>
          <w:spacing w:val="-87"/>
        </w:rPr>
      </w:r>
      <w:r>
        <w:rPr>
          <w:spacing w:val="-1"/>
        </w:rPr>
        <w:t>会第二十五次会议决议、</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24</w:t>
      </w:r>
      <w:r>
        <w:rPr>
          <w:spacing w:val="-1"/>
        </w:rPr>
        <w:t>日召开的第四届董事会第二次会议决议，本公司回购注销限制性股</w:t>
      </w:r>
      <w:r>
        <w:rPr>
          <w:spacing w:val="-84"/>
        </w:rPr>
        <w:t> </w:t>
      </w:r>
      <w:r>
        <w:rPr>
          <w:spacing w:val="-84"/>
        </w:rPr>
      </w:r>
      <w:r>
        <w:rPr/>
        <w:t>票</w:t>
      </w:r>
      <w:r>
        <w:rPr>
          <w:rFonts w:ascii="Times New Roman" w:hAnsi="Times New Roman" w:cs="Times New Roman" w:eastAsia="Times New Roman" w:hint="default"/>
        </w:rPr>
        <w:t>280,288</w:t>
      </w:r>
      <w:r>
        <w:rPr/>
        <w:t>股，截至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日股票回购已完成。</w:t>
      </w:r>
    </w:p>
    <w:p>
      <w:pPr>
        <w:spacing w:line="240" w:lineRule="auto" w:before="9"/>
        <w:rPr>
          <w:rFonts w:ascii="宋体" w:hAnsi="宋体" w:cs="宋体" w:eastAsia="宋体" w:hint="default"/>
          <w:sz w:val="19"/>
          <w:szCs w:val="19"/>
        </w:rPr>
      </w:pPr>
    </w:p>
    <w:p>
      <w:pPr>
        <w:pStyle w:val="Heading3"/>
        <w:spacing w:line="240" w:lineRule="auto"/>
        <w:ind w:right="0"/>
        <w:jc w:val="both"/>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747" w:footer="982" w:top="1060" w:bottom="1180" w:left="98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969"/>
        <w:gridCol w:w="5599"/>
      </w:tblGrid>
      <w:tr>
        <w:trPr>
          <w:trHeight w:val="363" w:hRule="exact"/>
        </w:trPr>
        <w:tc>
          <w:tcPr>
            <w:tcW w:w="3969" w:type="dxa"/>
            <w:tcBorders>
              <w:top w:val="single" w:sz="4" w:space="0" w:color="000000"/>
              <w:left w:val="single" w:sz="4" w:space="0" w:color="000000"/>
              <w:bottom w:val="nil" w:sz="6" w:space="0" w:color="auto"/>
              <w:right w:val="single" w:sz="4" w:space="0" w:color="000000"/>
            </w:tcBorders>
            <w:shd w:val="clear" w:color="auto" w:fill="D3D3D3"/>
          </w:tcPr>
          <w:p>
            <w:pPr/>
          </w:p>
        </w:tc>
        <w:tc>
          <w:tcPr>
            <w:tcW w:w="55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月，本公司第二期限制性股票激励计划首次授予的公允价值</w:t>
            </w:r>
          </w:p>
        </w:tc>
      </w:tr>
      <w:tr>
        <w:trPr>
          <w:trHeight w:val="306" w:hRule="exact"/>
        </w:trPr>
        <w:tc>
          <w:tcPr>
            <w:tcW w:w="3969" w:type="dxa"/>
            <w:tcBorders>
              <w:top w:val="nil" w:sz="6" w:space="0" w:color="auto"/>
              <w:left w:val="single" w:sz="4" w:space="0" w:color="000000"/>
              <w:bottom w:val="nil" w:sz="6" w:space="0" w:color="auto"/>
              <w:right w:val="single" w:sz="4" w:space="0" w:color="000000"/>
            </w:tcBorders>
            <w:shd w:val="clear" w:color="auto" w:fill="D3D3D3"/>
          </w:tcPr>
          <w:p>
            <w:pPr/>
          </w:p>
        </w:tc>
        <w:tc>
          <w:tcPr>
            <w:tcW w:w="55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2"/>
                <w:sz w:val="18"/>
                <w:szCs w:val="18"/>
              </w:rPr>
              <w:t>的确定方法为：公司聘请上海荣正投资咨询有限公司计算授予日权益工</w:t>
            </w:r>
          </w:p>
        </w:tc>
      </w:tr>
      <w:tr>
        <w:trPr>
          <w:trHeight w:val="313" w:hRule="exact"/>
        </w:trPr>
        <w:tc>
          <w:tcPr>
            <w:tcW w:w="39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55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具公允价值，并出具《关于美亚柏科第二期限制性股票激励计划授予事</w:t>
            </w:r>
          </w:p>
        </w:tc>
      </w:tr>
      <w:tr>
        <w:trPr>
          <w:trHeight w:val="317" w:hRule="exact"/>
        </w:trPr>
        <w:tc>
          <w:tcPr>
            <w:tcW w:w="3969" w:type="dxa"/>
            <w:tcBorders>
              <w:top w:val="nil" w:sz="6" w:space="0" w:color="auto"/>
              <w:left w:val="single" w:sz="4" w:space="0" w:color="000000"/>
              <w:bottom w:val="nil" w:sz="6" w:space="0" w:color="auto"/>
              <w:right w:val="single" w:sz="4" w:space="0" w:color="000000"/>
            </w:tcBorders>
            <w:shd w:val="clear" w:color="auto" w:fill="D3D3D3"/>
          </w:tcPr>
          <w:p>
            <w:pPr/>
          </w:p>
        </w:tc>
        <w:tc>
          <w:tcPr>
            <w:tcW w:w="55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项之独立财务顾问报告</w:t>
            </w:r>
            <w:r>
              <w:rPr>
                <w:rFonts w:ascii="宋体" w:hAnsi="宋体" w:cs="宋体" w:eastAsia="宋体" w:hint="default"/>
                <w:spacing w:val="-90"/>
                <w:sz w:val="18"/>
                <w:szCs w:val="18"/>
              </w:rPr>
              <w:t>》</w:t>
            </w:r>
            <w:r>
              <w:rPr>
                <w:rFonts w:ascii="宋体" w:hAnsi="宋体" w:cs="宋体" w:eastAsia="宋体" w:hint="default"/>
                <w:spacing w:val="-76"/>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月本</w:t>
            </w:r>
            <w:r>
              <w:rPr>
                <w:rFonts w:ascii="宋体" w:hAnsi="宋体" w:cs="宋体" w:eastAsia="宋体" w:hint="default"/>
                <w:spacing w:val="1"/>
                <w:sz w:val="18"/>
                <w:szCs w:val="18"/>
              </w:rPr>
              <w:t>公</w:t>
            </w:r>
            <w:r>
              <w:rPr>
                <w:rFonts w:ascii="宋体" w:hAnsi="宋体" w:cs="宋体" w:eastAsia="宋体" w:hint="default"/>
                <w:sz w:val="18"/>
                <w:szCs w:val="18"/>
              </w:rPr>
              <w:t>司公司第二期限制性股票激</w:t>
            </w:r>
          </w:p>
        </w:tc>
      </w:tr>
      <w:tr>
        <w:trPr>
          <w:trHeight w:val="351" w:hRule="exact"/>
        </w:trPr>
        <w:tc>
          <w:tcPr>
            <w:tcW w:w="3969" w:type="dxa"/>
            <w:tcBorders>
              <w:top w:val="nil" w:sz="6" w:space="0" w:color="auto"/>
              <w:left w:val="single" w:sz="4" w:space="0" w:color="000000"/>
              <w:bottom w:val="single" w:sz="4" w:space="0" w:color="000000"/>
              <w:right w:val="single" w:sz="4" w:space="0" w:color="000000"/>
            </w:tcBorders>
            <w:shd w:val="clear" w:color="auto" w:fill="D3D3D3"/>
          </w:tcPr>
          <w:p>
            <w:pPr/>
          </w:p>
        </w:tc>
        <w:tc>
          <w:tcPr>
            <w:tcW w:w="55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励计划预留股份的公允价值的确定方法为授予日的股票收盘价。</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资产负债表日股权激励股份实际持有数</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36,203,527.55</w:t>
            </w:r>
          </w:p>
        </w:tc>
      </w:tr>
      <w:tr>
        <w:trPr>
          <w:trHeight w:val="403"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11,844,621.72</w:t>
            </w:r>
          </w:p>
        </w:tc>
      </w:tr>
    </w:tbl>
    <w:p>
      <w:pPr>
        <w:spacing w:line="357" w:lineRule="auto" w:before="51"/>
        <w:ind w:left="154" w:right="10030"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5"/>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十四、承诺及或有事项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BodyText"/>
        <w:spacing w:line="240" w:lineRule="auto" w:before="90"/>
        <w:ind w:right="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日，本集团不存在其他应披露的承诺事项。</w:t>
      </w:r>
    </w:p>
    <w:p>
      <w:pPr>
        <w:spacing w:line="240" w:lineRule="auto" w:before="7"/>
        <w:rPr>
          <w:rFonts w:ascii="宋体" w:hAnsi="宋体" w:cs="宋体" w:eastAsia="宋体" w:hint="default"/>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7"/>
        <w:rPr>
          <w:rFonts w:ascii="宋体" w:hAnsi="宋体" w:cs="宋体" w:eastAsia="宋体" w:hint="default"/>
          <w:b/>
          <w:bCs/>
          <w:sz w:val="24"/>
          <w:szCs w:val="24"/>
        </w:rPr>
      </w:pPr>
    </w:p>
    <w:p>
      <w:pPr>
        <w:spacing w:line="506" w:lineRule="auto" w:before="0"/>
        <w:ind w:left="153" w:right="340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99"/>
          <w:sz w:val="21"/>
          <w:szCs w:val="21"/>
        </w:rPr>
        <w:t> </w:t>
      </w:r>
      <w:r>
        <w:rPr>
          <w:rFonts w:ascii="宋体" w:hAnsi="宋体" w:cs="宋体" w:eastAsia="宋体" w:hint="default"/>
          <w:sz w:val="21"/>
          <w:szCs w:val="21"/>
        </w:rPr>
        <w:t>截至</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日，本集团不存在应披露的未决诉讼、对外担保等或有事项。</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after="0"/>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9"/>
        <w:rPr>
          <w:rFonts w:ascii="宋体" w:hAnsi="宋体" w:cs="宋体" w:eastAsia="宋体" w:hint="default"/>
          <w:sz w:val="24"/>
          <w:szCs w:val="24"/>
        </w:rPr>
      </w:pPr>
    </w:p>
    <w:p>
      <w:pPr>
        <w:spacing w:line="484" w:lineRule="auto" w:before="35"/>
        <w:ind w:left="154" w:right="785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63"/>
        <w:ind w:right="0"/>
        <w:jc w:val="left"/>
      </w:pPr>
      <w:r>
        <w:rPr/>
        <w:t>对外投资</w:t>
      </w:r>
    </w:p>
    <w:p>
      <w:pPr>
        <w:spacing w:line="240" w:lineRule="auto" w:before="10"/>
        <w:rPr>
          <w:rFonts w:ascii="宋体" w:hAnsi="宋体" w:cs="宋体" w:eastAsia="宋体" w:hint="default"/>
          <w:sz w:val="17"/>
          <w:szCs w:val="17"/>
        </w:rPr>
      </w:pPr>
    </w:p>
    <w:p>
      <w:pPr>
        <w:pStyle w:val="BodyText"/>
        <w:spacing w:line="240" w:lineRule="auto"/>
        <w:ind w:right="0"/>
        <w:jc w:val="left"/>
      </w:pPr>
      <w:r>
        <w:rPr/>
        <w:t>（1）设立子公司</w:t>
      </w:r>
    </w:p>
    <w:p>
      <w:pPr>
        <w:spacing w:line="240" w:lineRule="auto" w:before="10"/>
        <w:rPr>
          <w:rFonts w:ascii="宋体" w:hAnsi="宋体" w:cs="宋体" w:eastAsia="宋体" w:hint="default"/>
          <w:sz w:val="17"/>
          <w:szCs w:val="17"/>
        </w:rPr>
      </w:pPr>
    </w:p>
    <w:p>
      <w:pPr>
        <w:pStyle w:val="BodyText"/>
        <w:spacing w:line="410" w:lineRule="auto"/>
        <w:ind w:right="1211"/>
        <w:jc w:val="left"/>
      </w:pPr>
      <w:r>
        <w:rPr/>
        <w:t>2019</w:t>
      </w:r>
      <w:r>
        <w:rPr>
          <w:spacing w:val="-59"/>
        </w:rPr>
        <w:t> </w:t>
      </w:r>
      <w:r>
        <w:rPr/>
        <w:t>年</w:t>
      </w:r>
      <w:r>
        <w:rPr>
          <w:spacing w:val="-59"/>
        </w:rPr>
        <w:t> </w:t>
      </w:r>
      <w:r>
        <w:rPr/>
        <w:t>1</w:t>
      </w:r>
      <w:r>
        <w:rPr>
          <w:spacing w:val="-59"/>
        </w:rPr>
        <w:t> </w:t>
      </w:r>
      <w:r>
        <w:rPr/>
        <w:t>月</w:t>
      </w:r>
      <w:r>
        <w:rPr>
          <w:spacing w:val="-60"/>
        </w:rPr>
        <w:t> </w:t>
      </w:r>
      <w:r>
        <w:rPr/>
        <w:t>10</w:t>
      </w:r>
      <w:r>
        <w:rPr>
          <w:spacing w:val="-58"/>
        </w:rPr>
        <w:t> </w:t>
      </w:r>
      <w:r>
        <w:rPr/>
        <w:t>日，本公司全资设立云南美亚信安信息技术有限公司，注册资本</w:t>
      </w:r>
      <w:r>
        <w:rPr>
          <w:spacing w:val="-59"/>
        </w:rPr>
        <w:t> </w:t>
      </w:r>
      <w:r>
        <w:rPr/>
        <w:t>1,000</w:t>
      </w:r>
      <w:r>
        <w:rPr>
          <w:spacing w:val="-58"/>
        </w:rPr>
        <w:t> </w:t>
      </w:r>
      <w:r>
        <w:rPr>
          <w:spacing w:val="-3"/>
        </w:rPr>
        <w:t>万元；截止至审计</w:t>
      </w:r>
      <w:r>
        <w:rPr/>
        <w:t> 报告日，本公司尚未出资。</w:t>
      </w:r>
    </w:p>
    <w:p>
      <w:pPr>
        <w:pStyle w:val="BodyText"/>
        <w:spacing w:line="240" w:lineRule="auto" w:before="83"/>
        <w:ind w:right="0"/>
        <w:jc w:val="left"/>
      </w:pPr>
      <w:r>
        <w:rPr/>
        <w:t>（2）参股公司</w:t>
      </w:r>
    </w:p>
    <w:p>
      <w:pPr>
        <w:spacing w:line="240" w:lineRule="auto" w:before="9"/>
        <w:rPr>
          <w:rFonts w:ascii="宋体" w:hAnsi="宋体" w:cs="宋体" w:eastAsia="宋体" w:hint="default"/>
          <w:sz w:val="17"/>
          <w:szCs w:val="17"/>
        </w:rPr>
      </w:pPr>
    </w:p>
    <w:p>
      <w:pPr>
        <w:pStyle w:val="BodyText"/>
        <w:spacing w:line="240" w:lineRule="auto"/>
        <w:ind w:right="0"/>
        <w:jc w:val="left"/>
      </w:pPr>
      <w:r>
        <w:rPr/>
        <w:t>2019</w:t>
      </w:r>
      <w:r>
        <w:rPr>
          <w:spacing w:val="-54"/>
        </w:rPr>
        <w:t> </w:t>
      </w:r>
      <w:r>
        <w:rPr/>
        <w:t>年</w:t>
      </w:r>
      <w:r>
        <w:rPr>
          <w:spacing w:val="-54"/>
        </w:rPr>
        <w:t> </w:t>
      </w:r>
      <w:r>
        <w:rPr/>
        <w:t>1</w:t>
      </w:r>
      <w:r>
        <w:rPr>
          <w:spacing w:val="-54"/>
        </w:rPr>
        <w:t> </w:t>
      </w:r>
      <w:r>
        <w:rPr/>
        <w:t>月</w:t>
      </w:r>
      <w:r>
        <w:rPr>
          <w:spacing w:val="-55"/>
        </w:rPr>
        <w:t> </w:t>
      </w:r>
      <w:r>
        <w:rPr/>
        <w:t>16</w:t>
      </w:r>
      <w:r>
        <w:rPr>
          <w:spacing w:val="-53"/>
        </w:rPr>
        <w:t> </w:t>
      </w:r>
      <w:r>
        <w:rPr/>
        <w:t>日，本公司子公司美银智投对安徽华图信息科技有限公司出资，认缴注册资本</w:t>
      </w:r>
      <w:r>
        <w:rPr>
          <w:spacing w:val="-54"/>
        </w:rPr>
        <w:t> </w:t>
      </w:r>
      <w:r>
        <w:rPr/>
        <w:t>500</w:t>
      </w:r>
      <w:r>
        <w:rPr>
          <w:spacing w:val="-53"/>
        </w:rPr>
        <w:t> </w:t>
      </w:r>
      <w:r>
        <w:rPr/>
        <w:t>万元，</w:t>
      </w:r>
    </w:p>
    <w:p>
      <w:pPr>
        <w:spacing w:line="240" w:lineRule="auto" w:before="11"/>
        <w:rPr>
          <w:rFonts w:ascii="宋体" w:hAnsi="宋体" w:cs="宋体" w:eastAsia="宋体" w:hint="default"/>
          <w:sz w:val="14"/>
          <w:szCs w:val="14"/>
        </w:rPr>
      </w:pPr>
    </w:p>
    <w:p>
      <w:pPr>
        <w:pStyle w:val="BodyText"/>
        <w:spacing w:line="240" w:lineRule="auto"/>
        <w:ind w:right="0"/>
        <w:jc w:val="left"/>
      </w:pPr>
      <w:r>
        <w:rPr/>
        <w:t>截止至审计报告日，本公司已出资</w:t>
      </w:r>
      <w:r>
        <w:rPr>
          <w:spacing w:val="-53"/>
        </w:rPr>
        <w:t> </w:t>
      </w:r>
      <w:r>
        <w:rPr/>
        <w:t>200</w:t>
      </w:r>
      <w:r>
        <w:rPr>
          <w:spacing w:val="-52"/>
        </w:rPr>
        <w:t> </w:t>
      </w:r>
      <w:r>
        <w:rPr/>
        <w:t>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7"/>
        <w:rPr>
          <w:rFonts w:ascii="宋体" w:hAnsi="宋体" w:cs="宋体" w:eastAsia="宋体" w:hint="default"/>
          <w:b/>
          <w:bCs/>
          <w:sz w:val="30"/>
          <w:szCs w:val="30"/>
        </w:rPr>
      </w:pPr>
    </w:p>
    <w:p>
      <w:pPr>
        <w:pStyle w:val="BodyText"/>
        <w:spacing w:line="240" w:lineRule="auto"/>
        <w:ind w:right="0"/>
        <w:jc w:val="left"/>
      </w:pPr>
      <w:r>
        <w:rPr/>
        <w:t>公司于</w:t>
      </w:r>
      <w:r>
        <w:rPr>
          <w:spacing w:val="-60"/>
        </w:rPr>
        <w:t> </w:t>
      </w:r>
      <w:r>
        <w:rPr/>
        <w:t>2019</w:t>
      </w:r>
      <w:r>
        <w:rPr>
          <w:spacing w:val="-60"/>
        </w:rPr>
        <w:t> </w:t>
      </w:r>
      <w:r>
        <w:rPr/>
        <w:t>年</w:t>
      </w:r>
      <w:r>
        <w:rPr>
          <w:spacing w:val="-60"/>
        </w:rPr>
        <w:t> </w:t>
      </w:r>
      <w:r>
        <w:rPr/>
        <w:t>3</w:t>
      </w:r>
      <w:r>
        <w:rPr>
          <w:spacing w:val="-59"/>
        </w:rPr>
        <w:t> </w:t>
      </w:r>
      <w:r>
        <w:rPr/>
        <w:t>月</w:t>
      </w:r>
      <w:r>
        <w:rPr>
          <w:spacing w:val="-60"/>
        </w:rPr>
        <w:t> </w:t>
      </w:r>
      <w:r>
        <w:rPr/>
        <w:t>22</w:t>
      </w:r>
      <w:r>
        <w:rPr>
          <w:spacing w:val="-59"/>
        </w:rPr>
        <w:t> </w:t>
      </w:r>
      <w:r>
        <w:rPr/>
        <w:t>日召开第四届董事会第五次会议，审议通过了</w:t>
      </w:r>
      <w:r>
        <w:rPr>
          <w:spacing w:val="-60"/>
        </w:rPr>
        <w:t> </w:t>
      </w:r>
      <w:r>
        <w:rPr/>
        <w:t>2018</w:t>
      </w:r>
      <w:r>
        <w:rPr>
          <w:spacing w:val="-59"/>
        </w:rPr>
        <w:t> </w:t>
      </w:r>
      <w:r>
        <w:rPr/>
        <w:t>年度利润分派预案为：以公司</w:t>
      </w:r>
    </w:p>
    <w:p>
      <w:pPr>
        <w:spacing w:line="240" w:lineRule="auto" w:before="10"/>
        <w:rPr>
          <w:rFonts w:ascii="宋体" w:hAnsi="宋体" w:cs="宋体" w:eastAsia="宋体" w:hint="default"/>
          <w:sz w:val="14"/>
          <w:szCs w:val="14"/>
        </w:rPr>
      </w:pPr>
    </w:p>
    <w:p>
      <w:pPr>
        <w:pStyle w:val="BodyText"/>
        <w:spacing w:line="240" w:lineRule="auto"/>
        <w:ind w:right="0"/>
        <w:jc w:val="left"/>
      </w:pPr>
      <w:r>
        <w:rPr>
          <w:spacing w:val="-1"/>
        </w:rPr>
        <w:t>总股</w:t>
      </w:r>
      <w:r>
        <w:rPr/>
        <w:t>本</w:t>
      </w:r>
      <w:r>
        <w:rPr>
          <w:spacing w:val="-53"/>
        </w:rPr>
        <w:t> </w:t>
      </w:r>
      <w:r>
        <w:rPr>
          <w:spacing w:val="-1"/>
        </w:rPr>
        <w:t>794,832,80</w:t>
      </w:r>
      <w:r>
        <w:rPr/>
        <w:t>9</w:t>
      </w:r>
      <w:r>
        <w:rPr>
          <w:spacing w:val="-52"/>
        </w:rPr>
        <w:t> </w:t>
      </w:r>
      <w:r>
        <w:rPr/>
        <w:t>股</w:t>
      </w:r>
      <w:r>
        <w:rPr>
          <w:spacing w:val="-2"/>
        </w:rPr>
        <w:t>为</w:t>
      </w:r>
      <w:r>
        <w:rPr>
          <w:spacing w:val="-1"/>
        </w:rPr>
        <w:t>基数向全体股东</w:t>
      </w:r>
      <w:r>
        <w:rPr/>
        <w:t>每</w:t>
      </w:r>
      <w:r>
        <w:rPr>
          <w:spacing w:val="-53"/>
        </w:rPr>
        <w:t> </w:t>
      </w:r>
      <w:r>
        <w:rPr>
          <w:spacing w:val="-1"/>
        </w:rPr>
        <w:t>1</w:t>
      </w:r>
      <w:r>
        <w:rPr/>
        <w:t>0</w:t>
      </w:r>
      <w:r>
        <w:rPr>
          <w:spacing w:val="-52"/>
        </w:rPr>
        <w:t> </w:t>
      </w:r>
      <w:r>
        <w:rPr>
          <w:spacing w:val="-2"/>
        </w:rPr>
        <w:t>股</w:t>
      </w:r>
      <w:r>
        <w:rPr>
          <w:spacing w:val="-1"/>
        </w:rPr>
        <w:t>派发现金股</w:t>
      </w:r>
      <w:r>
        <w:rPr/>
        <w:t>利</w:t>
      </w:r>
      <w:r>
        <w:rPr>
          <w:spacing w:val="-53"/>
        </w:rPr>
        <w:t> </w:t>
      </w:r>
      <w:r>
        <w:rPr>
          <w:spacing w:val="-1"/>
        </w:rPr>
        <w:t>0.</w:t>
      </w:r>
      <w:r>
        <w:rPr/>
        <w:t>8</w:t>
      </w:r>
      <w:r>
        <w:rPr>
          <w:spacing w:val="-52"/>
        </w:rPr>
        <w:t> </w:t>
      </w:r>
      <w:r>
        <w:rPr/>
        <w:t>元</w:t>
      </w:r>
      <w:r>
        <w:rPr>
          <w:spacing w:val="-2"/>
        </w:rPr>
        <w:t>人</w:t>
      </w:r>
      <w:r>
        <w:rPr>
          <w:spacing w:val="-1"/>
        </w:rPr>
        <w:t>民币（含税</w:t>
      </w:r>
      <w:r>
        <w:rPr>
          <w:spacing w:val="-105"/>
        </w:rPr>
        <w:t>）</w:t>
      </w:r>
      <w:r>
        <w:rPr/>
        <w:t>，合计派发现金红</w:t>
      </w:r>
    </w:p>
    <w:p>
      <w:pPr>
        <w:spacing w:line="240" w:lineRule="auto" w:before="11"/>
        <w:rPr>
          <w:rFonts w:ascii="宋体" w:hAnsi="宋体" w:cs="宋体" w:eastAsia="宋体" w:hint="default"/>
          <w:sz w:val="14"/>
          <w:szCs w:val="14"/>
        </w:rPr>
      </w:pPr>
    </w:p>
    <w:p>
      <w:pPr>
        <w:pStyle w:val="BodyText"/>
        <w:spacing w:line="240" w:lineRule="auto"/>
        <w:ind w:right="0"/>
        <w:jc w:val="left"/>
      </w:pPr>
      <w:r>
        <w:rPr/>
        <w:t>利人民币</w:t>
      </w:r>
      <w:r>
        <w:rPr>
          <w:spacing w:val="-53"/>
        </w:rPr>
        <w:t> </w:t>
      </w:r>
      <w:r>
        <w:rPr/>
        <w:t>63,586,624.72</w:t>
      </w:r>
      <w:r>
        <w:rPr>
          <w:spacing w:val="-53"/>
        </w:rPr>
        <w:t> </w:t>
      </w:r>
      <w:r>
        <w:rPr/>
        <w:t>元。上述利润分配预案尚须经本公司股东大会审议批准后实施。</w:t>
      </w:r>
    </w:p>
    <w:p>
      <w:pPr>
        <w:spacing w:line="240" w:lineRule="auto" w:before="0"/>
        <w:rPr>
          <w:rFonts w:ascii="宋体" w:hAnsi="宋体" w:cs="宋体" w:eastAsia="宋体" w:hint="default"/>
          <w:sz w:val="20"/>
          <w:szCs w:val="20"/>
        </w:rPr>
      </w:pPr>
    </w:p>
    <w:p>
      <w:pPr>
        <w:pStyle w:val="Heading3"/>
        <w:spacing w:line="240" w:lineRule="auto" w:before="152"/>
        <w:ind w:right="0"/>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rFonts w:ascii="Times New Roman" w:hAnsi="Times New Roman" w:cs="Times New Roman" w:eastAsia="Times New Roman" w:hint="default"/>
          <w:spacing w:val="25"/>
        </w:rPr>
        <w:t> </w:t>
      </w:r>
      <w:r>
        <w:rPr/>
        <w:t>日（董事会批准报告日），本集团不存在其他应披露的资产负债表日后事项。</w:t>
      </w:r>
    </w:p>
    <w:p>
      <w:pPr>
        <w:spacing w:line="240" w:lineRule="auto" w:before="9"/>
        <w:rPr>
          <w:rFonts w:ascii="宋体" w:hAnsi="宋体" w:cs="宋体" w:eastAsia="宋体" w:hint="default"/>
          <w:sz w:val="22"/>
          <w:szCs w:val="22"/>
        </w:rPr>
      </w:pPr>
    </w:p>
    <w:p>
      <w:pPr>
        <w:spacing w:line="506" w:lineRule="auto" w:before="0"/>
        <w:ind w:left="154" w:right="8581" w:firstLine="0"/>
        <w:jc w:val="left"/>
        <w:rPr>
          <w:rFonts w:ascii="宋体" w:hAnsi="宋体" w:cs="宋体" w:eastAsia="宋体" w:hint="default"/>
          <w:sz w:val="18"/>
          <w:szCs w:val="18"/>
        </w:rPr>
      </w:pPr>
      <w:r>
        <w:rPr>
          <w:rFonts w:ascii="宋体" w:hAnsi="宋体" w:cs="宋体" w:eastAsia="宋体" w:hint="default"/>
          <w:b/>
          <w:bCs/>
          <w:sz w:val="24"/>
          <w:szCs w:val="24"/>
        </w:rPr>
        <w:t>十六、其他重要事项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前期会计差错更正</w:t>
      </w:r>
      <w:r>
        <w:rPr>
          <w:rFonts w:ascii="宋体" w:hAnsi="宋体" w:cs="宋体" w:eastAsia="宋体" w:hint="default"/>
          <w:b/>
          <w:bCs/>
          <w:spacing w:val="1"/>
          <w:w w:val="99"/>
          <w:sz w:val="21"/>
          <w:szCs w:val="21"/>
        </w:rPr>
        <w:t> </w:t>
      </w:r>
      <w:r>
        <w:rPr>
          <w:rFonts w:ascii="宋体" w:hAnsi="宋体" w:cs="宋体" w:eastAsia="宋体" w:hint="default"/>
          <w:sz w:val="18"/>
          <w:szCs w:val="18"/>
        </w:rPr>
        <w:t>无</w:t>
      </w:r>
    </w:p>
    <w:p>
      <w:pPr>
        <w:pStyle w:val="Heading3"/>
        <w:spacing w:line="240" w:lineRule="auto" w:before="150"/>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7"/>
        <w:rPr>
          <w:rFonts w:ascii="宋体" w:hAnsi="宋体" w:cs="宋体" w:eastAsia="宋体" w:hint="default"/>
          <w:b/>
          <w:bCs/>
          <w:sz w:val="30"/>
          <w:szCs w:val="30"/>
        </w:rPr>
      </w:pPr>
    </w:p>
    <w:p>
      <w:pPr>
        <w:pStyle w:val="BodyText"/>
        <w:spacing w:line="386" w:lineRule="auto"/>
        <w:ind w:left="153" w:right="0"/>
        <w:jc w:val="left"/>
      </w:pPr>
      <w:r>
        <w:rPr>
          <w:spacing w:val="-5"/>
        </w:rPr>
        <w:t>除了社会基本养老保险之外，本公司依据国家企业年金制度的相关政策建立企业年金计划（“年金计划</w:t>
      </w:r>
      <w:r>
        <w:rPr>
          <w:rFonts w:ascii="Times New Roman" w:hAnsi="Times New Roman" w:cs="Times New Roman" w:eastAsia="Times New Roman" w:hint="default"/>
          <w:spacing w:val="-5"/>
        </w:rPr>
        <w:t>”</w:t>
      </w:r>
      <w:r>
        <w:rPr>
          <w:spacing w:val="-5"/>
        </w:rPr>
        <w:t>），</w:t>
      </w:r>
      <w:r>
        <w:rPr>
          <w:spacing w:val="-87"/>
        </w:rPr>
        <w:t> </w:t>
      </w:r>
      <w:r>
        <w:rPr>
          <w:spacing w:val="-87"/>
        </w:rPr>
      </w:r>
      <w:r>
        <w:rPr/>
        <w:t>符合年金条件的公司员工可以自愿参加该年金计划。</w:t>
      </w:r>
    </w:p>
    <w:p>
      <w:pPr>
        <w:spacing w:line="240" w:lineRule="auto" w:before="1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30"/>
          <w:szCs w:val="30"/>
        </w:rPr>
      </w:pPr>
    </w:p>
    <w:p>
      <w:pPr>
        <w:pStyle w:val="BodyText"/>
        <w:spacing w:line="410" w:lineRule="auto"/>
        <w:ind w:left="153" w:right="0"/>
        <w:jc w:val="left"/>
      </w:pPr>
      <w:r>
        <w:rPr>
          <w:spacing w:val="-1"/>
        </w:rPr>
        <w:t>本集团内主要公司产品或劳务性质相似，以及生产过程、销售产品和提供劳务的方式、客户类型、行业法</w:t>
      </w:r>
      <w:r>
        <w:rPr>
          <w:spacing w:val="-82"/>
        </w:rPr>
        <w:t> </w:t>
      </w:r>
      <w:r>
        <w:rPr>
          <w:spacing w:val="-82"/>
        </w:rPr>
      </w:r>
      <w:r>
        <w:rPr/>
        <w:t>规均具有相似性，同时，由于本集团收入主要来自中国境内，因此本集团无需披露分部数据。</w:t>
      </w:r>
    </w:p>
    <w:p>
      <w:pPr>
        <w:spacing w:line="240" w:lineRule="auto" w:before="3"/>
        <w:rPr>
          <w:rFonts w:ascii="宋体" w:hAnsi="宋体" w:cs="宋体" w:eastAsia="宋体" w:hint="default"/>
          <w:sz w:val="20"/>
          <w:szCs w:val="20"/>
        </w:rPr>
      </w:pPr>
    </w:p>
    <w:p>
      <w:pPr>
        <w:pStyle w:val="Heading3"/>
        <w:spacing w:line="516" w:lineRule="auto"/>
        <w:ind w:right="6429"/>
        <w:jc w:val="left"/>
        <w:rPr>
          <w:rFonts w:ascii="宋体" w:hAnsi="宋体" w:cs="宋体" w:eastAsia="宋体" w:hint="default"/>
          <w:b w:val="0"/>
          <w:bCs w:val="0"/>
          <w:sz w:val="18"/>
          <w:szCs w:val="18"/>
        </w:rPr>
      </w:pPr>
      <w:r>
        <w:rPr/>
        <w:t>（</w:t>
      </w:r>
      <w:r>
        <w:rPr>
          <w:rFonts w:ascii="Times New Roman" w:hAnsi="Times New Roman" w:cs="Times New Roman" w:eastAsia="Times New Roman" w:hint="default"/>
        </w:rPr>
        <w:t>4</w:t>
      </w:r>
      <w:r>
        <w:rPr/>
        <w:t>）其他说明</w:t>
      </w:r>
      <w:r>
        <w:rPr>
          <w:w w:val="99"/>
        </w:rPr>
        <w:t> </w:t>
      </w:r>
      <w:r>
        <w:rPr>
          <w:rFonts w:ascii="Times New Roman" w:hAnsi="Times New Roman" w:cs="Times New Roman" w:eastAsia="Times New Roman" w:hint="default"/>
        </w:rPr>
        <w:t>7</w:t>
      </w:r>
      <w:r>
        <w:rPr/>
        <w:t>、其他对投资者决策有影响的重要交易和事项</w:t>
      </w:r>
      <w:r>
        <w:rPr>
          <w:w w:val="99"/>
        </w:rPr>
        <w:t> </w:t>
      </w:r>
      <w:r>
        <w:rPr>
          <w:rFonts w:ascii="宋体" w:hAnsi="宋体" w:cs="宋体" w:eastAsia="宋体" w:hint="default"/>
          <w:b w:val="0"/>
          <w:bCs w:val="0"/>
          <w:sz w:val="18"/>
          <w:szCs w:val="18"/>
        </w:rPr>
        <w:t>无</w:t>
      </w:r>
    </w:p>
    <w:p>
      <w:pPr>
        <w:pStyle w:val="Heading3"/>
        <w:spacing w:line="240" w:lineRule="auto" w:before="143"/>
        <w:ind w:right="0"/>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4"/>
          <w:szCs w:val="24"/>
        </w:rPr>
      </w:pPr>
    </w:p>
    <w:p>
      <w:pPr>
        <w:pStyle w:val="Heading2"/>
        <w:spacing w:line="240" w:lineRule="auto"/>
        <w:ind w:right="0"/>
        <w:jc w:val="left"/>
        <w:rPr>
          <w:b w:val="0"/>
          <w:bCs w:val="0"/>
        </w:rPr>
      </w:pP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、应收票据及应收账款</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335,945.60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2" w:right="0"/>
              <w:jc w:val="left"/>
              <w:rPr>
                <w:rFonts w:ascii="Times New Roman" w:hAnsi="Times New Roman" w:cs="Times New Roman" w:eastAsia="Times New Roman" w:hint="default"/>
                <w:sz w:val="18"/>
                <w:szCs w:val="18"/>
              </w:rPr>
            </w:pPr>
            <w:r>
              <w:rPr>
                <w:rFonts w:ascii="Times New Roman"/>
                <w:sz w:val="18"/>
              </w:rPr>
              <w:t>472,718,923.83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209,564,300.57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472,718,923.83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209,900,246.17</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335,945.60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335,945.60</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期末公司已质押的应收票据</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spacing w:line="340" w:lineRule="auto" w:before="0"/>
        <w:ind w:left="153" w:right="5517" w:firstLine="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期末公司已背书或贴现且在资产负债表日尚未到期的应收票据 无</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18"/>
        <w:gridCol w:w="850"/>
        <w:gridCol w:w="709"/>
        <w:gridCol w:w="709"/>
        <w:gridCol w:w="850"/>
        <w:gridCol w:w="709"/>
        <w:gridCol w:w="709"/>
        <w:gridCol w:w="709"/>
        <w:gridCol w:w="1134"/>
        <w:gridCol w:w="836"/>
        <w:gridCol w:w="932"/>
      </w:tblGrid>
      <w:tr>
        <w:trPr>
          <w:trHeight w:val="402" w:hRule="exact"/>
        </w:trPr>
        <w:tc>
          <w:tcPr>
            <w:tcW w:w="14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27"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32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418" w:type="dxa"/>
            <w:vMerge/>
            <w:tcBorders>
              <w:left w:val="single" w:sz="4" w:space="0" w:color="000000"/>
              <w:right w:val="single" w:sz="4" w:space="0" w:color="000000"/>
            </w:tcBorders>
            <w:shd w:val="clear" w:color="auto" w:fill="D3D3D3"/>
          </w:tcPr>
          <w:p>
            <w:pP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0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259" w:right="78"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2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418" w:type="dxa"/>
            <w:vMerge/>
            <w:tcBorders>
              <w:left w:val="single" w:sz="4" w:space="0" w:color="000000"/>
              <w:bottom w:val="single" w:sz="4" w:space="0" w:color="000000"/>
              <w:right w:val="single" w:sz="4" w:space="0" w:color="000000"/>
            </w:tcBorders>
            <w:shd w:val="clear" w:color="auto" w:fill="D3D3D3"/>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9"/>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709" w:type="dxa"/>
            <w:vMerge/>
            <w:tcBorders>
              <w:left w:val="single" w:sz="4" w:space="0" w:color="000000"/>
              <w:bottom w:val="single" w:sz="4" w:space="0" w:color="000000"/>
              <w:right w:val="single" w:sz="4" w:space="0" w:color="000000"/>
            </w:tcBorders>
            <w:shd w:val="clear" w:color="auto" w:fill="D3D3D3"/>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right="1"/>
              <w:jc w:val="center"/>
              <w:rPr>
                <w:rFonts w:ascii="宋体" w:hAnsi="宋体" w:cs="宋体" w:eastAsia="宋体" w:hint="default"/>
                <w:sz w:val="18"/>
                <w:szCs w:val="18"/>
              </w:rPr>
            </w:pPr>
            <w:r>
              <w:rPr>
                <w:rFonts w:ascii="Nirmala UI" w:hAnsi="Nirmala UI" w:cs="Nirmala UI" w:eastAsia="Nirmala UI" w:hint="default"/>
                <w:sz w:val="13"/>
                <w:szCs w:val="13"/>
              </w:rPr>
              <w:t>౼ </w:t>
            </w:r>
            <w:r>
              <w:rPr>
                <w:rFonts w:ascii="Nirmala UI" w:hAnsi="Nirmala UI" w:cs="Nirmala UI" w:eastAsia="Nirmala UI" w:hint="default"/>
                <w:spacing w:val="22"/>
                <w:sz w:val="13"/>
                <w:szCs w:val="13"/>
              </w:rPr>
              <w:t> </w:t>
            </w:r>
            <w:r>
              <w:rPr>
                <w:rFonts w:ascii="宋体" w:hAnsi="宋体" w:cs="宋体" w:eastAsia="宋体" w:hint="default"/>
                <w:position w:val="1"/>
                <w:sz w:val="18"/>
                <w:szCs w:val="18"/>
              </w:rPr>
              <w:t>额</w:t>
            </w:r>
            <w:r>
              <w:rPr>
                <w:rFonts w:ascii="宋体" w:hAnsi="宋体" w:cs="宋体" w:eastAsia="宋体" w:hint="default"/>
                <w:sz w:val="18"/>
                <w:szCs w:val="18"/>
              </w:rPr>
            </w:r>
          </w:p>
        </w:tc>
        <w:tc>
          <w:tcPr>
            <w:tcW w:w="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25"/>
              <w:jc w:val="both"/>
              <w:rPr>
                <w:rFonts w:ascii="宋体" w:hAnsi="宋体" w:cs="宋体" w:eastAsia="宋体" w:hint="default"/>
                <w:sz w:val="18"/>
                <w:szCs w:val="18"/>
              </w:rPr>
            </w:pPr>
            <w:r>
              <w:rPr>
                <w:rFonts w:ascii="宋体" w:hAnsi="宋体" w:cs="宋体" w:eastAsia="宋体" w:hint="default"/>
                <w:sz w:val="18"/>
                <w:szCs w:val="18"/>
              </w:rPr>
              <w:t>单项金额重大并 单独计提坏账准 备的应收账款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1"/>
              <w:jc w:val="right"/>
              <w:rPr>
                <w:rFonts w:ascii="Arial Narrow" w:hAnsi="Arial Narrow" w:cs="Arial Narrow" w:eastAsia="Arial Narrow" w:hint="default"/>
                <w:sz w:val="18"/>
                <w:szCs w:val="18"/>
              </w:rPr>
            </w:pPr>
            <w:r>
              <w:rPr>
                <w:rFonts w:ascii="Arial Narrow"/>
                <w:spacing w:val="-1"/>
                <w:sz w:val="18"/>
              </w:rPr>
              <w:t>4,383,000.0</w:t>
            </w:r>
          </w:p>
          <w:p>
            <w:pPr>
              <w:pStyle w:val="TableParagraph"/>
              <w:spacing w:line="240" w:lineRule="auto" w:before="105"/>
              <w:ind w:right="20"/>
              <w:jc w:val="right"/>
              <w:rPr>
                <w:rFonts w:ascii="Arial Narrow" w:hAnsi="Arial Narrow" w:cs="Arial Narrow" w:eastAsia="Arial Narrow" w:hint="default"/>
                <w:sz w:val="18"/>
                <w:szCs w:val="18"/>
              </w:rPr>
            </w:pPr>
            <w:r>
              <w:rPr>
                <w:rFonts w:ascii="Arial Narrow"/>
                <w:w w:val="99"/>
                <w:sz w:val="18"/>
              </w:rPr>
              <w:t>0</w:t>
            </w:r>
            <w:r>
              <w:rPr>
                <w:rFonts w:ascii="Arial Narrow"/>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Arial Narrow" w:hAnsi="Arial Narrow" w:cs="Arial Narrow" w:eastAsia="Arial Narrow" w:hint="default"/>
                <w:sz w:val="18"/>
                <w:szCs w:val="18"/>
              </w:rPr>
            </w:pPr>
            <w:r>
              <w:rPr>
                <w:rFonts w:ascii="Arial Narrow"/>
                <w:spacing w:val="-1"/>
                <w:sz w:val="18"/>
              </w:rPr>
              <w:t>0.84%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0" w:right="0"/>
              <w:jc w:val="left"/>
              <w:rPr>
                <w:rFonts w:ascii="Arial Narrow" w:hAnsi="Arial Narrow" w:cs="Arial Narrow" w:eastAsia="Arial Narrow" w:hint="default"/>
                <w:sz w:val="18"/>
                <w:szCs w:val="18"/>
              </w:rPr>
            </w:pPr>
            <w:r>
              <w:rPr>
                <w:rFonts w:ascii="Arial Narrow"/>
                <w:sz w:val="18"/>
              </w:rPr>
              <w:t>4,383,00</w:t>
            </w:r>
          </w:p>
          <w:p>
            <w:pPr>
              <w:pStyle w:val="TableParagraph"/>
              <w:spacing w:line="240" w:lineRule="auto" w:before="105"/>
              <w:ind w:left="388" w:right="0"/>
              <w:jc w:val="left"/>
              <w:rPr>
                <w:rFonts w:ascii="Arial Narrow" w:hAnsi="Arial Narrow" w:cs="Arial Narrow" w:eastAsia="Arial Narrow" w:hint="default"/>
                <w:sz w:val="18"/>
                <w:szCs w:val="18"/>
              </w:rPr>
            </w:pPr>
            <w:r>
              <w:rPr>
                <w:rFonts w:ascii="Arial Narrow"/>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100.00%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4,383,00</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4,383,000.00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25"/>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77" w:right="0"/>
              <w:jc w:val="left"/>
              <w:rPr>
                <w:rFonts w:ascii="Arial Narrow" w:hAnsi="Arial Narrow" w:cs="Arial Narrow" w:eastAsia="Arial Narrow" w:hint="default"/>
                <w:sz w:val="18"/>
                <w:szCs w:val="18"/>
              </w:rPr>
            </w:pPr>
            <w:r>
              <w:rPr>
                <w:rFonts w:ascii="Arial Narrow"/>
                <w:sz w:val="18"/>
              </w:rPr>
              <w:t>516,873,23</w:t>
            </w:r>
          </w:p>
          <w:p>
            <w:pPr>
              <w:pStyle w:val="TableParagraph"/>
              <w:spacing w:line="240" w:lineRule="auto" w:before="105"/>
              <w:ind w:left="530" w:right="0"/>
              <w:jc w:val="left"/>
              <w:rPr>
                <w:rFonts w:ascii="Arial Narrow" w:hAnsi="Arial Narrow" w:cs="Arial Narrow" w:eastAsia="Arial Narrow" w:hint="default"/>
                <w:sz w:val="18"/>
                <w:szCs w:val="18"/>
              </w:rPr>
            </w:pPr>
            <w:r>
              <w:rPr>
                <w:rFonts w:ascii="Arial Narrow"/>
                <w:sz w:val="18"/>
              </w:rPr>
              <w:t>7.53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Arial Narrow" w:hAnsi="Arial Narrow" w:cs="Arial Narrow" w:eastAsia="Arial Narrow" w:hint="default"/>
                <w:sz w:val="18"/>
                <w:szCs w:val="18"/>
              </w:rPr>
            </w:pPr>
            <w:r>
              <w:rPr>
                <w:rFonts w:ascii="Arial Narrow"/>
                <w:spacing w:val="-1"/>
                <w:sz w:val="18"/>
              </w:rPr>
              <w:t>99.15%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0" w:right="0"/>
              <w:jc w:val="left"/>
              <w:rPr>
                <w:rFonts w:ascii="Arial Narrow" w:hAnsi="Arial Narrow" w:cs="Arial Narrow" w:eastAsia="Arial Narrow" w:hint="default"/>
                <w:sz w:val="18"/>
                <w:szCs w:val="18"/>
              </w:rPr>
            </w:pPr>
            <w:r>
              <w:rPr>
                <w:rFonts w:ascii="Arial Narrow"/>
                <w:sz w:val="18"/>
              </w:rPr>
              <w:t>44,154,3</w:t>
            </w:r>
          </w:p>
          <w:p>
            <w:pPr>
              <w:pStyle w:val="TableParagraph"/>
              <w:spacing w:line="240" w:lineRule="auto" w:before="105"/>
              <w:ind w:left="388" w:right="0"/>
              <w:jc w:val="left"/>
              <w:rPr>
                <w:rFonts w:ascii="Arial Narrow" w:hAnsi="Arial Narrow" w:cs="Arial Narrow" w:eastAsia="Arial Narrow" w:hint="default"/>
                <w:sz w:val="18"/>
                <w:szCs w:val="18"/>
              </w:rPr>
            </w:pPr>
            <w:r>
              <w:rPr>
                <w:rFonts w:ascii="Arial Narrow"/>
                <w:sz w:val="18"/>
              </w:rPr>
              <w:t>13.7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8.54%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472,718,</w:t>
            </w:r>
          </w:p>
          <w:p>
            <w:pPr>
              <w:pStyle w:val="TableParagraph"/>
              <w:spacing w:line="240" w:lineRule="auto" w:before="105"/>
              <w:ind w:left="158" w:right="0"/>
              <w:jc w:val="center"/>
              <w:rPr>
                <w:rFonts w:ascii="Times New Roman" w:hAnsi="Times New Roman" w:cs="Times New Roman" w:eastAsia="Times New Roman" w:hint="default"/>
                <w:sz w:val="18"/>
                <w:szCs w:val="18"/>
              </w:rPr>
            </w:pPr>
            <w:r>
              <w:rPr>
                <w:rFonts w:ascii="Times New Roman"/>
                <w:sz w:val="18"/>
              </w:rPr>
              <w:t>923.83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239,921,</w:t>
            </w:r>
          </w:p>
          <w:p>
            <w:pPr>
              <w:pStyle w:val="TableParagraph"/>
              <w:spacing w:line="240" w:lineRule="auto" w:before="105"/>
              <w:ind w:left="158" w:right="0"/>
              <w:jc w:val="center"/>
              <w:rPr>
                <w:rFonts w:ascii="Times New Roman" w:hAnsi="Times New Roman" w:cs="Times New Roman" w:eastAsia="Times New Roman" w:hint="default"/>
                <w:sz w:val="18"/>
                <w:szCs w:val="18"/>
              </w:rPr>
            </w:pPr>
            <w:r>
              <w:rPr>
                <w:rFonts w:ascii="Times New Roman"/>
                <w:sz w:val="18"/>
              </w:rPr>
              <w:t>472.84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30,357,172.27</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12.65%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209,564,30</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0.57</w:t>
            </w: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25"/>
              <w:jc w:val="both"/>
              <w:rPr>
                <w:rFonts w:ascii="宋体" w:hAnsi="宋体" w:cs="宋体" w:eastAsia="宋体" w:hint="default"/>
                <w:sz w:val="18"/>
                <w:szCs w:val="18"/>
              </w:rPr>
            </w:pPr>
            <w:r>
              <w:rPr>
                <w:rFonts w:ascii="宋体" w:hAnsi="宋体" w:cs="宋体" w:eastAsia="宋体" w:hint="default"/>
                <w:sz w:val="18"/>
                <w:szCs w:val="18"/>
              </w:rPr>
              <w:t>单项金额不重大 但单独计提坏账 准备的应收账款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35,000.00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7" w:right="0"/>
              <w:jc w:val="left"/>
              <w:rPr>
                <w:rFonts w:ascii="Times New Roman" w:hAnsi="Times New Roman" w:cs="Times New Roman" w:eastAsia="Times New Roman" w:hint="default"/>
                <w:sz w:val="18"/>
                <w:szCs w:val="18"/>
              </w:rPr>
            </w:pPr>
            <w:r>
              <w:rPr>
                <w:rFonts w:ascii="Times New Roman"/>
                <w:sz w:val="18"/>
              </w:rPr>
              <w:t>521,291,2</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37.53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48,572,3</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13.70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472,718,</w:t>
            </w:r>
          </w:p>
          <w:p>
            <w:pPr>
              <w:pStyle w:val="TableParagraph"/>
              <w:spacing w:line="240" w:lineRule="auto" w:before="105"/>
              <w:ind w:left="158" w:right="0"/>
              <w:jc w:val="center"/>
              <w:rPr>
                <w:rFonts w:ascii="Times New Roman" w:hAnsi="Times New Roman" w:cs="Times New Roman" w:eastAsia="Times New Roman" w:hint="default"/>
                <w:sz w:val="18"/>
                <w:szCs w:val="18"/>
              </w:rPr>
            </w:pPr>
            <w:r>
              <w:rPr>
                <w:rFonts w:ascii="Times New Roman"/>
                <w:sz w:val="18"/>
              </w:rPr>
              <w:t>923.83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244,339,</w:t>
            </w:r>
          </w:p>
          <w:p>
            <w:pPr>
              <w:pStyle w:val="TableParagraph"/>
              <w:spacing w:line="240" w:lineRule="auto" w:before="105"/>
              <w:ind w:left="158" w:right="0"/>
              <w:jc w:val="center"/>
              <w:rPr>
                <w:rFonts w:ascii="Times New Roman" w:hAnsi="Times New Roman" w:cs="Times New Roman" w:eastAsia="Times New Roman" w:hint="default"/>
                <w:sz w:val="18"/>
                <w:szCs w:val="18"/>
              </w:rPr>
            </w:pPr>
            <w:r>
              <w:rPr>
                <w:rFonts w:ascii="Times New Roman"/>
                <w:sz w:val="18"/>
              </w:rPr>
              <w:t>472.84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34,775,172.27</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14.23%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209,564,30</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0.57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before="116"/>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5pt;height:21.1pt;mso-position-horizontal-relative:char;mso-position-vertical-relative:line" coordorigin="0,0" coordsize="9590,422">
            <v:group style="position:absolute;left:2676;top:14;width:23;height:393" coordorigin="2676,14" coordsize="23,393">
              <v:shape style="position:absolute;left:2676;top:14;width:23;height:393" coordorigin="2676,14" coordsize="23,393" path="m2676,407l2699,407,2699,14,2676,14,2676,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2639;height:393" coordorigin="37,14" coordsize="2639,393">
              <v:shape style="position:absolute;left:37;top:14;width:2639;height:393" coordorigin="37,14" coordsize="2639,393" path="m37,407l2676,407,2676,14,37,14,37,407xe" filled="true" fillcolor="#d3d3d3" stroked="false">
                <v:path arrowok="t"/>
                <v:fill type="solid"/>
              </v:shape>
            </v:group>
            <v:group style="position:absolute;left:2708;top:14;width:23;height:393" coordorigin="2708,14" coordsize="23,393">
              <v:shape style="position:absolute;left:2708;top:14;width:23;height:393" coordorigin="2708,14" coordsize="23,393" path="m2708,407l2731,407,2731,14,2708,14,2708,407xe" filled="true" fillcolor="#d3d3d3" stroked="false">
                <v:path arrowok="t"/>
                <v:fill type="solid"/>
              </v:shape>
            </v:group>
            <v:group style="position:absolute;left:9552;top:14;width:23;height:393" coordorigin="9552,14" coordsize="23,393">
              <v:shape style="position:absolute;left:9552;top:14;width:23;height:393" coordorigin="9552,14" coordsize="23,393" path="m9552,407l9575,407,9575,14,9552,14,9552,407xe" filled="true" fillcolor="#d3d3d3" stroked="false">
                <v:path arrowok="t"/>
                <v:fill type="solid"/>
              </v:shape>
            </v:group>
            <v:group style="position:absolute;left:2731;top:14;width:6821;height:393" coordorigin="2731,14" coordsize="6821,393">
              <v:shape style="position:absolute;left:2731;top:14;width:6821;height:393" coordorigin="2731,14" coordsize="6821,393" path="m2731,407l9552,407,9552,14,2731,14,2731,407xe" filled="true" fillcolor="#d3d3d3" stroked="false">
                <v:path arrowok="t"/>
                <v:fill type="solid"/>
              </v:shape>
            </v:group>
            <v:group style="position:absolute;left:5;top:10;width:9580;height:2" coordorigin="5,10" coordsize="9580,2">
              <v:shape style="position:absolute;left:5;top:10;width:9580;height:2" coordorigin="5,10" coordsize="9580,0" path="m5,10l9584,10e" filled="false" stroked="true" strokeweight=".4799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2694;height:2" coordorigin="5,412" coordsize="2694,2">
              <v:shape style="position:absolute;left:5;top:412;width:2694;height:2" coordorigin="5,412" coordsize="2694,0" path="m5,412l2699,412e" filled="false" stroked="true" strokeweight=".47998pt" strokecolor="#000000">
                <v:path arrowok="t"/>
              </v:shape>
            </v:group>
            <v:group style="position:absolute;left:2704;top:14;width:2;height:402" coordorigin="2704,14" coordsize="2,402">
              <v:shape style="position:absolute;left:2704;top:14;width:2;height:402" coordorigin="2704,14" coordsize="0,402" path="m2704,14l2704,416e" filled="false" stroked="true" strokeweight=".48pt" strokecolor="#000000">
                <v:path arrowok="t"/>
              </v:shape>
            </v:group>
            <v:group style="position:absolute;left:2708;top:412;width:6867;height:2" coordorigin="2708,412" coordsize="6867,2">
              <v:shape style="position:absolute;left:2708;top:412;width:6867;height:2" coordorigin="2708,412" coordsize="6867,0" path="m2708,412l9575,412e" filled="false" stroked="true" strokeweight=".47998pt" strokecolor="#000000">
                <v:path arrowok="t"/>
              </v:shape>
            </v:group>
            <v:group style="position:absolute;left:9580;top:5;width:2;height:412" coordorigin="9580,5" coordsize="2,412">
              <v:shape style="position:absolute;left:9580;top:5;width:2;height:412" coordorigin="9580,5" coordsize="0,412" path="m9580,5l9580,416e" filled="false" stroked="true" strokeweight=".47998pt" strokecolor="#000000">
                <v:path arrowok="t"/>
              </v:shape>
              <v:shape style="position:absolute;left:10;top:10;width:2694;height:402" type="#_x0000_t202" filled="false" stroked="false">
                <v:textbox inset="0,0,0,0">
                  <w:txbxContent>
                    <w:p>
                      <w:pPr>
                        <w:spacing w:before="56"/>
                        <w:ind w:left="536" w:right="0" w:firstLine="0"/>
                        <w:jc w:val="left"/>
                        <w:rPr>
                          <w:rFonts w:ascii="宋体" w:hAnsi="宋体" w:cs="宋体" w:eastAsia="宋体" w:hint="default"/>
                          <w:sz w:val="18"/>
                          <w:szCs w:val="18"/>
                        </w:rPr>
                      </w:pPr>
                      <w:r>
                        <w:rPr>
                          <w:rFonts w:ascii="宋体" w:hAnsi="宋体" w:cs="宋体" w:eastAsia="宋体" w:hint="default"/>
                          <w:sz w:val="18"/>
                          <w:szCs w:val="18"/>
                        </w:rPr>
                        <w:t>应收账款（按单位）</w:t>
                      </w:r>
                    </w:p>
                  </w:txbxContent>
                </v:textbox>
                <w10:wrap type="none"/>
              </v:shape>
              <v:shape style="position:absolute;left:5780;top:121;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group>
          </v:group>
        </w:pict>
      </w:r>
      <w:r>
        <w:rPr>
          <w:rFonts w:ascii="宋体" w:hAnsi="宋体" w:cs="宋体" w:eastAsia="宋体" w:hint="default"/>
          <w:position w:val="-7"/>
          <w:sz w:val="20"/>
          <w:szCs w:val="20"/>
        </w:rPr>
      </w:r>
    </w:p>
    <w:p>
      <w:pPr>
        <w:spacing w:after="0" w:line="421" w:lineRule="exact"/>
        <w:rPr>
          <w:rFonts w:ascii="宋体" w:hAnsi="宋体" w:cs="宋体" w:eastAsia="宋体" w:hint="default"/>
          <w:sz w:val="20"/>
          <w:szCs w:val="20"/>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209" w:type="dxa"/>
        <w:tblLayout w:type="fixed"/>
        <w:tblCellMar>
          <w:top w:w="0" w:type="dxa"/>
          <w:left w:w="0" w:type="dxa"/>
          <w:bottom w:w="0" w:type="dxa"/>
          <w:right w:w="0" w:type="dxa"/>
        </w:tblCellMar>
        <w:tblLook w:val="01E0"/>
      </w:tblPr>
      <w:tblGrid>
        <w:gridCol w:w="2694"/>
        <w:gridCol w:w="1984"/>
        <w:gridCol w:w="1560"/>
        <w:gridCol w:w="1418"/>
        <w:gridCol w:w="1914"/>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4"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北京瑞邦一网科技发展有限公司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4,383,000.00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4,383,000.00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1" w:right="0"/>
              <w:jc w:val="lef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款项无法回收</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4,383,000.00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4,383,000.00</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747" w:footer="982" w:top="1060" w:bottom="1180" w:left="920" w:right="0"/>
        </w:sectPr>
      </w:pPr>
    </w:p>
    <w:p>
      <w:pPr>
        <w:spacing w:before="44"/>
        <w:ind w:left="21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116"/>
        <w:ind w:left="21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2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20" w:right="0"/>
          <w:cols w:num="2" w:equalWidth="0">
            <w:col w:w="4175" w:space="4654"/>
            <w:col w:w="2161"/>
          </w:cols>
        </w:sectPr>
      </w:pPr>
    </w:p>
    <w:p>
      <w:pPr>
        <w:spacing w:line="240" w:lineRule="auto" w:before="13"/>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2493"/>
        <w:gridCol w:w="2295"/>
        <w:gridCol w:w="2390"/>
        <w:gridCol w:w="2389"/>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3D3D3"/>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321,826,957.05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16,091,347.85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321,826,957.05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16,091,347.85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44,739,085.55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4,473,908.56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10,630,410.63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3,189,123.19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8,983,684.31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4,491,842.16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3,725,766.52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2,980,613.22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12,927,478.72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12,927,478.72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402,833,382.78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44,154,313.70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10.96%</w:t>
            </w:r>
          </w:p>
        </w:tc>
      </w:tr>
    </w:tbl>
    <w:p>
      <w:pPr>
        <w:spacing w:line="360" w:lineRule="auto" w:before="51"/>
        <w:ind w:left="213" w:right="6431"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0" w:lineRule="auto" w:before="26"/>
        <w:ind w:left="214" w:right="67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3"/>
        <w:rPr>
          <w:rFonts w:ascii="宋体" w:hAnsi="宋体" w:cs="宋体" w:eastAsia="宋体" w:hint="default"/>
          <w:sz w:val="2"/>
          <w:szCs w:val="2"/>
        </w:rPr>
      </w:pPr>
    </w:p>
    <w:tbl>
      <w:tblPr>
        <w:tblW w:w="0" w:type="auto"/>
        <w:jc w:val="left"/>
        <w:tblInd w:w="206" w:type="dxa"/>
        <w:tblLayout w:type="fixed"/>
        <w:tblCellMar>
          <w:top w:w="0" w:type="dxa"/>
          <w:left w:w="0" w:type="dxa"/>
          <w:bottom w:w="0" w:type="dxa"/>
          <w:right w:w="0" w:type="dxa"/>
        </w:tblCellMar>
        <w:tblLook w:val="01E0"/>
      </w:tblPr>
      <w:tblGrid>
        <w:gridCol w:w="2560"/>
        <w:gridCol w:w="2368"/>
        <w:gridCol w:w="2532"/>
        <w:gridCol w:w="2162"/>
      </w:tblGrid>
      <w:tr>
        <w:trPr>
          <w:trHeight w:val="347" w:hRule="exact"/>
        </w:trPr>
        <w:tc>
          <w:tcPr>
            <w:tcW w:w="2560" w:type="dxa"/>
            <w:vMerge w:val="restart"/>
            <w:tcBorders>
              <w:top w:val="single" w:sz="6" w:space="0" w:color="000000"/>
              <w:left w:val="single" w:sz="6" w:space="0" w:color="000000"/>
              <w:right w:val="single" w:sz="6" w:space="0" w:color="000000"/>
            </w:tcBorders>
            <w:shd w:val="clear" w:color="auto" w:fill="D3D3D3"/>
          </w:tcPr>
          <w:p>
            <w:pPr>
              <w:pStyle w:val="TableParagraph"/>
              <w:spacing w:line="240" w:lineRule="auto" w:before="21"/>
              <w:ind w:left="422"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7062" w:type="dxa"/>
            <w:gridSpan w:val="3"/>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21"/>
              <w:ind w:left="42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7" w:hRule="exact"/>
        </w:trPr>
        <w:tc>
          <w:tcPr>
            <w:tcW w:w="2560" w:type="dxa"/>
            <w:vMerge/>
            <w:tcBorders>
              <w:left w:val="single" w:sz="6" w:space="0" w:color="000000"/>
              <w:bottom w:val="single" w:sz="6" w:space="0" w:color="000000"/>
              <w:right w:val="single" w:sz="6" w:space="0" w:color="000000"/>
            </w:tcBorders>
            <w:shd w:val="clear" w:color="auto" w:fill="D3D3D3"/>
          </w:tcPr>
          <w:p>
            <w:pPr/>
          </w:p>
        </w:tc>
        <w:tc>
          <w:tcPr>
            <w:tcW w:w="236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21"/>
              <w:ind w:left="421"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53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21"/>
              <w:ind w:left="11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6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21"/>
              <w:ind w:left="922"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347" w:hRule="exact"/>
        </w:trPr>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2" w:right="0"/>
              <w:jc w:val="left"/>
              <w:rPr>
                <w:rFonts w:ascii="宋体" w:hAnsi="宋体" w:cs="宋体" w:eastAsia="宋体" w:hint="default"/>
                <w:sz w:val="18"/>
                <w:szCs w:val="18"/>
              </w:rPr>
            </w:pPr>
            <w:r>
              <w:rPr>
                <w:rFonts w:ascii="宋体" w:hAnsi="宋体" w:cs="宋体" w:eastAsia="宋体" w:hint="default"/>
                <w:sz w:val="18"/>
                <w:szCs w:val="18"/>
              </w:rPr>
              <w:t>合并范围内应收账款</w:t>
            </w:r>
          </w:p>
        </w:tc>
        <w:tc>
          <w:tcPr>
            <w:tcW w:w="2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1" w:right="0"/>
              <w:jc w:val="center"/>
              <w:rPr>
                <w:rFonts w:ascii="宋体" w:hAnsi="宋体" w:cs="宋体" w:eastAsia="宋体" w:hint="default"/>
                <w:sz w:val="18"/>
                <w:szCs w:val="18"/>
              </w:rPr>
            </w:pPr>
            <w:r>
              <w:rPr>
                <w:rFonts w:ascii="宋体"/>
                <w:sz w:val="18"/>
              </w:rPr>
              <w:t>114,039,854.75</w:t>
            </w:r>
          </w:p>
        </w:tc>
        <w:tc>
          <w:tcPr>
            <w:tcW w:w="2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w:t>
            </w:r>
          </w:p>
        </w:tc>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w:t>
            </w:r>
          </w:p>
        </w:tc>
      </w:tr>
      <w:tr>
        <w:trPr>
          <w:trHeight w:val="347" w:hRule="exact"/>
        </w:trPr>
        <w:tc>
          <w:tcPr>
            <w:tcW w:w="256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21"/>
              <w:ind w:left="4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6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21"/>
              <w:ind w:left="421" w:right="0"/>
              <w:jc w:val="center"/>
              <w:rPr>
                <w:rFonts w:ascii="宋体" w:hAnsi="宋体" w:cs="宋体" w:eastAsia="宋体" w:hint="default"/>
                <w:sz w:val="18"/>
                <w:szCs w:val="18"/>
              </w:rPr>
            </w:pPr>
            <w:r>
              <w:rPr>
                <w:rFonts w:ascii="宋体"/>
                <w:sz w:val="18"/>
              </w:rPr>
              <w:t>114,039,854.75</w:t>
            </w:r>
          </w:p>
        </w:tc>
        <w:tc>
          <w:tcPr>
            <w:tcW w:w="253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w:t>
            </w:r>
          </w:p>
        </w:tc>
        <w:tc>
          <w:tcPr>
            <w:tcW w:w="216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7"/>
        <w:rPr>
          <w:rFonts w:ascii="宋体" w:hAnsi="宋体" w:cs="宋体" w:eastAsia="宋体" w:hint="default"/>
          <w:sz w:val="27"/>
          <w:szCs w:val="27"/>
        </w:rPr>
      </w:pPr>
    </w:p>
    <w:p>
      <w:pPr>
        <w:spacing w:before="44"/>
        <w:ind w:left="214"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38" w:lineRule="auto" w:before="102"/>
        <w:ind w:left="213" w:right="4377"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13,797,141.43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 其中本期坏账准备收回或转回金额重要的：</w:t>
      </w:r>
    </w:p>
    <w:p>
      <w:pPr>
        <w:spacing w:before="43"/>
        <w:ind w:left="213" w:right="1021"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before="116"/>
        <w:ind w:left="213"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本期实际核销的应收账款情况</w:t>
      </w:r>
    </w:p>
    <w:p>
      <w:pPr>
        <w:spacing w:before="102"/>
        <w:ind w:left="214" w:right="1021" w:firstLine="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w:t>
      </w:r>
    </w:p>
    <w:p>
      <w:pPr>
        <w:spacing w:line="240" w:lineRule="auto" w:before="4"/>
        <w:rPr>
          <w:rFonts w:ascii="宋体" w:hAnsi="宋体" w:cs="宋体" w:eastAsia="宋体" w:hint="default"/>
          <w:sz w:val="28"/>
          <w:szCs w:val="2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2321"/>
        <w:gridCol w:w="2321"/>
        <w:gridCol w:w="2320"/>
        <w:gridCol w:w="2320"/>
      </w:tblGrid>
      <w:tr>
        <w:trPr>
          <w:trHeight w:val="63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15"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61" w:right="0"/>
              <w:jc w:val="left"/>
              <w:rPr>
                <w:rFonts w:ascii="宋体" w:hAnsi="宋体" w:cs="宋体" w:eastAsia="宋体" w:hint="default"/>
                <w:sz w:val="18"/>
                <w:szCs w:val="18"/>
              </w:rPr>
            </w:pPr>
            <w:r>
              <w:rPr>
                <w:rFonts w:ascii="宋体" w:hAnsi="宋体" w:cs="宋体" w:eastAsia="宋体" w:hint="default"/>
                <w:b/>
                <w:bCs/>
                <w:sz w:val="18"/>
                <w:szCs w:val="18"/>
              </w:rPr>
              <w:t>应收账款年末余额</w:t>
            </w:r>
            <w:r>
              <w:rPr>
                <w:rFonts w:ascii="宋体" w:hAnsi="宋体" w:cs="宋体" w:eastAsia="宋体" w:hint="default"/>
                <w:sz w:val="18"/>
                <w:szCs w:val="18"/>
              </w:rPr>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8" w:right="0"/>
              <w:jc w:val="left"/>
              <w:rPr>
                <w:rFonts w:ascii="宋体" w:hAnsi="宋体" w:cs="宋体" w:eastAsia="宋体" w:hint="default"/>
                <w:sz w:val="18"/>
                <w:szCs w:val="18"/>
              </w:rPr>
            </w:pPr>
            <w:r>
              <w:rPr>
                <w:rFonts w:ascii="宋体" w:hAnsi="宋体" w:cs="宋体" w:eastAsia="宋体" w:hint="default"/>
                <w:b/>
                <w:bCs/>
                <w:sz w:val="18"/>
                <w:szCs w:val="18"/>
              </w:rPr>
              <w:t>占应收账款年末余额合计</w:t>
            </w:r>
            <w:r>
              <w:rPr>
                <w:rFonts w:ascii="宋体" w:hAnsi="宋体" w:cs="宋体" w:eastAsia="宋体" w:hint="default"/>
                <w:sz w:val="18"/>
                <w:szCs w:val="18"/>
              </w:rPr>
            </w:r>
          </w:p>
          <w:p>
            <w:pPr>
              <w:pStyle w:val="TableParagraph"/>
              <w:spacing w:line="240" w:lineRule="auto" w:before="76"/>
              <w:ind w:left="1303"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数的比例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61" w:right="0"/>
              <w:jc w:val="left"/>
              <w:rPr>
                <w:rFonts w:ascii="宋体" w:hAnsi="宋体" w:cs="宋体" w:eastAsia="宋体" w:hint="default"/>
                <w:sz w:val="18"/>
                <w:szCs w:val="18"/>
              </w:rPr>
            </w:pPr>
            <w:r>
              <w:rPr>
                <w:rFonts w:ascii="宋体" w:hAnsi="宋体" w:cs="宋体" w:eastAsia="宋体" w:hint="default"/>
                <w:b/>
                <w:bCs/>
                <w:sz w:val="18"/>
                <w:szCs w:val="18"/>
              </w:rPr>
              <w:t>坏账准备年末余额</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type w:val="continuous"/>
          <w:pgSz w:w="11910" w:h="16840"/>
          <w:pgMar w:top="1060" w:bottom="1180" w:left="920" w:right="0"/>
        </w:sectPr>
      </w:pPr>
    </w:p>
    <w:p>
      <w:pPr>
        <w:spacing w:line="240" w:lineRule="auto" w:before="6"/>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2321"/>
        <w:gridCol w:w="2321"/>
        <w:gridCol w:w="2320"/>
        <w:gridCol w:w="2320"/>
      </w:tblGrid>
      <w:tr>
        <w:trPr>
          <w:trHeight w:val="322"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6"/>
              <w:jc w:val="right"/>
              <w:rPr>
                <w:rFonts w:ascii="Times New Roman" w:hAnsi="Times New Roman" w:cs="Times New Roman" w:eastAsia="Times New Roman" w:hint="default"/>
                <w:sz w:val="18"/>
                <w:szCs w:val="18"/>
              </w:rPr>
            </w:pPr>
            <w:r>
              <w:rPr>
                <w:rFonts w:ascii="Times New Roman"/>
                <w:spacing w:val="-1"/>
                <w:sz w:val="18"/>
              </w:rPr>
              <w:t>81,229,908.00</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15.58</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32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6"/>
              <w:jc w:val="right"/>
              <w:rPr>
                <w:rFonts w:ascii="Times New Roman" w:hAnsi="Times New Roman" w:cs="Times New Roman" w:eastAsia="Times New Roman" w:hint="default"/>
                <w:sz w:val="18"/>
                <w:szCs w:val="18"/>
              </w:rPr>
            </w:pPr>
            <w:r>
              <w:rPr>
                <w:rFonts w:ascii="Times New Roman"/>
                <w:spacing w:val="-1"/>
                <w:sz w:val="18"/>
              </w:rPr>
              <w:t>40,500,000.00</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7.77</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2,025,000.00</w:t>
            </w:r>
          </w:p>
        </w:tc>
      </w:tr>
      <w:tr>
        <w:trPr>
          <w:trHeight w:val="322"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6"/>
              <w:jc w:val="right"/>
              <w:rPr>
                <w:rFonts w:ascii="Times New Roman" w:hAnsi="Times New Roman" w:cs="Times New Roman" w:eastAsia="Times New Roman" w:hint="default"/>
                <w:sz w:val="18"/>
                <w:szCs w:val="18"/>
              </w:rPr>
            </w:pPr>
            <w:r>
              <w:rPr>
                <w:rFonts w:ascii="Times New Roman"/>
                <w:spacing w:val="-1"/>
                <w:sz w:val="18"/>
              </w:rPr>
              <w:t>38,544,800.00</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7.39</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1,927,240.00</w:t>
            </w:r>
          </w:p>
        </w:tc>
      </w:tr>
      <w:tr>
        <w:trPr>
          <w:trHeight w:val="322"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6"/>
              <w:jc w:val="right"/>
              <w:rPr>
                <w:rFonts w:ascii="Times New Roman" w:hAnsi="Times New Roman" w:cs="Times New Roman" w:eastAsia="Times New Roman" w:hint="default"/>
                <w:sz w:val="18"/>
                <w:szCs w:val="18"/>
              </w:rPr>
            </w:pPr>
            <w:r>
              <w:rPr>
                <w:rFonts w:ascii="Times New Roman"/>
                <w:spacing w:val="-1"/>
                <w:sz w:val="18"/>
              </w:rPr>
              <w:t>22,500,000.00</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4.32</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1,125,000.00</w:t>
            </w:r>
          </w:p>
        </w:tc>
      </w:tr>
      <w:tr>
        <w:trPr>
          <w:trHeight w:val="32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6"/>
              <w:jc w:val="right"/>
              <w:rPr>
                <w:rFonts w:ascii="Times New Roman" w:hAnsi="Times New Roman" w:cs="Times New Roman" w:eastAsia="Times New Roman" w:hint="default"/>
                <w:sz w:val="18"/>
                <w:szCs w:val="18"/>
              </w:rPr>
            </w:pPr>
            <w:r>
              <w:rPr>
                <w:rFonts w:ascii="Times New Roman"/>
                <w:spacing w:val="-1"/>
                <w:sz w:val="18"/>
              </w:rPr>
              <w:t>22,145,151.69</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4.25</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1,107,257.58</w:t>
            </w:r>
          </w:p>
        </w:tc>
      </w:tr>
      <w:tr>
        <w:trPr>
          <w:trHeight w:val="322"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2"/>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6"/>
              <w:jc w:val="right"/>
              <w:rPr>
                <w:rFonts w:ascii="Times New Roman" w:hAnsi="Times New Roman" w:cs="Times New Roman" w:eastAsia="Times New Roman" w:hint="default"/>
                <w:sz w:val="18"/>
                <w:szCs w:val="18"/>
              </w:rPr>
            </w:pPr>
            <w:r>
              <w:rPr>
                <w:rFonts w:ascii="Times New Roman"/>
                <w:b/>
                <w:spacing w:val="-1"/>
                <w:sz w:val="18"/>
              </w:rPr>
              <w:t>204,919,859.69</w:t>
            </w:r>
            <w:r>
              <w:rPr>
                <w:rFonts w:ascii="Times New Roman"/>
                <w:spacing w:val="-1"/>
                <w:sz w:val="18"/>
              </w:rPr>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z w:val="18"/>
              </w:rPr>
              <w:t>39.31</w:t>
            </w:r>
            <w:r>
              <w:rPr>
                <w:rFonts w:ascii="Times New Roman"/>
                <w:sz w:val="18"/>
              </w:rPr>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b/>
                <w:spacing w:val="-1"/>
                <w:sz w:val="18"/>
              </w:rPr>
              <w:t>6,184,497.58</w:t>
            </w:r>
            <w:r>
              <w:rPr>
                <w:rFonts w:ascii="Times New Roman"/>
                <w:spacing w:val="-1"/>
                <w:sz w:val="18"/>
              </w:rPr>
            </w:r>
          </w:p>
        </w:tc>
      </w:tr>
    </w:tbl>
    <w:p>
      <w:pPr>
        <w:spacing w:line="240" w:lineRule="auto" w:before="5"/>
        <w:rPr>
          <w:rFonts w:ascii="宋体" w:hAnsi="宋体" w:cs="宋体" w:eastAsia="宋体" w:hint="default"/>
          <w:sz w:val="24"/>
          <w:szCs w:val="24"/>
        </w:rPr>
      </w:pPr>
    </w:p>
    <w:p>
      <w:pPr>
        <w:spacing w:before="44"/>
        <w:ind w:left="214"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因金融资产转移而终止确认的应收账款</w:t>
      </w:r>
    </w:p>
    <w:p>
      <w:pPr>
        <w:spacing w:line="338" w:lineRule="auto" w:before="103"/>
        <w:ind w:left="213" w:right="68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转移应收账款且继续涉入形成的资产、负债金额 其他说明：</w:t>
      </w:r>
    </w:p>
    <w:p>
      <w:pPr>
        <w:spacing w:line="240" w:lineRule="auto" w:before="2"/>
        <w:rPr>
          <w:rFonts w:ascii="宋体" w:hAnsi="宋体" w:cs="宋体" w:eastAsia="宋体" w:hint="default"/>
          <w:sz w:val="21"/>
          <w:szCs w:val="21"/>
        </w:rPr>
      </w:pPr>
    </w:p>
    <w:p>
      <w:pPr>
        <w:pStyle w:val="Heading3"/>
        <w:spacing w:line="240" w:lineRule="auto"/>
        <w:ind w:left="214" w:right="1021"/>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1,190,298.78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2,691,528.53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54,138,589.77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45,702,288.01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55,328,888.55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48,393,816.54</w:t>
            </w:r>
          </w:p>
        </w:tc>
      </w:tr>
    </w:tbl>
    <w:p>
      <w:pPr>
        <w:spacing w:line="240" w:lineRule="auto" w:before="1"/>
        <w:rPr>
          <w:rFonts w:ascii="宋体" w:hAnsi="宋体" w:cs="宋体" w:eastAsia="宋体" w:hint="default"/>
          <w:sz w:val="19"/>
          <w:szCs w:val="19"/>
        </w:rPr>
      </w:pPr>
    </w:p>
    <w:p>
      <w:pPr>
        <w:pStyle w:val="Heading3"/>
        <w:spacing w:line="240" w:lineRule="auto" w:before="35"/>
        <w:ind w:left="214" w:right="1021"/>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spacing w:before="44"/>
        <w:ind w:left="214"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应收利息分类</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190"/>
        <w:gridCol w:w="3191"/>
        <w:gridCol w:w="318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1,190,298.78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2,691,528.53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1,190,298.78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2,691,528.53</w:t>
            </w:r>
          </w:p>
        </w:tc>
      </w:tr>
    </w:tbl>
    <w:p>
      <w:pPr>
        <w:spacing w:line="679" w:lineRule="auto" w:before="51"/>
        <w:ind w:left="213" w:right="95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重要逾期利息 无</w:t>
      </w:r>
    </w:p>
    <w:p>
      <w:pPr>
        <w:pStyle w:val="Heading3"/>
        <w:spacing w:line="240" w:lineRule="auto" w:before="20"/>
        <w:ind w:left="214" w:right="1021"/>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8"/>
        <w:rPr>
          <w:rFonts w:ascii="宋体" w:hAnsi="宋体" w:cs="宋体" w:eastAsia="宋体" w:hint="default"/>
          <w:b/>
          <w:bCs/>
          <w:sz w:val="26"/>
          <w:szCs w:val="26"/>
        </w:rPr>
      </w:pPr>
    </w:p>
    <w:p>
      <w:pPr>
        <w:spacing w:before="0"/>
        <w:ind w:left="214" w:right="1021"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left="214" w:right="1021"/>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3"/>
        <w:rPr>
          <w:rFonts w:ascii="宋体" w:hAnsi="宋体" w:cs="宋体" w:eastAsia="宋体" w:hint="default"/>
          <w:b/>
          <w:bCs/>
          <w:sz w:val="23"/>
          <w:szCs w:val="23"/>
        </w:rPr>
      </w:pPr>
    </w:p>
    <w:p>
      <w:pPr>
        <w:spacing w:before="44"/>
        <w:ind w:left="214" w:right="10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634"/>
        <w:gridCol w:w="1525"/>
        <w:gridCol w:w="1524"/>
        <w:gridCol w:w="790"/>
        <w:gridCol w:w="1416"/>
        <w:gridCol w:w="1745"/>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1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82" w:top="1060" w:bottom="1180" w:left="92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71,505,5</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20.03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17,366,9</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30.26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24.29%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54,138,58</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9.77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60,159,</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393.29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14,457,10</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5.28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24.03%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45,702,288.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01</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71,505,5</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20.03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17,366,9</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30.26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24.29%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54,138,58</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9.77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60,159,</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393.29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14,457,10</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5.28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24.03%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45,702,288.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3"/>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0"/>
          <w:cols w:num="2" w:equalWidth="0">
            <w:col w:w="4475" w:space="4354"/>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0"/>
        <w:gridCol w:w="2389"/>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3D3D3"/>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27,410,901.63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1,370,545.08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27,410,901.63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1,370,545.08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9,485,285.69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948,528.57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3,263,495.65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979,048.70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2,573,295.89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1,286,647.95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3,346,477.66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2,677,182.13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10,104,977.83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10,104,977.83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56,184,434.35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17,366,930.26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30.91%</w:t>
            </w:r>
          </w:p>
        </w:tc>
      </w:tr>
    </w:tbl>
    <w:p>
      <w:pPr>
        <w:spacing w:line="357" w:lineRule="auto" w:before="51"/>
        <w:ind w:left="153" w:right="6251"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38" w:lineRule="auto" w:before="29"/>
        <w:ind w:left="154" w:right="66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line="240" w:lineRule="auto" w:before="4"/>
        <w:rPr>
          <w:rFonts w:ascii="宋体" w:hAnsi="宋体" w:cs="宋体" w:eastAsia="宋体" w:hint="default"/>
          <w:sz w:val="29"/>
          <w:szCs w:val="29"/>
        </w:rPr>
      </w:pPr>
    </w:p>
    <w:tbl>
      <w:tblPr>
        <w:tblW w:w="0" w:type="auto"/>
        <w:jc w:val="left"/>
        <w:tblInd w:w="146" w:type="dxa"/>
        <w:tblLayout w:type="fixed"/>
        <w:tblCellMar>
          <w:top w:w="0" w:type="dxa"/>
          <w:left w:w="0" w:type="dxa"/>
          <w:bottom w:w="0" w:type="dxa"/>
          <w:right w:w="0" w:type="dxa"/>
        </w:tblCellMar>
        <w:tblLook w:val="01E0"/>
      </w:tblPr>
      <w:tblGrid>
        <w:gridCol w:w="2560"/>
        <w:gridCol w:w="2368"/>
        <w:gridCol w:w="2532"/>
        <w:gridCol w:w="2162"/>
      </w:tblGrid>
      <w:tr>
        <w:trPr>
          <w:trHeight w:val="347" w:hRule="exact"/>
        </w:trPr>
        <w:tc>
          <w:tcPr>
            <w:tcW w:w="2560" w:type="dxa"/>
            <w:vMerge w:val="restart"/>
            <w:tcBorders>
              <w:top w:val="single" w:sz="6" w:space="0" w:color="000000"/>
              <w:left w:val="single" w:sz="6" w:space="0" w:color="000000"/>
              <w:right w:val="single" w:sz="6" w:space="0" w:color="000000"/>
            </w:tcBorders>
            <w:shd w:val="clear" w:color="auto" w:fill="D3D3D3"/>
          </w:tcPr>
          <w:p>
            <w:pPr>
              <w:pStyle w:val="TableParagraph"/>
              <w:spacing w:line="240" w:lineRule="auto" w:before="20"/>
              <w:ind w:left="1121"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7062" w:type="dxa"/>
            <w:gridSpan w:val="3"/>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20"/>
              <w:ind w:left="42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7" w:hRule="exact"/>
        </w:trPr>
        <w:tc>
          <w:tcPr>
            <w:tcW w:w="2560" w:type="dxa"/>
            <w:vMerge/>
            <w:tcBorders>
              <w:left w:val="single" w:sz="6" w:space="0" w:color="000000"/>
              <w:bottom w:val="single" w:sz="6" w:space="0" w:color="000000"/>
              <w:right w:val="single" w:sz="6" w:space="0" w:color="000000"/>
            </w:tcBorders>
            <w:shd w:val="clear" w:color="auto" w:fill="D3D3D3"/>
          </w:tcPr>
          <w:p>
            <w:pPr/>
          </w:p>
        </w:tc>
        <w:tc>
          <w:tcPr>
            <w:tcW w:w="236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21"/>
              <w:ind w:right="515"/>
              <w:jc w:val="right"/>
              <w:rPr>
                <w:rFonts w:ascii="宋体" w:hAnsi="宋体" w:cs="宋体" w:eastAsia="宋体" w:hint="default"/>
                <w:sz w:val="18"/>
                <w:szCs w:val="18"/>
              </w:rPr>
            </w:pPr>
            <w:r>
              <w:rPr>
                <w:rFonts w:ascii="宋体" w:hAnsi="宋体" w:cs="宋体" w:eastAsia="宋体" w:hint="default"/>
                <w:sz w:val="18"/>
                <w:szCs w:val="18"/>
              </w:rPr>
              <w:t>其他应收款</w:t>
            </w:r>
          </w:p>
        </w:tc>
        <w:tc>
          <w:tcPr>
            <w:tcW w:w="253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21"/>
              <w:ind w:left="11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6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21"/>
              <w:ind w:left="922"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347" w:hRule="exact"/>
        </w:trPr>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2" w:right="0"/>
              <w:jc w:val="left"/>
              <w:rPr>
                <w:rFonts w:ascii="宋体" w:hAnsi="宋体" w:cs="宋体" w:eastAsia="宋体" w:hint="default"/>
                <w:sz w:val="18"/>
                <w:szCs w:val="18"/>
              </w:rPr>
            </w:pPr>
            <w:r>
              <w:rPr>
                <w:rFonts w:ascii="宋体" w:hAnsi="宋体" w:cs="宋体" w:eastAsia="宋体" w:hint="default"/>
                <w:sz w:val="18"/>
                <w:szCs w:val="18"/>
              </w:rPr>
              <w:t>员工暂借款及其他</w:t>
            </w:r>
          </w:p>
        </w:tc>
        <w:tc>
          <w:tcPr>
            <w:tcW w:w="2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25"/>
              <w:jc w:val="right"/>
              <w:rPr>
                <w:rFonts w:ascii="宋体" w:hAnsi="宋体" w:cs="宋体" w:eastAsia="宋体" w:hint="default"/>
                <w:sz w:val="18"/>
                <w:szCs w:val="18"/>
              </w:rPr>
            </w:pPr>
            <w:r>
              <w:rPr>
                <w:rFonts w:ascii="宋体"/>
                <w:sz w:val="18"/>
              </w:rPr>
              <w:t>3,948,312.07</w:t>
            </w:r>
          </w:p>
        </w:tc>
        <w:tc>
          <w:tcPr>
            <w:tcW w:w="2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w:t>
            </w:r>
          </w:p>
        </w:tc>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w:t>
            </w:r>
          </w:p>
        </w:tc>
      </w:tr>
      <w:tr>
        <w:trPr>
          <w:trHeight w:val="347" w:hRule="exact"/>
        </w:trPr>
        <w:tc>
          <w:tcPr>
            <w:tcW w:w="2560"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21"/>
              <w:ind w:left="422" w:right="0"/>
              <w:jc w:val="left"/>
              <w:rPr>
                <w:rFonts w:ascii="宋体" w:hAnsi="宋体" w:cs="宋体" w:eastAsia="宋体" w:hint="default"/>
                <w:sz w:val="18"/>
                <w:szCs w:val="18"/>
              </w:rPr>
            </w:pPr>
            <w:r>
              <w:rPr>
                <w:rFonts w:ascii="宋体" w:hAnsi="宋体" w:cs="宋体" w:eastAsia="宋体" w:hint="default"/>
                <w:sz w:val="18"/>
                <w:szCs w:val="18"/>
              </w:rPr>
              <w:t>合并范围内应收款</w:t>
            </w:r>
          </w:p>
        </w:tc>
        <w:tc>
          <w:tcPr>
            <w:tcW w:w="2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79"/>
              <w:jc w:val="right"/>
              <w:rPr>
                <w:rFonts w:ascii="宋体" w:hAnsi="宋体" w:cs="宋体" w:eastAsia="宋体" w:hint="default"/>
                <w:sz w:val="18"/>
                <w:szCs w:val="18"/>
              </w:rPr>
            </w:pPr>
            <w:r>
              <w:rPr>
                <w:rFonts w:ascii="宋体"/>
                <w:sz w:val="18"/>
              </w:rPr>
              <w:t>11,372,773.61</w:t>
            </w:r>
          </w:p>
        </w:tc>
        <w:tc>
          <w:tcPr>
            <w:tcW w:w="2532" w:type="dxa"/>
            <w:tcBorders>
              <w:top w:val="single" w:sz="6" w:space="0" w:color="000000"/>
              <w:left w:val="single" w:sz="6" w:space="0" w:color="000000"/>
              <w:bottom w:val="single" w:sz="6" w:space="0" w:color="000000"/>
              <w:right w:val="single" w:sz="6" w:space="0" w:color="000000"/>
            </w:tcBorders>
          </w:tcPr>
          <w:p>
            <w:pPr/>
          </w:p>
        </w:tc>
        <w:tc>
          <w:tcPr>
            <w:tcW w:w="216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56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21"/>
              <w:ind w:left="4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6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21"/>
              <w:ind w:right="379"/>
              <w:jc w:val="right"/>
              <w:rPr>
                <w:rFonts w:ascii="宋体" w:hAnsi="宋体" w:cs="宋体" w:eastAsia="宋体" w:hint="default"/>
                <w:sz w:val="18"/>
                <w:szCs w:val="18"/>
              </w:rPr>
            </w:pPr>
            <w:r>
              <w:rPr>
                <w:rFonts w:ascii="宋体"/>
                <w:sz w:val="18"/>
              </w:rPr>
              <w:t>15,321,085.68</w:t>
            </w:r>
          </w:p>
        </w:tc>
        <w:tc>
          <w:tcPr>
            <w:tcW w:w="253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w:t>
            </w:r>
          </w:p>
        </w:tc>
        <w:tc>
          <w:tcPr>
            <w:tcW w:w="216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w:t>
            </w:r>
          </w:p>
        </w:tc>
      </w:tr>
    </w:tbl>
    <w:p>
      <w:pPr>
        <w:spacing w:before="5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38" w:lineRule="auto" w:before="103"/>
        <w:ind w:left="153" w:right="446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2,909,824.98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 其中本期坏账准备转回或收回金额重要的：</w:t>
      </w:r>
    </w:p>
    <w:p>
      <w:pPr>
        <w:spacing w:before="42"/>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type w:val="continuous"/>
          <w:pgSz w:w="11910" w:h="16840"/>
          <w:pgMar w:top="1060" w:bottom="1180" w:left="98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82" w:top="1060" w:bottom="1180" w:left="980" w:right="0"/>
        </w:sectPr>
      </w:pPr>
    </w:p>
    <w:p>
      <w:pPr>
        <w:spacing w:line="348" w:lineRule="auto" w:before="44"/>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本期实际核销的其他应收款情况 无 </w:t>
      </w: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0"/>
          <w:cols w:num="2" w:equalWidth="0">
            <w:col w:w="2824" w:space="6004"/>
            <w:col w:w="2102"/>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492,482.62</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42,803,463.78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39,137,667.79</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单位与个人往来款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24,661,951.72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18,497,192.01</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代收代垫款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3,077,625.26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2,145,933.43</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469,996.65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378,600.06</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71,505,520.03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60,159,393.29</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按欠款方归集的期末余额前五名的其他应收款情况</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51"/>
        <w:gridCol w:w="1134"/>
        <w:gridCol w:w="1277"/>
        <w:gridCol w:w="2550"/>
        <w:gridCol w:w="1702"/>
        <w:gridCol w:w="2056"/>
      </w:tblGrid>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15" w:right="35" w:hanging="180"/>
              <w:jc w:val="left"/>
              <w:rPr>
                <w:rFonts w:ascii="宋体" w:hAnsi="宋体" w:cs="宋体" w:eastAsia="宋体" w:hint="default"/>
                <w:sz w:val="18"/>
                <w:szCs w:val="18"/>
              </w:rPr>
            </w:pPr>
            <w:r>
              <w:rPr>
                <w:rFonts w:ascii="宋体" w:hAnsi="宋体" w:cs="宋体" w:eastAsia="宋体" w:hint="default"/>
                <w:sz w:val="18"/>
                <w:szCs w:val="18"/>
              </w:rPr>
              <w:t>占其他应收款期末余 额合计数的比例</w:t>
            </w:r>
          </w:p>
        </w:tc>
        <w:tc>
          <w:tcPr>
            <w:tcW w:w="2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履约质保金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6,271,050.00</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3,858,760.00</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631,650.00</w:t>
            </w:r>
            <w:r>
              <w:rPr>
                <w:rFonts w:ascii="宋体" w:hAnsi="宋体" w:cs="宋体" w:eastAsia="宋体" w:hint="default"/>
                <w:sz w:val="18"/>
                <w:szCs w:val="18"/>
              </w:rPr>
              <w:t>；</w:t>
            </w:r>
            <w:r>
              <w:rPr>
                <w:rFonts w:ascii="Times New Roman" w:hAnsi="Times New Roman" w:cs="Times New Roman" w:eastAsia="Times New Roman" w:hint="default"/>
                <w:sz w:val="18"/>
                <w:szCs w:val="18"/>
              </w:rPr>
              <w:t>4-5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1,780,640.00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8.77%</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1,680,615.00</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业绩补偿款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4,884,906.00</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6.83%</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244,245.30</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履约质保金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4,567,000.00</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4,160,000.00</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398,000.00</w:t>
            </w:r>
            <w:r>
              <w:rPr>
                <w:rFonts w:ascii="宋体" w:hAnsi="宋体" w:cs="宋体" w:eastAsia="宋体" w:hint="default"/>
                <w:sz w:val="18"/>
                <w:szCs w:val="18"/>
              </w:rPr>
              <w:t>；</w:t>
            </w: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6.39%</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256,800.00</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4,020,390.59</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5.62%</w:t>
            </w: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履约质保金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3,400,000.00</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4.75%</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340,000.00</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23,143,346.59</w:t>
            </w:r>
          </w:p>
        </w:tc>
        <w:tc>
          <w:tcPr>
            <w:tcW w:w="2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32.37%</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2,521,660.30</w:t>
            </w:r>
          </w:p>
        </w:tc>
      </w:tr>
    </w:tbl>
    <w:p>
      <w:pPr>
        <w:spacing w:line="340" w:lineRule="auto" w:before="51"/>
        <w:ind w:left="154" w:right="86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涉及政府补助的应收款项 无</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43"/>
        <w:gridCol w:w="1276"/>
        <w:gridCol w:w="1277"/>
        <w:gridCol w:w="1416"/>
        <w:gridCol w:w="1277"/>
        <w:gridCol w:w="1116"/>
        <w:gridCol w:w="1367"/>
      </w:tblGrid>
      <w:tr>
        <w:trPr>
          <w:trHeight w:val="402" w:hRule="exact"/>
        </w:trPr>
        <w:tc>
          <w:tcPr>
            <w:tcW w:w="184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6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43" w:type="dxa"/>
            <w:vMerge/>
            <w:tcBorders>
              <w:left w:val="single" w:sz="4" w:space="0" w:color="000000"/>
              <w:bottom w:val="single" w:sz="4" w:space="0" w:color="000000"/>
              <w:right w:val="single" w:sz="4" w:space="0" w:color="000000"/>
            </w:tcBorders>
            <w:shd w:val="clear" w:color="auto" w:fill="D3D3D3"/>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953,594,213.86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23,154,000.00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930,440,213.86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942,089,213.86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23,154,000.00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918,935,213.86</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12,129,324.90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12,129,324.90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6,164,540.17</w:t>
            </w:r>
          </w:p>
        </w:tc>
        <w:tc>
          <w:tcPr>
            <w:tcW w:w="111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6,164,540.17</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965,723,538.76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23,154,000.00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942,569,538.76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948,253,754.03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23,154,000.00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925,099,754.03</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type w:val="continuous"/>
          <w:pgSz w:w="11910" w:h="16840"/>
          <w:pgMar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7"/>
        <w:gridCol w:w="1336"/>
        <w:gridCol w:w="1336"/>
        <w:gridCol w:w="1334"/>
        <w:gridCol w:w="1336"/>
        <w:gridCol w:w="1388"/>
        <w:gridCol w:w="1390"/>
      </w:tblGrid>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美亚研究所</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美亚中敏</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珠海新德汇</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322,657,994.98</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322,657,994.98</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香港鼎永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1,256,232.00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1,256,232.00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安胜网络</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武汉大千</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33,150,000.00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23,154,000.00</w:t>
            </w: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江苏税软</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543,199,986.88</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543,199,986.88</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美亚宏数</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13,575,000.00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13,575,000.00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美亚智讯</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美亚商鼎</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美银智投</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5,005,000.00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5,005,000.00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美亚天信</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美亚榕安</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942,089,213.86</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11,505,000.00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953,594,213.86</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23,154,000.00</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94"/>
        <w:gridCol w:w="850"/>
        <w:gridCol w:w="547"/>
        <w:gridCol w:w="798"/>
        <w:gridCol w:w="923"/>
        <w:gridCol w:w="709"/>
        <w:gridCol w:w="1276"/>
        <w:gridCol w:w="708"/>
        <w:gridCol w:w="709"/>
        <w:gridCol w:w="709"/>
        <w:gridCol w:w="709"/>
        <w:gridCol w:w="641"/>
      </w:tblGrid>
      <w:tr>
        <w:trPr>
          <w:trHeight w:val="402" w:hRule="exact"/>
        </w:trPr>
        <w:tc>
          <w:tcPr>
            <w:tcW w:w="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85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79"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0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319" w:lineRule="auto"/>
              <w:ind w:left="259" w:right="78"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6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45" w:right="43"/>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8" w:hRule="exact"/>
        </w:trPr>
        <w:tc>
          <w:tcPr>
            <w:tcW w:w="994" w:type="dxa"/>
            <w:vMerge/>
            <w:tcBorders>
              <w:left w:val="single" w:sz="4" w:space="0" w:color="000000"/>
              <w:bottom w:val="single" w:sz="4" w:space="0" w:color="000000"/>
              <w:right w:val="single" w:sz="4" w:space="0" w:color="000000"/>
            </w:tcBorders>
            <w:shd w:val="clear" w:color="auto" w:fill="D3D3D3"/>
          </w:tcPr>
          <w:p>
            <w:pPr/>
          </w:p>
        </w:tc>
        <w:tc>
          <w:tcPr>
            <w:tcW w:w="850" w:type="dxa"/>
            <w:vMerge/>
            <w:tcBorders>
              <w:left w:val="single" w:sz="4" w:space="0" w:color="000000"/>
              <w:bottom w:val="single" w:sz="4" w:space="0" w:color="000000"/>
              <w:right w:val="single" w:sz="4" w:space="0" w:color="000000"/>
            </w:tcBorders>
            <w:shd w:val="clear" w:color="auto" w:fill="D3D3D3"/>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7" w:right="89"/>
              <w:jc w:val="left"/>
              <w:rPr>
                <w:rFonts w:ascii="宋体" w:hAnsi="宋体" w:cs="宋体" w:eastAsia="宋体" w:hint="default"/>
                <w:sz w:val="18"/>
                <w:szCs w:val="18"/>
              </w:rPr>
            </w:pPr>
            <w:r>
              <w:rPr>
                <w:rFonts w:ascii="宋体" w:hAnsi="宋体" w:cs="宋体" w:eastAsia="宋体" w:hint="default"/>
                <w:sz w:val="18"/>
                <w:szCs w:val="18"/>
              </w:rPr>
              <w:t>追加 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5" w:right="9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9" w:right="78"/>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其他权益变动</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7" w:right="78"/>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9" w:right="78"/>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14" w:right="0"/>
              <w:jc w:val="left"/>
              <w:rPr>
                <w:rFonts w:ascii="Malgun Gothic" w:hAnsi="Malgun Gothic" w:cs="Malgun Gothic" w:eastAsia="Malgun Gothic" w:hint="default"/>
                <w:sz w:val="18"/>
                <w:szCs w:val="18"/>
              </w:rPr>
            </w:pPr>
            <w:r>
              <w:rPr>
                <w:rFonts w:ascii="Microsoft Sans Serif" w:hAnsi="Microsoft Sans Serif" w:cs="Microsoft Sans Serif" w:eastAsia="Microsoft Sans Serif" w:hint="default"/>
                <w:position w:val="-2"/>
                <w:sz w:val="13"/>
                <w:szCs w:val="13"/>
              </w:rPr>
              <w:t>Ѯ</w:t>
            </w:r>
            <w:r>
              <w:rPr>
                <w:rFonts w:ascii="Malgun Gothic" w:hAnsi="Malgun Gothic" w:cs="Malgun Gothic" w:eastAsia="Malgun Gothic" w:hint="default"/>
                <w:sz w:val="18"/>
                <w:szCs w:val="18"/>
              </w:rPr>
              <w:t>뀢</w:t>
            </w:r>
          </w:p>
        </w:tc>
        <w:tc>
          <w:tcPr>
            <w:tcW w:w="709" w:type="dxa"/>
            <w:vMerge/>
            <w:tcBorders>
              <w:left w:val="single" w:sz="4" w:space="0" w:color="000000"/>
              <w:bottom w:val="single" w:sz="4" w:space="0" w:color="000000"/>
              <w:right w:val="single" w:sz="4" w:space="0" w:color="000000"/>
            </w:tcBorders>
            <w:shd w:val="clear" w:color="auto" w:fill="D3D3D3"/>
          </w:tcPr>
          <w:p>
            <w:pPr/>
          </w:p>
        </w:tc>
        <w:tc>
          <w:tcPr>
            <w:tcW w:w="641"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厦门服云信 息科技有限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1,840,425.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84</w:t>
            </w:r>
          </w:p>
        </w:tc>
        <w:tc>
          <w:tcPr>
            <w:tcW w:w="54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130,564.8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-746,036.8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hAnsi="宋体" w:cs="宋体" w:eastAsia="宋体" w:hint="default"/>
                <w:sz w:val="18"/>
                <w:szCs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8,459,031.74</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9,422,85</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5.85</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北京万诚信 用评价有限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95,244.83</w:t>
            </w:r>
          </w:p>
        </w:tc>
        <w:tc>
          <w:tcPr>
            <w:tcW w:w="54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-95,244.83</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厦门正信世 纪信息科技 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1,836,915.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w:t>
            </w:r>
          </w:p>
        </w:tc>
        <w:tc>
          <w:tcPr>
            <w:tcW w:w="54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-76,908.30</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1,760,00</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7.37</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厦门市美亚 梧桐投资管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2,391,953.</w:t>
            </w:r>
          </w:p>
        </w:tc>
        <w:tc>
          <w:tcPr>
            <w:tcW w:w="54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-1,102,457.</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-343,034.90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946,461.</w:t>
            </w:r>
          </w:p>
        </w:tc>
        <w:tc>
          <w:tcPr>
            <w:tcW w:w="64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93"/>
        <w:gridCol w:w="850"/>
        <w:gridCol w:w="547"/>
        <w:gridCol w:w="798"/>
        <w:gridCol w:w="923"/>
        <w:gridCol w:w="709"/>
        <w:gridCol w:w="1276"/>
        <w:gridCol w:w="708"/>
        <w:gridCol w:w="709"/>
        <w:gridCol w:w="709"/>
        <w:gridCol w:w="709"/>
        <w:gridCol w:w="641"/>
      </w:tblGrid>
      <w:tr>
        <w:trPr>
          <w:trHeight w:val="36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理有限公司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83</w:t>
            </w:r>
          </w:p>
        </w:tc>
        <w:tc>
          <w:tcPr>
            <w:tcW w:w="54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25</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68</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6,164,540.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17</w:t>
            </w:r>
          </w:p>
        </w:tc>
        <w:tc>
          <w:tcPr>
            <w:tcW w:w="54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130,564.8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-2,020,647.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8,115,996.84</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12,129,3</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24.90</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6,164,540.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17</w:t>
            </w:r>
          </w:p>
        </w:tc>
        <w:tc>
          <w:tcPr>
            <w:tcW w:w="54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130,564.8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-2,020,647.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8,115,996.84</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12,129,3</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24.90</w:t>
            </w:r>
          </w:p>
        </w:tc>
        <w:tc>
          <w:tcPr>
            <w:tcW w:w="64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1,127,311,008.80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572,448,029.77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938,458,249.28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402,758,739.54</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3,158,260.14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3,389,274.31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1,530,133.56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9,682,880.00</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1,130,469,268.94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575,837,304.08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939,988,382.84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404,067,231.13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-2,020,647.25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-1,513,827.18</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1,069,435.14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1,537,500.00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1,879,393.00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65,449,779.62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按权益法核算的长期股权投资分红</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业绩承诺补偿款</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10,045,572.00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106,081,639.51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365,565.82</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9"/>
        <w:rPr>
          <w:rFonts w:ascii="宋体" w:hAnsi="宋体" w:cs="宋体" w:eastAsia="宋体" w:hint="default"/>
          <w:b/>
          <w:bCs/>
          <w:sz w:val="22"/>
          <w:szCs w:val="22"/>
        </w:rPr>
      </w:pPr>
    </w:p>
    <w:p>
      <w:pPr>
        <w:pStyle w:val="Heading2"/>
        <w:spacing w:line="240" w:lineRule="auto"/>
        <w:ind w:right="0"/>
        <w:jc w:val="left"/>
        <w:rPr>
          <w:b w:val="0"/>
          <w:bCs w:val="0"/>
        </w:rPr>
      </w:pP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245"/>
        <w:gridCol w:w="2268"/>
        <w:gridCol w:w="2056"/>
      </w:tblGrid>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说明</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245"/>
        <w:gridCol w:w="2268"/>
        <w:gridCol w:w="2056"/>
      </w:tblGrid>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32,978.14</w:t>
            </w: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计入当期损益的政府补助（与企业业务密切相关，按照国家统一标</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准定额或定量享受的政府补助除外）</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29,790,872.69</w:t>
            </w: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除同公司正常经营业务相关的有效套期保值业务外，持有交易性金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融资产、交易性金融负债产生的公允价值变动损益，以及处置交易</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性金融资产、交易性金融负债和可供出售金融资产取得的投资收益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65,449,779.62</w:t>
            </w: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-4,160,865.79</w:t>
            </w: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10,045,572.00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6"/>
              <w:jc w:val="left"/>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年收购武汉 大千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股权，武汉大千 原股东业绩承诺未实现需 补偿本公司的补偿款</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11,109,971.633</w:t>
            </w: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1,535,129.19</w:t>
            </w: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88,513,235.83</w:t>
            </w:r>
          </w:p>
        </w:tc>
        <w:tc>
          <w:tcPr>
            <w:tcW w:w="2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7"/>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r>
        <w:rPr>
          <w:rFonts w:ascii="宋体" w:hAnsi="宋体" w:cs="宋体" w:eastAsia="宋体" w:hint="default"/>
          <w:sz w:val="18"/>
          <w:szCs w:val="18"/>
        </w:rPr>
      </w:r>
    </w:p>
    <w:p>
      <w:pPr>
        <w:spacing w:line="302" w:lineRule="auto" w:before="63"/>
        <w:ind w:left="154" w:right="1117"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60"/>
        <w:gridCol w:w="2551"/>
        <w:gridCol w:w="5458"/>
      </w:tblGrid>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39"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4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软件增值税退税</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83" w:right="0"/>
              <w:jc w:val="left"/>
              <w:rPr>
                <w:rFonts w:ascii="Times New Roman" w:hAnsi="Times New Roman" w:cs="Times New Roman" w:eastAsia="Times New Roman" w:hint="default"/>
                <w:sz w:val="18"/>
                <w:szCs w:val="18"/>
              </w:rPr>
            </w:pPr>
            <w:r>
              <w:rPr>
                <w:rFonts w:ascii="Times New Roman"/>
                <w:sz w:val="18"/>
              </w:rPr>
              <w:t>48,585,751.02</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退税政策为长期的政策，本集团的软件增值税退税属于经常性发生的 补助</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0"/>
        <w:gridCol w:w="1913"/>
        <w:gridCol w:w="1913"/>
      </w:tblGrid>
      <w:tr>
        <w:trPr>
          <w:trHeight w:val="205" w:hRule="exact"/>
        </w:trPr>
        <w:tc>
          <w:tcPr>
            <w:tcW w:w="2662" w:type="dxa"/>
            <w:tcBorders>
              <w:top w:val="single" w:sz="4" w:space="0" w:color="000000"/>
              <w:left w:val="single" w:sz="4" w:space="0" w:color="000000"/>
              <w:bottom w:val="nil" w:sz="6" w:space="0" w:color="auto"/>
              <w:right w:val="single" w:sz="4" w:space="0" w:color="000000"/>
            </w:tcBorders>
            <w:shd w:val="clear" w:color="auto" w:fill="D3D3D3"/>
          </w:tcPr>
          <w:p>
            <w:pPr/>
          </w:p>
        </w:tc>
        <w:tc>
          <w:tcPr>
            <w:tcW w:w="3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38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26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7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662" w:type="dxa"/>
            <w:vMerge/>
            <w:tcBorders>
              <w:left w:val="single" w:sz="4" w:space="0" w:color="000000"/>
              <w:bottom w:val="nil" w:sz="6" w:space="0" w:color="auto"/>
              <w:right w:val="single" w:sz="4" w:space="0" w:color="000000"/>
            </w:tcBorders>
            <w:shd w:val="clear" w:color="auto" w:fill="D3D3D3"/>
          </w:tcPr>
          <w:p>
            <w:pPr/>
          </w:p>
        </w:tc>
        <w:tc>
          <w:tcPr>
            <w:tcW w:w="3080" w:type="dxa"/>
            <w:vMerge/>
            <w:tcBorders>
              <w:left w:val="single" w:sz="4" w:space="0" w:color="000000"/>
              <w:bottom w:val="nil" w:sz="6" w:space="0" w:color="auto"/>
              <w:right w:val="single" w:sz="4" w:space="0" w:color="000000"/>
            </w:tcBorders>
            <w:shd w:val="clear" w:color="auto" w:fill="D3D3D3"/>
          </w:tcPr>
          <w:p>
            <w:pP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3D3D3"/>
          </w:tcPr>
          <w:p>
            <w:pPr/>
          </w:p>
        </w:tc>
        <w:tc>
          <w:tcPr>
            <w:tcW w:w="3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0.380</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0.27</w:t>
            </w:r>
          </w:p>
        </w:tc>
      </w:tr>
    </w:tbl>
    <w:p>
      <w:pPr>
        <w:spacing w:line="240" w:lineRule="auto" w:before="1"/>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9"/>
        <w:rPr>
          <w:rFonts w:ascii="宋体" w:hAnsi="宋体" w:cs="宋体" w:eastAsia="宋体" w:hint="default"/>
          <w:sz w:val="24"/>
          <w:szCs w:val="24"/>
        </w:rPr>
      </w:pPr>
    </w:p>
    <w:p>
      <w:pPr>
        <w:pStyle w:val="Heading3"/>
        <w:spacing w:line="256" w:lineRule="auto" w:before="35"/>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82" w:top="1060" w:bottom="1180" w:left="9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6" w:right="0"/>
        <w:jc w:val="left"/>
        <w:rPr>
          <w:b w:val="0"/>
          <w:bCs w:val="0"/>
        </w:rPr>
      </w:pPr>
      <w:bookmarkStart w:name="_TOC_250000" w:id="12"/>
      <w:r>
        <w:rPr/>
        <w:t>第十二节</w:t>
      </w:r>
      <w:r>
        <w:rPr>
          <w:spacing w:val="-9"/>
        </w:rPr>
        <w:t> </w:t>
      </w:r>
      <w:r>
        <w:rPr/>
        <w:t>备查文件目录</w:t>
      </w:r>
      <w:bookmarkEnd w:id="12"/>
      <w:r>
        <w:rPr>
          <w:b w:val="0"/>
          <w:bCs w:val="0"/>
        </w:rPr>
      </w:r>
    </w:p>
    <w:p>
      <w:pPr>
        <w:spacing w:line="240" w:lineRule="auto" w:before="5"/>
        <w:rPr>
          <w:rFonts w:ascii="宋体" w:hAnsi="宋体" w:cs="宋体" w:eastAsia="宋体" w:hint="default"/>
          <w:b/>
          <w:bCs/>
          <w:sz w:val="46"/>
          <w:szCs w:val="46"/>
        </w:rPr>
      </w:pPr>
    </w:p>
    <w:p>
      <w:pPr>
        <w:pStyle w:val="BodyText"/>
        <w:spacing w:line="408" w:lineRule="auto"/>
        <w:ind w:right="1117" w:firstLine="420"/>
        <w:jc w:val="left"/>
      </w:pPr>
      <w:r>
        <w:rPr>
          <w:spacing w:val="-1"/>
        </w:rPr>
        <w:t>一、公司法定代表人、主管会计工作负责人、会计机构负责人（会计主管人员）签名并盖章的财务报</w:t>
      </w:r>
      <w:r>
        <w:rPr/>
        <w:t> 表。</w:t>
      </w:r>
    </w:p>
    <w:p>
      <w:pPr>
        <w:pStyle w:val="BodyText"/>
        <w:spacing w:line="513" w:lineRule="auto" w:before="166"/>
        <w:ind w:left="573" w:right="1931"/>
        <w:jc w:val="left"/>
      </w:pPr>
      <w:r>
        <w:rPr/>
        <w:t>二、会计师事务所盖章、注册会计师签名并盖章的审计报告原件。 三、报告期内在中国证监会指定网站上公开披露过的本公司所有文件的正本及公告的原稿。 四、公司法定代表人签名的</w:t>
      </w:r>
      <w:r>
        <w:rPr>
          <w:rFonts w:ascii="Times New Roman" w:hAnsi="Times New Roman" w:cs="Times New Roman" w:eastAsia="Times New Roman" w:hint="default"/>
        </w:rPr>
        <w:t>2018</w:t>
      </w:r>
      <w:r>
        <w:rPr/>
        <w:t>年年度报告全文及其摘要。</w:t>
      </w:r>
    </w:p>
    <w:p>
      <w:pPr>
        <w:pStyle w:val="BodyText"/>
        <w:spacing w:line="513" w:lineRule="auto" w:before="32"/>
        <w:ind w:left="573" w:right="6551"/>
        <w:jc w:val="left"/>
      </w:pPr>
      <w:r>
        <w:rPr/>
        <w:t>五、其他相关资料。 以上备查文件的备置地点：公司证券部。</w:t>
      </w:r>
    </w:p>
    <w:sectPr>
      <w:pgSz w:w="11910" w:h="16840"/>
      <w:pgMar w:header="747" w:footer="982" w:top="1060" w:bottom="118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Narrow">
    <w:altName w:val="Arial Narrow"/>
    <w:charset w:val="0"/>
    <w:family w:val="swiss"/>
    <w:pitch w:val="variable"/>
  </w:font>
  <w:font w:name="Arial">
    <w:altName w:val="Arial"/>
    <w:charset w:val="0"/>
    <w:family w:val="swiss"/>
    <w:pitch w:val="variable"/>
  </w:font>
  <w:font w:name="楷体">
    <w:altName w:val="楷体"/>
    <w:charset w:val="86"/>
    <w:family w:val="modern"/>
    <w:pitch w:val="fixed"/>
  </w:font>
  <w:font w:name="Malgun Gothic">
    <w:altName w:val="Malgun Gothic"/>
    <w:charset w:val="0"/>
    <w:family w:val="swiss"/>
    <w:pitch w:val="variable"/>
  </w:font>
  <w:font w:name="宋体">
    <w:altName w:val="宋体"/>
    <w:charset w:val="86"/>
    <w:family w:val="auto"/>
    <w:pitch w:val="variable"/>
  </w:font>
  <w:font w:name="仿宋">
    <w:altName w:val="仿宋"/>
    <w:charset w:val="86"/>
    <w:family w:val="modern"/>
    <w:pitch w:val="fixed"/>
  </w:font>
  <w:font w:name="Nirmala UI">
    <w:altName w:val="Nirmala UI"/>
    <w:charset w:val="0"/>
    <w:family w:val="swiss"/>
    <w:pitch w:val="variable"/>
  </w:font>
  <w:font w:name="Microsoft Sans Serif">
    <w:altName w:val="Microsoft Sans Serif"/>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298488" type="#_x0000_t75" stroked="false">
          <v:imagedata r:id="rId1" o:title=""/>
        </v:shape>
      </w:pict>
    </w:r>
    <w:r>
      <w:rPr/>
      <w:pict>
        <v:shape style="position:absolute;margin-left:533.119873pt;margin-top:795.457642pt;width:6.5pt;height:11pt;mso-position-horizontal-relative:page;mso-position-vertical-relative:page;z-index:-129846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298440" type="#_x0000_t75" stroked="false">
          <v:imagedata r:id="rId1" o:title=""/>
        </v:shape>
      </w:pict>
    </w:r>
    <w:r>
      <w:rPr/>
      <w:pict>
        <v:shape style="position:absolute;margin-left:527.619873pt;margin-top:781.897522pt;width:13pt;height:11pt;mso-position-horizontal-relative:page;mso-position-vertical-relative:page;z-index:-12984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298392" type="#_x0000_t75" stroked="false">
          <v:imagedata r:id="rId1" o:title=""/>
        </v:shape>
      </w:pict>
    </w:r>
    <w:r>
      <w:rPr/>
      <w:pict>
        <v:shape style="position:absolute;margin-left:524.119873pt;margin-top:781.897522pt;width:15.5pt;height:11pt;mso-position-horizontal-relative:page;mso-position-vertical-relative:page;z-index:-12983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298344" type="#_x0000_t75" stroked="false">
          <v:imagedata r:id="rId1" o:title=""/>
        </v:shape>
      </w:pict>
    </w:r>
    <w:r>
      <w:rPr/>
      <w:pict>
        <v:shape style="position:absolute;margin-left:523.119873pt;margin-top:781.897522pt;width:17.5pt;height:11pt;mso-position-horizontal-relative:page;mso-position-vertical-relative:page;z-index:-12983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298296" type="#_x0000_t75" stroked="false">
          <v:imagedata r:id="rId1" o:title=""/>
        </v:shape>
      </w:pict>
    </w:r>
    <w:r>
      <w:rPr/>
      <w:pict>
        <v:shape style="position:absolute;margin-left:524.119873pt;margin-top:781.897522pt;width:15.5pt;height:11pt;mso-position-horizontal-relative:page;mso-position-vertical-relative:page;z-index:-129827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298248" type="#_x0000_t75" stroked="false">
          <v:imagedata r:id="rId1" o:title=""/>
        </v:shape>
      </w:pict>
    </w:r>
    <w:r>
      <w:rPr/>
      <w:pict>
        <v:shape style="position:absolute;margin-left:523.119873pt;margin-top:781.897522pt;width:17.5pt;height:11pt;mso-position-horizontal-relative:page;mso-position-vertical-relative:page;z-index:-12982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17.119995pt;margin-top:36.325325pt;width:222.5pt;height:11.5pt;mso-position-horizontal-relative:page;mso-position-vertical-relative:page;z-index:-12985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厦门市美亚柏科信息股份有限公司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bullet"/>
      <w:lvlText w:val="●"/>
      <w:lvlJc w:val="left"/>
      <w:pPr>
        <w:ind w:left="153" w:hanging="213"/>
      </w:pPr>
      <w:rPr>
        <w:rFonts w:hint="default" w:ascii="Times New Roman" w:hAnsi="Times New Roman" w:eastAsia="Times New Roman"/>
        <w:spacing w:val="-20"/>
        <w:w w:val="99"/>
        <w:sz w:val="21"/>
        <w:szCs w:val="21"/>
      </w:rPr>
    </w:lvl>
    <w:lvl w:ilvl="1">
      <w:start w:val="1"/>
      <w:numFmt w:val="bullet"/>
      <w:lvlText w:val="•"/>
      <w:lvlJc w:val="left"/>
      <w:pPr>
        <w:ind w:left="1236" w:hanging="213"/>
      </w:pPr>
      <w:rPr>
        <w:rFonts w:hint="default"/>
      </w:rPr>
    </w:lvl>
    <w:lvl w:ilvl="2">
      <w:start w:val="1"/>
      <w:numFmt w:val="bullet"/>
      <w:lvlText w:val="•"/>
      <w:lvlJc w:val="left"/>
      <w:pPr>
        <w:ind w:left="2312" w:hanging="213"/>
      </w:pPr>
      <w:rPr>
        <w:rFonts w:hint="default"/>
      </w:rPr>
    </w:lvl>
    <w:lvl w:ilvl="3">
      <w:start w:val="1"/>
      <w:numFmt w:val="bullet"/>
      <w:lvlText w:val="•"/>
      <w:lvlJc w:val="left"/>
      <w:pPr>
        <w:ind w:left="3389" w:hanging="213"/>
      </w:pPr>
      <w:rPr>
        <w:rFonts w:hint="default"/>
      </w:rPr>
    </w:lvl>
    <w:lvl w:ilvl="4">
      <w:start w:val="1"/>
      <w:numFmt w:val="bullet"/>
      <w:lvlText w:val="•"/>
      <w:lvlJc w:val="left"/>
      <w:pPr>
        <w:ind w:left="4465" w:hanging="213"/>
      </w:pPr>
      <w:rPr>
        <w:rFonts w:hint="default"/>
      </w:rPr>
    </w:lvl>
    <w:lvl w:ilvl="5">
      <w:start w:val="1"/>
      <w:numFmt w:val="bullet"/>
      <w:lvlText w:val="•"/>
      <w:lvlJc w:val="left"/>
      <w:pPr>
        <w:ind w:left="5542" w:hanging="213"/>
      </w:pPr>
      <w:rPr>
        <w:rFonts w:hint="default"/>
      </w:rPr>
    </w:lvl>
    <w:lvl w:ilvl="6">
      <w:start w:val="1"/>
      <w:numFmt w:val="bullet"/>
      <w:lvlText w:val="•"/>
      <w:lvlJc w:val="left"/>
      <w:pPr>
        <w:ind w:left="6618" w:hanging="213"/>
      </w:pPr>
      <w:rPr>
        <w:rFonts w:hint="default"/>
      </w:rPr>
    </w:lvl>
    <w:lvl w:ilvl="7">
      <w:start w:val="1"/>
      <w:numFmt w:val="bullet"/>
      <w:lvlText w:val="•"/>
      <w:lvlJc w:val="left"/>
      <w:pPr>
        <w:ind w:left="7695" w:hanging="213"/>
      </w:pPr>
      <w:rPr>
        <w:rFonts w:hint="default"/>
      </w:rPr>
    </w:lvl>
    <w:lvl w:ilvl="8">
      <w:start w:val="1"/>
      <w:numFmt w:val="bullet"/>
      <w:lvlText w:val="•"/>
      <w:lvlJc w:val="left"/>
      <w:pPr>
        <w:ind w:left="8771" w:hanging="21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5"/>
      <w:ind w:left="153"/>
    </w:pPr>
    <w:rPr>
      <w:rFonts w:ascii="宋体" w:hAnsi="宋体" w:eastAsia="宋体"/>
      <w:sz w:val="24"/>
      <w:szCs w:val="24"/>
    </w:rPr>
  </w:style>
  <w:style w:styleId="BodyText" w:type="paragraph">
    <w:name w:val="Body Text"/>
    <w:basedOn w:val="Normal"/>
    <w:uiPriority w:val="1"/>
    <w:qFormat/>
    <w:pPr>
      <w:ind w:left="154"/>
    </w:pPr>
    <w:rPr>
      <w:rFonts w:ascii="宋体" w:hAnsi="宋体" w:eastAsia="宋体"/>
      <w:sz w:val="21"/>
      <w:szCs w:val="21"/>
    </w:rPr>
  </w:style>
  <w:style w:styleId="Heading1" w:type="paragraph">
    <w:name w:val="Heading 1"/>
    <w:basedOn w:val="Normal"/>
    <w:uiPriority w:val="1"/>
    <w:qFormat/>
    <w:pPr>
      <w:spacing w:before="1"/>
      <w:ind w:left="2243"/>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300188.cn/" TargetMode="External"/><Relationship Id="rId10" Type="http://schemas.openxmlformats.org/officeDocument/2006/relationships/hyperlink" Target="mailto:tzzgx@300188.cn" TargetMode="External"/><Relationship Id="rId11" Type="http://schemas.openxmlformats.org/officeDocument/2006/relationships/hyperlink" Target="http://www.cninfo.com.cn/" TargetMode="External"/><Relationship Id="rId12" Type="http://schemas.openxmlformats.org/officeDocument/2006/relationships/hyperlink" Target="http://www.cninfo.c/" TargetMode="External"/><Relationship Id="rId13" Type="http://schemas.openxmlformats.org/officeDocument/2006/relationships/image" Target="media/image3.jpeg"/><Relationship Id="rId14" Type="http://schemas.openxmlformats.org/officeDocument/2006/relationships/hyperlink" Target="http://www.xiamencredit.gov.cn/" TargetMode="External"/><Relationship Id="rId15" Type="http://schemas.openxmlformats.org/officeDocument/2006/relationships/hyperlink" Target="http://www.cninfo.com.cn&#30340;/" TargetMode="External"/><Relationship Id="rId16" Type="http://schemas.openxmlformats.org/officeDocument/2006/relationships/image" Target="media/image4.jpeg"/><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chenq</dc:creator>
  <dc:title>&lt;4D6963726F736F667420576F7264202D2032303138C4EAC4EAB6C8B1A8B8E6C8ABCEC42E646F63&gt;</dc:title>
  <dcterms:created xsi:type="dcterms:W3CDTF">2020-05-04T19:27:13Z</dcterms:created>
  <dcterms:modified xsi:type="dcterms:W3CDTF">2020-05-04T19:27:13Z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2019-03-22T00:00:00Z</vt:filetime>
  </property>
  <property fmtid="{D5CDD505-2E9C-101B-9397-08002B2CF9AE}" pid="3" name="Creator">
    <vt:lpwstr>PScript5.dll Version 5.2.2</vt:lpwstr>
  </property>
  <property fmtid="{D5CDD505-2E9C-101B-9397-08002B2CF9AE}" pid="4" name="LastSaved">
    <vt:filetime>2020-05-04T00:00:00Z</vt:filetime>
  </property>
</Properties>
</file>