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r>
        <w:rPr/>
        <w:pict>
          <v:group style="position:absolute;margin-left:55.200001pt;margin-top:49.079983pt;width:484.8pt;height:.1pt;mso-position-horizontal-relative:page;mso-position-vertical-relative:page;z-index:0" coordorigin="1104,982" coordsize="9696,2">
            <v:shape style="position:absolute;left:1104;top:982;width:9696;height:2" coordorigin="1104,982" coordsize="9696,0" path="m1104,982l10800,982e" filled="false" stroked="true" strokeweight=".72pt" strokecolor="#000000">
              <v:path arrowok="t"/>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6"/>
          <w:szCs w:val="16"/>
        </w:rPr>
      </w:pPr>
    </w:p>
    <w:p>
      <w:pPr>
        <w:spacing w:line="2340" w:lineRule="exact"/>
        <w:ind w:left="3861"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46"/>
          <w:sz w:val="20"/>
          <w:szCs w:val="20"/>
        </w:rPr>
        <w:drawing>
          <wp:inline distT="0" distB="0" distL="0" distR="0">
            <wp:extent cx="1409699" cy="1485900"/>
            <wp:effectExtent l="0" t="0" r="0" b="0"/>
            <wp:docPr id="1" name="image2.png" descr="?"/>
            <wp:cNvGraphicFramePr>
              <a:graphicFrameLocks noChangeAspect="1"/>
            </wp:cNvGraphicFramePr>
            <a:graphic>
              <a:graphicData uri="http://schemas.openxmlformats.org/drawingml/2006/picture">
                <pic:pic>
                  <pic:nvPicPr>
                    <pic:cNvPr id="2" name="image2.png"/>
                    <pic:cNvPicPr/>
                  </pic:nvPicPr>
                  <pic:blipFill>
                    <a:blip r:embed="rId7" cstate="print"/>
                    <a:stretch>
                      <a:fillRect/>
                    </a:stretch>
                  </pic:blipFill>
                  <pic:spPr>
                    <a:xfrm>
                      <a:off x="0" y="0"/>
                      <a:ext cx="1409699" cy="1485900"/>
                    </a:xfrm>
                    <a:prstGeom prst="rect">
                      <a:avLst/>
                    </a:prstGeom>
                  </pic:spPr>
                </pic:pic>
              </a:graphicData>
            </a:graphic>
          </wp:inline>
        </w:drawing>
      </w:r>
      <w:r>
        <w:rPr>
          <w:rFonts w:ascii="Times New Roman" w:hAnsi="Times New Roman" w:cs="Times New Roman" w:eastAsia="Times New Roman" w:hint="default"/>
          <w:position w:val="-46"/>
          <w:sz w:val="20"/>
          <w:szCs w:val="20"/>
        </w:rPr>
      </w:r>
    </w:p>
    <w:p>
      <w:pPr>
        <w:spacing w:line="240" w:lineRule="auto" w:before="3"/>
        <w:rPr>
          <w:rFonts w:ascii="Times New Roman" w:hAnsi="Times New Roman" w:cs="Times New Roman" w:eastAsia="Times New Roman" w:hint="default"/>
          <w:sz w:val="13"/>
          <w:szCs w:val="13"/>
        </w:rPr>
      </w:pPr>
    </w:p>
    <w:p>
      <w:pPr>
        <w:spacing w:line="460" w:lineRule="exact" w:before="0"/>
        <w:ind w:left="2244" w:right="3220" w:firstLine="0"/>
        <w:jc w:val="center"/>
        <w:rPr>
          <w:rFonts w:ascii="宋体" w:hAnsi="宋体" w:cs="宋体" w:eastAsia="宋体" w:hint="default"/>
          <w:sz w:val="36"/>
          <w:szCs w:val="36"/>
        </w:rPr>
      </w:pPr>
      <w:r>
        <w:rPr>
          <w:rFonts w:ascii="宋体" w:hAnsi="宋体" w:cs="宋体" w:eastAsia="宋体" w:hint="default"/>
          <w:b/>
          <w:bCs/>
          <w:sz w:val="36"/>
          <w:szCs w:val="36"/>
        </w:rPr>
        <w:t>厦门市美亚柏科信息股份有限公司</w:t>
      </w:r>
      <w:r>
        <w:rPr>
          <w:rFonts w:ascii="宋体" w:hAnsi="宋体" w:cs="宋体" w:eastAsia="宋体" w:hint="default"/>
          <w:sz w:val="36"/>
          <w:szCs w:val="36"/>
        </w:rPr>
      </w:r>
    </w:p>
    <w:p>
      <w:pPr>
        <w:spacing w:line="240" w:lineRule="auto" w:before="11"/>
        <w:rPr>
          <w:rFonts w:ascii="宋体" w:hAnsi="宋体" w:cs="宋体" w:eastAsia="宋体" w:hint="default"/>
          <w:b/>
          <w:bCs/>
          <w:sz w:val="30"/>
          <w:szCs w:val="30"/>
        </w:rPr>
      </w:pPr>
    </w:p>
    <w:p>
      <w:pPr>
        <w:spacing w:before="0"/>
        <w:ind w:left="2238" w:right="3220"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2019</w:t>
      </w:r>
      <w:r>
        <w:rPr>
          <w:rFonts w:ascii="Times New Roman" w:hAnsi="Times New Roman" w:cs="Times New Roman" w:eastAsia="Times New Roman" w:hint="default"/>
          <w:b/>
          <w:bCs/>
          <w:spacing w:val="-3"/>
          <w:sz w:val="32"/>
          <w:szCs w:val="32"/>
        </w:rPr>
        <w:t> </w:t>
      </w:r>
      <w:r>
        <w:rPr>
          <w:rFonts w:ascii="宋体" w:hAnsi="宋体" w:cs="宋体" w:eastAsia="宋体" w:hint="default"/>
          <w:b/>
          <w:bCs/>
          <w:sz w:val="32"/>
          <w:szCs w:val="32"/>
        </w:rPr>
        <w:t>年年度报告</w:t>
      </w:r>
      <w:r>
        <w:rPr>
          <w:rFonts w:ascii="宋体" w:hAnsi="宋体" w:cs="宋体" w:eastAsia="宋体" w:hint="default"/>
          <w:sz w:val="32"/>
          <w:szCs w:val="32"/>
        </w:rPr>
      </w:r>
    </w:p>
    <w:p>
      <w:pPr>
        <w:spacing w:line="240" w:lineRule="auto" w:before="5"/>
        <w:rPr>
          <w:rFonts w:ascii="宋体" w:hAnsi="宋体" w:cs="宋体" w:eastAsia="宋体" w:hint="default"/>
          <w:b/>
          <w:bCs/>
          <w:sz w:val="32"/>
          <w:szCs w:val="32"/>
        </w:rPr>
      </w:pPr>
    </w:p>
    <w:p>
      <w:pPr>
        <w:spacing w:before="0"/>
        <w:ind w:left="2241" w:right="3220" w:firstLine="0"/>
        <w:jc w:val="center"/>
        <w:rPr>
          <w:rFonts w:ascii="Times New Roman" w:hAnsi="Times New Roman" w:cs="Times New Roman" w:eastAsia="Times New Roman" w:hint="default"/>
          <w:sz w:val="22"/>
          <w:szCs w:val="22"/>
        </w:rPr>
      </w:pPr>
      <w:r>
        <w:rPr>
          <w:rFonts w:ascii="Times New Roman"/>
          <w:b/>
          <w:sz w:val="22"/>
        </w:rPr>
        <w:t>2020-12</w:t>
      </w:r>
      <w:r>
        <w:rPr>
          <w:rFonts w:ascii="Times New Roman"/>
          <w:sz w:val="22"/>
        </w:rPr>
      </w: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before="127"/>
        <w:ind w:left="2240" w:right="3220"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2020</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年</w:t>
      </w:r>
      <w:r>
        <w:rPr>
          <w:rFonts w:ascii="宋体" w:hAnsi="宋体" w:cs="宋体" w:eastAsia="宋体" w:hint="default"/>
          <w:b/>
          <w:bCs/>
          <w:spacing w:val="-81"/>
          <w:sz w:val="32"/>
          <w:szCs w:val="32"/>
        </w:rPr>
        <w:t> </w:t>
      </w:r>
      <w:r>
        <w:rPr>
          <w:rFonts w:ascii="Times New Roman" w:hAnsi="Times New Roman" w:cs="Times New Roman" w:eastAsia="Times New Roman" w:hint="default"/>
          <w:b/>
          <w:bCs/>
          <w:sz w:val="32"/>
          <w:szCs w:val="32"/>
        </w:rPr>
        <w:t>03</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月</w:t>
      </w:r>
      <w:r>
        <w:rPr>
          <w:rFonts w:ascii="宋体" w:hAnsi="宋体" w:cs="宋体" w:eastAsia="宋体" w:hint="default"/>
          <w:sz w:val="32"/>
          <w:szCs w:val="32"/>
        </w:rPr>
      </w:r>
    </w:p>
    <w:p>
      <w:pPr>
        <w:spacing w:after="0"/>
        <w:jc w:val="center"/>
        <w:rPr>
          <w:rFonts w:ascii="宋体" w:hAnsi="宋体" w:cs="宋体" w:eastAsia="宋体" w:hint="default"/>
          <w:sz w:val="32"/>
          <w:szCs w:val="32"/>
        </w:rPr>
        <w:sectPr>
          <w:headerReference w:type="default" r:id="rId5"/>
          <w:footerReference w:type="default" r:id="rId6"/>
          <w:type w:val="continuous"/>
          <w:pgSz w:w="11910" w:h="16840"/>
          <w:pgMar w:header="745" w:footer="982" w:top="1060" w:bottom="1180" w:left="980" w:right="0"/>
        </w:sectPr>
      </w:pPr>
    </w:p>
    <w:p>
      <w:pPr>
        <w:spacing w:line="240" w:lineRule="auto" w:before="11"/>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55pt;height:.75pt;mso-position-horizontal-relative:char;mso-position-vertical-relative:line" coordorigin="0,0" coordsize="9711,15">
            <v:group style="position:absolute;left:7;top:7;width:9696;height:2" coordorigin="7,7" coordsize="9696,2">
              <v:shape style="position:absolute;left:7;top:7;width:9696;height:2" coordorigin="7,7" coordsize="9696,0" path="m7,7l9703,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pStyle w:val="Heading1"/>
        <w:spacing w:line="240" w:lineRule="auto"/>
        <w:ind w:left="2884" w:right="986"/>
        <w:jc w:val="left"/>
        <w:rPr>
          <w:b w:val="0"/>
          <w:bCs w:val="0"/>
        </w:rPr>
      </w:pPr>
      <w:bookmarkStart w:name="第一节重要提示、目录和释义" w:id="1"/>
      <w:bookmarkEnd w:id="1"/>
      <w:r>
        <w:rPr>
          <w:b w:val="0"/>
          <w:bCs w:val="0"/>
        </w:rPr>
      </w:r>
      <w:r>
        <w:rPr/>
        <w:t>第一节重要提示、目录和释义</w:t>
      </w:r>
      <w:r>
        <w:rPr>
          <w:b w:val="0"/>
          <w:bCs w:val="0"/>
        </w:rPr>
      </w:r>
    </w:p>
    <w:p>
      <w:pPr>
        <w:spacing w:line="240" w:lineRule="auto" w:before="0"/>
        <w:rPr>
          <w:rFonts w:ascii="宋体" w:hAnsi="宋体" w:cs="宋体" w:eastAsia="宋体" w:hint="default"/>
          <w:b/>
          <w:bCs/>
          <w:sz w:val="32"/>
          <w:szCs w:val="32"/>
        </w:rPr>
      </w:pPr>
    </w:p>
    <w:p>
      <w:pPr>
        <w:spacing w:line="408" w:lineRule="auto" w:before="215"/>
        <w:ind w:left="152" w:right="1129" w:firstLine="561"/>
        <w:jc w:val="both"/>
        <w:rPr>
          <w:rFonts w:ascii="宋体" w:hAnsi="宋体" w:cs="宋体" w:eastAsia="宋体" w:hint="default"/>
          <w:sz w:val="28"/>
          <w:szCs w:val="28"/>
        </w:rPr>
      </w:pPr>
      <w:r>
        <w:rPr>
          <w:rFonts w:ascii="宋体" w:hAnsi="宋体" w:cs="宋体" w:eastAsia="宋体" w:hint="default"/>
          <w:b/>
          <w:bCs/>
          <w:spacing w:val="2"/>
          <w:sz w:val="28"/>
          <w:szCs w:val="28"/>
        </w:rPr>
        <w:t>公司董事会、监事会及董事、监事、高级管理人员保证年度报告内容的真</w:t>
      </w:r>
      <w:r>
        <w:rPr>
          <w:rFonts w:ascii="宋体" w:hAnsi="宋体" w:cs="宋体" w:eastAsia="宋体" w:hint="default"/>
          <w:b/>
          <w:bCs/>
          <w:w w:val="99"/>
          <w:sz w:val="28"/>
          <w:szCs w:val="28"/>
        </w:rPr>
        <w:t> </w:t>
      </w:r>
      <w:r>
        <w:rPr>
          <w:rFonts w:ascii="宋体" w:hAnsi="宋体" w:cs="宋体" w:eastAsia="宋体" w:hint="default"/>
          <w:b/>
          <w:bCs/>
          <w:spacing w:val="2"/>
          <w:sz w:val="28"/>
          <w:szCs w:val="28"/>
        </w:rPr>
        <w:t>实、准确、完整，不存在虚假记载、误导性陈述或重大遗漏，并承担个别和连</w:t>
      </w:r>
      <w:r>
        <w:rPr>
          <w:rFonts w:ascii="宋体" w:hAnsi="宋体" w:cs="宋体" w:eastAsia="宋体" w:hint="default"/>
          <w:b/>
          <w:bCs/>
          <w:w w:val="99"/>
          <w:sz w:val="28"/>
          <w:szCs w:val="28"/>
        </w:rPr>
        <w:t> </w:t>
      </w:r>
      <w:r>
        <w:rPr>
          <w:rFonts w:ascii="宋体" w:hAnsi="宋体" w:cs="宋体" w:eastAsia="宋体" w:hint="default"/>
          <w:b/>
          <w:bCs/>
          <w:sz w:val="28"/>
          <w:szCs w:val="28"/>
        </w:rPr>
        <w:t>带的法律责任。</w:t>
      </w:r>
      <w:r>
        <w:rPr>
          <w:rFonts w:ascii="宋体" w:hAnsi="宋体" w:cs="宋体" w:eastAsia="宋体" w:hint="default"/>
          <w:sz w:val="28"/>
          <w:szCs w:val="28"/>
        </w:rPr>
      </w:r>
    </w:p>
    <w:p>
      <w:pPr>
        <w:spacing w:line="386" w:lineRule="auto" w:before="162"/>
        <w:ind w:left="152" w:right="986" w:firstLine="561"/>
        <w:jc w:val="left"/>
        <w:rPr>
          <w:rFonts w:ascii="宋体" w:hAnsi="宋体" w:cs="宋体" w:eastAsia="宋体" w:hint="default"/>
          <w:sz w:val="28"/>
          <w:szCs w:val="28"/>
        </w:rPr>
      </w:pPr>
      <w:r>
        <w:rPr>
          <w:rFonts w:ascii="宋体" w:hAnsi="宋体" w:cs="宋体" w:eastAsia="宋体" w:hint="default"/>
          <w:b/>
          <w:bCs/>
          <w:w w:val="95"/>
          <w:sz w:val="28"/>
          <w:szCs w:val="28"/>
        </w:rPr>
        <w:t>公司负责人滕达、主管会计工作负责人张乃军及会计机构负责人</w:t>
      </w:r>
      <w:r>
        <w:rPr>
          <w:rFonts w:ascii="Times New Roman" w:hAnsi="Times New Roman" w:cs="Times New Roman" w:eastAsia="Times New Roman" w:hint="default"/>
          <w:b/>
          <w:bCs/>
          <w:w w:val="95"/>
          <w:sz w:val="28"/>
          <w:szCs w:val="28"/>
        </w:rPr>
        <w:t>(</w:t>
      </w:r>
      <w:r>
        <w:rPr>
          <w:rFonts w:ascii="宋体" w:hAnsi="宋体" w:cs="宋体" w:eastAsia="宋体" w:hint="default"/>
          <w:b/>
          <w:bCs/>
          <w:w w:val="95"/>
          <w:sz w:val="28"/>
          <w:szCs w:val="28"/>
        </w:rPr>
        <w:t>会计主管</w:t>
      </w:r>
      <w:r>
        <w:rPr>
          <w:rFonts w:ascii="宋体" w:hAnsi="宋体" w:cs="宋体" w:eastAsia="宋体" w:hint="default"/>
          <w:b/>
          <w:bCs/>
          <w:w w:val="99"/>
          <w:sz w:val="28"/>
          <w:szCs w:val="28"/>
        </w:rPr>
        <w:t> </w:t>
      </w:r>
      <w:r>
        <w:rPr>
          <w:rFonts w:ascii="宋体" w:hAnsi="宋体" w:cs="宋体" w:eastAsia="宋体" w:hint="default"/>
          <w:b/>
          <w:bCs/>
          <w:sz w:val="28"/>
          <w:szCs w:val="28"/>
        </w:rPr>
        <w:t>人员</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陈志友声明：保证年度报告中财务报告的真实、准确、完整。</w:t>
      </w:r>
      <w:r>
        <w:rPr>
          <w:rFonts w:ascii="宋体" w:hAnsi="宋体" w:cs="宋体" w:eastAsia="宋体" w:hint="default"/>
          <w:sz w:val="28"/>
          <w:szCs w:val="28"/>
        </w:rPr>
      </w:r>
    </w:p>
    <w:p>
      <w:pPr>
        <w:spacing w:line="472" w:lineRule="auto" w:before="148"/>
        <w:ind w:left="714" w:right="986" w:firstLine="0"/>
        <w:jc w:val="left"/>
        <w:rPr>
          <w:rFonts w:ascii="宋体" w:hAnsi="宋体" w:cs="宋体" w:eastAsia="宋体" w:hint="default"/>
          <w:sz w:val="28"/>
          <w:szCs w:val="28"/>
        </w:rPr>
      </w:pPr>
      <w:r>
        <w:rPr>
          <w:rFonts w:ascii="宋体" w:hAnsi="宋体" w:cs="宋体" w:eastAsia="宋体" w:hint="default"/>
          <w:b/>
          <w:bCs/>
          <w:sz w:val="28"/>
          <w:szCs w:val="28"/>
        </w:rPr>
        <w:t>所有董事均已出席了审议本报告的董事会会议。</w:t>
      </w:r>
      <w:r>
        <w:rPr>
          <w:rFonts w:ascii="宋体" w:hAnsi="宋体" w:cs="宋体" w:eastAsia="宋体" w:hint="default"/>
          <w:b/>
          <w:bCs/>
          <w:w w:val="99"/>
          <w:sz w:val="28"/>
          <w:szCs w:val="28"/>
        </w:rPr>
        <w:t> </w:t>
      </w:r>
      <w:r>
        <w:rPr>
          <w:rFonts w:ascii="宋体" w:hAnsi="宋体" w:cs="宋体" w:eastAsia="宋体" w:hint="default"/>
          <w:b/>
          <w:bCs/>
          <w:spacing w:val="2"/>
          <w:sz w:val="28"/>
          <w:szCs w:val="28"/>
        </w:rPr>
        <w:t>重要提示：本报告中有关未来计划、业绩预测等方面的内容，均不构成本</w:t>
      </w:r>
      <w:r>
        <w:rPr>
          <w:rFonts w:ascii="宋体" w:hAnsi="宋体" w:cs="宋体" w:eastAsia="宋体" w:hint="default"/>
          <w:spacing w:val="2"/>
          <w:sz w:val="28"/>
          <w:szCs w:val="28"/>
        </w:rPr>
      </w:r>
    </w:p>
    <w:p>
      <w:pPr>
        <w:spacing w:line="408" w:lineRule="auto" w:before="0"/>
        <w:ind w:left="152" w:right="1129" w:firstLine="0"/>
        <w:jc w:val="left"/>
        <w:rPr>
          <w:rFonts w:ascii="宋体" w:hAnsi="宋体" w:cs="宋体" w:eastAsia="宋体" w:hint="default"/>
          <w:sz w:val="28"/>
          <w:szCs w:val="28"/>
        </w:rPr>
      </w:pPr>
      <w:r>
        <w:rPr>
          <w:rFonts w:ascii="宋体" w:hAnsi="宋体" w:cs="宋体" w:eastAsia="宋体" w:hint="default"/>
          <w:b/>
          <w:bCs/>
          <w:spacing w:val="2"/>
          <w:sz w:val="28"/>
          <w:szCs w:val="28"/>
        </w:rPr>
        <w:t>公司对任何投资者及相关人士的实质承诺，投资者及相关人士均应当对此保持</w:t>
      </w:r>
      <w:r>
        <w:rPr>
          <w:rFonts w:ascii="宋体" w:hAnsi="宋体" w:cs="宋体" w:eastAsia="宋体" w:hint="default"/>
          <w:b/>
          <w:bCs/>
          <w:w w:val="99"/>
          <w:sz w:val="28"/>
          <w:szCs w:val="28"/>
        </w:rPr>
        <w:t> </w:t>
      </w:r>
      <w:r>
        <w:rPr>
          <w:rFonts w:ascii="宋体" w:hAnsi="宋体" w:cs="宋体" w:eastAsia="宋体" w:hint="default"/>
          <w:b/>
          <w:bCs/>
          <w:sz w:val="28"/>
          <w:szCs w:val="28"/>
        </w:rPr>
        <w:t>足够的风险认识，并且应当理解计划、预测与承诺之间的差异。</w:t>
      </w:r>
      <w:r>
        <w:rPr>
          <w:rFonts w:ascii="宋体" w:hAnsi="宋体" w:cs="宋体" w:eastAsia="宋体" w:hint="default"/>
          <w:sz w:val="28"/>
          <w:szCs w:val="28"/>
        </w:rPr>
      </w:r>
    </w:p>
    <w:p>
      <w:pPr>
        <w:spacing w:line="405" w:lineRule="auto" w:before="162"/>
        <w:ind w:left="152" w:right="986" w:firstLine="561"/>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1</w:t>
      </w:r>
      <w:r>
        <w:rPr>
          <w:rFonts w:ascii="宋体" w:hAnsi="宋体" w:cs="宋体" w:eastAsia="宋体" w:hint="default"/>
          <w:b/>
          <w:bCs/>
          <w:sz w:val="28"/>
          <w:szCs w:val="28"/>
        </w:rPr>
        <w:t>、经营效益风险：新冠疫情对公司正常生产经营销售产生一定影响。例如</w:t>
      </w:r>
      <w:r>
        <w:rPr>
          <w:rFonts w:ascii="宋体" w:hAnsi="宋体" w:cs="宋体" w:eastAsia="宋体" w:hint="default"/>
          <w:b/>
          <w:bCs/>
          <w:w w:val="99"/>
          <w:sz w:val="28"/>
          <w:szCs w:val="28"/>
        </w:rPr>
        <w:t> </w:t>
      </w:r>
      <w:r>
        <w:rPr>
          <w:rFonts w:ascii="宋体" w:hAnsi="宋体" w:cs="宋体" w:eastAsia="宋体" w:hint="default"/>
          <w:b/>
          <w:bCs/>
          <w:spacing w:val="2"/>
          <w:sz w:val="28"/>
          <w:szCs w:val="28"/>
        </w:rPr>
        <w:t>公司延期复工复产开工经营，政府及客户节奏放缓，原有商机订单延后、已建</w:t>
      </w:r>
      <w:r>
        <w:rPr>
          <w:rFonts w:ascii="宋体" w:hAnsi="宋体" w:cs="宋体" w:eastAsia="宋体" w:hint="default"/>
          <w:b/>
          <w:bCs/>
          <w:w w:val="99"/>
          <w:sz w:val="28"/>
          <w:szCs w:val="28"/>
        </w:rPr>
        <w:t> </w:t>
      </w:r>
      <w:r>
        <w:rPr>
          <w:rFonts w:ascii="宋体" w:hAnsi="宋体" w:cs="宋体" w:eastAsia="宋体" w:hint="default"/>
          <w:b/>
          <w:bCs/>
          <w:spacing w:val="2"/>
          <w:sz w:val="28"/>
          <w:szCs w:val="28"/>
        </w:rPr>
        <w:t>项目延迟验收等，可能造成公司及子企业经营效益不及预期。在客观经济环境</w:t>
      </w:r>
      <w:r>
        <w:rPr>
          <w:rFonts w:ascii="宋体" w:hAnsi="宋体" w:cs="宋体" w:eastAsia="宋体" w:hint="default"/>
          <w:b/>
          <w:bCs/>
          <w:w w:val="99"/>
          <w:sz w:val="28"/>
          <w:szCs w:val="28"/>
        </w:rPr>
        <w:t> </w:t>
      </w:r>
      <w:r>
        <w:rPr>
          <w:rFonts w:ascii="宋体" w:hAnsi="宋体" w:cs="宋体" w:eastAsia="宋体" w:hint="default"/>
          <w:b/>
          <w:bCs/>
          <w:spacing w:val="2"/>
          <w:sz w:val="28"/>
          <w:szCs w:val="28"/>
        </w:rPr>
        <w:t>下，公司合理规划利用时间，通过在线学习培训交流的方式加强全体员工能力</w:t>
      </w:r>
      <w:r>
        <w:rPr>
          <w:rFonts w:ascii="宋体" w:hAnsi="宋体" w:cs="宋体" w:eastAsia="宋体" w:hint="default"/>
          <w:b/>
          <w:bCs/>
          <w:w w:val="99"/>
          <w:sz w:val="28"/>
          <w:szCs w:val="28"/>
        </w:rPr>
        <w:t> </w:t>
      </w:r>
      <w:r>
        <w:rPr>
          <w:rFonts w:ascii="宋体" w:hAnsi="宋体" w:cs="宋体" w:eastAsia="宋体" w:hint="default"/>
          <w:b/>
          <w:bCs/>
          <w:spacing w:val="-2"/>
          <w:sz w:val="28"/>
          <w:szCs w:val="28"/>
        </w:rPr>
        <w:t>的提升；技术研发部门潜心研究技术及产品，提升产品模块化和产品化的能力，</w:t>
      </w:r>
      <w:r>
        <w:rPr>
          <w:rFonts w:ascii="宋体" w:hAnsi="宋体" w:cs="宋体" w:eastAsia="宋体" w:hint="default"/>
          <w:b/>
          <w:bCs/>
          <w:spacing w:val="-130"/>
          <w:sz w:val="28"/>
          <w:szCs w:val="28"/>
        </w:rPr>
        <w:t> </w:t>
      </w:r>
      <w:r>
        <w:rPr>
          <w:rFonts w:ascii="宋体" w:hAnsi="宋体" w:cs="宋体" w:eastAsia="宋体" w:hint="default"/>
          <w:b/>
          <w:bCs/>
          <w:spacing w:val="-130"/>
          <w:sz w:val="28"/>
          <w:szCs w:val="28"/>
        </w:rPr>
      </w:r>
      <w:r>
        <w:rPr>
          <w:rFonts w:ascii="宋体" w:hAnsi="宋体" w:cs="宋体" w:eastAsia="宋体" w:hint="default"/>
          <w:b/>
          <w:bCs/>
          <w:spacing w:val="2"/>
          <w:sz w:val="28"/>
          <w:szCs w:val="28"/>
        </w:rPr>
        <w:t>待市场恢复后能做出快速响应；强化经营分析，拓展经营分析的深度广度，关</w:t>
      </w:r>
      <w:r>
        <w:rPr>
          <w:rFonts w:ascii="宋体" w:hAnsi="宋体" w:cs="宋体" w:eastAsia="宋体" w:hint="default"/>
          <w:b/>
          <w:bCs/>
          <w:spacing w:val="2"/>
          <w:w w:val="99"/>
          <w:sz w:val="28"/>
          <w:szCs w:val="28"/>
        </w:rPr>
        <w:t> </w:t>
      </w:r>
      <w:r>
        <w:rPr>
          <w:rFonts w:ascii="宋体" w:hAnsi="宋体" w:cs="宋体" w:eastAsia="宋体" w:hint="default"/>
          <w:b/>
          <w:bCs/>
          <w:spacing w:val="2"/>
          <w:sz w:val="28"/>
          <w:szCs w:val="28"/>
        </w:rPr>
        <w:t>注重点指标变化，及时掌握公司及市场变化，分析业绩变动原因并及时寻找应</w:t>
      </w:r>
      <w:r>
        <w:rPr>
          <w:rFonts w:ascii="宋体" w:hAnsi="宋体" w:cs="宋体" w:eastAsia="宋体" w:hint="default"/>
          <w:b/>
          <w:bCs/>
          <w:w w:val="99"/>
          <w:sz w:val="28"/>
          <w:szCs w:val="28"/>
        </w:rPr>
        <w:t> </w:t>
      </w:r>
      <w:r>
        <w:rPr>
          <w:rFonts w:ascii="宋体" w:hAnsi="宋体" w:cs="宋体" w:eastAsia="宋体" w:hint="default"/>
          <w:b/>
          <w:bCs/>
          <w:sz w:val="28"/>
          <w:szCs w:val="28"/>
        </w:rPr>
        <w:t>对方法。</w:t>
      </w:r>
      <w:r>
        <w:rPr>
          <w:rFonts w:ascii="宋体" w:hAnsi="宋体" w:cs="宋体" w:eastAsia="宋体" w:hint="default"/>
          <w:sz w:val="28"/>
          <w:szCs w:val="28"/>
        </w:rPr>
      </w:r>
    </w:p>
    <w:p>
      <w:pPr>
        <w:spacing w:line="386" w:lineRule="auto" w:before="165"/>
        <w:ind w:left="152" w:right="1124" w:firstLine="561"/>
        <w:jc w:val="left"/>
        <w:rPr>
          <w:rFonts w:ascii="宋体" w:hAnsi="宋体" w:cs="宋体" w:eastAsia="宋体" w:hint="default"/>
          <w:sz w:val="28"/>
          <w:szCs w:val="28"/>
        </w:rPr>
      </w:pPr>
      <w:r>
        <w:rPr>
          <w:rFonts w:ascii="Times New Roman" w:hAnsi="Times New Roman" w:cs="Times New Roman" w:eastAsia="Times New Roman" w:hint="default"/>
          <w:b/>
          <w:bCs/>
          <w:spacing w:val="-4"/>
          <w:sz w:val="28"/>
          <w:szCs w:val="28"/>
        </w:rPr>
        <w:t>2</w:t>
      </w:r>
      <w:r>
        <w:rPr>
          <w:rFonts w:ascii="宋体" w:hAnsi="宋体" w:cs="宋体" w:eastAsia="宋体" w:hint="default"/>
          <w:b/>
          <w:bCs/>
          <w:spacing w:val="-4"/>
          <w:sz w:val="28"/>
          <w:szCs w:val="28"/>
        </w:rPr>
        <w:t>、采购与供应链管理风险：公司于</w:t>
      </w:r>
      <w:r>
        <w:rPr>
          <w:rFonts w:ascii="宋体" w:hAnsi="宋体" w:cs="宋体" w:eastAsia="宋体" w:hint="default"/>
          <w:b/>
          <w:bCs/>
          <w:spacing w:val="-71"/>
          <w:sz w:val="28"/>
          <w:szCs w:val="28"/>
        </w:rPr>
        <w:t> </w:t>
      </w:r>
      <w:r>
        <w:rPr>
          <w:rFonts w:ascii="Times New Roman" w:hAnsi="Times New Roman" w:cs="Times New Roman" w:eastAsia="Times New Roman" w:hint="default"/>
          <w:b/>
          <w:bCs/>
          <w:sz w:val="28"/>
          <w:szCs w:val="28"/>
        </w:rPr>
        <w:t>2019</w:t>
      </w:r>
      <w:r>
        <w:rPr>
          <w:rFonts w:ascii="Times New Roman" w:hAnsi="Times New Roman" w:cs="Times New Roman" w:eastAsia="Times New Roman" w:hint="default"/>
          <w:b/>
          <w:bCs/>
          <w:spacing w:val="-1"/>
          <w:sz w:val="28"/>
          <w:szCs w:val="28"/>
        </w:rPr>
        <w:t> </w:t>
      </w:r>
      <w:r>
        <w:rPr>
          <w:rFonts w:ascii="宋体" w:hAnsi="宋体" w:cs="宋体" w:eastAsia="宋体" w:hint="default"/>
          <w:b/>
          <w:bCs/>
          <w:sz w:val="28"/>
          <w:szCs w:val="28"/>
        </w:rPr>
        <w:t>年</w:t>
      </w:r>
      <w:r>
        <w:rPr>
          <w:rFonts w:ascii="宋体" w:hAnsi="宋体" w:cs="宋体" w:eastAsia="宋体" w:hint="default"/>
          <w:b/>
          <w:bCs/>
          <w:spacing w:val="-69"/>
          <w:sz w:val="28"/>
          <w:szCs w:val="28"/>
        </w:rPr>
        <w:t> </w:t>
      </w:r>
      <w:r>
        <w:rPr>
          <w:rFonts w:ascii="Times New Roman" w:hAnsi="Times New Roman" w:cs="Times New Roman" w:eastAsia="Times New Roman" w:hint="default"/>
          <w:b/>
          <w:bCs/>
          <w:sz w:val="28"/>
          <w:szCs w:val="28"/>
        </w:rPr>
        <w:t>10</w:t>
      </w:r>
      <w:r>
        <w:rPr>
          <w:rFonts w:ascii="Times New Roman" w:hAnsi="Times New Roman" w:cs="Times New Roman" w:eastAsia="Times New Roman" w:hint="default"/>
          <w:b/>
          <w:bCs/>
          <w:spacing w:val="1"/>
          <w:sz w:val="28"/>
          <w:szCs w:val="28"/>
        </w:rPr>
        <w:t> </w:t>
      </w:r>
      <w:r>
        <w:rPr>
          <w:rFonts w:ascii="宋体" w:hAnsi="宋体" w:cs="宋体" w:eastAsia="宋体" w:hint="default"/>
          <w:b/>
          <w:bCs/>
          <w:sz w:val="28"/>
          <w:szCs w:val="28"/>
        </w:rPr>
        <w:t>月</w:t>
      </w:r>
      <w:r>
        <w:rPr>
          <w:rFonts w:ascii="宋体" w:hAnsi="宋体" w:cs="宋体" w:eastAsia="宋体" w:hint="default"/>
          <w:b/>
          <w:bCs/>
          <w:spacing w:val="-71"/>
          <w:sz w:val="28"/>
          <w:szCs w:val="28"/>
        </w:rPr>
        <w:t> </w:t>
      </w:r>
      <w:r>
        <w:rPr>
          <w:rFonts w:ascii="Times New Roman" w:hAnsi="Times New Roman" w:cs="Times New Roman" w:eastAsia="Times New Roman" w:hint="default"/>
          <w:b/>
          <w:bCs/>
          <w:sz w:val="28"/>
          <w:szCs w:val="28"/>
        </w:rPr>
        <w:t>8</w:t>
      </w:r>
      <w:r>
        <w:rPr>
          <w:rFonts w:ascii="Times New Roman" w:hAnsi="Times New Roman" w:cs="Times New Roman" w:eastAsia="Times New Roman" w:hint="default"/>
          <w:b/>
          <w:bCs/>
          <w:spacing w:val="1"/>
          <w:sz w:val="28"/>
          <w:szCs w:val="28"/>
        </w:rPr>
        <w:t> </w:t>
      </w:r>
      <w:r>
        <w:rPr>
          <w:rFonts w:ascii="宋体" w:hAnsi="宋体" w:cs="宋体" w:eastAsia="宋体" w:hint="default"/>
          <w:b/>
          <w:bCs/>
          <w:sz w:val="28"/>
          <w:szCs w:val="28"/>
        </w:rPr>
        <w:t>日被美国商务部列入实</w:t>
      </w:r>
      <w:r>
        <w:rPr>
          <w:rFonts w:ascii="宋体" w:hAnsi="宋体" w:cs="宋体" w:eastAsia="宋体" w:hint="default"/>
          <w:b/>
          <w:bCs/>
          <w:w w:val="99"/>
          <w:sz w:val="28"/>
          <w:szCs w:val="28"/>
        </w:rPr>
        <w:t> </w:t>
      </w:r>
      <w:r>
        <w:rPr>
          <w:rFonts w:ascii="宋体" w:hAnsi="宋体" w:cs="宋体" w:eastAsia="宋体" w:hint="default"/>
          <w:b/>
          <w:bCs/>
          <w:spacing w:val="2"/>
          <w:sz w:val="28"/>
          <w:szCs w:val="28"/>
        </w:rPr>
        <w:t>体清单，短期对公司经营不存在重大影响，长期来看，若美国商务部</w:t>
      </w:r>
      <w:r>
        <w:rPr>
          <w:rFonts w:ascii="宋体" w:hAnsi="宋体" w:cs="宋体" w:eastAsia="宋体" w:hint="default"/>
          <w:b/>
          <w:bCs/>
          <w:spacing w:val="4"/>
          <w:sz w:val="28"/>
          <w:szCs w:val="28"/>
        </w:rPr>
        <w:t> </w:t>
      </w:r>
      <w:r>
        <w:rPr>
          <w:rFonts w:ascii="宋体" w:hAnsi="宋体" w:cs="宋体" w:eastAsia="宋体" w:hint="default"/>
          <w:b/>
          <w:bCs/>
          <w:sz w:val="28"/>
          <w:szCs w:val="28"/>
        </w:rPr>
        <w:t>实施</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长</w:t>
      </w:r>
      <w:r>
        <w:rPr>
          <w:rFonts w:ascii="宋体" w:hAnsi="宋体" w:cs="宋体" w:eastAsia="宋体" w:hint="default"/>
          <w:sz w:val="28"/>
          <w:szCs w:val="28"/>
        </w:rPr>
      </w:r>
    </w:p>
    <w:p>
      <w:pPr>
        <w:spacing w:after="0" w:line="386" w:lineRule="auto"/>
        <w:jc w:val="left"/>
        <w:rPr>
          <w:rFonts w:ascii="宋体" w:hAnsi="宋体" w:cs="宋体" w:eastAsia="宋体" w:hint="default"/>
          <w:sz w:val="28"/>
          <w:szCs w:val="28"/>
        </w:rPr>
        <w:sectPr>
          <w:footerReference w:type="default" r:id="rId8"/>
          <w:pgSz w:w="11910" w:h="16840"/>
          <w:pgMar w:footer="982" w:header="745" w:top="1060" w:bottom="1180" w:left="980" w:right="0"/>
          <w:pgNumType w:start="2"/>
        </w:sectPr>
      </w:pPr>
    </w:p>
    <w:p>
      <w:pPr>
        <w:spacing w:line="240" w:lineRule="auto" w:before="11"/>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55pt;height:.75pt;mso-position-horizontal-relative:char;mso-position-vertical-relative:line" coordorigin="0,0" coordsize="9711,15">
            <v:group style="position:absolute;left:7;top:7;width:9696;height:2" coordorigin="7,7" coordsize="9696,2">
              <v:shape style="position:absolute;left:7;top:7;width:9696;height:2" coordorigin="7,7" coordsize="9696,0" path="m7,7l9703,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b/>
          <w:bCs/>
          <w:sz w:val="29"/>
          <w:szCs w:val="29"/>
        </w:rPr>
      </w:pPr>
    </w:p>
    <w:p>
      <w:pPr>
        <w:spacing w:line="386" w:lineRule="auto" w:before="14"/>
        <w:ind w:left="152" w:right="1130" w:firstLine="0"/>
        <w:jc w:val="both"/>
        <w:rPr>
          <w:rFonts w:ascii="宋体" w:hAnsi="宋体" w:cs="宋体" w:eastAsia="宋体" w:hint="default"/>
          <w:sz w:val="28"/>
          <w:szCs w:val="28"/>
        </w:rPr>
      </w:pPr>
      <w:r>
        <w:rPr>
          <w:rFonts w:ascii="宋体" w:hAnsi="宋体" w:cs="宋体" w:eastAsia="宋体" w:hint="default"/>
          <w:b/>
          <w:bCs/>
          <w:spacing w:val="-3"/>
          <w:sz w:val="28"/>
          <w:szCs w:val="28"/>
        </w:rPr>
        <w:t>臂管辖权</w:t>
      </w:r>
      <w:r>
        <w:rPr>
          <w:rFonts w:ascii="Times New Roman" w:hAnsi="Times New Roman" w:cs="Times New Roman" w:eastAsia="Times New Roman" w:hint="default"/>
          <w:b/>
          <w:bCs/>
          <w:spacing w:val="-3"/>
          <w:sz w:val="28"/>
          <w:szCs w:val="28"/>
        </w:rPr>
        <w:t>”</w:t>
      </w:r>
      <w:r>
        <w:rPr>
          <w:rFonts w:ascii="宋体" w:hAnsi="宋体" w:cs="宋体" w:eastAsia="宋体" w:hint="default"/>
          <w:b/>
          <w:bCs/>
          <w:spacing w:val="-3"/>
          <w:sz w:val="28"/>
          <w:szCs w:val="28"/>
        </w:rPr>
        <w:t>，则国外制造但源自美国技术达到产品</w:t>
      </w:r>
      <w:r>
        <w:rPr>
          <w:rFonts w:ascii="宋体" w:hAnsi="宋体" w:cs="宋体" w:eastAsia="宋体" w:hint="default"/>
          <w:b/>
          <w:bCs/>
          <w:spacing w:val="-68"/>
          <w:sz w:val="28"/>
          <w:szCs w:val="28"/>
        </w:rPr>
        <w:t> </w:t>
      </w:r>
      <w:r>
        <w:rPr>
          <w:rFonts w:ascii="Times New Roman" w:hAnsi="Times New Roman" w:cs="Times New Roman" w:eastAsia="Times New Roman" w:hint="default"/>
          <w:b/>
          <w:bCs/>
          <w:spacing w:val="-5"/>
          <w:sz w:val="28"/>
          <w:szCs w:val="28"/>
        </w:rPr>
        <w:t>25%</w:t>
      </w:r>
      <w:r>
        <w:rPr>
          <w:rFonts w:ascii="宋体" w:hAnsi="宋体" w:cs="宋体" w:eastAsia="宋体" w:hint="default"/>
          <w:b/>
          <w:bCs/>
          <w:spacing w:val="-5"/>
          <w:sz w:val="28"/>
          <w:szCs w:val="28"/>
        </w:rPr>
        <w:t>价值比例的，都算在限制</w:t>
      </w:r>
      <w:r>
        <w:rPr>
          <w:rFonts w:ascii="宋体" w:hAnsi="宋体" w:cs="宋体" w:eastAsia="宋体" w:hint="default"/>
          <w:b/>
          <w:bCs/>
          <w:w w:val="99"/>
          <w:sz w:val="28"/>
          <w:szCs w:val="28"/>
        </w:rPr>
        <w:t> </w:t>
      </w:r>
      <w:r>
        <w:rPr>
          <w:rFonts w:ascii="宋体" w:hAnsi="宋体" w:cs="宋体" w:eastAsia="宋体" w:hint="default"/>
          <w:b/>
          <w:bCs/>
          <w:spacing w:val="2"/>
          <w:sz w:val="28"/>
          <w:szCs w:val="28"/>
        </w:rPr>
        <w:t>范围内，这将对上游供应链造成一定影响。公司已在内部启动</w:t>
      </w:r>
      <w:r>
        <w:rPr>
          <w:rFonts w:ascii="Times New Roman" w:hAnsi="Times New Roman" w:cs="Times New Roman" w:eastAsia="Times New Roman" w:hint="default"/>
          <w:b/>
          <w:bCs/>
          <w:spacing w:val="2"/>
          <w:sz w:val="28"/>
          <w:szCs w:val="28"/>
        </w:rPr>
        <w:t>“</w:t>
      </w:r>
      <w:r>
        <w:rPr>
          <w:rFonts w:ascii="宋体" w:hAnsi="宋体" w:cs="宋体" w:eastAsia="宋体" w:hint="default"/>
          <w:b/>
          <w:bCs/>
          <w:spacing w:val="2"/>
          <w:sz w:val="28"/>
          <w:szCs w:val="28"/>
        </w:rPr>
        <w:t>破冰计划</w:t>
      </w:r>
      <w:r>
        <w:rPr>
          <w:rFonts w:ascii="Times New Roman" w:hAnsi="Times New Roman" w:cs="Times New Roman" w:eastAsia="Times New Roman" w:hint="default"/>
          <w:b/>
          <w:bCs/>
          <w:spacing w:val="2"/>
          <w:sz w:val="28"/>
          <w:szCs w:val="28"/>
        </w:rPr>
        <w:t>”</w:t>
      </w:r>
      <w:r>
        <w:rPr>
          <w:rFonts w:ascii="宋体" w:hAnsi="宋体" w:cs="宋体" w:eastAsia="宋体" w:hint="default"/>
          <w:b/>
          <w:bCs/>
          <w:spacing w:val="2"/>
          <w:sz w:val="28"/>
          <w:szCs w:val="28"/>
        </w:rPr>
        <w:t>，未</w:t>
      </w:r>
      <w:r>
        <w:rPr>
          <w:rFonts w:ascii="宋体" w:hAnsi="宋体" w:cs="宋体" w:eastAsia="宋体" w:hint="default"/>
          <w:b/>
          <w:bCs/>
          <w:spacing w:val="2"/>
          <w:w w:val="99"/>
          <w:sz w:val="28"/>
          <w:szCs w:val="28"/>
        </w:rPr>
        <w:t> </w:t>
      </w:r>
      <w:r>
        <w:rPr>
          <w:rFonts w:ascii="宋体" w:hAnsi="宋体" w:cs="宋体" w:eastAsia="宋体" w:hint="default"/>
          <w:b/>
          <w:bCs/>
          <w:sz w:val="28"/>
          <w:szCs w:val="28"/>
        </w:rPr>
        <w:t>来我们将积极推进国产化替代产品的自主研发和适配研发。</w:t>
      </w:r>
      <w:r>
        <w:rPr>
          <w:rFonts w:ascii="宋体" w:hAnsi="宋体" w:cs="宋体" w:eastAsia="宋体" w:hint="default"/>
          <w:sz w:val="28"/>
          <w:szCs w:val="28"/>
        </w:rPr>
      </w:r>
    </w:p>
    <w:p>
      <w:pPr>
        <w:spacing w:before="187"/>
        <w:ind w:left="714" w:right="986" w:firstLine="0"/>
        <w:jc w:val="left"/>
        <w:rPr>
          <w:rFonts w:ascii="宋体" w:hAnsi="宋体" w:cs="宋体" w:eastAsia="宋体" w:hint="default"/>
          <w:sz w:val="28"/>
          <w:szCs w:val="28"/>
        </w:rPr>
      </w:pPr>
      <w:r>
        <w:rPr>
          <w:rFonts w:ascii="Times New Roman" w:hAnsi="Times New Roman" w:cs="Times New Roman" w:eastAsia="Times New Roman" w:hint="default"/>
          <w:b/>
          <w:bCs/>
          <w:spacing w:val="-2"/>
          <w:w w:val="100"/>
          <w:sz w:val="28"/>
          <w:szCs w:val="28"/>
        </w:rPr>
        <w:t>3</w:t>
      </w:r>
      <w:r>
        <w:rPr>
          <w:rFonts w:ascii="宋体" w:hAnsi="宋体" w:cs="宋体" w:eastAsia="宋体" w:hint="default"/>
          <w:b/>
          <w:bCs/>
          <w:spacing w:val="2"/>
          <w:w w:val="99"/>
          <w:sz w:val="28"/>
          <w:szCs w:val="28"/>
        </w:rPr>
        <w:t>、</w:t>
      </w:r>
      <w:r>
        <w:rPr>
          <w:rFonts w:ascii="宋体" w:hAnsi="宋体" w:cs="宋体" w:eastAsia="宋体" w:hint="default"/>
          <w:b/>
          <w:bCs/>
          <w:w w:val="99"/>
          <w:sz w:val="28"/>
          <w:szCs w:val="28"/>
        </w:rPr>
        <w:t>商誉</w:t>
      </w:r>
      <w:r>
        <w:rPr>
          <w:rFonts w:ascii="宋体" w:hAnsi="宋体" w:cs="宋体" w:eastAsia="宋体" w:hint="default"/>
          <w:b/>
          <w:bCs/>
          <w:spacing w:val="2"/>
          <w:w w:val="99"/>
          <w:sz w:val="28"/>
          <w:szCs w:val="28"/>
        </w:rPr>
        <w:t>减</w:t>
      </w:r>
      <w:r>
        <w:rPr>
          <w:rFonts w:ascii="宋体" w:hAnsi="宋体" w:cs="宋体" w:eastAsia="宋体" w:hint="default"/>
          <w:b/>
          <w:bCs/>
          <w:w w:val="99"/>
          <w:sz w:val="28"/>
          <w:szCs w:val="28"/>
        </w:rPr>
        <w:t>值风险</w:t>
      </w:r>
      <w:r>
        <w:rPr>
          <w:rFonts w:ascii="宋体" w:hAnsi="宋体" w:cs="宋体" w:eastAsia="宋体" w:hint="default"/>
          <w:b/>
          <w:bCs/>
          <w:spacing w:val="-128"/>
          <w:w w:val="99"/>
          <w:sz w:val="28"/>
          <w:szCs w:val="28"/>
        </w:rPr>
        <w:t>：</w:t>
      </w:r>
      <w:r>
        <w:rPr>
          <w:rFonts w:ascii="Times New Roman" w:hAnsi="Times New Roman" w:cs="Times New Roman" w:eastAsia="Times New Roman" w:hint="default"/>
          <w:b/>
          <w:bCs/>
          <w:spacing w:val="1"/>
          <w:w w:val="100"/>
          <w:sz w:val="28"/>
          <w:szCs w:val="28"/>
        </w:rPr>
        <w:t>2</w:t>
      </w:r>
      <w:r>
        <w:rPr>
          <w:rFonts w:ascii="Times New Roman" w:hAnsi="Times New Roman" w:cs="Times New Roman" w:eastAsia="Times New Roman" w:hint="default"/>
          <w:b/>
          <w:bCs/>
          <w:spacing w:val="-2"/>
          <w:w w:val="100"/>
          <w:sz w:val="28"/>
          <w:szCs w:val="28"/>
        </w:rPr>
        <w:t>01</w:t>
      </w:r>
      <w:r>
        <w:rPr>
          <w:rFonts w:ascii="Times New Roman" w:hAnsi="Times New Roman" w:cs="Times New Roman" w:eastAsia="Times New Roman" w:hint="default"/>
          <w:b/>
          <w:bCs/>
          <w:w w:val="100"/>
          <w:sz w:val="28"/>
          <w:szCs w:val="28"/>
        </w:rPr>
        <w:t>5</w:t>
      </w:r>
      <w:r>
        <w:rPr>
          <w:rFonts w:ascii="Times New Roman" w:hAnsi="Times New Roman" w:cs="Times New Roman" w:eastAsia="Times New Roman" w:hint="default"/>
          <w:b/>
          <w:bCs/>
          <w:sz w:val="28"/>
          <w:szCs w:val="28"/>
        </w:rPr>
        <w:t> </w:t>
      </w:r>
      <w:r>
        <w:rPr>
          <w:rFonts w:ascii="宋体" w:hAnsi="宋体" w:cs="宋体" w:eastAsia="宋体" w:hint="default"/>
          <w:b/>
          <w:bCs/>
          <w:w w:val="99"/>
          <w:sz w:val="28"/>
          <w:szCs w:val="28"/>
        </w:rPr>
        <w:t>年公司通过</w:t>
      </w:r>
      <w:r>
        <w:rPr>
          <w:rFonts w:ascii="宋体" w:hAnsi="宋体" w:cs="宋体" w:eastAsia="宋体" w:hint="default"/>
          <w:b/>
          <w:bCs/>
          <w:spacing w:val="2"/>
          <w:w w:val="99"/>
          <w:sz w:val="28"/>
          <w:szCs w:val="28"/>
        </w:rPr>
        <w:t>发</w:t>
      </w:r>
      <w:r>
        <w:rPr>
          <w:rFonts w:ascii="宋体" w:hAnsi="宋体" w:cs="宋体" w:eastAsia="宋体" w:hint="default"/>
          <w:b/>
          <w:bCs/>
          <w:w w:val="99"/>
          <w:sz w:val="28"/>
          <w:szCs w:val="28"/>
        </w:rPr>
        <w:t>行股份</w:t>
      </w:r>
      <w:r>
        <w:rPr>
          <w:rFonts w:ascii="宋体" w:hAnsi="宋体" w:cs="宋体" w:eastAsia="宋体" w:hint="default"/>
          <w:b/>
          <w:bCs/>
          <w:spacing w:val="2"/>
          <w:w w:val="99"/>
          <w:sz w:val="28"/>
          <w:szCs w:val="28"/>
        </w:rPr>
        <w:t>购</w:t>
      </w:r>
      <w:r>
        <w:rPr>
          <w:rFonts w:ascii="宋体" w:hAnsi="宋体" w:cs="宋体" w:eastAsia="宋体" w:hint="default"/>
          <w:b/>
          <w:bCs/>
          <w:w w:val="99"/>
          <w:sz w:val="28"/>
          <w:szCs w:val="28"/>
        </w:rPr>
        <w:t>买资产的方式购</w:t>
      </w:r>
      <w:r>
        <w:rPr>
          <w:rFonts w:ascii="宋体" w:hAnsi="宋体" w:cs="宋体" w:eastAsia="宋体" w:hint="default"/>
          <w:b/>
          <w:bCs/>
          <w:spacing w:val="2"/>
          <w:w w:val="99"/>
          <w:sz w:val="28"/>
          <w:szCs w:val="28"/>
        </w:rPr>
        <w:t>买</w:t>
      </w:r>
      <w:r>
        <w:rPr>
          <w:rFonts w:ascii="宋体" w:hAnsi="宋体" w:cs="宋体" w:eastAsia="宋体" w:hint="default"/>
          <w:b/>
          <w:bCs/>
          <w:w w:val="99"/>
          <w:sz w:val="28"/>
          <w:szCs w:val="28"/>
        </w:rPr>
        <w:t>江苏税软</w:t>
      </w:r>
      <w:r>
        <w:rPr>
          <w:rFonts w:ascii="宋体" w:hAnsi="宋体" w:cs="宋体" w:eastAsia="宋体" w:hint="default"/>
          <w:sz w:val="28"/>
          <w:szCs w:val="28"/>
        </w:rPr>
      </w:r>
    </w:p>
    <w:p>
      <w:pPr>
        <w:spacing w:line="400" w:lineRule="auto" w:before="236"/>
        <w:ind w:left="152" w:right="986" w:firstLine="0"/>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100%</w:t>
      </w:r>
      <w:r>
        <w:rPr>
          <w:rFonts w:ascii="宋体" w:hAnsi="宋体" w:cs="宋体" w:eastAsia="宋体" w:hint="default"/>
          <w:b/>
          <w:bCs/>
          <w:sz w:val="28"/>
          <w:szCs w:val="28"/>
        </w:rPr>
        <w:t>股权和新德汇</w:t>
      </w:r>
      <w:r>
        <w:rPr>
          <w:rFonts w:ascii="宋体" w:hAnsi="宋体" w:cs="宋体" w:eastAsia="宋体" w:hint="default"/>
          <w:b/>
          <w:bCs/>
          <w:spacing w:val="-76"/>
          <w:sz w:val="28"/>
          <w:szCs w:val="28"/>
        </w:rPr>
        <w:t> </w:t>
      </w:r>
      <w:r>
        <w:rPr>
          <w:rFonts w:ascii="Times New Roman" w:hAnsi="Times New Roman" w:cs="Times New Roman" w:eastAsia="Times New Roman" w:hint="default"/>
          <w:b/>
          <w:bCs/>
          <w:sz w:val="28"/>
          <w:szCs w:val="28"/>
        </w:rPr>
        <w:t>49%</w:t>
      </w:r>
      <w:r>
        <w:rPr>
          <w:rFonts w:ascii="宋体" w:hAnsi="宋体" w:cs="宋体" w:eastAsia="宋体" w:hint="default"/>
          <w:b/>
          <w:bCs/>
          <w:sz w:val="28"/>
          <w:szCs w:val="28"/>
        </w:rPr>
        <w:t>股权，在公司合并资产负债表中形成较大金额的商誉。</w:t>
      </w:r>
      <w:r>
        <w:rPr>
          <w:rFonts w:ascii="宋体" w:hAnsi="宋体" w:cs="宋体" w:eastAsia="宋体" w:hint="default"/>
          <w:b/>
          <w:bCs/>
          <w:w w:val="99"/>
          <w:sz w:val="28"/>
          <w:szCs w:val="28"/>
        </w:rPr>
        <w:t> </w:t>
      </w:r>
      <w:r>
        <w:rPr>
          <w:rFonts w:ascii="宋体" w:hAnsi="宋体" w:cs="宋体" w:eastAsia="宋体" w:hint="default"/>
          <w:b/>
          <w:bCs/>
          <w:spacing w:val="2"/>
          <w:sz w:val="28"/>
          <w:szCs w:val="28"/>
        </w:rPr>
        <w:t>江苏税软和新德汇的业绩承诺已全部完成。根据《企业会计准则》规定，本次</w:t>
      </w:r>
      <w:r>
        <w:rPr>
          <w:rFonts w:ascii="宋体" w:hAnsi="宋体" w:cs="宋体" w:eastAsia="宋体" w:hint="default"/>
          <w:b/>
          <w:bCs/>
          <w:w w:val="99"/>
          <w:sz w:val="28"/>
          <w:szCs w:val="28"/>
        </w:rPr>
        <w:t> </w:t>
      </w:r>
      <w:r>
        <w:rPr>
          <w:rFonts w:ascii="宋体" w:hAnsi="宋体" w:cs="宋体" w:eastAsia="宋体" w:hint="default"/>
          <w:b/>
          <w:bCs/>
          <w:spacing w:val="2"/>
          <w:sz w:val="28"/>
          <w:szCs w:val="28"/>
        </w:rPr>
        <w:t>交易形成的商誉不作摊销处理，但需在未来每年年终进行减值测试。如果江苏</w:t>
      </w:r>
      <w:r>
        <w:rPr>
          <w:rFonts w:ascii="宋体" w:hAnsi="宋体" w:cs="宋体" w:eastAsia="宋体" w:hint="default"/>
          <w:b/>
          <w:bCs/>
          <w:w w:val="99"/>
          <w:sz w:val="28"/>
          <w:szCs w:val="28"/>
        </w:rPr>
        <w:t> </w:t>
      </w:r>
      <w:r>
        <w:rPr>
          <w:rFonts w:ascii="宋体" w:hAnsi="宋体" w:cs="宋体" w:eastAsia="宋体" w:hint="default"/>
          <w:b/>
          <w:bCs/>
          <w:spacing w:val="2"/>
          <w:sz w:val="28"/>
          <w:szCs w:val="28"/>
        </w:rPr>
        <w:t>税软和新德汇未来经营状况恶化，则存在商誉减值的风险，从而对公司当期损</w:t>
      </w:r>
      <w:r>
        <w:rPr>
          <w:rFonts w:ascii="宋体" w:hAnsi="宋体" w:cs="宋体" w:eastAsia="宋体" w:hint="default"/>
          <w:b/>
          <w:bCs/>
          <w:w w:val="99"/>
          <w:sz w:val="28"/>
          <w:szCs w:val="28"/>
        </w:rPr>
        <w:t> </w:t>
      </w:r>
      <w:r>
        <w:rPr>
          <w:rFonts w:ascii="宋体" w:hAnsi="宋体" w:cs="宋体" w:eastAsia="宋体" w:hint="default"/>
          <w:b/>
          <w:bCs/>
          <w:sz w:val="28"/>
          <w:szCs w:val="28"/>
        </w:rPr>
        <w:t>益造成不利影响。为了减少商誉减值风险，公司主要采取的管理措施如下：</w:t>
      </w:r>
      <w:r>
        <w:rPr>
          <w:rFonts w:ascii="Times New Roman" w:hAnsi="Times New Roman" w:cs="Times New Roman" w:eastAsia="Times New Roman" w:hint="default"/>
          <w:b/>
          <w:bCs/>
          <w:sz w:val="28"/>
          <w:szCs w:val="28"/>
        </w:rPr>
        <w:t>1</w:t>
      </w:r>
      <w:r>
        <w:rPr>
          <w:rFonts w:ascii="宋体" w:hAnsi="宋体" w:cs="宋体" w:eastAsia="宋体" w:hint="default"/>
          <w:b/>
          <w:bCs/>
          <w:sz w:val="28"/>
          <w:szCs w:val="28"/>
        </w:rPr>
        <w:t>）</w:t>
      </w:r>
      <w:r>
        <w:rPr>
          <w:rFonts w:ascii="宋体" w:hAnsi="宋体" w:cs="宋体" w:eastAsia="宋体" w:hint="default"/>
          <w:b/>
          <w:bCs/>
          <w:w w:val="99"/>
          <w:sz w:val="28"/>
          <w:szCs w:val="28"/>
        </w:rPr>
        <w:t> </w:t>
      </w:r>
      <w:r>
        <w:rPr>
          <w:rFonts w:ascii="宋体" w:hAnsi="宋体" w:cs="宋体" w:eastAsia="宋体" w:hint="default"/>
          <w:b/>
          <w:bCs/>
          <w:sz w:val="28"/>
          <w:szCs w:val="28"/>
        </w:rPr>
        <w:t>加强母子公司资源整合，在市场渠道和产品研发上，加强资源管理和 </w:t>
      </w:r>
      <w:r>
        <w:rPr>
          <w:rFonts w:ascii="Times New Roman" w:hAnsi="Times New Roman" w:cs="Times New Roman" w:eastAsia="Times New Roman" w:hint="default"/>
          <w:b/>
          <w:bCs/>
          <w:sz w:val="28"/>
          <w:szCs w:val="28"/>
        </w:rPr>
        <w:t>1+1&gt;2</w:t>
      </w:r>
      <w:r>
        <w:rPr>
          <w:rFonts w:ascii="Times New Roman" w:hAnsi="Times New Roman" w:cs="Times New Roman" w:eastAsia="Times New Roman" w:hint="default"/>
          <w:b/>
          <w:bCs/>
          <w:spacing w:val="-29"/>
          <w:sz w:val="28"/>
          <w:szCs w:val="28"/>
        </w:rPr>
        <w:t> </w:t>
      </w:r>
      <w:r>
        <w:rPr>
          <w:rFonts w:ascii="宋体" w:hAnsi="宋体" w:cs="宋体" w:eastAsia="宋体" w:hint="default"/>
          <w:b/>
          <w:bCs/>
          <w:sz w:val="28"/>
          <w:szCs w:val="28"/>
        </w:rPr>
        <w:t>的</w:t>
      </w:r>
      <w:r>
        <w:rPr>
          <w:rFonts w:ascii="宋体" w:hAnsi="宋体" w:cs="宋体" w:eastAsia="宋体" w:hint="default"/>
          <w:b/>
          <w:bCs/>
          <w:w w:val="99"/>
          <w:sz w:val="28"/>
          <w:szCs w:val="28"/>
        </w:rPr>
        <w:t> </w:t>
      </w:r>
      <w:r>
        <w:rPr>
          <w:rFonts w:ascii="宋体" w:hAnsi="宋体" w:cs="宋体" w:eastAsia="宋体" w:hint="default"/>
          <w:b/>
          <w:bCs/>
          <w:spacing w:val="-6"/>
          <w:sz w:val="28"/>
          <w:szCs w:val="28"/>
        </w:rPr>
        <w:t>协同整合，提升子公司产品竞争力；</w:t>
      </w:r>
      <w:r>
        <w:rPr>
          <w:rFonts w:ascii="Times New Roman" w:hAnsi="Times New Roman" w:cs="Times New Roman" w:eastAsia="Times New Roman" w:hint="default"/>
          <w:b/>
          <w:bCs/>
          <w:spacing w:val="-6"/>
          <w:sz w:val="28"/>
          <w:szCs w:val="28"/>
        </w:rPr>
        <w:t>2</w:t>
      </w:r>
      <w:r>
        <w:rPr>
          <w:rFonts w:ascii="宋体" w:hAnsi="宋体" w:cs="宋体" w:eastAsia="宋体" w:hint="default"/>
          <w:b/>
          <w:bCs/>
          <w:spacing w:val="-6"/>
          <w:sz w:val="28"/>
          <w:szCs w:val="28"/>
        </w:rPr>
        <w:t>）维护核心人员稳定：通过签订劳动合同、</w:t>
      </w:r>
      <w:r>
        <w:rPr>
          <w:rFonts w:ascii="宋体" w:hAnsi="宋体" w:cs="宋体" w:eastAsia="宋体" w:hint="default"/>
          <w:b/>
          <w:bCs/>
          <w:spacing w:val="-127"/>
          <w:sz w:val="28"/>
          <w:szCs w:val="28"/>
        </w:rPr>
        <w:t> </w:t>
      </w:r>
      <w:r>
        <w:rPr>
          <w:rFonts w:ascii="宋体" w:hAnsi="宋体" w:cs="宋体" w:eastAsia="宋体" w:hint="default"/>
          <w:b/>
          <w:bCs/>
          <w:spacing w:val="-127"/>
          <w:sz w:val="28"/>
          <w:szCs w:val="28"/>
        </w:rPr>
      </w:r>
      <w:r>
        <w:rPr>
          <w:rFonts w:ascii="宋体" w:hAnsi="宋体" w:cs="宋体" w:eastAsia="宋体" w:hint="default"/>
          <w:b/>
          <w:bCs/>
          <w:spacing w:val="2"/>
          <w:sz w:val="28"/>
          <w:szCs w:val="28"/>
        </w:rPr>
        <w:t>竞业协议、保密协议等措施保障人员稳定；将公司的股权激励计划等人才激励</w:t>
      </w:r>
      <w:r>
        <w:rPr>
          <w:rFonts w:ascii="宋体" w:hAnsi="宋体" w:cs="宋体" w:eastAsia="宋体" w:hint="default"/>
          <w:b/>
          <w:bCs/>
          <w:spacing w:val="2"/>
          <w:w w:val="99"/>
          <w:sz w:val="28"/>
          <w:szCs w:val="28"/>
        </w:rPr>
        <w:t> </w:t>
      </w:r>
      <w:r>
        <w:rPr>
          <w:rFonts w:ascii="宋体" w:hAnsi="宋体" w:cs="宋体" w:eastAsia="宋体" w:hint="default"/>
          <w:b/>
          <w:bCs/>
          <w:sz w:val="28"/>
          <w:szCs w:val="28"/>
        </w:rPr>
        <w:t>措施，覆盖到子公司核心员工；</w:t>
      </w:r>
      <w:r>
        <w:rPr>
          <w:rFonts w:ascii="Times New Roman" w:hAnsi="Times New Roman" w:cs="Times New Roman" w:eastAsia="Times New Roman" w:hint="default"/>
          <w:b/>
          <w:bCs/>
          <w:sz w:val="28"/>
          <w:szCs w:val="28"/>
        </w:rPr>
        <w:t>3</w:t>
      </w:r>
      <w:r>
        <w:rPr>
          <w:rFonts w:ascii="宋体" w:hAnsi="宋体" w:cs="宋体" w:eastAsia="宋体" w:hint="default"/>
          <w:b/>
          <w:bCs/>
          <w:sz w:val="28"/>
          <w:szCs w:val="28"/>
        </w:rPr>
        <w:t>）经营管理：公司每年将目标责任书和绩效考</w:t>
      </w:r>
      <w:r>
        <w:rPr>
          <w:rFonts w:ascii="宋体" w:hAnsi="宋体" w:cs="宋体" w:eastAsia="宋体" w:hint="default"/>
          <w:b/>
          <w:bCs/>
          <w:w w:val="99"/>
          <w:sz w:val="28"/>
          <w:szCs w:val="28"/>
        </w:rPr>
        <w:t> </w:t>
      </w:r>
      <w:r>
        <w:rPr>
          <w:rFonts w:ascii="宋体" w:hAnsi="宋体" w:cs="宋体" w:eastAsia="宋体" w:hint="default"/>
          <w:b/>
          <w:bCs/>
          <w:spacing w:val="2"/>
          <w:sz w:val="28"/>
          <w:szCs w:val="28"/>
        </w:rPr>
        <w:t>核指标分解到子公司，年终根据业绩的完成程度给予相应的激励，公司也从总</w:t>
      </w:r>
      <w:r>
        <w:rPr>
          <w:rFonts w:ascii="宋体" w:hAnsi="宋体" w:cs="宋体" w:eastAsia="宋体" w:hint="default"/>
          <w:b/>
          <w:bCs/>
          <w:w w:val="99"/>
          <w:sz w:val="28"/>
          <w:szCs w:val="28"/>
        </w:rPr>
        <w:t> </w:t>
      </w:r>
      <w:r>
        <w:rPr>
          <w:rFonts w:ascii="宋体" w:hAnsi="宋体" w:cs="宋体" w:eastAsia="宋体" w:hint="default"/>
          <w:b/>
          <w:bCs/>
          <w:spacing w:val="2"/>
          <w:sz w:val="28"/>
          <w:szCs w:val="28"/>
        </w:rPr>
        <w:t>部派驻核心财务骨干常驻子公司，担任子公司财务负责人，协助子公司负责人</w:t>
      </w:r>
      <w:r>
        <w:rPr>
          <w:rFonts w:ascii="宋体" w:hAnsi="宋体" w:cs="宋体" w:eastAsia="宋体" w:hint="default"/>
          <w:b/>
          <w:bCs/>
          <w:w w:val="99"/>
          <w:sz w:val="28"/>
          <w:szCs w:val="28"/>
        </w:rPr>
        <w:t> </w:t>
      </w:r>
      <w:r>
        <w:rPr>
          <w:rFonts w:ascii="宋体" w:hAnsi="宋体" w:cs="宋体" w:eastAsia="宋体" w:hint="default"/>
          <w:b/>
          <w:bCs/>
          <w:spacing w:val="2"/>
          <w:sz w:val="28"/>
          <w:szCs w:val="28"/>
        </w:rPr>
        <w:t>进行经营管理，同时将子公司管理层纳入到公司管理体系中，让子公司管理层</w:t>
      </w:r>
      <w:r>
        <w:rPr>
          <w:rFonts w:ascii="宋体" w:hAnsi="宋体" w:cs="宋体" w:eastAsia="宋体" w:hint="default"/>
          <w:b/>
          <w:bCs/>
          <w:w w:val="99"/>
          <w:sz w:val="28"/>
          <w:szCs w:val="28"/>
        </w:rPr>
        <w:t> </w:t>
      </w:r>
      <w:r>
        <w:rPr>
          <w:rFonts w:ascii="宋体" w:hAnsi="宋体" w:cs="宋体" w:eastAsia="宋体" w:hint="default"/>
          <w:b/>
          <w:bCs/>
          <w:spacing w:val="2"/>
          <w:sz w:val="28"/>
          <w:szCs w:val="28"/>
        </w:rPr>
        <w:t>和核心人员均有权参与公司管理。通过公司与子公司在经营管理、技术研发、</w:t>
      </w:r>
      <w:r>
        <w:rPr>
          <w:rFonts w:ascii="宋体" w:hAnsi="宋体" w:cs="宋体" w:eastAsia="宋体" w:hint="default"/>
          <w:b/>
          <w:bCs/>
          <w:w w:val="99"/>
          <w:sz w:val="28"/>
          <w:szCs w:val="28"/>
        </w:rPr>
        <w:t> </w:t>
      </w:r>
      <w:r>
        <w:rPr>
          <w:rFonts w:ascii="宋体" w:hAnsi="宋体" w:cs="宋体" w:eastAsia="宋体" w:hint="default"/>
          <w:b/>
          <w:bCs/>
          <w:spacing w:val="2"/>
          <w:sz w:val="28"/>
          <w:szCs w:val="28"/>
        </w:rPr>
        <w:t>市场拓展等方面的资源共享和协同合作，保持公司及各子公司的持续竞争力，</w:t>
      </w:r>
      <w:r>
        <w:rPr>
          <w:rFonts w:ascii="宋体" w:hAnsi="宋体" w:cs="宋体" w:eastAsia="宋体" w:hint="default"/>
          <w:b/>
          <w:bCs/>
          <w:w w:val="99"/>
          <w:sz w:val="28"/>
          <w:szCs w:val="28"/>
        </w:rPr>
        <w:t> </w:t>
      </w:r>
      <w:r>
        <w:rPr>
          <w:rFonts w:ascii="宋体" w:hAnsi="宋体" w:cs="宋体" w:eastAsia="宋体" w:hint="default"/>
          <w:b/>
          <w:bCs/>
          <w:sz w:val="28"/>
          <w:szCs w:val="28"/>
        </w:rPr>
        <w:t>尽量降低商誉对公司未来业绩的影响。</w:t>
      </w:r>
      <w:r>
        <w:rPr>
          <w:rFonts w:ascii="宋体" w:hAnsi="宋体" w:cs="宋体" w:eastAsia="宋体" w:hint="default"/>
          <w:sz w:val="28"/>
          <w:szCs w:val="28"/>
        </w:rPr>
      </w:r>
    </w:p>
    <w:p>
      <w:pPr>
        <w:spacing w:line="386" w:lineRule="auto" w:before="168"/>
        <w:ind w:left="152" w:right="1133" w:firstLine="561"/>
        <w:jc w:val="both"/>
        <w:rPr>
          <w:rFonts w:ascii="宋体" w:hAnsi="宋体" w:cs="宋体" w:eastAsia="宋体" w:hint="default"/>
          <w:sz w:val="28"/>
          <w:szCs w:val="28"/>
        </w:rPr>
      </w:pPr>
      <w:r>
        <w:rPr>
          <w:rFonts w:ascii="Times New Roman" w:hAnsi="Times New Roman" w:cs="Times New Roman" w:eastAsia="Times New Roman" w:hint="default"/>
          <w:b/>
          <w:bCs/>
          <w:sz w:val="28"/>
          <w:szCs w:val="28"/>
        </w:rPr>
        <w:t>4</w:t>
      </w:r>
      <w:r>
        <w:rPr>
          <w:rFonts w:ascii="宋体" w:hAnsi="宋体" w:cs="宋体" w:eastAsia="宋体" w:hint="default"/>
          <w:b/>
          <w:bCs/>
          <w:sz w:val="28"/>
          <w:szCs w:val="28"/>
        </w:rPr>
        <w:t>、应收账款净额过高的风险：报告期末，公司应收账款净额 </w:t>
      </w:r>
      <w:r>
        <w:rPr>
          <w:rFonts w:ascii="Times New Roman" w:hAnsi="Times New Roman" w:cs="Times New Roman" w:eastAsia="Times New Roman" w:hint="default"/>
          <w:b/>
          <w:bCs/>
          <w:sz w:val="28"/>
          <w:szCs w:val="28"/>
        </w:rPr>
        <w:t>79,677.92</w:t>
      </w:r>
      <w:r>
        <w:rPr>
          <w:rFonts w:ascii="Times New Roman" w:hAnsi="Times New Roman" w:cs="Times New Roman" w:eastAsia="Times New Roman" w:hint="default"/>
          <w:b/>
          <w:bCs/>
          <w:spacing w:val="9"/>
          <w:sz w:val="28"/>
          <w:szCs w:val="28"/>
        </w:rPr>
        <w:t> </w:t>
      </w:r>
      <w:r>
        <w:rPr>
          <w:rFonts w:ascii="宋体" w:hAnsi="宋体" w:cs="宋体" w:eastAsia="宋体" w:hint="default"/>
          <w:b/>
          <w:bCs/>
          <w:sz w:val="28"/>
          <w:szCs w:val="28"/>
        </w:rPr>
        <w:t>万</w:t>
      </w:r>
      <w:r>
        <w:rPr>
          <w:rFonts w:ascii="宋体" w:hAnsi="宋体" w:cs="宋体" w:eastAsia="宋体" w:hint="default"/>
          <w:b/>
          <w:bCs/>
          <w:w w:val="99"/>
          <w:sz w:val="28"/>
          <w:szCs w:val="28"/>
        </w:rPr>
        <w:t> </w:t>
      </w:r>
      <w:r>
        <w:rPr>
          <w:rFonts w:ascii="宋体" w:hAnsi="宋体" w:cs="宋体" w:eastAsia="宋体" w:hint="default"/>
          <w:b/>
          <w:bCs/>
          <w:spacing w:val="-3"/>
          <w:sz w:val="28"/>
          <w:szCs w:val="28"/>
        </w:rPr>
        <w:t>元，占公司总资产的比例</w:t>
      </w:r>
      <w:r>
        <w:rPr>
          <w:rFonts w:ascii="宋体" w:hAnsi="宋体" w:cs="宋体" w:eastAsia="宋体" w:hint="default"/>
          <w:b/>
          <w:bCs/>
          <w:spacing w:val="-97"/>
          <w:sz w:val="28"/>
          <w:szCs w:val="28"/>
        </w:rPr>
        <w:t> </w:t>
      </w:r>
      <w:r>
        <w:rPr>
          <w:rFonts w:ascii="Times New Roman" w:hAnsi="Times New Roman" w:cs="Times New Roman" w:eastAsia="Times New Roman" w:hint="default"/>
          <w:b/>
          <w:bCs/>
          <w:sz w:val="28"/>
          <w:szCs w:val="28"/>
        </w:rPr>
        <w:t>18.97%</w:t>
      </w:r>
      <w:r>
        <w:rPr>
          <w:rFonts w:ascii="宋体" w:hAnsi="宋体" w:cs="宋体" w:eastAsia="宋体" w:hint="default"/>
          <w:b/>
          <w:bCs/>
          <w:sz w:val="28"/>
          <w:szCs w:val="28"/>
        </w:rPr>
        <w:t>。主要是因为公司主要客户司法机关和行政执</w:t>
      </w:r>
      <w:r>
        <w:rPr>
          <w:rFonts w:ascii="宋体" w:hAnsi="宋体" w:cs="宋体" w:eastAsia="宋体" w:hint="default"/>
          <w:b/>
          <w:bCs/>
          <w:w w:val="99"/>
          <w:sz w:val="28"/>
          <w:szCs w:val="28"/>
        </w:rPr>
        <w:t> </w:t>
      </w:r>
      <w:r>
        <w:rPr>
          <w:rFonts w:ascii="宋体" w:hAnsi="宋体" w:cs="宋体" w:eastAsia="宋体" w:hint="default"/>
          <w:b/>
          <w:bCs/>
          <w:spacing w:val="2"/>
          <w:sz w:val="28"/>
          <w:szCs w:val="28"/>
        </w:rPr>
        <w:t>法部门，该类客户的采购及付款审批周期较长，因而导致公司应收账款净额较</w:t>
      </w:r>
      <w:r>
        <w:rPr>
          <w:rFonts w:ascii="宋体" w:hAnsi="宋体" w:cs="宋体" w:eastAsia="宋体" w:hint="default"/>
          <w:spacing w:val="2"/>
          <w:sz w:val="28"/>
          <w:szCs w:val="28"/>
        </w:rPr>
      </w:r>
    </w:p>
    <w:p>
      <w:pPr>
        <w:spacing w:after="0" w:line="386" w:lineRule="auto"/>
        <w:jc w:val="both"/>
        <w:rPr>
          <w:rFonts w:ascii="宋体" w:hAnsi="宋体" w:cs="宋体" w:eastAsia="宋体" w:hint="default"/>
          <w:sz w:val="28"/>
          <w:szCs w:val="28"/>
        </w:rPr>
        <w:sectPr>
          <w:pgSz w:w="11910" w:h="16840"/>
          <w:pgMar w:header="745" w:footer="982" w:top="1060" w:bottom="1180" w:left="980" w:right="0"/>
        </w:sect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spacing w:line="408" w:lineRule="auto" w:before="14"/>
        <w:ind w:left="152" w:right="1134" w:firstLine="0"/>
        <w:jc w:val="both"/>
        <w:rPr>
          <w:rFonts w:ascii="宋体" w:hAnsi="宋体" w:cs="宋体" w:eastAsia="宋体" w:hint="default"/>
          <w:sz w:val="28"/>
          <w:szCs w:val="28"/>
        </w:rPr>
      </w:pPr>
      <w:r>
        <w:rPr>
          <w:rFonts w:ascii="宋体" w:hAnsi="宋体" w:cs="宋体" w:eastAsia="宋体" w:hint="default"/>
          <w:b/>
          <w:bCs/>
          <w:spacing w:val="2"/>
          <w:sz w:val="28"/>
          <w:szCs w:val="28"/>
        </w:rPr>
        <w:t>高。并且随着公司平台类项目的销售收入比重不断增加，单个业务合同金额增</w:t>
      </w:r>
      <w:r>
        <w:rPr>
          <w:rFonts w:ascii="宋体" w:hAnsi="宋体" w:cs="宋体" w:eastAsia="宋体" w:hint="default"/>
          <w:b/>
          <w:bCs/>
          <w:w w:val="99"/>
          <w:sz w:val="28"/>
          <w:szCs w:val="28"/>
        </w:rPr>
        <w:t> </w:t>
      </w:r>
      <w:r>
        <w:rPr>
          <w:rFonts w:ascii="宋体" w:hAnsi="宋体" w:cs="宋体" w:eastAsia="宋体" w:hint="default"/>
          <w:b/>
          <w:bCs/>
          <w:spacing w:val="2"/>
          <w:sz w:val="28"/>
          <w:szCs w:val="28"/>
        </w:rPr>
        <w:t>大，实施周期较长，项目付款进度相应较长，应收账款的账期和绝对值也可能</w:t>
      </w:r>
      <w:r>
        <w:rPr>
          <w:rFonts w:ascii="宋体" w:hAnsi="宋体" w:cs="宋体" w:eastAsia="宋体" w:hint="default"/>
          <w:b/>
          <w:bCs/>
          <w:w w:val="99"/>
          <w:sz w:val="28"/>
          <w:szCs w:val="28"/>
        </w:rPr>
        <w:t> </w:t>
      </w:r>
      <w:r>
        <w:rPr>
          <w:rFonts w:ascii="宋体" w:hAnsi="宋体" w:cs="宋体" w:eastAsia="宋体" w:hint="default"/>
          <w:b/>
          <w:bCs/>
          <w:spacing w:val="2"/>
          <w:sz w:val="28"/>
          <w:szCs w:val="28"/>
        </w:rPr>
        <w:t>会相应上升。此外，部分客户受机构体制改革影响，付款审批时间也相应的延</w:t>
      </w:r>
      <w:r>
        <w:rPr>
          <w:rFonts w:ascii="宋体" w:hAnsi="宋体" w:cs="宋体" w:eastAsia="宋体" w:hint="default"/>
          <w:b/>
          <w:bCs/>
          <w:w w:val="99"/>
          <w:sz w:val="28"/>
          <w:szCs w:val="28"/>
        </w:rPr>
        <w:t> </w:t>
      </w:r>
      <w:r>
        <w:rPr>
          <w:rFonts w:ascii="宋体" w:hAnsi="宋体" w:cs="宋体" w:eastAsia="宋体" w:hint="default"/>
          <w:b/>
          <w:bCs/>
          <w:spacing w:val="2"/>
          <w:sz w:val="28"/>
          <w:szCs w:val="28"/>
        </w:rPr>
        <w:t>长。综合各种因素，本期的应收账款金额较大。对此，公司将持续加大应收账</w:t>
      </w:r>
      <w:r>
        <w:rPr>
          <w:rFonts w:ascii="宋体" w:hAnsi="宋体" w:cs="宋体" w:eastAsia="宋体" w:hint="default"/>
          <w:b/>
          <w:bCs/>
          <w:w w:val="99"/>
          <w:sz w:val="28"/>
          <w:szCs w:val="28"/>
        </w:rPr>
        <w:t> </w:t>
      </w:r>
      <w:r>
        <w:rPr>
          <w:rFonts w:ascii="宋体" w:hAnsi="宋体" w:cs="宋体" w:eastAsia="宋体" w:hint="default"/>
          <w:b/>
          <w:bCs/>
          <w:spacing w:val="2"/>
          <w:sz w:val="28"/>
          <w:szCs w:val="28"/>
        </w:rPr>
        <w:t>款的催收力度，同时根据公司实际情况，执行合理的应收账款坏账计提准备政</w:t>
      </w:r>
      <w:r>
        <w:rPr>
          <w:rFonts w:ascii="宋体" w:hAnsi="宋体" w:cs="宋体" w:eastAsia="宋体" w:hint="default"/>
          <w:b/>
          <w:bCs/>
          <w:w w:val="99"/>
          <w:sz w:val="28"/>
          <w:szCs w:val="28"/>
        </w:rPr>
        <w:t> </w:t>
      </w:r>
      <w:r>
        <w:rPr>
          <w:rFonts w:ascii="宋体" w:hAnsi="宋体" w:cs="宋体" w:eastAsia="宋体" w:hint="default"/>
          <w:b/>
          <w:bCs/>
          <w:sz w:val="28"/>
          <w:szCs w:val="28"/>
        </w:rPr>
        <w:t>策，避免较高的坏账风险。</w:t>
      </w:r>
      <w:r>
        <w:rPr>
          <w:rFonts w:ascii="宋体" w:hAnsi="宋体" w:cs="宋体" w:eastAsia="宋体" w:hint="default"/>
          <w:sz w:val="28"/>
          <w:szCs w:val="28"/>
        </w:rPr>
      </w:r>
    </w:p>
    <w:p>
      <w:pPr>
        <w:spacing w:line="400" w:lineRule="auto" w:before="162"/>
        <w:ind w:left="152" w:right="1130" w:firstLine="561"/>
        <w:jc w:val="both"/>
        <w:rPr>
          <w:rFonts w:ascii="宋体" w:hAnsi="宋体" w:cs="宋体" w:eastAsia="宋体" w:hint="default"/>
          <w:sz w:val="28"/>
          <w:szCs w:val="28"/>
        </w:rPr>
      </w:pPr>
      <w:r>
        <w:rPr>
          <w:rFonts w:ascii="Times New Roman" w:hAnsi="Times New Roman" w:cs="Times New Roman" w:eastAsia="Times New Roman" w:hint="default"/>
          <w:b/>
          <w:bCs/>
          <w:spacing w:val="-2"/>
          <w:sz w:val="28"/>
          <w:szCs w:val="28"/>
        </w:rPr>
        <w:t>5</w:t>
      </w:r>
      <w:r>
        <w:rPr>
          <w:rFonts w:ascii="宋体" w:hAnsi="宋体" w:cs="宋体" w:eastAsia="宋体" w:hint="default"/>
          <w:b/>
          <w:bCs/>
          <w:spacing w:val="-2"/>
          <w:sz w:val="28"/>
          <w:szCs w:val="28"/>
        </w:rPr>
        <w:t>、市场风险：随着大数据技术、人工智能技术的高速发展，大数据、人工</w:t>
      </w:r>
      <w:r>
        <w:rPr>
          <w:rFonts w:ascii="宋体" w:hAnsi="宋体" w:cs="宋体" w:eastAsia="宋体" w:hint="default"/>
          <w:b/>
          <w:bCs/>
          <w:w w:val="99"/>
          <w:sz w:val="28"/>
          <w:szCs w:val="28"/>
        </w:rPr>
        <w:t> </w:t>
      </w:r>
      <w:r>
        <w:rPr>
          <w:rFonts w:ascii="宋体" w:hAnsi="宋体" w:cs="宋体" w:eastAsia="宋体" w:hint="default"/>
          <w:b/>
          <w:bCs/>
          <w:spacing w:val="2"/>
          <w:sz w:val="28"/>
          <w:szCs w:val="28"/>
        </w:rPr>
        <w:t>智能产业的相关政策陆续颁布，大数据行业的市场前景非常可观，国内有很多</w:t>
      </w:r>
      <w:r>
        <w:rPr>
          <w:rFonts w:ascii="宋体" w:hAnsi="宋体" w:cs="宋体" w:eastAsia="宋体" w:hint="default"/>
          <w:b/>
          <w:bCs/>
          <w:w w:val="99"/>
          <w:sz w:val="28"/>
          <w:szCs w:val="28"/>
        </w:rPr>
        <w:t> </w:t>
      </w:r>
      <w:r>
        <w:rPr>
          <w:rFonts w:ascii="宋体" w:hAnsi="宋体" w:cs="宋体" w:eastAsia="宋体" w:hint="default"/>
          <w:b/>
          <w:bCs/>
          <w:spacing w:val="2"/>
          <w:sz w:val="28"/>
          <w:szCs w:val="28"/>
        </w:rPr>
        <w:t>企业已涉及到该行业，大数据市场竞争日趋激烈。公司将继续加强研发投入及</w:t>
      </w:r>
      <w:r>
        <w:rPr>
          <w:rFonts w:ascii="宋体" w:hAnsi="宋体" w:cs="宋体" w:eastAsia="宋体" w:hint="default"/>
          <w:b/>
          <w:bCs/>
          <w:w w:val="99"/>
          <w:sz w:val="28"/>
          <w:szCs w:val="28"/>
        </w:rPr>
        <w:t> </w:t>
      </w:r>
      <w:r>
        <w:rPr>
          <w:rFonts w:ascii="宋体" w:hAnsi="宋体" w:cs="宋体" w:eastAsia="宋体" w:hint="default"/>
          <w:b/>
          <w:bCs/>
          <w:spacing w:val="2"/>
          <w:sz w:val="28"/>
          <w:szCs w:val="28"/>
        </w:rPr>
        <w:t>相关技术人才的储备，跟踪前沿技术，研制适应新形势要求的新产品，保持产</w:t>
      </w:r>
      <w:r>
        <w:rPr>
          <w:rFonts w:ascii="宋体" w:hAnsi="宋体" w:cs="宋体" w:eastAsia="宋体" w:hint="default"/>
          <w:b/>
          <w:bCs/>
          <w:w w:val="99"/>
          <w:sz w:val="28"/>
          <w:szCs w:val="28"/>
        </w:rPr>
        <w:t> </w:t>
      </w:r>
      <w:r>
        <w:rPr>
          <w:rFonts w:ascii="宋体" w:hAnsi="宋体" w:cs="宋体" w:eastAsia="宋体" w:hint="default"/>
          <w:b/>
          <w:bCs/>
          <w:spacing w:val="2"/>
          <w:sz w:val="28"/>
          <w:szCs w:val="28"/>
        </w:rPr>
        <w:t>品先进性；对前期投放市场的产品，考虑到培育市场的难度，公司将在市场培</w:t>
      </w:r>
      <w:r>
        <w:rPr>
          <w:rFonts w:ascii="宋体" w:hAnsi="宋体" w:cs="宋体" w:eastAsia="宋体" w:hint="default"/>
          <w:b/>
          <w:bCs/>
          <w:w w:val="99"/>
          <w:sz w:val="28"/>
          <w:szCs w:val="28"/>
        </w:rPr>
        <w:t> </w:t>
      </w:r>
      <w:r>
        <w:rPr>
          <w:rFonts w:ascii="宋体" w:hAnsi="宋体" w:cs="宋体" w:eastAsia="宋体" w:hint="default"/>
          <w:b/>
          <w:bCs/>
          <w:spacing w:val="-2"/>
          <w:sz w:val="28"/>
          <w:szCs w:val="28"/>
        </w:rPr>
        <w:t>育前进行整体规划，详细制定营销战略，积极利用积累的客户资源，达到</w:t>
      </w:r>
      <w:r>
        <w:rPr>
          <w:rFonts w:ascii="Times New Roman" w:hAnsi="Times New Roman" w:cs="Times New Roman" w:eastAsia="Times New Roman" w:hint="default"/>
          <w:b/>
          <w:bCs/>
          <w:spacing w:val="-2"/>
          <w:sz w:val="28"/>
          <w:szCs w:val="28"/>
        </w:rPr>
        <w:t>“</w:t>
      </w:r>
      <w:r>
        <w:rPr>
          <w:rFonts w:ascii="宋体" w:hAnsi="宋体" w:cs="宋体" w:eastAsia="宋体" w:hint="default"/>
          <w:b/>
          <w:bCs/>
          <w:spacing w:val="-2"/>
          <w:sz w:val="28"/>
          <w:szCs w:val="28"/>
        </w:rPr>
        <w:t>以旧</w:t>
      </w:r>
      <w:r>
        <w:rPr>
          <w:rFonts w:ascii="宋体" w:hAnsi="宋体" w:cs="宋体" w:eastAsia="宋体" w:hint="default"/>
          <w:b/>
          <w:bCs/>
          <w:spacing w:val="-135"/>
          <w:sz w:val="28"/>
          <w:szCs w:val="28"/>
        </w:rPr>
        <w:t> </w:t>
      </w:r>
      <w:r>
        <w:rPr>
          <w:rFonts w:ascii="宋体" w:hAnsi="宋体" w:cs="宋体" w:eastAsia="宋体" w:hint="default"/>
          <w:b/>
          <w:bCs/>
          <w:sz w:val="28"/>
          <w:szCs w:val="28"/>
        </w:rPr>
        <w:t>带新</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，确保产品得以顺利进入市场。</w:t>
      </w:r>
      <w:r>
        <w:rPr>
          <w:rFonts w:ascii="宋体" w:hAnsi="宋体" w:cs="宋体" w:eastAsia="宋体" w:hint="default"/>
          <w:sz w:val="28"/>
          <w:szCs w:val="28"/>
        </w:rPr>
      </w:r>
    </w:p>
    <w:p>
      <w:pPr>
        <w:spacing w:line="405" w:lineRule="auto" w:before="127"/>
        <w:ind w:left="152" w:right="1130" w:firstLine="561"/>
        <w:jc w:val="both"/>
        <w:rPr>
          <w:rFonts w:ascii="宋体" w:hAnsi="宋体" w:cs="宋体" w:eastAsia="宋体" w:hint="default"/>
          <w:sz w:val="28"/>
          <w:szCs w:val="28"/>
        </w:rPr>
      </w:pPr>
      <w:r>
        <w:rPr>
          <w:rFonts w:ascii="Times New Roman" w:hAnsi="Times New Roman" w:cs="Times New Roman" w:eastAsia="Times New Roman" w:hint="default"/>
          <w:b/>
          <w:bCs/>
          <w:spacing w:val="-2"/>
          <w:sz w:val="28"/>
          <w:szCs w:val="28"/>
        </w:rPr>
        <w:t>6</w:t>
      </w:r>
      <w:r>
        <w:rPr>
          <w:rFonts w:ascii="宋体" w:hAnsi="宋体" w:cs="宋体" w:eastAsia="宋体" w:hint="default"/>
          <w:b/>
          <w:bCs/>
          <w:spacing w:val="-2"/>
          <w:sz w:val="28"/>
          <w:szCs w:val="28"/>
        </w:rPr>
        <w:t>、政策风险：美亚柏科的主要客户为国家各级司法机关、行政执法部门和</w:t>
      </w:r>
      <w:r>
        <w:rPr>
          <w:rFonts w:ascii="宋体" w:hAnsi="宋体" w:cs="宋体" w:eastAsia="宋体" w:hint="default"/>
          <w:b/>
          <w:bCs/>
          <w:w w:val="99"/>
          <w:sz w:val="28"/>
          <w:szCs w:val="28"/>
        </w:rPr>
        <w:t> </w:t>
      </w:r>
      <w:r>
        <w:rPr>
          <w:rFonts w:ascii="宋体" w:hAnsi="宋体" w:cs="宋体" w:eastAsia="宋体" w:hint="default"/>
          <w:b/>
          <w:bCs/>
          <w:spacing w:val="2"/>
          <w:sz w:val="28"/>
          <w:szCs w:val="28"/>
        </w:rPr>
        <w:t>政府监管部门，这些政府相关部门的采购需求对政府财政预算依赖性较大，如</w:t>
      </w:r>
      <w:r>
        <w:rPr>
          <w:rFonts w:ascii="宋体" w:hAnsi="宋体" w:cs="宋体" w:eastAsia="宋体" w:hint="default"/>
          <w:b/>
          <w:bCs/>
          <w:w w:val="99"/>
          <w:sz w:val="28"/>
          <w:szCs w:val="28"/>
        </w:rPr>
        <w:t> </w:t>
      </w:r>
      <w:r>
        <w:rPr>
          <w:rFonts w:ascii="宋体" w:hAnsi="宋体" w:cs="宋体" w:eastAsia="宋体" w:hint="default"/>
          <w:b/>
          <w:bCs/>
          <w:spacing w:val="2"/>
          <w:sz w:val="28"/>
          <w:szCs w:val="28"/>
        </w:rPr>
        <w:t>果相关政府部门财政预算缩减，将对我们的业务开展和财务状况产生重大不利</w:t>
      </w:r>
      <w:r>
        <w:rPr>
          <w:rFonts w:ascii="宋体" w:hAnsi="宋体" w:cs="宋体" w:eastAsia="宋体" w:hint="default"/>
          <w:b/>
          <w:bCs/>
          <w:w w:val="99"/>
          <w:sz w:val="28"/>
          <w:szCs w:val="28"/>
        </w:rPr>
        <w:t> </w:t>
      </w:r>
      <w:r>
        <w:rPr>
          <w:rFonts w:ascii="宋体" w:hAnsi="宋体" w:cs="宋体" w:eastAsia="宋体" w:hint="default"/>
          <w:b/>
          <w:bCs/>
          <w:spacing w:val="2"/>
          <w:sz w:val="28"/>
          <w:szCs w:val="28"/>
        </w:rPr>
        <w:t>影响。法律法规或管理机构的变化和改革也可能影响上述用户的需求，从而可</w:t>
      </w:r>
      <w:r>
        <w:rPr>
          <w:rFonts w:ascii="宋体" w:hAnsi="宋体" w:cs="宋体" w:eastAsia="宋体" w:hint="default"/>
          <w:b/>
          <w:bCs/>
          <w:w w:val="99"/>
          <w:sz w:val="28"/>
          <w:szCs w:val="28"/>
        </w:rPr>
        <w:t> </w:t>
      </w:r>
      <w:r>
        <w:rPr>
          <w:rFonts w:ascii="宋体" w:hAnsi="宋体" w:cs="宋体" w:eastAsia="宋体" w:hint="default"/>
          <w:b/>
          <w:bCs/>
          <w:spacing w:val="2"/>
          <w:sz w:val="28"/>
          <w:szCs w:val="28"/>
        </w:rPr>
        <w:t>能对公司业务造成影响。公司积极拓展新的行业，扩大公司市场范围，降低对</w:t>
      </w:r>
      <w:r>
        <w:rPr>
          <w:rFonts w:ascii="宋体" w:hAnsi="宋体" w:cs="宋体" w:eastAsia="宋体" w:hint="default"/>
          <w:b/>
          <w:bCs/>
          <w:w w:val="99"/>
          <w:sz w:val="28"/>
          <w:szCs w:val="28"/>
        </w:rPr>
        <w:t> </w:t>
      </w:r>
      <w:r>
        <w:rPr>
          <w:rFonts w:ascii="宋体" w:hAnsi="宋体" w:cs="宋体" w:eastAsia="宋体" w:hint="default"/>
          <w:b/>
          <w:bCs/>
          <w:spacing w:val="2"/>
          <w:sz w:val="28"/>
          <w:szCs w:val="28"/>
        </w:rPr>
        <w:t>个别行业的依赖性，从而降低因部分市场饱和或相关部门预算所带来的不利影</w:t>
      </w:r>
      <w:r>
        <w:rPr>
          <w:rFonts w:ascii="宋体" w:hAnsi="宋体" w:cs="宋体" w:eastAsia="宋体" w:hint="default"/>
          <w:b/>
          <w:bCs/>
          <w:w w:val="99"/>
          <w:sz w:val="28"/>
          <w:szCs w:val="28"/>
        </w:rPr>
        <w:t> </w:t>
      </w:r>
      <w:r>
        <w:rPr>
          <w:rFonts w:ascii="宋体" w:hAnsi="宋体" w:cs="宋体" w:eastAsia="宋体" w:hint="default"/>
          <w:b/>
          <w:bCs/>
          <w:sz w:val="28"/>
          <w:szCs w:val="28"/>
        </w:rPr>
        <w:t>响。</w:t>
      </w:r>
      <w:r>
        <w:rPr>
          <w:rFonts w:ascii="宋体" w:hAnsi="宋体" w:cs="宋体" w:eastAsia="宋体" w:hint="default"/>
          <w:sz w:val="28"/>
          <w:szCs w:val="28"/>
        </w:rPr>
      </w:r>
    </w:p>
    <w:p>
      <w:pPr>
        <w:spacing w:line="386" w:lineRule="auto" w:before="165"/>
        <w:ind w:left="152" w:right="1130" w:firstLine="561"/>
        <w:jc w:val="both"/>
        <w:rPr>
          <w:rFonts w:ascii="宋体" w:hAnsi="宋体" w:cs="宋体" w:eastAsia="宋体" w:hint="default"/>
          <w:sz w:val="28"/>
          <w:szCs w:val="28"/>
        </w:rPr>
      </w:pPr>
      <w:r>
        <w:rPr>
          <w:rFonts w:ascii="Times New Roman" w:hAnsi="Times New Roman" w:cs="Times New Roman" w:eastAsia="Times New Roman" w:hint="default"/>
          <w:b/>
          <w:bCs/>
          <w:spacing w:val="-2"/>
          <w:sz w:val="28"/>
          <w:szCs w:val="28"/>
        </w:rPr>
        <w:t>7</w:t>
      </w:r>
      <w:r>
        <w:rPr>
          <w:rFonts w:ascii="宋体" w:hAnsi="宋体" w:cs="宋体" w:eastAsia="宋体" w:hint="default"/>
          <w:b/>
          <w:bCs/>
          <w:spacing w:val="-2"/>
          <w:sz w:val="28"/>
          <w:szCs w:val="28"/>
        </w:rPr>
        <w:t>、季节性风险：公司产品销售收入在上、下半年具有不均衡的特点，因为</w:t>
      </w:r>
      <w:r>
        <w:rPr>
          <w:rFonts w:ascii="宋体" w:hAnsi="宋体" w:cs="宋体" w:eastAsia="宋体" w:hint="default"/>
          <w:b/>
          <w:bCs/>
          <w:w w:val="99"/>
          <w:sz w:val="28"/>
          <w:szCs w:val="28"/>
        </w:rPr>
        <w:t> </w:t>
      </w:r>
      <w:r>
        <w:rPr>
          <w:rFonts w:ascii="宋体" w:hAnsi="宋体" w:cs="宋体" w:eastAsia="宋体" w:hint="default"/>
          <w:b/>
          <w:bCs/>
          <w:spacing w:val="2"/>
          <w:sz w:val="28"/>
          <w:szCs w:val="28"/>
        </w:rPr>
        <w:t>公司产品主要销售给司法机关、行政执法部门等，这些客户的普遍特点是：上</w:t>
      </w:r>
      <w:r>
        <w:rPr>
          <w:rFonts w:ascii="宋体" w:hAnsi="宋体" w:cs="宋体" w:eastAsia="宋体" w:hint="default"/>
          <w:spacing w:val="2"/>
          <w:sz w:val="28"/>
          <w:szCs w:val="28"/>
        </w:rPr>
      </w:r>
    </w:p>
    <w:p>
      <w:pPr>
        <w:spacing w:after="0" w:line="386" w:lineRule="auto"/>
        <w:jc w:val="both"/>
        <w:rPr>
          <w:rFonts w:ascii="宋体" w:hAnsi="宋体" w:cs="宋体" w:eastAsia="宋体" w:hint="default"/>
          <w:sz w:val="28"/>
          <w:szCs w:val="28"/>
        </w:rPr>
        <w:sectPr>
          <w:pgSz w:w="11910" w:h="16840"/>
          <w:pgMar w:header="745" w:footer="982" w:top="1060" w:bottom="1180" w:left="980" w:right="0"/>
        </w:sect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spacing w:line="398" w:lineRule="auto" w:before="14"/>
        <w:ind w:left="152" w:right="1133" w:firstLine="0"/>
        <w:jc w:val="both"/>
        <w:rPr>
          <w:rFonts w:ascii="宋体" w:hAnsi="宋体" w:cs="宋体" w:eastAsia="宋体" w:hint="default"/>
          <w:sz w:val="28"/>
          <w:szCs w:val="28"/>
        </w:rPr>
      </w:pPr>
      <w:r>
        <w:rPr>
          <w:rFonts w:ascii="宋体" w:hAnsi="宋体" w:cs="宋体" w:eastAsia="宋体" w:hint="default"/>
          <w:b/>
          <w:bCs/>
          <w:sz w:val="28"/>
          <w:szCs w:val="28"/>
        </w:rPr>
        <w:t>半年制定计划、预算审批，下半年实施和验收。</w:t>
      </w:r>
      <w:r>
        <w:rPr>
          <w:rFonts w:ascii="Times New Roman" w:hAnsi="Times New Roman" w:cs="Times New Roman" w:eastAsia="Times New Roman" w:hint="default"/>
          <w:b/>
          <w:bCs/>
          <w:sz w:val="28"/>
          <w:szCs w:val="28"/>
        </w:rPr>
        <w:t>2020</w:t>
      </w:r>
      <w:r>
        <w:rPr>
          <w:rFonts w:ascii="Times New Roman" w:hAnsi="Times New Roman" w:cs="Times New Roman" w:eastAsia="Times New Roman" w:hint="default"/>
          <w:b/>
          <w:bCs/>
          <w:spacing w:val="9"/>
          <w:sz w:val="28"/>
          <w:szCs w:val="28"/>
        </w:rPr>
        <w:t> </w:t>
      </w:r>
      <w:r>
        <w:rPr>
          <w:rFonts w:ascii="宋体" w:hAnsi="宋体" w:cs="宋体" w:eastAsia="宋体" w:hint="default"/>
          <w:b/>
          <w:bCs/>
          <w:sz w:val="28"/>
          <w:szCs w:val="28"/>
        </w:rPr>
        <w:t>年受到新冠疫情影响，有</w:t>
      </w:r>
      <w:r>
        <w:rPr>
          <w:rFonts w:ascii="宋体" w:hAnsi="宋体" w:cs="宋体" w:eastAsia="宋体" w:hint="default"/>
          <w:b/>
          <w:bCs/>
          <w:w w:val="99"/>
          <w:sz w:val="28"/>
          <w:szCs w:val="28"/>
        </w:rPr>
        <w:t> </w:t>
      </w:r>
      <w:r>
        <w:rPr>
          <w:rFonts w:ascii="宋体" w:hAnsi="宋体" w:cs="宋体" w:eastAsia="宋体" w:hint="default"/>
          <w:b/>
          <w:bCs/>
          <w:spacing w:val="2"/>
          <w:sz w:val="28"/>
          <w:szCs w:val="28"/>
        </w:rPr>
        <w:t>可能季节性特点会更加明显。公司将持续加大售前的进度引导、以及阶段验收</w:t>
      </w:r>
      <w:r>
        <w:rPr>
          <w:rFonts w:ascii="宋体" w:hAnsi="宋体" w:cs="宋体" w:eastAsia="宋体" w:hint="default"/>
          <w:b/>
          <w:bCs/>
          <w:w w:val="99"/>
          <w:sz w:val="28"/>
          <w:szCs w:val="28"/>
        </w:rPr>
        <w:t> </w:t>
      </w:r>
      <w:r>
        <w:rPr>
          <w:rFonts w:ascii="宋体" w:hAnsi="宋体" w:cs="宋体" w:eastAsia="宋体" w:hint="default"/>
          <w:b/>
          <w:bCs/>
          <w:sz w:val="28"/>
          <w:szCs w:val="28"/>
        </w:rPr>
        <w:t>等方式，尽量降低第四季度集中和不确定性的影响。</w:t>
      </w:r>
      <w:r>
        <w:rPr>
          <w:rFonts w:ascii="宋体" w:hAnsi="宋体" w:cs="宋体" w:eastAsia="宋体" w:hint="default"/>
          <w:sz w:val="28"/>
          <w:szCs w:val="28"/>
        </w:rPr>
      </w:r>
    </w:p>
    <w:p>
      <w:pPr>
        <w:spacing w:before="173"/>
        <w:ind w:left="714" w:right="986" w:firstLine="0"/>
        <w:jc w:val="left"/>
        <w:rPr>
          <w:rFonts w:ascii="宋体" w:hAnsi="宋体" w:cs="宋体" w:eastAsia="宋体" w:hint="default"/>
          <w:sz w:val="28"/>
          <w:szCs w:val="28"/>
        </w:rPr>
      </w:pPr>
      <w:r>
        <w:rPr>
          <w:rFonts w:ascii="宋体" w:hAnsi="宋体" w:cs="宋体" w:eastAsia="宋体" w:hint="default"/>
          <w:b/>
          <w:bCs/>
          <w:sz w:val="28"/>
          <w:szCs w:val="28"/>
        </w:rPr>
        <w:t>公司经本次董事会审议通过的利润分配预案为：以</w:t>
      </w:r>
      <w:r>
        <w:rPr>
          <w:rFonts w:ascii="宋体" w:hAnsi="宋体" w:cs="宋体" w:eastAsia="宋体" w:hint="default"/>
          <w:b/>
          <w:bCs/>
          <w:spacing w:val="-89"/>
          <w:sz w:val="28"/>
          <w:szCs w:val="28"/>
        </w:rPr>
        <w:t> </w:t>
      </w:r>
      <w:r>
        <w:rPr>
          <w:rFonts w:ascii="Times New Roman" w:hAnsi="Times New Roman" w:cs="Times New Roman" w:eastAsia="Times New Roman" w:hint="default"/>
          <w:b/>
          <w:bCs/>
          <w:sz w:val="28"/>
          <w:szCs w:val="28"/>
        </w:rPr>
        <w:t>805,211,317</w:t>
      </w:r>
      <w:r>
        <w:rPr>
          <w:rFonts w:ascii="Times New Roman" w:hAnsi="Times New Roman" w:cs="Times New Roman" w:eastAsia="Times New Roman" w:hint="default"/>
          <w:b/>
          <w:bCs/>
          <w:spacing w:val="-19"/>
          <w:sz w:val="28"/>
          <w:szCs w:val="28"/>
        </w:rPr>
        <w:t> </w:t>
      </w:r>
      <w:r>
        <w:rPr>
          <w:rFonts w:ascii="宋体" w:hAnsi="宋体" w:cs="宋体" w:eastAsia="宋体" w:hint="default"/>
          <w:b/>
          <w:bCs/>
          <w:spacing w:val="-5"/>
          <w:sz w:val="28"/>
          <w:szCs w:val="28"/>
        </w:rPr>
        <w:t>为基数，向</w:t>
      </w:r>
      <w:r>
        <w:rPr>
          <w:rFonts w:ascii="宋体" w:hAnsi="宋体" w:cs="宋体" w:eastAsia="宋体" w:hint="default"/>
          <w:spacing w:val="-5"/>
          <w:sz w:val="28"/>
          <w:szCs w:val="28"/>
        </w:rPr>
      </w:r>
    </w:p>
    <w:p>
      <w:pPr>
        <w:spacing w:before="236"/>
        <w:ind w:left="152" w:right="0" w:firstLine="0"/>
        <w:jc w:val="both"/>
        <w:rPr>
          <w:rFonts w:ascii="宋体" w:hAnsi="宋体" w:cs="宋体" w:eastAsia="宋体" w:hint="default"/>
          <w:sz w:val="28"/>
          <w:szCs w:val="28"/>
        </w:rPr>
      </w:pPr>
      <w:r>
        <w:rPr>
          <w:rFonts w:ascii="宋体" w:hAnsi="宋体" w:cs="宋体" w:eastAsia="宋体" w:hint="default"/>
          <w:b/>
          <w:bCs/>
          <w:w w:val="99"/>
          <w:sz w:val="28"/>
          <w:szCs w:val="28"/>
        </w:rPr>
        <w:t>全体</w:t>
      </w:r>
      <w:r>
        <w:rPr>
          <w:rFonts w:ascii="宋体" w:hAnsi="宋体" w:cs="宋体" w:eastAsia="宋体" w:hint="default"/>
          <w:b/>
          <w:bCs/>
          <w:spacing w:val="2"/>
          <w:w w:val="99"/>
          <w:sz w:val="28"/>
          <w:szCs w:val="28"/>
        </w:rPr>
        <w:t>股</w:t>
      </w:r>
      <w:r>
        <w:rPr>
          <w:rFonts w:ascii="宋体" w:hAnsi="宋体" w:cs="宋体" w:eastAsia="宋体" w:hint="default"/>
          <w:b/>
          <w:bCs/>
          <w:w w:val="99"/>
          <w:sz w:val="28"/>
          <w:szCs w:val="28"/>
        </w:rPr>
        <w:t>东每</w:t>
      </w:r>
      <w:r>
        <w:rPr>
          <w:rFonts w:ascii="宋体" w:hAnsi="宋体" w:cs="宋体" w:eastAsia="宋体" w:hint="default"/>
          <w:b/>
          <w:bCs/>
          <w:spacing w:val="-72"/>
          <w:sz w:val="28"/>
          <w:szCs w:val="28"/>
        </w:rPr>
        <w:t> </w:t>
      </w:r>
      <w:r>
        <w:rPr>
          <w:rFonts w:ascii="Times New Roman" w:hAnsi="Times New Roman" w:cs="Times New Roman" w:eastAsia="Times New Roman" w:hint="default"/>
          <w:b/>
          <w:bCs/>
          <w:spacing w:val="1"/>
          <w:w w:val="100"/>
          <w:sz w:val="28"/>
          <w:szCs w:val="28"/>
        </w:rPr>
        <w:t>1</w:t>
      </w:r>
      <w:r>
        <w:rPr>
          <w:rFonts w:ascii="Times New Roman" w:hAnsi="Times New Roman" w:cs="Times New Roman" w:eastAsia="Times New Roman" w:hint="default"/>
          <w:b/>
          <w:bCs/>
          <w:w w:val="100"/>
          <w:sz w:val="28"/>
          <w:szCs w:val="28"/>
        </w:rPr>
        <w:t>0</w:t>
      </w:r>
      <w:r>
        <w:rPr>
          <w:rFonts w:ascii="Times New Roman" w:hAnsi="Times New Roman" w:cs="Times New Roman" w:eastAsia="Times New Roman" w:hint="default"/>
          <w:b/>
          <w:bCs/>
          <w:spacing w:val="-2"/>
          <w:sz w:val="28"/>
          <w:szCs w:val="28"/>
        </w:rPr>
        <w:t> </w:t>
      </w:r>
      <w:r>
        <w:rPr>
          <w:rFonts w:ascii="宋体" w:hAnsi="宋体" w:cs="宋体" w:eastAsia="宋体" w:hint="default"/>
          <w:b/>
          <w:bCs/>
          <w:w w:val="99"/>
          <w:sz w:val="28"/>
          <w:szCs w:val="28"/>
        </w:rPr>
        <w:t>股派发现</w:t>
      </w:r>
      <w:r>
        <w:rPr>
          <w:rFonts w:ascii="宋体" w:hAnsi="宋体" w:cs="宋体" w:eastAsia="宋体" w:hint="default"/>
          <w:b/>
          <w:bCs/>
          <w:spacing w:val="2"/>
          <w:w w:val="99"/>
          <w:sz w:val="28"/>
          <w:szCs w:val="28"/>
        </w:rPr>
        <w:t>金</w:t>
      </w:r>
      <w:r>
        <w:rPr>
          <w:rFonts w:ascii="宋体" w:hAnsi="宋体" w:cs="宋体" w:eastAsia="宋体" w:hint="default"/>
          <w:b/>
          <w:bCs/>
          <w:w w:val="99"/>
          <w:sz w:val="28"/>
          <w:szCs w:val="28"/>
        </w:rPr>
        <w:t>红利</w:t>
      </w:r>
      <w:r>
        <w:rPr>
          <w:rFonts w:ascii="宋体" w:hAnsi="宋体" w:cs="宋体" w:eastAsia="宋体" w:hint="default"/>
          <w:b/>
          <w:bCs/>
          <w:spacing w:val="-72"/>
          <w:sz w:val="28"/>
          <w:szCs w:val="28"/>
        </w:rPr>
        <w:t> </w:t>
      </w:r>
      <w:r>
        <w:rPr>
          <w:rFonts w:ascii="Times New Roman" w:hAnsi="Times New Roman" w:cs="Times New Roman" w:eastAsia="Times New Roman" w:hint="default"/>
          <w:b/>
          <w:bCs/>
          <w:spacing w:val="1"/>
          <w:w w:val="100"/>
          <w:sz w:val="28"/>
          <w:szCs w:val="28"/>
        </w:rPr>
        <w:t>0</w:t>
      </w:r>
      <w:r>
        <w:rPr>
          <w:rFonts w:ascii="Times New Roman" w:hAnsi="Times New Roman" w:cs="Times New Roman" w:eastAsia="Times New Roman" w:hint="default"/>
          <w:b/>
          <w:bCs/>
          <w:spacing w:val="-1"/>
          <w:w w:val="100"/>
          <w:sz w:val="28"/>
          <w:szCs w:val="28"/>
        </w:rPr>
        <w:t>.</w:t>
      </w:r>
      <w:r>
        <w:rPr>
          <w:rFonts w:ascii="Times New Roman" w:hAnsi="Times New Roman" w:cs="Times New Roman" w:eastAsia="Times New Roman" w:hint="default"/>
          <w:b/>
          <w:bCs/>
          <w:w w:val="100"/>
          <w:sz w:val="28"/>
          <w:szCs w:val="28"/>
        </w:rPr>
        <w:t>9</w:t>
      </w:r>
      <w:r>
        <w:rPr>
          <w:rFonts w:ascii="Times New Roman" w:hAnsi="Times New Roman" w:cs="Times New Roman" w:eastAsia="Times New Roman" w:hint="default"/>
          <w:b/>
          <w:bCs/>
          <w:spacing w:val="-2"/>
          <w:sz w:val="28"/>
          <w:szCs w:val="28"/>
        </w:rPr>
        <w:t> </w:t>
      </w:r>
      <w:r>
        <w:rPr>
          <w:rFonts w:ascii="宋体" w:hAnsi="宋体" w:cs="宋体" w:eastAsia="宋体" w:hint="default"/>
          <w:b/>
          <w:bCs/>
          <w:w w:val="99"/>
          <w:sz w:val="28"/>
          <w:szCs w:val="28"/>
        </w:rPr>
        <w:t>元（含</w:t>
      </w:r>
      <w:r>
        <w:rPr>
          <w:rFonts w:ascii="宋体" w:hAnsi="宋体" w:cs="宋体" w:eastAsia="宋体" w:hint="default"/>
          <w:b/>
          <w:bCs/>
          <w:spacing w:val="2"/>
          <w:w w:val="99"/>
          <w:sz w:val="28"/>
          <w:szCs w:val="28"/>
        </w:rPr>
        <w:t>税</w:t>
      </w:r>
      <w:r>
        <w:rPr>
          <w:rFonts w:ascii="宋体" w:hAnsi="宋体" w:cs="宋体" w:eastAsia="宋体" w:hint="default"/>
          <w:b/>
          <w:bCs/>
          <w:spacing w:val="-142"/>
          <w:w w:val="99"/>
          <w:sz w:val="28"/>
          <w:szCs w:val="28"/>
        </w:rPr>
        <w:t>）</w:t>
      </w:r>
      <w:r>
        <w:rPr>
          <w:rFonts w:ascii="宋体" w:hAnsi="宋体" w:cs="宋体" w:eastAsia="宋体" w:hint="default"/>
          <w:b/>
          <w:bCs/>
          <w:w w:val="99"/>
          <w:sz w:val="28"/>
          <w:szCs w:val="28"/>
        </w:rPr>
        <w:t>。</w:t>
      </w:r>
      <w:r>
        <w:rPr>
          <w:rFonts w:ascii="宋体" w:hAnsi="宋体" w:cs="宋体" w:eastAsia="宋体" w:hint="default"/>
          <w:sz w:val="28"/>
          <w:szCs w:val="28"/>
        </w:rPr>
      </w:r>
    </w:p>
    <w:p>
      <w:pPr>
        <w:spacing w:after="0"/>
        <w:jc w:val="both"/>
        <w:rPr>
          <w:rFonts w:ascii="宋体" w:hAnsi="宋体" w:cs="宋体" w:eastAsia="宋体" w:hint="default"/>
          <w:sz w:val="28"/>
          <w:szCs w:val="28"/>
        </w:rPr>
        <w:sectPr>
          <w:pgSz w:w="11910" w:h="16840"/>
          <w:pgMar w:header="745" w:footer="982" w:top="1060" w:bottom="1180" w:left="98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before="124"/>
        <w:ind w:left="2240" w:right="3220"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13"/>
        <w:rPr>
          <w:rFonts w:ascii="宋体" w:hAnsi="宋体" w:cs="宋体" w:eastAsia="宋体" w:hint="default"/>
          <w:b/>
          <w:bCs/>
          <w:sz w:val="47"/>
          <w:szCs w:val="47"/>
        </w:rPr>
      </w:pPr>
    </w:p>
    <w:sdt>
      <w:sdtPr>
        <w:docPartObj>
          <w:docPartGallery w:val="Table of Contents"/>
          <w:docPartUnique/>
        </w:docPartObj>
      </w:sdtPr>
      <w:sdtEndPr/>
      <w:sdtContent>
        <w:p>
          <w:pPr>
            <w:pStyle w:val="TOC1"/>
            <w:tabs>
              <w:tab w:pos="9781" w:val="right" w:leader="dot"/>
            </w:tabs>
            <w:spacing w:line="240" w:lineRule="auto" w:before="0"/>
            <w:ind w:right="0"/>
            <w:jc w:val="left"/>
            <w:rPr>
              <w:rFonts w:ascii="Times New Roman" w:hAnsi="Times New Roman" w:cs="Times New Roman" w:eastAsia="Times New Roman" w:hint="default"/>
              <w:b w:val="0"/>
              <w:bCs w:val="0"/>
            </w:rPr>
          </w:pPr>
          <w:hyperlink w:history="true" w:anchor="_bookmark0">
            <w:r>
              <w:rPr/>
              <w:t>第一节</w:t>
            </w:r>
            <w:r>
              <w:rPr>
                <w:spacing w:val="-19"/>
              </w:rPr>
              <w:t> </w:t>
            </w:r>
            <w:r>
              <w:rPr/>
              <w:t>重要提示、目录和释义</w:t>
            </w:r>
            <w:r>
              <w:rPr>
                <w:rFonts w:ascii="Times New Roman" w:hAnsi="Times New Roman" w:cs="Times New Roman" w:eastAsia="Times New Roman" w:hint="default"/>
              </w:rPr>
              <w:tab/>
              <w:t>9</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bookmark1">
            <w:r>
              <w:rPr/>
              <w:t>第二节</w:t>
            </w:r>
            <w:r>
              <w:rPr>
                <w:spacing w:val="-19"/>
              </w:rPr>
              <w:t> </w:t>
            </w:r>
            <w:r>
              <w:rPr/>
              <w:t>公司简介和主要财务指标</w:t>
            </w:r>
            <w:r>
              <w:rPr>
                <w:rFonts w:ascii="Times New Roman" w:hAnsi="Times New Roman" w:cs="Times New Roman" w:eastAsia="Times New Roman" w:hint="default"/>
              </w:rPr>
              <w:tab/>
              <w:t>13</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bookmark2">
            <w:r>
              <w:rPr/>
              <w:t>第三节</w:t>
            </w:r>
            <w:r>
              <w:rPr>
                <w:spacing w:val="-19"/>
              </w:rPr>
              <w:t> </w:t>
            </w:r>
            <w:r>
              <w:rPr/>
              <w:t>公司业务概要</w:t>
            </w:r>
            <w:r>
              <w:rPr>
                <w:rFonts w:ascii="Times New Roman" w:hAnsi="Times New Roman" w:cs="Times New Roman" w:eastAsia="Times New Roman" w:hint="default"/>
              </w:rPr>
              <w:tab/>
              <w:t>20</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bookmark3">
            <w:r>
              <w:rPr/>
              <w:t>第四节</w:t>
            </w:r>
            <w:r>
              <w:rPr>
                <w:spacing w:val="-19"/>
              </w:rPr>
              <w:t> </w:t>
            </w:r>
            <w:r>
              <w:rPr/>
              <w:t>经营情况讨论与分析</w:t>
            </w:r>
            <w:r>
              <w:rPr>
                <w:rFonts w:ascii="Times New Roman" w:hAnsi="Times New Roman" w:cs="Times New Roman" w:eastAsia="Times New Roman" w:hint="default"/>
              </w:rPr>
              <w:tab/>
              <w:t>49</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bookmark4">
            <w:r>
              <w:rPr/>
              <w:t>第五节</w:t>
            </w:r>
            <w:r>
              <w:rPr>
                <w:spacing w:val="-19"/>
              </w:rPr>
              <w:t> </w:t>
            </w:r>
            <w:r>
              <w:rPr/>
              <w:t>重要事项</w:t>
            </w:r>
            <w:r>
              <w:rPr>
                <w:rFonts w:ascii="Times New Roman" w:hAnsi="Times New Roman" w:cs="Times New Roman" w:eastAsia="Times New Roman" w:hint="default"/>
              </w:rPr>
              <w:tab/>
              <w:t>79</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t>第六节</w:t>
            </w:r>
            <w:r>
              <w:rPr>
                <w:spacing w:val="-19"/>
              </w:rPr>
              <w:t> </w:t>
            </w:r>
            <w:r>
              <w:rPr/>
              <w:t>股份变动及股东情况</w:t>
            </w:r>
            <w:r>
              <w:rPr>
                <w:rFonts w:ascii="Times New Roman" w:hAnsi="Times New Roman" w:cs="Times New Roman" w:eastAsia="Times New Roman" w:hint="default"/>
              </w:rPr>
              <w:tab/>
              <w:t>91</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t>第七节</w:t>
            </w:r>
            <w:r>
              <w:rPr>
                <w:spacing w:val="-19"/>
              </w:rPr>
              <w:t> </w:t>
            </w:r>
            <w:r>
              <w:rPr/>
              <w:t>优先股相关情况</w:t>
            </w:r>
            <w:r>
              <w:rPr>
                <w:rFonts w:ascii="Times New Roman" w:hAnsi="Times New Roman" w:cs="Times New Roman" w:eastAsia="Times New Roman" w:hint="default"/>
              </w:rPr>
              <w:tab/>
              <w:t>91</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t>第八节</w:t>
            </w:r>
            <w:r>
              <w:rPr>
                <w:spacing w:val="-19"/>
              </w:rPr>
              <w:t> </w:t>
            </w:r>
            <w:r>
              <w:rPr/>
              <w:t>可转换公司债券相关情况</w:t>
            </w:r>
            <w:r>
              <w:rPr>
                <w:rFonts w:ascii="Times New Roman" w:hAnsi="Times New Roman" w:cs="Times New Roman" w:eastAsia="Times New Roman" w:hint="default"/>
              </w:rPr>
              <w:tab/>
              <w:t>91</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bookmark6">
            <w:r>
              <w:rPr/>
              <w:t>第九节</w:t>
            </w:r>
            <w:r>
              <w:rPr>
                <w:spacing w:val="-19"/>
              </w:rPr>
              <w:t> </w:t>
            </w:r>
            <w:r>
              <w:rPr/>
              <w:t>董事、监事、高级管理人员和员工情况</w:t>
            </w:r>
            <w:r>
              <w:rPr>
                <w:rFonts w:ascii="Times New Roman" w:hAnsi="Times New Roman" w:cs="Times New Roman" w:eastAsia="Times New Roman" w:hint="default"/>
              </w:rPr>
              <w:tab/>
              <w:t>92</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bookmark7">
            <w:r>
              <w:rPr/>
              <w:t>第十节</w:t>
            </w:r>
            <w:r>
              <w:rPr>
                <w:spacing w:val="-19"/>
              </w:rPr>
              <w:t> </w:t>
            </w:r>
            <w:r>
              <w:rPr/>
              <w:t>公司治理</w:t>
            </w:r>
            <w:r>
              <w:rPr>
                <w:rFonts w:ascii="Times New Roman" w:hAnsi="Times New Roman" w:cs="Times New Roman" w:eastAsia="Times New Roman" w:hint="default"/>
              </w:rPr>
              <w:tab/>
              <w:t>93</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bookmark8">
            <w:r>
              <w:rPr/>
              <w:t>第十一节</w:t>
            </w:r>
            <w:r>
              <w:rPr>
                <w:spacing w:val="-19"/>
              </w:rPr>
              <w:t> </w:t>
            </w:r>
            <w:r>
              <w:rPr/>
              <w:t>公司债券相关情况</w:t>
            </w:r>
            <w:r>
              <w:rPr>
                <w:rFonts w:ascii="Times New Roman" w:hAnsi="Times New Roman" w:cs="Times New Roman" w:eastAsia="Times New Roman" w:hint="default"/>
              </w:rPr>
              <w:tab/>
              <w:t>105</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bookmark9">
            <w:r>
              <w:rPr/>
              <w:t>第十二节</w:t>
            </w:r>
            <w:r>
              <w:rPr>
                <w:spacing w:val="-18"/>
              </w:rPr>
              <w:t> </w:t>
            </w:r>
            <w:r>
              <w:rPr/>
              <w:t>财务报告</w:t>
            </w:r>
            <w:r>
              <w:rPr>
                <w:rFonts w:ascii="Times New Roman" w:hAnsi="Times New Roman" w:cs="Times New Roman" w:eastAsia="Times New Roman" w:hint="default"/>
              </w:rPr>
              <w:tab/>
            </w:r>
            <w:r>
              <w:rPr>
                <w:rFonts w:ascii="Times New Roman" w:hAnsi="Times New Roman" w:cs="Times New Roman" w:eastAsia="Times New Roman" w:hint="default"/>
                <w:spacing w:val="-5"/>
              </w:rPr>
              <w:t>112</w:t>
            </w:r>
            <w:r>
              <w:rPr>
                <w:rFonts w:ascii="Times New Roman" w:hAnsi="Times New Roman" w:cs="Times New Roman" w:eastAsia="Times New Roman" w:hint="default"/>
                <w:b w:val="0"/>
                <w:bCs w:val="0"/>
                <w:spacing w:val="-5"/>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bookmark10">
            <w:r>
              <w:rPr/>
              <w:t>第十三节</w:t>
            </w:r>
            <w:r>
              <w:rPr>
                <w:spacing w:val="-19"/>
              </w:rPr>
              <w:t> </w:t>
            </w:r>
            <w:r>
              <w:rPr/>
              <w:t>备查文件目录</w:t>
            </w:r>
            <w:r>
              <w:rPr>
                <w:rFonts w:ascii="Times New Roman" w:hAnsi="Times New Roman" w:cs="Times New Roman" w:eastAsia="Times New Roman" w:hint="default"/>
              </w:rPr>
              <w:tab/>
            </w:r>
            <w:r>
              <w:rPr>
                <w:rFonts w:ascii="Times New Roman" w:hAnsi="Times New Roman" w:cs="Times New Roman" w:eastAsia="Times New Roman" w:hint="default"/>
                <w:spacing w:val="-5"/>
              </w:rPr>
              <w:t>113</w:t>
            </w:r>
            <w:r>
              <w:rPr>
                <w:rFonts w:ascii="Times New Roman" w:hAnsi="Times New Roman" w:cs="Times New Roman" w:eastAsia="Times New Roman" w:hint="default"/>
                <w:b w:val="0"/>
                <w:bCs w:val="0"/>
                <w:spacing w:val="-5"/>
              </w:rPr>
            </w:r>
          </w:hyperlink>
        </w:p>
      </w:sdtContent>
    </w:sdt>
    <w:p>
      <w:pPr>
        <w:spacing w:after="0" w:line="240" w:lineRule="auto"/>
        <w:jc w:val="left"/>
        <w:rPr>
          <w:rFonts w:ascii="Times New Roman" w:hAnsi="Times New Roman" w:cs="Times New Roman" w:eastAsia="Times New Roman" w:hint="default"/>
        </w:rPr>
        <w:sectPr>
          <w:pgSz w:w="11910" w:h="16840"/>
          <w:pgMar w:header="745" w:footer="982" w:top="1060" w:bottom="1180" w:left="980" w:right="0"/>
        </w:sectPr>
      </w:pPr>
    </w:p>
    <w:p>
      <w:pPr>
        <w:spacing w:before="944"/>
        <w:ind w:left="2238" w:right="3220"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4"/>
        <w:rPr>
          <w:rFonts w:ascii="宋体" w:hAnsi="宋体" w:cs="宋体" w:eastAsia="宋体" w:hint="default"/>
          <w:b/>
          <w:bCs/>
          <w:sz w:val="20"/>
          <w:szCs w:val="20"/>
        </w:rPr>
      </w:pPr>
    </w:p>
    <w:p>
      <w:pPr>
        <w:spacing w:before="0"/>
        <w:ind w:left="0" w:right="1139" w:firstLine="0"/>
        <w:jc w:val="right"/>
        <w:rPr>
          <w:rFonts w:ascii="宋体" w:hAnsi="宋体" w:cs="宋体" w:eastAsia="宋体" w:hint="default"/>
          <w:sz w:val="18"/>
          <w:szCs w:val="18"/>
        </w:rPr>
      </w:pPr>
      <w:r>
        <w:rPr/>
        <w:pict>
          <v:shape style="position:absolute;margin-left:56.400002pt;margin-top:-465.288788pt;width:479.2pt;height:603.5pt;mso-position-horizontal-relative:page;mso-position-vertical-relative:paragraph;z-index:10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358"/>
                    <w:gridCol w:w="511"/>
                    <w:gridCol w:w="6700"/>
                  </w:tblGrid>
                  <w:tr>
                    <w:trPr>
                      <w:trHeight w:val="403" w:hRule="exact"/>
                    </w:trPr>
                    <w:tc>
                      <w:tcPr>
                        <w:tcW w:w="23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7"/>
                          <w:jc w:val="center"/>
                          <w:rPr>
                            <w:rFonts w:ascii="宋体" w:hAnsi="宋体" w:cs="宋体" w:eastAsia="宋体" w:hint="default"/>
                            <w:sz w:val="18"/>
                            <w:szCs w:val="18"/>
                          </w:rPr>
                        </w:pPr>
                        <w:r>
                          <w:rPr>
                            <w:rFonts w:ascii="宋体" w:hAnsi="宋体" w:cs="宋体" w:eastAsia="宋体" w:hint="default"/>
                            <w:sz w:val="18"/>
                            <w:szCs w:val="18"/>
                          </w:rPr>
                          <w:t>释义项</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1"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美亚柏科、公司或本公司</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厦门市美亚柏科信息股份有限公司</w:t>
                        </w:r>
                      </w:p>
                    </w:tc>
                  </w:tr>
                  <w:tr>
                    <w:trPr>
                      <w:trHeight w:val="403"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国务院国资委</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国务院国有资产监督管理委员会</w:t>
                        </w:r>
                      </w:p>
                    </w:tc>
                  </w:tr>
                  <w:tr>
                    <w:trPr>
                      <w:trHeight w:val="401"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国投集团</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国家开发投资集团有限公司</w:t>
                        </w:r>
                      </w:p>
                    </w:tc>
                  </w:tr>
                  <w:tr>
                    <w:trPr>
                      <w:trHeight w:val="403"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国投智能</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国投智能科技有限公司</w:t>
                        </w:r>
                      </w:p>
                    </w:tc>
                  </w:tr>
                  <w:tr>
                    <w:trPr>
                      <w:trHeight w:val="401"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美亚柏科信息安全研究所</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厦门市美亚柏科信息安全研究所有限公司，公司的全资子公司</w:t>
                        </w:r>
                      </w:p>
                    </w:tc>
                  </w:tr>
                  <w:tr>
                    <w:trPr>
                      <w:trHeight w:val="403"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珠海新德汇</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珠海市新德汇信息技术有限公司，公司的全资子公司</w:t>
                        </w:r>
                      </w:p>
                    </w:tc>
                  </w:tr>
                  <w:tr>
                    <w:trPr>
                      <w:trHeight w:val="401"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江苏税软</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江苏税软软件科技有限公司，公司的全资子公司</w:t>
                        </w:r>
                      </w:p>
                    </w:tc>
                  </w:tr>
                  <w:tr>
                    <w:trPr>
                      <w:trHeight w:val="403"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美亚天信</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厦门美亚天信会议服务有限公司，公司的全资子公司</w:t>
                        </w:r>
                      </w:p>
                    </w:tc>
                  </w:tr>
                  <w:tr>
                    <w:trPr>
                      <w:trHeight w:val="401"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美亚京安</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北京美亚京安科技有限公司，公司的全资子公司</w:t>
                        </w:r>
                      </w:p>
                    </w:tc>
                  </w:tr>
                  <w:tr>
                    <w:trPr>
                      <w:trHeight w:val="403"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美银智投</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指厦门美银智投科技有限公司，公司的全资子公司</w:t>
                        </w:r>
                      </w:p>
                    </w:tc>
                  </w:tr>
                  <w:tr>
                    <w:trPr>
                      <w:trHeight w:val="401"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美亚榕安</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福建美亚榕安科技有限公司，公司的全资子公司</w:t>
                        </w:r>
                      </w:p>
                    </w:tc>
                  </w:tr>
                  <w:tr>
                    <w:trPr>
                      <w:trHeight w:val="403"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美亚川安</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四川美亚川安信息科技有限公司，公司的全资子公司</w:t>
                        </w:r>
                      </w:p>
                    </w:tc>
                  </w:tr>
                  <w:tr>
                    <w:trPr>
                      <w:trHeight w:val="401"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美亚陇安</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甘肃美亚陇安信息科技有限公司，公司的全资子公司</w:t>
                        </w:r>
                      </w:p>
                    </w:tc>
                  </w:tr>
                  <w:tr>
                    <w:trPr>
                      <w:trHeight w:val="403"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美亚中敏</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厦门美亚中敏科技有限公司，公司的控股子公司</w:t>
                        </w:r>
                      </w:p>
                    </w:tc>
                  </w:tr>
                  <w:tr>
                    <w:trPr>
                      <w:trHeight w:val="401"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安胜网络</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厦门安胜网络科技有限公司，公司的控股子公司</w:t>
                        </w:r>
                      </w:p>
                    </w:tc>
                  </w:tr>
                  <w:tr>
                    <w:trPr>
                      <w:trHeight w:val="403"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香港鼎永泰克</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香港鼎永泰克科技有限公司，公司的控股子公司</w:t>
                        </w:r>
                      </w:p>
                    </w:tc>
                  </w:tr>
                  <w:tr>
                    <w:trPr>
                      <w:trHeight w:val="401"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武汉大千</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武汉大千信息技术有限公司，公司的控股子公司</w:t>
                        </w:r>
                      </w:p>
                    </w:tc>
                  </w:tr>
                  <w:tr>
                    <w:trPr>
                      <w:trHeight w:val="403"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美亚宏数</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北京美亚宏数科技有限责任公司，公司的控股子公司</w:t>
                        </w:r>
                      </w:p>
                    </w:tc>
                  </w:tr>
                  <w:tr>
                    <w:trPr>
                      <w:trHeight w:val="401"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国信宏数</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北京国信宏数科技有限责任公司，美亚宏数的控股子公司</w:t>
                        </w:r>
                      </w:p>
                    </w:tc>
                  </w:tr>
                  <w:tr>
                    <w:trPr>
                      <w:trHeight w:val="403"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美亚智讯</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北京美亚智讯信息技术有限公司，公司的控股子公司</w:t>
                        </w:r>
                      </w:p>
                    </w:tc>
                  </w:tr>
                  <w:tr>
                    <w:trPr>
                      <w:trHeight w:val="401"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美亚商鼎</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厦门美亚商鼎信息科技有限公司，公司的控股子公司</w:t>
                        </w:r>
                      </w:p>
                    </w:tc>
                  </w:tr>
                  <w:tr>
                    <w:trPr>
                      <w:trHeight w:val="403"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美亚亿安</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厦门美亚亿安信息科技有限公司，公司的控股子公司</w:t>
                        </w:r>
                      </w:p>
                    </w:tc>
                  </w:tr>
                  <w:tr>
                    <w:trPr>
                      <w:trHeight w:val="401"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中检美亚</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pacing w:val="-4"/>
                            <w:sz w:val="18"/>
                            <w:szCs w:val="18"/>
                          </w:rPr>
                          <w:t>中检美亚（北京）科技有限公司，公司的控股子公司（原北京万诚信用评价有限公司</w:t>
                        </w:r>
                      </w:p>
                    </w:tc>
                  </w:tr>
                  <w:tr>
                    <w:trPr>
                      <w:trHeight w:val="403"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厦门服云</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厦门服云信息科技有限公司，公司的参股公司</w:t>
                        </w:r>
                      </w:p>
                    </w:tc>
                  </w:tr>
                  <w:tr>
                    <w:trPr>
                      <w:trHeight w:val="401"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杭州攀克</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杭州攀克网络技术有限公司，公司的参股公司</w:t>
                        </w:r>
                      </w:p>
                    </w:tc>
                  </w:tr>
                  <w:tr>
                    <w:trPr>
                      <w:trHeight w:val="403"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巨龙信息</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厦门市巨龙信息科技有限公司，公司的参股公司</w:t>
                        </w:r>
                      </w:p>
                    </w:tc>
                  </w:tr>
                  <w:tr>
                    <w:trPr>
                      <w:trHeight w:val="401"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福建宏创</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福建宏创信息科技有限公司，公司的参股公司</w:t>
                        </w:r>
                      </w:p>
                    </w:tc>
                  </w:tr>
                  <w:tr>
                    <w:trPr>
                      <w:trHeight w:val="403"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万诚信用</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北京万诚信用评价有限公司，</w:t>
                        </w:r>
                        <w:r>
                          <w:rPr>
                            <w:rFonts w:ascii="宋体" w:hAnsi="宋体" w:cs="宋体" w:eastAsia="宋体" w:hint="default"/>
                            <w:spacing w:val="1"/>
                            <w:sz w:val="18"/>
                            <w:szCs w:val="18"/>
                          </w:rPr>
                          <w:t> </w:t>
                        </w:r>
                        <w:r>
                          <w:rPr>
                            <w:rFonts w:ascii="宋体" w:hAnsi="宋体" w:cs="宋体" w:eastAsia="宋体" w:hint="default"/>
                            <w:sz w:val="18"/>
                            <w:szCs w:val="18"/>
                          </w:rPr>
                          <w:t>现更名为中检美亚（北京）科技有限公司</w:t>
                        </w:r>
                      </w:p>
                    </w:tc>
                  </w:tr>
                  <w:tr>
                    <w:trPr>
                      <w:trHeight w:val="401" w:hRule="exact"/>
                    </w:trPr>
                    <w:tc>
                      <w:tcPr>
                        <w:tcW w:w="2358"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海峡国家版权交易中心</w:t>
                        </w:r>
                      </w:p>
                    </w:tc>
                    <w:tc>
                      <w:tcPr>
                        <w:tcW w:w="5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指</w:t>
                        </w:r>
                      </w:p>
                    </w:tc>
                    <w:tc>
                      <w:tcPr>
                        <w:tcW w:w="67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海峡国家版权交易中心有限公司，公司的参股公司</w:t>
                        </w:r>
                      </w:p>
                    </w:tc>
                  </w:tr>
                </w:tbl>
                <w:p>
                  <w:pPr/>
                </w:p>
              </w:txbxContent>
            </v:textbox>
            <w10:wrap type="none"/>
          </v:shape>
        </w:pict>
      </w: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341"/>
        <w:gridCol w:w="539"/>
        <w:gridCol w:w="6689"/>
      </w:tblGrid>
      <w:tr>
        <w:trPr>
          <w:trHeight w:val="401" w:hRule="exact"/>
        </w:trPr>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中新赛克</w:t>
            </w:r>
          </w:p>
        </w:tc>
        <w:tc>
          <w:tcPr>
            <w:tcW w:w="53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73"/>
              <w:jc w:val="right"/>
              <w:rPr>
                <w:rFonts w:ascii="宋体" w:hAnsi="宋体" w:cs="宋体" w:eastAsia="宋体" w:hint="default"/>
                <w:sz w:val="18"/>
                <w:szCs w:val="18"/>
              </w:rPr>
            </w:pPr>
            <w:r>
              <w:rPr>
                <w:rFonts w:ascii="宋体" w:hAnsi="宋体" w:cs="宋体" w:eastAsia="宋体" w:hint="default"/>
                <w:sz w:val="18"/>
                <w:szCs w:val="18"/>
              </w:rPr>
              <w:t>指</w:t>
            </w:r>
          </w:p>
        </w:tc>
        <w:tc>
          <w:tcPr>
            <w:tcW w:w="6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深圳市中新赛克科技股份有限公司，公司的参股公司</w:t>
            </w:r>
          </w:p>
        </w:tc>
      </w:tr>
      <w:tr>
        <w:trPr>
          <w:trHeight w:val="403" w:hRule="exact"/>
        </w:trPr>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正信世纪</w:t>
            </w:r>
          </w:p>
        </w:tc>
        <w:tc>
          <w:tcPr>
            <w:tcW w:w="53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73"/>
              <w:jc w:val="right"/>
              <w:rPr>
                <w:rFonts w:ascii="宋体" w:hAnsi="宋体" w:cs="宋体" w:eastAsia="宋体" w:hint="default"/>
                <w:sz w:val="18"/>
                <w:szCs w:val="18"/>
              </w:rPr>
            </w:pPr>
            <w:r>
              <w:rPr>
                <w:rFonts w:ascii="宋体" w:hAnsi="宋体" w:cs="宋体" w:eastAsia="宋体" w:hint="default"/>
                <w:sz w:val="18"/>
                <w:szCs w:val="18"/>
              </w:rPr>
              <w:t>指</w:t>
            </w:r>
          </w:p>
        </w:tc>
        <w:tc>
          <w:tcPr>
            <w:tcW w:w="6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厦门正信世纪信息科技有限公司，公司的参股公司</w:t>
            </w:r>
          </w:p>
        </w:tc>
      </w:tr>
      <w:tr>
        <w:trPr>
          <w:trHeight w:val="401" w:hRule="exact"/>
        </w:trPr>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华易智美</w:t>
            </w:r>
          </w:p>
        </w:tc>
        <w:tc>
          <w:tcPr>
            <w:tcW w:w="53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73"/>
              <w:jc w:val="right"/>
              <w:rPr>
                <w:rFonts w:ascii="宋体" w:hAnsi="宋体" w:cs="宋体" w:eastAsia="宋体" w:hint="default"/>
                <w:sz w:val="18"/>
                <w:szCs w:val="18"/>
              </w:rPr>
            </w:pPr>
            <w:r>
              <w:rPr>
                <w:rFonts w:ascii="宋体" w:hAnsi="宋体" w:cs="宋体" w:eastAsia="宋体" w:hint="default"/>
                <w:sz w:val="18"/>
                <w:szCs w:val="18"/>
              </w:rPr>
              <w:t>指</w:t>
            </w:r>
          </w:p>
        </w:tc>
        <w:tc>
          <w:tcPr>
            <w:tcW w:w="6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厦门华易智美信息咨询合伙企业（有限合伙</w:t>
            </w:r>
            <w:r>
              <w:rPr>
                <w:rFonts w:ascii="宋体" w:hAnsi="宋体" w:cs="宋体" w:eastAsia="宋体" w:hint="default"/>
                <w:spacing w:val="-92"/>
                <w:sz w:val="18"/>
                <w:szCs w:val="18"/>
              </w:rPr>
              <w:t>）</w:t>
            </w:r>
            <w:r>
              <w:rPr>
                <w:rFonts w:ascii="宋体" w:hAnsi="宋体" w:cs="宋体" w:eastAsia="宋体" w:hint="default"/>
                <w:sz w:val="18"/>
                <w:szCs w:val="18"/>
              </w:rPr>
              <w:t>，公司的参股</w:t>
            </w:r>
            <w:r>
              <w:rPr>
                <w:rFonts w:ascii="宋体" w:hAnsi="宋体" w:cs="宋体" w:eastAsia="宋体" w:hint="default"/>
                <w:spacing w:val="2"/>
                <w:sz w:val="18"/>
                <w:szCs w:val="18"/>
              </w:rPr>
              <w:t>公</w:t>
            </w:r>
            <w:r>
              <w:rPr>
                <w:rFonts w:ascii="宋体" w:hAnsi="宋体" w:cs="宋体" w:eastAsia="宋体" w:hint="default"/>
                <w:sz w:val="18"/>
                <w:szCs w:val="18"/>
              </w:rPr>
              <w:t>司</w:t>
            </w:r>
          </w:p>
        </w:tc>
      </w:tr>
      <w:tr>
        <w:trPr>
          <w:trHeight w:val="403" w:hRule="exact"/>
        </w:trPr>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斯坦道</w:t>
            </w:r>
          </w:p>
        </w:tc>
        <w:tc>
          <w:tcPr>
            <w:tcW w:w="53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73"/>
              <w:jc w:val="right"/>
              <w:rPr>
                <w:rFonts w:ascii="宋体" w:hAnsi="宋体" w:cs="宋体" w:eastAsia="宋体" w:hint="default"/>
                <w:sz w:val="18"/>
                <w:szCs w:val="18"/>
              </w:rPr>
            </w:pPr>
            <w:r>
              <w:rPr>
                <w:rFonts w:ascii="宋体" w:hAnsi="宋体" w:cs="宋体" w:eastAsia="宋体" w:hint="default"/>
                <w:sz w:val="18"/>
                <w:szCs w:val="18"/>
              </w:rPr>
              <w:t>指</w:t>
            </w:r>
          </w:p>
        </w:tc>
        <w:tc>
          <w:tcPr>
            <w:tcW w:w="6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厦门斯坦道科学仪器股份有限公司，公司的参股公司</w:t>
            </w:r>
          </w:p>
        </w:tc>
      </w:tr>
      <w:tr>
        <w:trPr>
          <w:trHeight w:val="401" w:hRule="exact"/>
        </w:trPr>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基金管理公司</w:t>
            </w:r>
          </w:p>
        </w:tc>
        <w:tc>
          <w:tcPr>
            <w:tcW w:w="53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73"/>
              <w:jc w:val="right"/>
              <w:rPr>
                <w:rFonts w:ascii="宋体" w:hAnsi="宋体" w:cs="宋体" w:eastAsia="宋体" w:hint="default"/>
                <w:sz w:val="18"/>
                <w:szCs w:val="18"/>
              </w:rPr>
            </w:pPr>
            <w:r>
              <w:rPr>
                <w:rFonts w:ascii="宋体" w:hAnsi="宋体" w:cs="宋体" w:eastAsia="宋体" w:hint="default"/>
                <w:sz w:val="18"/>
                <w:szCs w:val="18"/>
              </w:rPr>
              <w:t>指</w:t>
            </w:r>
          </w:p>
        </w:tc>
        <w:tc>
          <w:tcPr>
            <w:tcW w:w="6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厦门市美亚梧桐投资管理有限公司，公司的参股公司</w:t>
            </w:r>
          </w:p>
        </w:tc>
      </w:tr>
      <w:tr>
        <w:trPr>
          <w:trHeight w:val="403" w:hRule="exact"/>
        </w:trPr>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万方智讯</w:t>
            </w:r>
          </w:p>
        </w:tc>
        <w:tc>
          <w:tcPr>
            <w:tcW w:w="53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73"/>
              <w:jc w:val="right"/>
              <w:rPr>
                <w:rFonts w:ascii="宋体" w:hAnsi="宋体" w:cs="宋体" w:eastAsia="宋体" w:hint="default"/>
                <w:sz w:val="18"/>
                <w:szCs w:val="18"/>
              </w:rPr>
            </w:pPr>
            <w:r>
              <w:rPr>
                <w:rFonts w:ascii="宋体" w:hAnsi="宋体" w:cs="宋体" w:eastAsia="宋体" w:hint="default"/>
                <w:sz w:val="18"/>
                <w:szCs w:val="18"/>
              </w:rPr>
              <w:t>指</w:t>
            </w:r>
          </w:p>
        </w:tc>
        <w:tc>
          <w:tcPr>
            <w:tcW w:w="6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北京万方智讯信息技术有限公司，美亚智讯的参股公司</w:t>
            </w:r>
          </w:p>
        </w:tc>
      </w:tr>
      <w:tr>
        <w:trPr>
          <w:trHeight w:val="401" w:hRule="exact"/>
        </w:trPr>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美桐贰期基金</w:t>
            </w:r>
          </w:p>
        </w:tc>
        <w:tc>
          <w:tcPr>
            <w:tcW w:w="53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73"/>
              <w:jc w:val="right"/>
              <w:rPr>
                <w:rFonts w:ascii="宋体" w:hAnsi="宋体" w:cs="宋体" w:eastAsia="宋体" w:hint="default"/>
                <w:sz w:val="18"/>
                <w:szCs w:val="18"/>
              </w:rPr>
            </w:pPr>
            <w:r>
              <w:rPr>
                <w:rFonts w:ascii="宋体" w:hAnsi="宋体" w:cs="宋体" w:eastAsia="宋体" w:hint="default"/>
                <w:sz w:val="18"/>
                <w:szCs w:val="18"/>
              </w:rPr>
              <w:t>指</w:t>
            </w:r>
          </w:p>
        </w:tc>
        <w:tc>
          <w:tcPr>
            <w:tcW w:w="6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厦门市美桐贰期股权投资合伙企业（有限合伙</w:t>
            </w:r>
            <w:r>
              <w:rPr>
                <w:rFonts w:ascii="宋体" w:hAnsi="宋体" w:cs="宋体" w:eastAsia="宋体" w:hint="default"/>
                <w:spacing w:val="-92"/>
                <w:sz w:val="18"/>
                <w:szCs w:val="18"/>
              </w:rPr>
              <w:t>）</w:t>
            </w:r>
            <w:r>
              <w:rPr>
                <w:rFonts w:ascii="宋体" w:hAnsi="宋体" w:cs="宋体" w:eastAsia="宋体" w:hint="default"/>
                <w:sz w:val="18"/>
                <w:szCs w:val="18"/>
              </w:rPr>
              <w:t>，公司拟参</w:t>
            </w:r>
            <w:r>
              <w:rPr>
                <w:rFonts w:ascii="宋体" w:hAnsi="宋体" w:cs="宋体" w:eastAsia="宋体" w:hint="default"/>
                <w:spacing w:val="2"/>
                <w:sz w:val="18"/>
                <w:szCs w:val="18"/>
              </w:rPr>
              <w:t>与</w:t>
            </w:r>
            <w:r>
              <w:rPr>
                <w:rFonts w:ascii="宋体" w:hAnsi="宋体" w:cs="宋体" w:eastAsia="宋体" w:hint="default"/>
                <w:sz w:val="18"/>
                <w:szCs w:val="18"/>
              </w:rPr>
              <w:t>认购基金</w:t>
            </w:r>
          </w:p>
        </w:tc>
      </w:tr>
      <w:tr>
        <w:trPr>
          <w:trHeight w:val="403" w:hRule="exact"/>
        </w:trPr>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限制性股票激励计划</w:t>
            </w:r>
          </w:p>
        </w:tc>
        <w:tc>
          <w:tcPr>
            <w:tcW w:w="53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73"/>
              <w:jc w:val="right"/>
              <w:rPr>
                <w:rFonts w:ascii="宋体" w:hAnsi="宋体" w:cs="宋体" w:eastAsia="宋体" w:hint="default"/>
                <w:sz w:val="18"/>
                <w:szCs w:val="18"/>
              </w:rPr>
            </w:pPr>
            <w:r>
              <w:rPr>
                <w:rFonts w:ascii="宋体" w:hAnsi="宋体" w:cs="宋体" w:eastAsia="宋体" w:hint="default"/>
                <w:sz w:val="18"/>
                <w:szCs w:val="18"/>
              </w:rPr>
              <w:t>指</w:t>
            </w:r>
          </w:p>
        </w:tc>
        <w:tc>
          <w:tcPr>
            <w:tcW w:w="6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厦门市美亚柏科信息股份有限公司第二期限制性股票激励计划</w:t>
            </w:r>
          </w:p>
        </w:tc>
      </w:tr>
      <w:tr>
        <w:trPr>
          <w:trHeight w:val="401" w:hRule="exact"/>
        </w:trPr>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年股权激励计划</w:t>
            </w:r>
          </w:p>
        </w:tc>
        <w:tc>
          <w:tcPr>
            <w:tcW w:w="53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73"/>
              <w:jc w:val="right"/>
              <w:rPr>
                <w:rFonts w:ascii="宋体" w:hAnsi="宋体" w:cs="宋体" w:eastAsia="宋体" w:hint="default"/>
                <w:sz w:val="18"/>
                <w:szCs w:val="18"/>
              </w:rPr>
            </w:pPr>
            <w:r>
              <w:rPr>
                <w:rFonts w:ascii="宋体" w:hAnsi="宋体" w:cs="宋体" w:eastAsia="宋体" w:hint="default"/>
                <w:sz w:val="18"/>
                <w:szCs w:val="18"/>
              </w:rPr>
              <w:t>指</w:t>
            </w:r>
          </w:p>
        </w:tc>
        <w:tc>
          <w:tcPr>
            <w:tcW w:w="6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厦门市美亚柏科信息股份有限公司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年股票期权及限制性股票激励计划</w:t>
            </w:r>
          </w:p>
        </w:tc>
      </w:tr>
      <w:tr>
        <w:trPr>
          <w:trHeight w:val="403" w:hRule="exact"/>
        </w:trPr>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股份回购</w:t>
            </w:r>
          </w:p>
        </w:tc>
        <w:tc>
          <w:tcPr>
            <w:tcW w:w="53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73"/>
              <w:jc w:val="right"/>
              <w:rPr>
                <w:rFonts w:ascii="宋体" w:hAnsi="宋体" w:cs="宋体" w:eastAsia="宋体" w:hint="default"/>
                <w:sz w:val="18"/>
                <w:szCs w:val="18"/>
              </w:rPr>
            </w:pPr>
            <w:r>
              <w:rPr>
                <w:rFonts w:ascii="宋体" w:hAnsi="宋体" w:cs="宋体" w:eastAsia="宋体" w:hint="default"/>
                <w:sz w:val="18"/>
                <w:szCs w:val="18"/>
              </w:rPr>
              <w:t>指</w:t>
            </w:r>
          </w:p>
        </w:tc>
        <w:tc>
          <w:tcPr>
            <w:tcW w:w="6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回购注销部分离职激励对象已获授尚未解锁的限制性股票和股票期权</w:t>
            </w:r>
          </w:p>
        </w:tc>
      </w:tr>
      <w:tr>
        <w:trPr>
          <w:trHeight w:val="401" w:hRule="exact"/>
        </w:trPr>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首次公开发行股票</w:t>
            </w:r>
          </w:p>
        </w:tc>
        <w:tc>
          <w:tcPr>
            <w:tcW w:w="53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73"/>
              <w:jc w:val="right"/>
              <w:rPr>
                <w:rFonts w:ascii="宋体" w:hAnsi="宋体" w:cs="宋体" w:eastAsia="宋体" w:hint="default"/>
                <w:sz w:val="18"/>
                <w:szCs w:val="18"/>
              </w:rPr>
            </w:pPr>
            <w:r>
              <w:rPr>
                <w:rFonts w:ascii="宋体" w:hAnsi="宋体" w:cs="宋体" w:eastAsia="宋体" w:hint="default"/>
                <w:sz w:val="18"/>
                <w:szCs w:val="18"/>
              </w:rPr>
              <w:t>指</w:t>
            </w:r>
          </w:p>
        </w:tc>
        <w:tc>
          <w:tcPr>
            <w:tcW w:w="6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发行人首次发行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1,350 </w:t>
            </w:r>
            <w:r>
              <w:rPr>
                <w:rFonts w:ascii="宋体" w:hAnsi="宋体" w:cs="宋体" w:eastAsia="宋体" w:hint="default"/>
                <w:sz w:val="18"/>
                <w:szCs w:val="18"/>
              </w:rPr>
              <w:t>万股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股的行为</w:t>
            </w:r>
          </w:p>
        </w:tc>
      </w:tr>
      <w:tr>
        <w:trPr>
          <w:trHeight w:val="403" w:hRule="exact"/>
        </w:trPr>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保荐机构、国信证券</w:t>
            </w:r>
          </w:p>
        </w:tc>
        <w:tc>
          <w:tcPr>
            <w:tcW w:w="53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73"/>
              <w:jc w:val="right"/>
              <w:rPr>
                <w:rFonts w:ascii="宋体" w:hAnsi="宋体" w:cs="宋体" w:eastAsia="宋体" w:hint="default"/>
                <w:sz w:val="18"/>
                <w:szCs w:val="18"/>
              </w:rPr>
            </w:pPr>
            <w:r>
              <w:rPr>
                <w:rFonts w:ascii="宋体" w:hAnsi="宋体" w:cs="宋体" w:eastAsia="宋体" w:hint="default"/>
                <w:sz w:val="18"/>
                <w:szCs w:val="18"/>
              </w:rPr>
              <w:t>指</w:t>
            </w:r>
          </w:p>
        </w:tc>
        <w:tc>
          <w:tcPr>
            <w:tcW w:w="6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国信证券股份有限公司，公司首次公开发行股票的保荐机构</w:t>
            </w:r>
          </w:p>
        </w:tc>
      </w:tr>
      <w:tr>
        <w:trPr>
          <w:trHeight w:val="401" w:hRule="exact"/>
        </w:trPr>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致同</w:t>
            </w:r>
          </w:p>
        </w:tc>
        <w:tc>
          <w:tcPr>
            <w:tcW w:w="53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73"/>
              <w:jc w:val="right"/>
              <w:rPr>
                <w:rFonts w:ascii="宋体" w:hAnsi="宋体" w:cs="宋体" w:eastAsia="宋体" w:hint="default"/>
                <w:sz w:val="18"/>
                <w:szCs w:val="18"/>
              </w:rPr>
            </w:pPr>
            <w:r>
              <w:rPr>
                <w:rFonts w:ascii="宋体" w:hAnsi="宋体" w:cs="宋体" w:eastAsia="宋体" w:hint="default"/>
                <w:sz w:val="18"/>
                <w:szCs w:val="18"/>
              </w:rPr>
              <w:t>指</w:t>
            </w:r>
          </w:p>
        </w:tc>
        <w:tc>
          <w:tcPr>
            <w:tcW w:w="6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致同会计师事务所（特殊普通合伙</w:t>
            </w:r>
            <w:r>
              <w:rPr>
                <w:rFonts w:ascii="宋体" w:hAnsi="宋体" w:cs="宋体" w:eastAsia="宋体" w:hint="default"/>
                <w:spacing w:val="-92"/>
                <w:sz w:val="18"/>
                <w:szCs w:val="18"/>
              </w:rPr>
              <w:t>）</w:t>
            </w:r>
            <w:r>
              <w:rPr>
                <w:rFonts w:ascii="宋体" w:hAnsi="宋体" w:cs="宋体" w:eastAsia="宋体" w:hint="default"/>
                <w:sz w:val="18"/>
                <w:szCs w:val="18"/>
              </w:rPr>
              <w:t>，公司原聘请的审计机构</w:t>
            </w:r>
          </w:p>
        </w:tc>
      </w:tr>
      <w:tr>
        <w:trPr>
          <w:trHeight w:val="403" w:hRule="exact"/>
        </w:trPr>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中证天通</w:t>
            </w:r>
          </w:p>
        </w:tc>
        <w:tc>
          <w:tcPr>
            <w:tcW w:w="53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73"/>
              <w:jc w:val="right"/>
              <w:rPr>
                <w:rFonts w:ascii="宋体" w:hAnsi="宋体" w:cs="宋体" w:eastAsia="宋体" w:hint="default"/>
                <w:sz w:val="18"/>
                <w:szCs w:val="18"/>
              </w:rPr>
            </w:pPr>
            <w:r>
              <w:rPr>
                <w:rFonts w:ascii="宋体" w:hAnsi="宋体" w:cs="宋体" w:eastAsia="宋体" w:hint="default"/>
                <w:sz w:val="18"/>
                <w:szCs w:val="18"/>
              </w:rPr>
              <w:t>指</w:t>
            </w:r>
          </w:p>
        </w:tc>
        <w:tc>
          <w:tcPr>
            <w:tcW w:w="6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中证天通会计师事务所（特殊普通合伙</w:t>
            </w:r>
            <w:r>
              <w:rPr>
                <w:rFonts w:ascii="宋体" w:hAnsi="宋体" w:cs="宋体" w:eastAsia="宋体" w:hint="default"/>
                <w:spacing w:val="-92"/>
                <w:sz w:val="18"/>
                <w:szCs w:val="18"/>
              </w:rPr>
              <w:t>）</w:t>
            </w:r>
            <w:r>
              <w:rPr>
                <w:rFonts w:ascii="宋体" w:hAnsi="宋体" w:cs="宋体" w:eastAsia="宋体" w:hint="default"/>
                <w:sz w:val="18"/>
                <w:szCs w:val="18"/>
              </w:rPr>
              <w:t>，公司的年度审计</w:t>
            </w:r>
            <w:r>
              <w:rPr>
                <w:rFonts w:ascii="宋体" w:hAnsi="宋体" w:cs="宋体" w:eastAsia="宋体" w:hint="default"/>
                <w:spacing w:val="2"/>
                <w:sz w:val="18"/>
                <w:szCs w:val="18"/>
              </w:rPr>
              <w:t>机</w:t>
            </w:r>
            <w:r>
              <w:rPr>
                <w:rFonts w:ascii="宋体" w:hAnsi="宋体" w:cs="宋体" w:eastAsia="宋体" w:hint="default"/>
                <w:sz w:val="18"/>
                <w:szCs w:val="18"/>
              </w:rPr>
              <w:t>构</w:t>
            </w:r>
          </w:p>
        </w:tc>
      </w:tr>
      <w:tr>
        <w:trPr>
          <w:trHeight w:val="401" w:hRule="exact"/>
        </w:trPr>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国融兴华</w:t>
            </w:r>
          </w:p>
        </w:tc>
        <w:tc>
          <w:tcPr>
            <w:tcW w:w="53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73"/>
              <w:jc w:val="right"/>
              <w:rPr>
                <w:rFonts w:ascii="宋体" w:hAnsi="宋体" w:cs="宋体" w:eastAsia="宋体" w:hint="default"/>
                <w:sz w:val="18"/>
                <w:szCs w:val="18"/>
              </w:rPr>
            </w:pPr>
            <w:r>
              <w:rPr>
                <w:rFonts w:ascii="宋体" w:hAnsi="宋体" w:cs="宋体" w:eastAsia="宋体" w:hint="default"/>
                <w:sz w:val="18"/>
                <w:szCs w:val="18"/>
              </w:rPr>
              <w:t>指</w:t>
            </w:r>
          </w:p>
        </w:tc>
        <w:tc>
          <w:tcPr>
            <w:tcW w:w="6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北京国融兴华资产评估有限责任公司，公司聘请的评估机构</w:t>
            </w:r>
          </w:p>
        </w:tc>
      </w:tr>
      <w:tr>
        <w:trPr>
          <w:trHeight w:val="403" w:hRule="exact"/>
        </w:trPr>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重大资产重组</w:t>
            </w:r>
          </w:p>
        </w:tc>
        <w:tc>
          <w:tcPr>
            <w:tcW w:w="53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73"/>
              <w:jc w:val="right"/>
              <w:rPr>
                <w:rFonts w:ascii="宋体" w:hAnsi="宋体" w:cs="宋体" w:eastAsia="宋体" w:hint="default"/>
                <w:sz w:val="18"/>
                <w:szCs w:val="18"/>
              </w:rPr>
            </w:pPr>
            <w:r>
              <w:rPr>
                <w:rFonts w:ascii="宋体" w:hAnsi="宋体" w:cs="宋体" w:eastAsia="宋体" w:hint="default"/>
                <w:sz w:val="18"/>
                <w:szCs w:val="18"/>
              </w:rPr>
              <w:t>指</w:t>
            </w:r>
          </w:p>
        </w:tc>
        <w:tc>
          <w:tcPr>
            <w:tcW w:w="6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美亚柏科发行股份购买江苏税软</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股权及珠海新德汇</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49%</w:t>
            </w:r>
            <w:r>
              <w:rPr>
                <w:rFonts w:ascii="宋体" w:hAnsi="宋体" w:cs="宋体" w:eastAsia="宋体" w:hint="default"/>
                <w:sz w:val="18"/>
                <w:szCs w:val="18"/>
              </w:rPr>
              <w:t>股权的交易统称</w:t>
            </w:r>
          </w:p>
        </w:tc>
      </w:tr>
      <w:tr>
        <w:trPr>
          <w:trHeight w:val="403" w:hRule="exact"/>
        </w:trPr>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报告期</w:t>
            </w:r>
          </w:p>
        </w:tc>
        <w:tc>
          <w:tcPr>
            <w:tcW w:w="53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73"/>
              <w:jc w:val="right"/>
              <w:rPr>
                <w:rFonts w:ascii="宋体" w:hAnsi="宋体" w:cs="宋体" w:eastAsia="宋体" w:hint="default"/>
                <w:sz w:val="18"/>
                <w:szCs w:val="18"/>
              </w:rPr>
            </w:pPr>
            <w:r>
              <w:rPr>
                <w:rFonts w:ascii="宋体" w:hAnsi="宋体" w:cs="宋体" w:eastAsia="宋体" w:hint="default"/>
                <w:sz w:val="18"/>
                <w:szCs w:val="18"/>
              </w:rPr>
              <w:t>指</w:t>
            </w:r>
          </w:p>
        </w:tc>
        <w:tc>
          <w:tcPr>
            <w:tcW w:w="6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bl>
    <w:p>
      <w:pPr>
        <w:spacing w:after="0" w:line="240"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28"/>
          <w:szCs w:val="28"/>
        </w:rPr>
      </w:pPr>
    </w:p>
    <w:p>
      <w:pPr>
        <w:pStyle w:val="Heading1"/>
        <w:spacing w:line="240" w:lineRule="auto"/>
        <w:ind w:left="2723" w:right="986"/>
        <w:jc w:val="left"/>
        <w:rPr>
          <w:b w:val="0"/>
          <w:bCs w:val="0"/>
        </w:rPr>
      </w:pPr>
      <w:bookmarkStart w:name="第二节公司简介和主要财务指标" w:id="2"/>
      <w:bookmarkEnd w:id="2"/>
      <w:r>
        <w:rPr>
          <w:b w:val="0"/>
          <w:bCs w:val="0"/>
        </w:rPr>
      </w:r>
      <w:bookmarkStart w:name="_bookmark0" w:id="3"/>
      <w:bookmarkEnd w:id="3"/>
      <w:r>
        <w:rPr>
          <w:b w:val="0"/>
          <w:bCs w:val="0"/>
        </w:rPr>
      </w:r>
      <w:r>
        <w:rPr/>
        <w:t>第二节公司简介和主要财务指标</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right="986"/>
        <w:jc w:val="left"/>
        <w:rPr>
          <w:b w:val="0"/>
          <w:bCs w:val="0"/>
        </w:rPr>
      </w:pPr>
      <w:r>
        <w:rPr/>
        <w:pict>
          <v:group style="position:absolute;margin-left:171.119995pt;margin-top:114.075615pt;width:362.65pt;height:20.9pt;mso-position-horizontal-relative:page;mso-position-vertical-relative:paragraph;z-index:-1349104" coordorigin="3422,2282" coordsize="7253,418">
            <v:group style="position:absolute;left:3434;top:2294;width:2;height:394" coordorigin="3434,2294" coordsize="2,394">
              <v:shape style="position:absolute;left:3434;top:2294;width:2;height:394" coordorigin="3434,2294" coordsize="0,394" path="m3434,2294l3434,2687e" filled="false" stroked="true" strokeweight="1.2pt" strokecolor="#ffffff">
                <v:path arrowok="t"/>
              </v:shape>
            </v:group>
            <v:group style="position:absolute;left:3446;top:2294;width:7229;height:394" coordorigin="3446,2294" coordsize="7229,394">
              <v:shape style="position:absolute;left:3446;top:2294;width:7229;height:394" coordorigin="3446,2294" coordsize="7229,394" path="m3446,2687l10675,2687,10675,2294,3446,2294,3446,2687xe" filled="true" fillcolor="#ffffff" stroked="false">
                <v:path arrowok="t"/>
                <v:fill type="solid"/>
              </v:shape>
            </v:group>
            <w10:wrap type="none"/>
          </v:group>
        </w:pict>
      </w:r>
      <w:bookmarkStart w:name="一、公司信息" w:id="4"/>
      <w:bookmarkEnd w:id="4"/>
      <w:r>
        <w:rPr>
          <w:b w:val="0"/>
          <w:bCs w:val="0"/>
        </w:rPr>
      </w:r>
      <w:r>
        <w:rPr/>
        <w:t>一、公司信息</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284"/>
        <w:gridCol w:w="2964"/>
        <w:gridCol w:w="2132"/>
        <w:gridCol w:w="2188"/>
      </w:tblGrid>
      <w:tr>
        <w:trPr>
          <w:trHeight w:val="403" w:hRule="exact"/>
        </w:trPr>
        <w:tc>
          <w:tcPr>
            <w:tcW w:w="228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64"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美亚柏科</w:t>
            </w:r>
          </w:p>
        </w:tc>
        <w:tc>
          <w:tcPr>
            <w:tcW w:w="213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1"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left="30" w:right="0"/>
              <w:jc w:val="left"/>
              <w:rPr>
                <w:rFonts w:ascii="Times New Roman" w:hAnsi="Times New Roman" w:cs="Times New Roman" w:eastAsia="Times New Roman" w:hint="default"/>
                <w:sz w:val="18"/>
                <w:szCs w:val="18"/>
              </w:rPr>
            </w:pPr>
            <w:r>
              <w:rPr>
                <w:rFonts w:ascii="Times New Roman"/>
                <w:sz w:val="18"/>
              </w:rPr>
              <w:t>300188</w:t>
            </w:r>
          </w:p>
        </w:tc>
      </w:tr>
      <w:tr>
        <w:trPr>
          <w:trHeight w:val="401" w:hRule="exact"/>
        </w:trPr>
        <w:tc>
          <w:tcPr>
            <w:tcW w:w="228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8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厦门市美亚柏科信息股份有限公司</w:t>
            </w:r>
          </w:p>
        </w:tc>
      </w:tr>
      <w:tr>
        <w:trPr>
          <w:trHeight w:val="403" w:hRule="exact"/>
        </w:trPr>
        <w:tc>
          <w:tcPr>
            <w:tcW w:w="228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8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美亚柏科</w:t>
            </w:r>
          </w:p>
        </w:tc>
      </w:tr>
      <w:tr>
        <w:trPr>
          <w:trHeight w:val="401" w:hRule="exact"/>
        </w:trPr>
        <w:tc>
          <w:tcPr>
            <w:tcW w:w="228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8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Xiamen Meiya Pico Information</w:t>
            </w:r>
            <w:r>
              <w:rPr>
                <w:rFonts w:ascii="Times New Roman"/>
                <w:spacing w:val="-10"/>
                <w:sz w:val="18"/>
              </w:rPr>
              <w:t> </w:t>
            </w:r>
            <w:r>
              <w:rPr>
                <w:rFonts w:ascii="Times New Roman"/>
                <w:spacing w:val="-3"/>
                <w:sz w:val="18"/>
              </w:rPr>
              <w:t>Co.,LTD.</w:t>
            </w:r>
          </w:p>
        </w:tc>
      </w:tr>
      <w:tr>
        <w:trPr>
          <w:trHeight w:val="403" w:hRule="exact"/>
        </w:trPr>
        <w:tc>
          <w:tcPr>
            <w:tcW w:w="228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34"/>
              <w:jc w:val="left"/>
              <w:rPr>
                <w:rFonts w:ascii="宋体" w:hAnsi="宋体" w:cs="宋体" w:eastAsia="宋体" w:hint="default"/>
                <w:sz w:val="18"/>
                <w:szCs w:val="18"/>
              </w:rPr>
            </w:pPr>
            <w:r>
              <w:rPr>
                <w:rFonts w:ascii="宋体" w:hAnsi="宋体" w:cs="宋体" w:eastAsia="宋体" w:hint="default"/>
                <w:spacing w:val="-5"/>
                <w:sz w:val="18"/>
                <w:szCs w:val="18"/>
              </w:rPr>
              <w:t>公司的外文名称缩写（如有）</w:t>
            </w:r>
            <w:r>
              <w:rPr>
                <w:rFonts w:ascii="宋体" w:hAnsi="宋体" w:cs="宋体" w:eastAsia="宋体" w:hint="default"/>
                <w:sz w:val="18"/>
                <w:szCs w:val="18"/>
              </w:rPr>
            </w:r>
          </w:p>
        </w:tc>
        <w:tc>
          <w:tcPr>
            <w:tcW w:w="728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pacing w:val="-3"/>
                <w:sz w:val="18"/>
              </w:rPr>
              <w:t>MEIYAPICO</w:t>
            </w:r>
            <w:r>
              <w:rPr>
                <w:rFonts w:ascii="Times New Roman"/>
                <w:spacing w:val="5"/>
                <w:sz w:val="18"/>
              </w:rPr>
              <w:t> </w:t>
            </w:r>
            <w:r>
              <w:rPr>
                <w:rFonts w:ascii="Times New Roman"/>
                <w:sz w:val="18"/>
              </w:rPr>
              <w:t>INC.</w:t>
            </w:r>
          </w:p>
        </w:tc>
      </w:tr>
      <w:tr>
        <w:trPr>
          <w:trHeight w:val="401" w:hRule="exact"/>
        </w:trPr>
        <w:tc>
          <w:tcPr>
            <w:tcW w:w="228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8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滕达</w:t>
            </w:r>
          </w:p>
        </w:tc>
      </w:tr>
      <w:tr>
        <w:trPr>
          <w:trHeight w:val="403" w:hRule="exact"/>
        </w:trPr>
        <w:tc>
          <w:tcPr>
            <w:tcW w:w="228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8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厦门市软件园二期观日路</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102-402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单元</w:t>
            </w:r>
          </w:p>
        </w:tc>
      </w:tr>
      <w:tr>
        <w:trPr>
          <w:trHeight w:val="401" w:hRule="exact"/>
        </w:trPr>
        <w:tc>
          <w:tcPr>
            <w:tcW w:w="228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8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361008</w:t>
            </w:r>
          </w:p>
        </w:tc>
      </w:tr>
      <w:tr>
        <w:trPr>
          <w:trHeight w:val="403" w:hRule="exact"/>
        </w:trPr>
        <w:tc>
          <w:tcPr>
            <w:tcW w:w="228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8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厦门市软件园二期观日路</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102-402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单元</w:t>
            </w:r>
          </w:p>
        </w:tc>
      </w:tr>
      <w:tr>
        <w:trPr>
          <w:trHeight w:val="401" w:hRule="exact"/>
        </w:trPr>
        <w:tc>
          <w:tcPr>
            <w:tcW w:w="228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8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361008</w:t>
            </w:r>
          </w:p>
        </w:tc>
      </w:tr>
      <w:tr>
        <w:trPr>
          <w:trHeight w:val="403" w:hRule="exact"/>
        </w:trPr>
        <w:tc>
          <w:tcPr>
            <w:tcW w:w="228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公司国际互联网网址</w:t>
            </w:r>
          </w:p>
        </w:tc>
        <w:tc>
          <w:tcPr>
            <w:tcW w:w="728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hyperlink r:id="rId9">
              <w:r>
                <w:rPr>
                  <w:rFonts w:ascii="Times New Roman"/>
                  <w:sz w:val="18"/>
                </w:rPr>
                <w:t>www.300188.cn</w:t>
              </w:r>
            </w:hyperlink>
          </w:p>
        </w:tc>
      </w:tr>
      <w:tr>
        <w:trPr>
          <w:trHeight w:val="401" w:hRule="exact"/>
        </w:trPr>
        <w:tc>
          <w:tcPr>
            <w:tcW w:w="228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8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hyperlink r:id="rId10">
              <w:r>
                <w:rPr>
                  <w:rFonts w:ascii="Times New Roman"/>
                  <w:sz w:val="18"/>
                </w:rPr>
                <w:t>tzzgx@300188.cn</w:t>
              </w:r>
            </w:hyperlink>
          </w:p>
        </w:tc>
      </w:tr>
    </w:tbl>
    <w:p>
      <w:pPr>
        <w:spacing w:line="240" w:lineRule="auto" w:before="1"/>
        <w:rPr>
          <w:rFonts w:ascii="宋体" w:hAnsi="宋体" w:cs="宋体" w:eastAsia="宋体" w:hint="default"/>
          <w:b/>
          <w:bCs/>
          <w:sz w:val="18"/>
          <w:szCs w:val="18"/>
        </w:rPr>
      </w:pPr>
    </w:p>
    <w:p>
      <w:pPr>
        <w:pStyle w:val="Heading2"/>
        <w:spacing w:line="240" w:lineRule="auto" w:before="26"/>
        <w:ind w:right="986"/>
        <w:jc w:val="left"/>
        <w:rPr>
          <w:b w:val="0"/>
          <w:bCs w:val="0"/>
        </w:rPr>
      </w:pPr>
      <w:bookmarkStart w:name="二、联系人和联系方式" w:id="5"/>
      <w:bookmarkEnd w:id="5"/>
      <w:r>
        <w:rPr>
          <w:b w:val="0"/>
          <w:bCs w:val="0"/>
        </w:rPr>
      </w:r>
      <w:r>
        <w:rPr/>
        <w:t>二、联系人和联系方式</w:t>
      </w:r>
      <w:r>
        <w:rPr>
          <w:b w:val="0"/>
          <w:bCs w:val="0"/>
        </w:rPr>
      </w:r>
    </w:p>
    <w:p>
      <w:pPr>
        <w:spacing w:line="240" w:lineRule="auto" w:before="11"/>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877"/>
        <w:gridCol w:w="4331"/>
        <w:gridCol w:w="4349"/>
      </w:tblGrid>
      <w:tr>
        <w:trPr>
          <w:trHeight w:val="401" w:hRule="exact"/>
        </w:trPr>
        <w:tc>
          <w:tcPr>
            <w:tcW w:w="877"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433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434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3" w:hRule="exact"/>
        </w:trPr>
        <w:tc>
          <w:tcPr>
            <w:tcW w:w="87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433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蔡志评</w:t>
            </w:r>
          </w:p>
        </w:tc>
        <w:tc>
          <w:tcPr>
            <w:tcW w:w="4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陈琼</w:t>
            </w:r>
          </w:p>
        </w:tc>
      </w:tr>
      <w:tr>
        <w:trPr>
          <w:trHeight w:val="401" w:hRule="exact"/>
        </w:trPr>
        <w:tc>
          <w:tcPr>
            <w:tcW w:w="87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433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厦门市软件园二期观日路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号美亚柏科董事会办公室</w:t>
            </w:r>
          </w:p>
        </w:tc>
        <w:tc>
          <w:tcPr>
            <w:tcW w:w="4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厦门市软件园二期观日路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号美亚柏科董事会办公室</w:t>
            </w:r>
          </w:p>
        </w:tc>
      </w:tr>
      <w:tr>
        <w:trPr>
          <w:trHeight w:val="403" w:hRule="exact"/>
        </w:trPr>
        <w:tc>
          <w:tcPr>
            <w:tcW w:w="87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433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0592-3698792</w:t>
            </w:r>
          </w:p>
        </w:tc>
        <w:tc>
          <w:tcPr>
            <w:tcW w:w="4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0592-3698792</w:t>
            </w:r>
          </w:p>
        </w:tc>
      </w:tr>
      <w:tr>
        <w:trPr>
          <w:trHeight w:val="401" w:hRule="exact"/>
        </w:trPr>
        <w:tc>
          <w:tcPr>
            <w:tcW w:w="87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433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0592-2519335</w:t>
            </w:r>
          </w:p>
        </w:tc>
        <w:tc>
          <w:tcPr>
            <w:tcW w:w="4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0592-2519335</w:t>
            </w:r>
          </w:p>
        </w:tc>
      </w:tr>
      <w:tr>
        <w:trPr>
          <w:trHeight w:val="403" w:hRule="exact"/>
        </w:trPr>
        <w:tc>
          <w:tcPr>
            <w:tcW w:w="87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433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hyperlink r:id="rId10">
              <w:r>
                <w:rPr>
                  <w:rFonts w:ascii="Times New Roman"/>
                  <w:sz w:val="18"/>
                </w:rPr>
                <w:t>tzzgx@300188.cn</w:t>
              </w:r>
            </w:hyperlink>
          </w:p>
        </w:tc>
        <w:tc>
          <w:tcPr>
            <w:tcW w:w="4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hyperlink r:id="rId10">
              <w:r>
                <w:rPr>
                  <w:rFonts w:ascii="Times New Roman"/>
                  <w:sz w:val="18"/>
                </w:rPr>
                <w:t>tzzgx@300188.cn</w:t>
              </w:r>
            </w:hyperlink>
          </w:p>
        </w:tc>
      </w:tr>
    </w:tbl>
    <w:p>
      <w:pPr>
        <w:spacing w:line="240" w:lineRule="auto" w:before="1"/>
        <w:rPr>
          <w:rFonts w:ascii="宋体" w:hAnsi="宋体" w:cs="宋体" w:eastAsia="宋体" w:hint="default"/>
          <w:b/>
          <w:bCs/>
          <w:sz w:val="18"/>
          <w:szCs w:val="18"/>
        </w:rPr>
      </w:pPr>
    </w:p>
    <w:p>
      <w:pPr>
        <w:pStyle w:val="Heading2"/>
        <w:spacing w:line="240" w:lineRule="auto" w:before="26"/>
        <w:ind w:right="986"/>
        <w:jc w:val="left"/>
        <w:rPr>
          <w:b w:val="0"/>
          <w:bCs w:val="0"/>
        </w:rPr>
      </w:pPr>
      <w:bookmarkStart w:name="三、信息披露及备置地点" w:id="6"/>
      <w:bookmarkEnd w:id="6"/>
      <w:r>
        <w:rPr>
          <w:b w:val="0"/>
          <w:bCs w:val="0"/>
        </w:rPr>
      </w:r>
      <w:r>
        <w:rPr/>
        <w:t>三、信息披露及备置地点</w:t>
      </w:r>
      <w:r>
        <w:rPr>
          <w:b w:val="0"/>
          <w:bCs w:val="0"/>
        </w:rPr>
      </w:r>
    </w:p>
    <w:p>
      <w:pPr>
        <w:spacing w:line="240" w:lineRule="auto" w:before="11"/>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990"/>
        <w:gridCol w:w="5578"/>
      </w:tblGrid>
      <w:tr>
        <w:trPr>
          <w:trHeight w:val="401" w:hRule="exact"/>
        </w:trPr>
        <w:tc>
          <w:tcPr>
            <w:tcW w:w="39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2"/>
                <w:sz w:val="18"/>
                <w:szCs w:val="18"/>
              </w:rPr>
              <w:t>》、</w:t>
            </w:r>
            <w:r>
              <w:rPr>
                <w:rFonts w:ascii="宋体" w:hAnsi="宋体" w:cs="宋体" w:eastAsia="宋体" w:hint="default"/>
                <w:sz w:val="18"/>
                <w:szCs w:val="18"/>
              </w:rPr>
              <w:t>《中国证券</w:t>
            </w:r>
            <w:r>
              <w:rPr>
                <w:rFonts w:ascii="宋体" w:hAnsi="宋体" w:cs="宋体" w:eastAsia="宋体" w:hint="default"/>
                <w:spacing w:val="2"/>
                <w:sz w:val="18"/>
                <w:szCs w:val="18"/>
              </w:rPr>
              <w:t>报</w:t>
            </w:r>
            <w:r>
              <w:rPr>
                <w:rFonts w:ascii="宋体" w:hAnsi="宋体" w:cs="宋体" w:eastAsia="宋体" w:hint="default"/>
                <w:spacing w:val="-92"/>
                <w:sz w:val="18"/>
                <w:szCs w:val="18"/>
              </w:rPr>
              <w:t>》</w:t>
            </w:r>
            <w:r>
              <w:rPr>
                <w:rFonts w:ascii="宋体" w:hAnsi="宋体" w:cs="宋体" w:eastAsia="宋体" w:hint="default"/>
                <w:spacing w:val="-89"/>
                <w:sz w:val="18"/>
                <w:szCs w:val="18"/>
              </w:rPr>
              <w:t>、</w:t>
            </w:r>
            <w:r>
              <w:rPr>
                <w:rFonts w:ascii="宋体" w:hAnsi="宋体" w:cs="宋体" w:eastAsia="宋体" w:hint="default"/>
                <w:sz w:val="18"/>
                <w:szCs w:val="18"/>
              </w:rPr>
              <w:t>《证券日报》和《上海证券报》</w:t>
            </w:r>
          </w:p>
        </w:tc>
      </w:tr>
      <w:tr>
        <w:trPr>
          <w:trHeight w:val="403" w:hRule="exact"/>
        </w:trPr>
        <w:tc>
          <w:tcPr>
            <w:tcW w:w="39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r>
              <w:rPr>
                <w:rFonts w:ascii="宋体" w:hAnsi="宋体" w:cs="宋体" w:eastAsia="宋体" w:hint="default"/>
                <w:spacing w:val="-69"/>
                <w:sz w:val="18"/>
                <w:szCs w:val="18"/>
              </w:rPr>
              <w:t> </w:t>
            </w:r>
            <w:hyperlink r:id="rId11">
              <w:r>
                <w:rPr>
                  <w:rFonts w:ascii="Times New Roman" w:hAnsi="Times New Roman" w:cs="Times New Roman" w:eastAsia="Times New Roman" w:hint="default"/>
                  <w:sz w:val="18"/>
                  <w:szCs w:val="18"/>
                </w:rPr>
                <w:t>http://www.cninfo.com.cn</w:t>
              </w:r>
            </w:hyperlink>
          </w:p>
        </w:tc>
      </w:tr>
      <w:tr>
        <w:trPr>
          <w:trHeight w:val="401" w:hRule="exact"/>
        </w:trPr>
        <w:tc>
          <w:tcPr>
            <w:tcW w:w="39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福建省厦门市软件园二期观日路</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号美亚柏科董事会办公室</w:t>
            </w:r>
          </w:p>
        </w:tc>
      </w:tr>
    </w:tbl>
    <w:p>
      <w:pPr>
        <w:spacing w:line="240" w:lineRule="auto" w:before="1"/>
        <w:rPr>
          <w:rFonts w:ascii="宋体" w:hAnsi="宋体" w:cs="宋体" w:eastAsia="宋体" w:hint="default"/>
          <w:b/>
          <w:bCs/>
          <w:sz w:val="18"/>
          <w:szCs w:val="18"/>
        </w:rPr>
      </w:pPr>
    </w:p>
    <w:p>
      <w:pPr>
        <w:pStyle w:val="Heading2"/>
        <w:spacing w:line="240" w:lineRule="auto" w:before="26"/>
        <w:ind w:right="986"/>
        <w:jc w:val="left"/>
        <w:rPr>
          <w:b w:val="0"/>
          <w:bCs w:val="0"/>
        </w:rPr>
      </w:pPr>
      <w:bookmarkStart w:name="四、其他有关资料" w:id="7"/>
      <w:bookmarkEnd w:id="7"/>
      <w:r>
        <w:rPr>
          <w:b w:val="0"/>
          <w:bCs w:val="0"/>
        </w:rPr>
      </w:r>
      <w:r>
        <w:rPr/>
        <w:t>四、其他有关资料</w:t>
      </w:r>
      <w:r>
        <w:rPr>
          <w:b w:val="0"/>
          <w:bCs w:val="0"/>
        </w:rPr>
      </w:r>
    </w:p>
    <w:p>
      <w:pPr>
        <w:spacing w:line="240" w:lineRule="auto" w:before="6"/>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公司聘请的会计师事务所</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650"/>
        <w:gridCol w:w="6918"/>
      </w:tblGrid>
      <w:tr>
        <w:trPr>
          <w:trHeight w:val="401" w:hRule="exact"/>
        </w:trPr>
        <w:tc>
          <w:tcPr>
            <w:tcW w:w="265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1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中证天通会计师事务所（特殊普通合伙）</w:t>
            </w:r>
          </w:p>
        </w:tc>
      </w:tr>
      <w:tr>
        <w:trPr>
          <w:trHeight w:val="403" w:hRule="exact"/>
        </w:trPr>
        <w:tc>
          <w:tcPr>
            <w:tcW w:w="265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1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51"/>
              <w:ind w:left="2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北京市海淀区西直门北大街甲</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号楼</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1316-1326</w:t>
            </w:r>
          </w:p>
        </w:tc>
      </w:tr>
      <w:tr>
        <w:trPr>
          <w:trHeight w:val="403" w:hRule="exact"/>
        </w:trPr>
        <w:tc>
          <w:tcPr>
            <w:tcW w:w="265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1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陈峰、易厚震</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公司聘请的报告期内履行持续督导职责的保荐机构</w:t>
      </w:r>
    </w:p>
    <w:p>
      <w:pPr>
        <w:spacing w:line="340" w:lineRule="auto" w:before="115"/>
        <w:ind w:left="152" w:right="67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公司聘请的报告期内履行持续督导职责的财务顾问</w:t>
      </w:r>
    </w:p>
    <w:p>
      <w:pPr>
        <w:spacing w:before="39"/>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986"/>
        <w:jc w:val="left"/>
        <w:rPr>
          <w:b w:val="0"/>
          <w:bCs w:val="0"/>
        </w:rPr>
      </w:pPr>
      <w:bookmarkStart w:name="五、主要会计数据和财务指标" w:id="8"/>
      <w:bookmarkEnd w:id="8"/>
      <w:r>
        <w:rPr>
          <w:b w:val="0"/>
          <w:bCs w:val="0"/>
        </w:rPr>
      </w:r>
      <w:r>
        <w:rPr/>
        <w:t>五、主要会计数据和财务指标</w:t>
      </w:r>
      <w:r>
        <w:rPr>
          <w:b w:val="0"/>
          <w:bCs w:val="0"/>
        </w:rPr>
      </w:r>
    </w:p>
    <w:p>
      <w:pPr>
        <w:spacing w:line="240" w:lineRule="auto" w:before="6"/>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公司是否需追溯调整或重述以前年度会计数据</w:t>
      </w:r>
    </w:p>
    <w:p>
      <w:pPr>
        <w:spacing w:before="117"/>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spacing w:line="240" w:lineRule="auto" w:before="1"/>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02"/>
        <w:gridCol w:w="1705"/>
        <w:gridCol w:w="1517"/>
        <w:gridCol w:w="1764"/>
        <w:gridCol w:w="1469"/>
      </w:tblGrid>
      <w:tr>
        <w:trPr>
          <w:trHeight w:val="403" w:hRule="exact"/>
        </w:trPr>
        <w:tc>
          <w:tcPr>
            <w:tcW w:w="3102"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6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1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6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7"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4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3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1" w:hRule="exact"/>
        </w:trPr>
        <w:tc>
          <w:tcPr>
            <w:tcW w:w="31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05"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2,067,410,376.33</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1,600,584,391.00</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29.17%</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1,336,640,411.37</w:t>
            </w:r>
          </w:p>
        </w:tc>
      </w:tr>
      <w:tr>
        <w:trPr>
          <w:trHeight w:val="403" w:hRule="exact"/>
        </w:trPr>
        <w:tc>
          <w:tcPr>
            <w:tcW w:w="31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归属于上市公司股东的净利润（元）</w:t>
            </w:r>
          </w:p>
        </w:tc>
        <w:tc>
          <w:tcPr>
            <w:tcW w:w="1705"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289,675,573.16</w:t>
            </w:r>
            <w:r>
              <w:rPr>
                <w:rFonts w:ascii="Times New Roman"/>
                <w:sz w:val="18"/>
              </w:rPr>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303,214,679.83</w:t>
            </w:r>
            <w:r>
              <w:rPr>
                <w:rFonts w:ascii="Times New Roman"/>
                <w:sz w:val="18"/>
              </w:rPr>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-4.47%</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271,716,271.45</w:t>
            </w:r>
            <w:r>
              <w:rPr>
                <w:rFonts w:ascii="Times New Roman"/>
                <w:sz w:val="18"/>
              </w:rPr>
            </w:r>
          </w:p>
        </w:tc>
      </w:tr>
      <w:tr>
        <w:trPr>
          <w:trHeight w:val="713" w:hRule="exact"/>
        </w:trPr>
        <w:tc>
          <w:tcPr>
            <w:tcW w:w="31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2" w:right="18"/>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归属于上市公司股东的扣除非经常性损 益的净利润（元）</w:t>
            </w:r>
          </w:p>
        </w:tc>
        <w:tc>
          <w:tcPr>
            <w:tcW w:w="1705"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267,051,725.91</w:t>
            </w:r>
            <w:r>
              <w:rPr>
                <w:rFonts w:ascii="Times New Roman"/>
                <w:sz w:val="18"/>
              </w:rPr>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214,701,444.00</w:t>
            </w:r>
            <w:r>
              <w:rPr>
                <w:rFonts w:ascii="Times New Roman"/>
                <w:sz w:val="18"/>
              </w:rPr>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24.38%</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250,767,061.62</w:t>
            </w:r>
            <w:r>
              <w:rPr>
                <w:rFonts w:ascii="Times New Roman"/>
                <w:sz w:val="18"/>
              </w:rPr>
            </w:r>
          </w:p>
        </w:tc>
      </w:tr>
      <w:tr>
        <w:trPr>
          <w:trHeight w:val="403" w:hRule="exact"/>
        </w:trPr>
        <w:tc>
          <w:tcPr>
            <w:tcW w:w="31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经营活动产生的现金流量净额（元）</w:t>
            </w:r>
          </w:p>
        </w:tc>
        <w:tc>
          <w:tcPr>
            <w:tcW w:w="1705"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396,135,918.52</w:t>
            </w:r>
            <w:r>
              <w:rPr>
                <w:rFonts w:ascii="Times New Roman"/>
                <w:sz w:val="18"/>
              </w:rPr>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71,849,254.67</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451.34%</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199,944,188.01</w:t>
            </w:r>
            <w:r>
              <w:rPr>
                <w:rFonts w:ascii="Times New Roman"/>
                <w:sz w:val="18"/>
              </w:rPr>
            </w:r>
          </w:p>
        </w:tc>
      </w:tr>
      <w:tr>
        <w:trPr>
          <w:trHeight w:val="401" w:hRule="exact"/>
        </w:trPr>
        <w:tc>
          <w:tcPr>
            <w:tcW w:w="31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05"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0.36</w:t>
            </w:r>
            <w:r>
              <w:rPr>
                <w:rFonts w:ascii="Times New Roman"/>
                <w:sz w:val="18"/>
              </w:rPr>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0.380</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-5.26%</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0.350</w:t>
            </w:r>
          </w:p>
        </w:tc>
      </w:tr>
      <w:tr>
        <w:trPr>
          <w:trHeight w:val="403" w:hRule="exact"/>
        </w:trPr>
        <w:tc>
          <w:tcPr>
            <w:tcW w:w="31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05"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0.36</w:t>
            </w:r>
            <w:r>
              <w:rPr>
                <w:rFonts w:ascii="Times New Roman"/>
                <w:sz w:val="18"/>
              </w:rPr>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0.380</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-5.26%</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0.350</w:t>
            </w:r>
          </w:p>
        </w:tc>
      </w:tr>
      <w:tr>
        <w:trPr>
          <w:trHeight w:val="401" w:hRule="exact"/>
        </w:trPr>
        <w:tc>
          <w:tcPr>
            <w:tcW w:w="31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05"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10.52%</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12.30%</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-1.78%</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13.56%</w:t>
            </w:r>
          </w:p>
        </w:tc>
      </w:tr>
      <w:tr>
        <w:trPr>
          <w:trHeight w:val="403" w:hRule="exact"/>
        </w:trPr>
        <w:tc>
          <w:tcPr>
            <w:tcW w:w="3102"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51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65"/>
              <w:jc w:val="righ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4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4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401" w:hRule="exact"/>
        </w:trPr>
        <w:tc>
          <w:tcPr>
            <w:tcW w:w="31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资产总额（元）</w:t>
            </w:r>
          </w:p>
        </w:tc>
        <w:tc>
          <w:tcPr>
            <w:tcW w:w="1705"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4,200,148,312.04</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3,444,140,529.17</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21.95%</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2"/>
                <w:sz w:val="18"/>
              </w:rPr>
              <w:t>3,111,938,828.79</w:t>
            </w:r>
          </w:p>
        </w:tc>
      </w:tr>
      <w:tr>
        <w:trPr>
          <w:trHeight w:val="403" w:hRule="exact"/>
        </w:trPr>
        <w:tc>
          <w:tcPr>
            <w:tcW w:w="31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归属于上市公司股东的净资产（元）</w:t>
            </w:r>
          </w:p>
        </w:tc>
        <w:tc>
          <w:tcPr>
            <w:tcW w:w="1705"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2,960,789,180.88</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2,550,684,558.80</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16.08%</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2,326,621,414.02</w:t>
            </w:r>
          </w:p>
        </w:tc>
      </w:tr>
    </w:tbl>
    <w:p>
      <w:pPr>
        <w:spacing w:line="316" w:lineRule="auto" w:before="49"/>
        <w:ind w:left="152" w:right="986" w:firstLine="0"/>
        <w:jc w:val="left"/>
        <w:rPr>
          <w:rFonts w:ascii="宋体" w:hAnsi="宋体" w:cs="宋体" w:eastAsia="宋体" w:hint="default"/>
          <w:sz w:val="18"/>
          <w:szCs w:val="18"/>
        </w:rPr>
      </w:pPr>
      <w:r>
        <w:rPr>
          <w:rFonts w:ascii="宋体" w:hAnsi="宋体" w:cs="宋体" w:eastAsia="宋体" w:hint="default"/>
          <w:spacing w:val="-2"/>
          <w:sz w:val="18"/>
          <w:szCs w:val="18"/>
        </w:rPr>
        <w:t>公司报告期末至年度报告披露日股本是否因发行新股、增发、配股、股权激励行权、回购等原因发生变化且影响所有者权益</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金额</w:t>
      </w:r>
    </w:p>
    <w:p>
      <w:pPr>
        <w:spacing w:before="57"/>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spacing w:line="240" w:lineRule="auto" w:before="4"/>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755"/>
        <w:gridCol w:w="5813"/>
      </w:tblGrid>
      <w:tr>
        <w:trPr>
          <w:trHeight w:val="402" w:hRule="exact"/>
        </w:trPr>
        <w:tc>
          <w:tcPr>
            <w:tcW w:w="375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支付的优先股股利</w:t>
            </w:r>
          </w:p>
        </w:tc>
        <w:tc>
          <w:tcPr>
            <w:tcW w:w="5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r>
              <w:rPr>
                <w:rFonts w:ascii="Times New Roman"/>
                <w:sz w:val="18"/>
              </w:rPr>
            </w:r>
          </w:p>
        </w:tc>
      </w:tr>
      <w:tr>
        <w:trPr>
          <w:trHeight w:val="402" w:hRule="exact"/>
        </w:trPr>
        <w:tc>
          <w:tcPr>
            <w:tcW w:w="375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用最新股本计算的全面摊薄每股收益（元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5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0.3597</w:t>
            </w:r>
            <w:r>
              <w:rPr>
                <w:rFonts w:ascii="Times New Roman"/>
                <w:sz w:val="18"/>
              </w:rPr>
            </w:r>
          </w:p>
        </w:tc>
      </w:tr>
    </w:tbl>
    <w:p>
      <w:pPr>
        <w:spacing w:line="240" w:lineRule="auto" w:before="1"/>
        <w:rPr>
          <w:rFonts w:ascii="宋体" w:hAnsi="宋体" w:cs="宋体" w:eastAsia="宋体" w:hint="default"/>
          <w:sz w:val="18"/>
          <w:szCs w:val="18"/>
        </w:rPr>
      </w:pPr>
    </w:p>
    <w:p>
      <w:pPr>
        <w:pStyle w:val="Heading2"/>
        <w:spacing w:line="240" w:lineRule="auto" w:before="26"/>
        <w:ind w:right="986"/>
        <w:jc w:val="left"/>
        <w:rPr>
          <w:b w:val="0"/>
          <w:bCs w:val="0"/>
        </w:rPr>
      </w:pPr>
      <w:bookmarkStart w:name="六、分季度主要财务指标" w:id="9"/>
      <w:bookmarkEnd w:id="9"/>
      <w:r>
        <w:rPr>
          <w:b w:val="0"/>
          <w:bCs w:val="0"/>
        </w:rPr>
      </w:r>
      <w:r>
        <w:rPr/>
        <w:t>六、分季度主要财务指标</w:t>
      </w:r>
      <w:r>
        <w:rPr>
          <w:b w:val="0"/>
          <w:bCs w:val="0"/>
        </w:rPr>
      </w:r>
    </w:p>
    <w:p>
      <w:pPr>
        <w:spacing w:line="240" w:lineRule="auto" w:before="1"/>
        <w:rPr>
          <w:rFonts w:ascii="宋体" w:hAnsi="宋体" w:cs="宋体" w:eastAsia="宋体" w:hint="default"/>
          <w:b/>
          <w:bCs/>
          <w:sz w:val="23"/>
          <w:szCs w:val="23"/>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598"/>
        <w:gridCol w:w="1751"/>
        <w:gridCol w:w="1740"/>
        <w:gridCol w:w="1738"/>
        <w:gridCol w:w="1730"/>
      </w:tblGrid>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17"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4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03"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3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03"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1" w:hRule="exact"/>
        </w:trPr>
        <w:tc>
          <w:tcPr>
            <w:tcW w:w="25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5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246,643,816.26</w:t>
            </w:r>
            <w:r>
              <w:rPr>
                <w:rFonts w:ascii="Times New Roman"/>
                <w:sz w:val="18"/>
              </w:rPr>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336,732,046.63</w:t>
            </w:r>
            <w:r>
              <w:rPr>
                <w:rFonts w:ascii="Times New Roman"/>
                <w:sz w:val="18"/>
              </w:rPr>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279,618,297.29</w:t>
            </w:r>
            <w:r>
              <w:rPr>
                <w:rFonts w:ascii="Times New Roman"/>
                <w:sz w:val="18"/>
              </w:rPr>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1,204,416,216.15</w:t>
            </w:r>
          </w:p>
        </w:tc>
      </w:tr>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5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-14,296,950.39</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15,651,107.07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-35,501,711.73</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323,823,128.21</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620"/>
        <w:gridCol w:w="1740"/>
        <w:gridCol w:w="1740"/>
        <w:gridCol w:w="1738"/>
        <w:gridCol w:w="1730"/>
      </w:tblGrid>
      <w:tr>
        <w:trPr>
          <w:trHeight w:val="713" w:hRule="exact"/>
        </w:trPr>
        <w:tc>
          <w:tcPr>
            <w:tcW w:w="262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2" w:right="6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-17,149,892.44</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8,078,224.98</w:t>
            </w:r>
            <w:r>
              <w:rPr>
                <w:rFonts w:ascii="Times New Roman"/>
                <w:sz w:val="18"/>
              </w:rPr>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-38,823,110.34</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314,946,503.71</w:t>
            </w:r>
            <w:r>
              <w:rPr>
                <w:rFonts w:ascii="Times New Roman"/>
                <w:sz w:val="18"/>
              </w:rPr>
            </w:r>
          </w:p>
        </w:tc>
      </w:tr>
      <w:tr>
        <w:trPr>
          <w:trHeight w:val="403" w:hRule="exact"/>
        </w:trPr>
        <w:tc>
          <w:tcPr>
            <w:tcW w:w="262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-307,824,041.35</w:t>
            </w:r>
            <w:r>
              <w:rPr>
                <w:rFonts w:ascii="Times New Roman"/>
                <w:sz w:val="18"/>
              </w:rPr>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-99,222,672.76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123,146,603.69</w:t>
            </w:r>
            <w:r>
              <w:rPr>
                <w:rFonts w:ascii="Times New Roman"/>
                <w:sz w:val="18"/>
              </w:rPr>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680,036,028.94</w:t>
            </w:r>
            <w:r>
              <w:rPr>
                <w:rFonts w:ascii="Times New Roman"/>
                <w:sz w:val="18"/>
              </w:rPr>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上述财务指标或其加总数是否与公司已披露季度报告、半年度报告相关财务指标存在重大差异</w:t>
      </w:r>
    </w:p>
    <w:p>
      <w:pPr>
        <w:spacing w:before="115"/>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spacing w:line="240" w:lineRule="auto" w:before="3"/>
        <w:rPr>
          <w:rFonts w:ascii="宋体" w:hAnsi="宋体" w:cs="宋体" w:eastAsia="宋体" w:hint="default"/>
          <w:sz w:val="24"/>
          <w:szCs w:val="24"/>
        </w:rPr>
      </w:pPr>
    </w:p>
    <w:p>
      <w:pPr>
        <w:pStyle w:val="Heading2"/>
        <w:spacing w:line="240" w:lineRule="auto"/>
        <w:ind w:right="986"/>
        <w:jc w:val="left"/>
        <w:rPr>
          <w:b w:val="0"/>
          <w:bCs w:val="0"/>
        </w:rPr>
      </w:pPr>
      <w:bookmarkStart w:name="七、境内外会计准则下会计数据差异" w:id="10"/>
      <w:bookmarkEnd w:id="10"/>
      <w:r>
        <w:rPr>
          <w:b w:val="0"/>
          <w:bCs w:val="0"/>
        </w:rPr>
      </w:r>
      <w:r>
        <w:rPr/>
        <w:t>七、境内外会计准则下会计数据差异</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6"/>
        <w:jc w:val="left"/>
        <w:rPr>
          <w:b w:val="0"/>
          <w:bCs w:val="0"/>
        </w:rPr>
      </w:pPr>
      <w:bookmarkStart w:name="1、同时按照国际会计准则与按照中国会计准则披露的财务报告中净利润和净资产差异情况" w:id="11"/>
      <w:bookmarkEnd w:id="11"/>
      <w:r>
        <w:rPr>
          <w:b w:val="0"/>
          <w:bCs w:val="0"/>
        </w:rPr>
      </w:r>
      <w:r>
        <w:rPr>
          <w:rFonts w:ascii="Times New Roman" w:hAnsi="Times New Roman" w:cs="Times New Roman" w:eastAsia="Times New Roman" w:hint="default"/>
        </w:rPr>
        <w:t>1</w:t>
      </w:r>
      <w:r>
        <w:rPr/>
        <w:t>、同时按照国际会计准则与按照中国会计准则披露的财务报告中净利润和净资产差异情况</w:t>
      </w:r>
      <w:r>
        <w:rPr>
          <w:b w:val="0"/>
          <w:bCs w:val="0"/>
        </w:rPr>
      </w:r>
    </w:p>
    <w:p>
      <w:pPr>
        <w:spacing w:line="240" w:lineRule="auto" w:before="5"/>
        <w:rPr>
          <w:rFonts w:ascii="宋体" w:hAnsi="宋体" w:cs="宋体" w:eastAsia="宋体" w:hint="default"/>
          <w:b/>
          <w:bCs/>
          <w:sz w:val="32"/>
          <w:szCs w:val="32"/>
        </w:rPr>
      </w:pPr>
    </w:p>
    <w:p>
      <w:pPr>
        <w:spacing w:line="487" w:lineRule="auto" w:before="0"/>
        <w:ind w:left="152" w:right="21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公司报告期不存在按照国际会计准则与按照中国会计准则披露的财务报告中净利润和净资产差异情况。</w:t>
      </w:r>
    </w:p>
    <w:p>
      <w:pPr>
        <w:spacing w:line="240" w:lineRule="auto" w:before="12"/>
        <w:rPr>
          <w:rFonts w:ascii="宋体" w:hAnsi="宋体" w:cs="宋体" w:eastAsia="宋体" w:hint="default"/>
          <w:sz w:val="18"/>
          <w:szCs w:val="18"/>
        </w:rPr>
      </w:pPr>
    </w:p>
    <w:p>
      <w:pPr>
        <w:pStyle w:val="Heading4"/>
        <w:spacing w:line="240" w:lineRule="auto"/>
        <w:ind w:right="986"/>
        <w:jc w:val="left"/>
        <w:rPr>
          <w:b w:val="0"/>
          <w:bCs w:val="0"/>
        </w:rPr>
      </w:pPr>
      <w:bookmarkStart w:name="2、同时按照境外会计准则与按照中国会计准则披露的财务报告中净利润和净资产差异情况" w:id="12"/>
      <w:bookmarkEnd w:id="12"/>
      <w:r>
        <w:rPr>
          <w:b w:val="0"/>
          <w:bCs w:val="0"/>
        </w:rPr>
      </w: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5"/>
        <w:rPr>
          <w:rFonts w:ascii="宋体" w:hAnsi="宋体" w:cs="宋体" w:eastAsia="宋体" w:hint="default"/>
          <w:b/>
          <w:bCs/>
          <w:sz w:val="32"/>
          <w:szCs w:val="32"/>
        </w:rPr>
      </w:pPr>
    </w:p>
    <w:p>
      <w:pPr>
        <w:spacing w:line="451" w:lineRule="auto" w:before="0"/>
        <w:ind w:left="152" w:right="265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公司报告期不存在按照境外会计准则与按照中国会计准则披露的财务报告中净利润和净资产差异情况。</w:t>
      </w:r>
    </w:p>
    <w:p>
      <w:pPr>
        <w:spacing w:line="240" w:lineRule="auto" w:before="0"/>
        <w:rPr>
          <w:rFonts w:ascii="宋体" w:hAnsi="宋体" w:cs="宋体" w:eastAsia="宋体" w:hint="default"/>
          <w:sz w:val="19"/>
          <w:szCs w:val="19"/>
        </w:rPr>
      </w:pPr>
    </w:p>
    <w:p>
      <w:pPr>
        <w:pStyle w:val="Heading2"/>
        <w:spacing w:line="240" w:lineRule="auto"/>
        <w:ind w:right="986"/>
        <w:jc w:val="left"/>
        <w:rPr>
          <w:b w:val="0"/>
          <w:bCs w:val="0"/>
        </w:rPr>
      </w:pPr>
      <w:bookmarkStart w:name="八、非经常性损益项目及金额" w:id="13"/>
      <w:bookmarkEnd w:id="13"/>
      <w:r>
        <w:rPr>
          <w:b w:val="0"/>
          <w:bCs w:val="0"/>
        </w:rPr>
      </w:r>
      <w:r>
        <w:rPr/>
        <w:t>八、非经常性损益项目及金额</w:t>
      </w:r>
      <w:r>
        <w:rPr>
          <w:b w:val="0"/>
          <w:bCs w:val="0"/>
        </w:rPr>
      </w:r>
    </w:p>
    <w:p>
      <w:pPr>
        <w:spacing w:line="240" w:lineRule="auto" w:before="12"/>
        <w:rPr>
          <w:rFonts w:ascii="宋体" w:hAnsi="宋体" w:cs="宋体" w:eastAsia="宋体" w:hint="default"/>
          <w:b/>
          <w:bCs/>
          <w:sz w:val="22"/>
          <w:szCs w:val="22"/>
        </w:rPr>
      </w:pPr>
    </w:p>
    <w:p>
      <w:pPr>
        <w:spacing w:before="44"/>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before="103"/>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521"/>
        <w:gridCol w:w="1286"/>
        <w:gridCol w:w="1135"/>
        <w:gridCol w:w="1174"/>
        <w:gridCol w:w="2441"/>
      </w:tblGrid>
      <w:tr>
        <w:trPr>
          <w:trHeight w:val="401" w:hRule="exact"/>
        </w:trPr>
        <w:tc>
          <w:tcPr>
            <w:tcW w:w="35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8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1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17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1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244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15" w:hRule="exact"/>
        </w:trPr>
        <w:tc>
          <w:tcPr>
            <w:tcW w:w="35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2" w:right="77"/>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非流动资产处置损益（包括已计提资产减值 准备的冲销部分）</w:t>
            </w:r>
          </w:p>
        </w:tc>
        <w:tc>
          <w:tcPr>
            <w:tcW w:w="1286"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7"/>
              <w:jc w:val="right"/>
              <w:rPr>
                <w:rFonts w:ascii="Arial" w:hAnsi="Arial" w:cs="Arial" w:eastAsia="Arial" w:hint="default"/>
                <w:sz w:val="18"/>
                <w:szCs w:val="18"/>
              </w:rPr>
            </w:pPr>
            <w:r>
              <w:rPr>
                <w:rFonts w:ascii="Arial"/>
                <w:spacing w:val="-1"/>
                <w:sz w:val="18"/>
              </w:rPr>
              <w:t>208,884.48</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1" w:right="0"/>
              <w:jc w:val="left"/>
              <w:rPr>
                <w:rFonts w:ascii="Times New Roman" w:hAnsi="Times New Roman" w:cs="Times New Roman" w:eastAsia="Times New Roman" w:hint="default"/>
                <w:sz w:val="18"/>
                <w:szCs w:val="18"/>
              </w:rPr>
            </w:pPr>
            <w:r>
              <w:rPr>
                <w:rFonts w:ascii="Times New Roman"/>
                <w:sz w:val="18"/>
              </w:rPr>
              <w:t>32,978.14</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-201,165.13</w:t>
            </w:r>
            <w:r>
              <w:rPr>
                <w:rFonts w:ascii="Times New Roman"/>
                <w:sz w:val="18"/>
              </w:rPr>
            </w:r>
          </w:p>
        </w:tc>
        <w:tc>
          <w:tcPr>
            <w:tcW w:w="2441"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35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2" w:right="77"/>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计入当期损益的政府补助（与企业业务密切 相关，按照国家统一标准定额或定量享受的 政府补助除外）</w:t>
            </w:r>
          </w:p>
        </w:tc>
        <w:tc>
          <w:tcPr>
            <w:tcW w:w="1286"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30,625,248.85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29,790,872.69</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24,578,433.19</w:t>
            </w:r>
          </w:p>
        </w:tc>
        <w:tc>
          <w:tcPr>
            <w:tcW w:w="2441" w:type="dxa"/>
            <w:tcBorders>
              <w:top w:val="single" w:sz="4" w:space="0" w:color="000000"/>
              <w:left w:val="single" w:sz="4" w:space="0" w:color="000000"/>
              <w:bottom w:val="single" w:sz="4" w:space="0" w:color="000000"/>
              <w:right w:val="single" w:sz="4" w:space="0" w:color="000000"/>
            </w:tcBorders>
          </w:tcPr>
          <w:p>
            <w:pPr/>
          </w:p>
        </w:tc>
      </w:tr>
      <w:tr>
        <w:trPr>
          <w:trHeight w:val="1963" w:hRule="exact"/>
        </w:trPr>
        <w:tc>
          <w:tcPr>
            <w:tcW w:w="35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2" w:right="77"/>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 业务外，持有交易性金融资产、衍生金融资 产、交易性金融负债、衍生金融负债产生的 公允价值变动损益，以及处置交易性金融资 产、衍生金融资产、交易性金融负债、衍生 金融负债和其他债权投资取得的投资收益</w:t>
            </w:r>
          </w:p>
        </w:tc>
        <w:tc>
          <w:tcPr>
            <w:tcW w:w="1286" w:type="dxa"/>
            <w:tcBorders>
              <w:top w:val="single" w:sz="4" w:space="0" w:color="000000"/>
              <w:left w:val="single" w:sz="13" w:space="0" w:color="D4D4D4"/>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65,449,779.62</w:t>
            </w:r>
          </w:p>
        </w:tc>
        <w:tc>
          <w:tcPr>
            <w:tcW w:w="1174" w:type="dxa"/>
            <w:tcBorders>
              <w:top w:val="single" w:sz="4" w:space="0" w:color="000000"/>
              <w:left w:val="single" w:sz="4" w:space="0" w:color="000000"/>
              <w:bottom w:val="single" w:sz="4" w:space="0" w:color="000000"/>
              <w:right w:val="single" w:sz="4" w:space="0" w:color="000000"/>
            </w:tcBorders>
          </w:tcPr>
          <w:p>
            <w:pPr/>
          </w:p>
        </w:tc>
        <w:tc>
          <w:tcPr>
            <w:tcW w:w="244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286"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0"/>
              <w:ind w:right="17"/>
              <w:jc w:val="right"/>
              <w:rPr>
                <w:rFonts w:ascii="Arial" w:hAnsi="Arial" w:cs="Arial" w:eastAsia="Arial" w:hint="default"/>
                <w:sz w:val="18"/>
                <w:szCs w:val="18"/>
              </w:rPr>
            </w:pPr>
            <w:r>
              <w:rPr>
                <w:rFonts w:ascii="Arial"/>
                <w:spacing w:val="-1"/>
                <w:sz w:val="18"/>
              </w:rPr>
              <w:t>-1,325,870.22</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5" w:right="0"/>
              <w:jc w:val="left"/>
              <w:rPr>
                <w:rFonts w:ascii="Times New Roman" w:hAnsi="Times New Roman" w:cs="Times New Roman" w:eastAsia="Times New Roman" w:hint="default"/>
                <w:sz w:val="18"/>
                <w:szCs w:val="18"/>
              </w:rPr>
            </w:pPr>
            <w:r>
              <w:rPr>
                <w:rFonts w:ascii="Times New Roman"/>
                <w:sz w:val="18"/>
              </w:rPr>
              <w:t>-4,160,865.79</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w w:val="95"/>
                <w:sz w:val="18"/>
              </w:rPr>
              <w:t>-28,833.10</w:t>
            </w:r>
            <w:r>
              <w:rPr>
                <w:rFonts w:ascii="Times New Roman"/>
                <w:sz w:val="18"/>
              </w:rPr>
            </w:r>
          </w:p>
        </w:tc>
        <w:tc>
          <w:tcPr>
            <w:tcW w:w="244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spacing w:before="0"/>
        <w:ind w:left="0" w:right="1138" w:firstLine="0"/>
        <w:jc w:val="right"/>
        <w:rPr>
          <w:rFonts w:ascii="宋体" w:hAnsi="宋体" w:cs="宋体" w:eastAsia="宋体" w:hint="default"/>
          <w:sz w:val="18"/>
          <w:szCs w:val="18"/>
        </w:rPr>
      </w:pPr>
      <w:r>
        <w:rPr/>
        <w:pict>
          <v:shape style="position:absolute;margin-left:56.459999pt;margin-top:-18.529276pt;width:479.1pt;height:174.5pt;mso-position-horizontal-relative:page;mso-position-vertical-relative:paragraph;z-index:11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544"/>
                    <w:gridCol w:w="1274"/>
                    <w:gridCol w:w="1135"/>
                    <w:gridCol w:w="1174"/>
                    <w:gridCol w:w="2441"/>
                  </w:tblGrid>
                  <w:tr>
                    <w:trPr>
                      <w:trHeight w:val="2273" w:hRule="exact"/>
                    </w:trPr>
                    <w:tc>
                      <w:tcPr>
                        <w:tcW w:w="35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-1,255,696.03</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10,045,572.00</w:t>
                        </w:r>
                      </w:p>
                    </w:tc>
                    <w:tc>
                      <w:tcPr>
                        <w:tcW w:w="1174" w:type="dxa"/>
                        <w:tcBorders>
                          <w:top w:val="single" w:sz="4" w:space="0" w:color="000000"/>
                          <w:left w:val="single" w:sz="4" w:space="0" w:color="000000"/>
                          <w:bottom w:val="single" w:sz="4" w:space="0" w:color="000000"/>
                          <w:right w:val="single" w:sz="4" w:space="0" w:color="000000"/>
                        </w:tcBorders>
                      </w:tcPr>
                      <w:p>
                        <w:pPr/>
                      </w:p>
                    </w:tc>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6" w:right="62"/>
                          <w:jc w:val="both"/>
                          <w:rPr>
                            <w:rFonts w:ascii="宋体" w:hAnsi="宋体" w:cs="宋体" w:eastAsia="宋体" w:hint="default"/>
                            <w:sz w:val="18"/>
                            <w:szCs w:val="18"/>
                          </w:rPr>
                        </w:pPr>
                        <w:r>
                          <w:rPr>
                            <w:rFonts w:ascii="宋体" w:hAnsi="宋体" w:cs="宋体" w:eastAsia="宋体" w:hint="default"/>
                            <w:sz w:val="18"/>
                            <w:szCs w:val="18"/>
                          </w:rPr>
                          <w:t>本年其他符合非经常性损益定 义的损益项目</w:t>
                        </w:r>
                        <w:r>
                          <w:rPr>
                            <w:rFonts w:ascii="Times New Roman" w:hAnsi="Times New Roman" w:cs="Times New Roman" w:eastAsia="Times New Roman" w:hint="default"/>
                            <w:sz w:val="18"/>
                            <w:szCs w:val="18"/>
                          </w:rPr>
                          <w:t>-1,255,696.03</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元 为本公司本期实现对中检美亚 非同一控制下企业合并，对以 前持有中检美亚的长期股权投 资成本按照公允价值进行重新 计量产生的投资收益。</w:t>
                        </w:r>
                      </w:p>
                    </w:tc>
                  </w:tr>
                  <w:tr>
                    <w:trPr>
                      <w:trHeight w:val="403" w:hRule="exact"/>
                    </w:trPr>
                    <w:tc>
                      <w:tcPr>
                        <w:tcW w:w="35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3,102,958.29</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0" w:right="0"/>
                          <w:jc w:val="center"/>
                          <w:rPr>
                            <w:rFonts w:ascii="Times New Roman" w:hAnsi="Times New Roman" w:cs="Times New Roman" w:eastAsia="Times New Roman" w:hint="default"/>
                            <w:sz w:val="18"/>
                            <w:szCs w:val="18"/>
                          </w:rPr>
                        </w:pPr>
                        <w:r>
                          <w:rPr>
                            <w:rFonts w:ascii="Times New Roman"/>
                            <w:sz w:val="18"/>
                          </w:rPr>
                          <w:t>11,109,971.64</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2,672,113.47</w:t>
                        </w:r>
                        <w:r>
                          <w:rPr>
                            <w:rFonts w:ascii="Times New Roman"/>
                            <w:sz w:val="18"/>
                          </w:rPr>
                        </w:r>
                      </w:p>
                    </w:tc>
                    <w:tc>
                      <w:tcPr>
                        <w:tcW w:w="244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2"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2,525,761.54</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4" w:right="0"/>
                          <w:jc w:val="center"/>
                          <w:rPr>
                            <w:rFonts w:ascii="Times New Roman" w:hAnsi="Times New Roman" w:cs="Times New Roman" w:eastAsia="Times New Roman" w:hint="default"/>
                            <w:sz w:val="18"/>
                            <w:szCs w:val="18"/>
                          </w:rPr>
                        </w:pPr>
                        <w:r>
                          <w:rPr>
                            <w:rFonts w:ascii="Times New Roman"/>
                            <w:sz w:val="18"/>
                          </w:rPr>
                          <w:t>1,535,129.19</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2"/>
                            <w:sz w:val="18"/>
                          </w:rPr>
                          <w:t>727,111.66</w:t>
                        </w:r>
                        <w:r>
                          <w:rPr>
                            <w:rFonts w:ascii="Times New Roman"/>
                            <w:sz w:val="18"/>
                          </w:rPr>
                        </w:r>
                      </w:p>
                    </w:tc>
                    <w:tc>
                      <w:tcPr>
                        <w:tcW w:w="244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22,623,847.25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4" w:right="0"/>
                          <w:jc w:val="center"/>
                          <w:rPr>
                            <w:rFonts w:ascii="Times New Roman" w:hAnsi="Times New Roman" w:cs="Times New Roman" w:eastAsia="Times New Roman" w:hint="default"/>
                            <w:sz w:val="18"/>
                            <w:szCs w:val="18"/>
                          </w:rPr>
                        </w:pPr>
                        <w:r>
                          <w:rPr>
                            <w:rFonts w:ascii="Times New Roman"/>
                            <w:sz w:val="18"/>
                          </w:rPr>
                          <w:t>88,513,235.83</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20,949,209.83</w:t>
                        </w:r>
                      </w:p>
                    </w:tc>
                    <w:tc>
                      <w:tcPr>
                        <w:tcW w:w="244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0"/>
          <w:szCs w:val="20"/>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pacing w:val="-3"/>
          <w:sz w:val="18"/>
          <w:szCs w:val="18"/>
        </w:rPr>
        <w:t>对公司根据《公开发行证券的公司信息披露解释性公告第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6"/>
          <w:sz w:val="18"/>
          <w:szCs w:val="18"/>
        </w:rPr>
        <w:t> </w:t>
      </w:r>
      <w:r>
        <w:rPr>
          <w:rFonts w:ascii="宋体" w:hAnsi="宋体" w:cs="宋体" w:eastAsia="宋体" w:hint="default"/>
          <w:spacing w:val="-7"/>
          <w:sz w:val="18"/>
          <w:szCs w:val="18"/>
        </w:rPr>
        <w:t>号</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非经常性损益》定义界定的非经常性损益项目，以及把《公</w:t>
      </w:r>
    </w:p>
    <w:p>
      <w:pPr>
        <w:spacing w:line="300" w:lineRule="auto" w:before="62"/>
        <w:ind w:left="152" w:right="1120" w:firstLine="0"/>
        <w:jc w:val="left"/>
        <w:rPr>
          <w:rFonts w:ascii="宋体" w:hAnsi="宋体" w:cs="宋体" w:eastAsia="宋体" w:hint="default"/>
          <w:sz w:val="18"/>
          <w:szCs w:val="18"/>
        </w:rPr>
      </w:pPr>
      <w:r>
        <w:rPr>
          <w:rFonts w:ascii="宋体" w:hAnsi="宋体" w:cs="宋体" w:eastAsia="宋体" w:hint="default"/>
          <w:sz w:val="18"/>
          <w:szCs w:val="18"/>
        </w:rPr>
        <w:t>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6"/>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非经常性损益》中列举的非经常性损益项目界定为经常性损益的项目，应</w:t>
      </w:r>
      <w:r>
        <w:rPr>
          <w:rFonts w:ascii="宋体" w:hAnsi="宋体" w:cs="宋体" w:eastAsia="宋体" w:hint="default"/>
          <w:sz w:val="18"/>
          <w:szCs w:val="18"/>
        </w:rPr>
        <w:t> 说明原因</w:t>
      </w:r>
    </w:p>
    <w:p>
      <w:pPr>
        <w:spacing w:before="7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800"/>
        <w:gridCol w:w="1800"/>
        <w:gridCol w:w="5969"/>
      </w:tblGrid>
      <w:tr>
        <w:trPr>
          <w:trHeight w:val="403" w:hRule="exact"/>
        </w:trPr>
        <w:tc>
          <w:tcPr>
            <w:tcW w:w="180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0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66" w:right="0"/>
              <w:jc w:val="left"/>
              <w:rPr>
                <w:rFonts w:ascii="宋体" w:hAnsi="宋体" w:cs="宋体" w:eastAsia="宋体" w:hint="default"/>
                <w:sz w:val="18"/>
                <w:szCs w:val="18"/>
              </w:rPr>
            </w:pPr>
            <w:r>
              <w:rPr>
                <w:rFonts w:ascii="宋体" w:hAnsi="宋体" w:cs="宋体" w:eastAsia="宋体" w:hint="default"/>
                <w:sz w:val="18"/>
                <w:szCs w:val="18"/>
              </w:rPr>
              <w:t>涉及金额（元）</w:t>
            </w:r>
          </w:p>
        </w:tc>
        <w:tc>
          <w:tcPr>
            <w:tcW w:w="59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401"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软件增值税退税</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4" w:right="0"/>
              <w:jc w:val="left"/>
              <w:rPr>
                <w:rFonts w:ascii="Times New Roman" w:hAnsi="Times New Roman" w:cs="Times New Roman" w:eastAsia="Times New Roman" w:hint="default"/>
                <w:sz w:val="18"/>
                <w:szCs w:val="18"/>
              </w:rPr>
            </w:pPr>
            <w:r>
              <w:rPr>
                <w:rFonts w:ascii="Times New Roman"/>
                <w:sz w:val="18"/>
              </w:rPr>
              <w:t>40,919,616.39</w:t>
            </w:r>
          </w:p>
        </w:tc>
        <w:tc>
          <w:tcPr>
            <w:tcW w:w="5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9"/>
              <w:jc w:val="center"/>
              <w:rPr>
                <w:rFonts w:ascii="宋体" w:hAnsi="宋体" w:cs="宋体" w:eastAsia="宋体" w:hint="default"/>
                <w:sz w:val="18"/>
                <w:szCs w:val="18"/>
              </w:rPr>
            </w:pPr>
            <w:r>
              <w:rPr>
                <w:rFonts w:ascii="宋体" w:hAnsi="宋体" w:cs="宋体" w:eastAsia="宋体" w:hint="default"/>
                <w:sz w:val="18"/>
                <w:szCs w:val="18"/>
              </w:rPr>
              <w:t>退税政策为长期的政策，本集团的软件增值税退税属于经常性发生的补助</w:t>
            </w:r>
          </w:p>
        </w:tc>
      </w:tr>
    </w:tbl>
    <w:p>
      <w:pPr>
        <w:spacing w:after="0" w:line="240" w:lineRule="auto"/>
        <w:jc w:val="center"/>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524" w:right="986"/>
        <w:jc w:val="left"/>
        <w:rPr>
          <w:b w:val="0"/>
          <w:bCs w:val="0"/>
        </w:rPr>
      </w:pPr>
      <w:bookmarkStart w:name="第三节公司业务概要" w:id="14"/>
      <w:bookmarkEnd w:id="14"/>
      <w:r>
        <w:rPr>
          <w:b w:val="0"/>
          <w:bCs w:val="0"/>
        </w:rPr>
      </w:r>
      <w:bookmarkStart w:name="_bookmark1" w:id="15"/>
      <w:bookmarkEnd w:id="15"/>
      <w:r>
        <w:rPr>
          <w:b w:val="0"/>
          <w:bCs w:val="0"/>
        </w:rPr>
      </w:r>
      <w:r>
        <w:rPr/>
        <w:t>第三节公司业务概要</w:t>
      </w:r>
      <w:r>
        <w:rPr>
          <w:b w:val="0"/>
          <w:bCs w:val="0"/>
        </w:rPr>
      </w:r>
    </w:p>
    <w:p>
      <w:pPr>
        <w:spacing w:line="240" w:lineRule="auto" w:before="2"/>
        <w:rPr>
          <w:rFonts w:ascii="宋体" w:hAnsi="宋体" w:cs="宋体" w:eastAsia="宋体" w:hint="default"/>
          <w:b/>
          <w:bCs/>
          <w:sz w:val="39"/>
          <w:szCs w:val="39"/>
        </w:rPr>
      </w:pPr>
    </w:p>
    <w:p>
      <w:pPr>
        <w:pStyle w:val="Heading2"/>
        <w:spacing w:line="240" w:lineRule="auto"/>
        <w:ind w:right="0"/>
        <w:jc w:val="both"/>
        <w:rPr>
          <w:b w:val="0"/>
          <w:bCs w:val="0"/>
        </w:rPr>
      </w:pPr>
      <w:bookmarkStart w:name="一、报告期内公司从事的主要业务" w:id="16"/>
      <w:bookmarkEnd w:id="16"/>
      <w:r>
        <w:rPr>
          <w:b w:val="0"/>
          <w:bCs w:val="0"/>
        </w:rPr>
      </w:r>
      <w:r>
        <w:rPr/>
        <w:t>一、报告期内公司从事的主要业务</w:t>
      </w:r>
      <w:r>
        <w:rPr>
          <w:b w:val="0"/>
          <w:bCs w:val="0"/>
        </w:rPr>
      </w:r>
    </w:p>
    <w:p>
      <w:pPr>
        <w:spacing w:line="240" w:lineRule="auto" w:before="4"/>
        <w:rPr>
          <w:rFonts w:ascii="宋体" w:hAnsi="宋体" w:cs="宋体" w:eastAsia="宋体" w:hint="default"/>
          <w:b/>
          <w:bCs/>
          <w:sz w:val="26"/>
          <w:szCs w:val="26"/>
        </w:rPr>
      </w:pPr>
    </w:p>
    <w:p>
      <w:pPr>
        <w:spacing w:before="0"/>
        <w:ind w:left="152" w:right="0" w:firstLine="0"/>
        <w:jc w:val="both"/>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上市公司从事软件与信息技术服务业务》的披露要求</w:t>
      </w:r>
    </w:p>
    <w:p>
      <w:pPr>
        <w:pStyle w:val="Heading4"/>
        <w:spacing w:line="240" w:lineRule="auto" w:before="159"/>
        <w:ind w:left="589" w:right="986"/>
        <w:jc w:val="left"/>
        <w:rPr>
          <w:b w:val="0"/>
          <w:bCs w:val="0"/>
        </w:rPr>
      </w:pPr>
      <w:r>
        <w:rPr/>
        <w:t>（一）公司业务、主要产品及业绩驱动因素</w:t>
      </w:r>
      <w:r>
        <w:rPr>
          <w:b w:val="0"/>
          <w:bCs w:val="0"/>
        </w:rPr>
      </w:r>
    </w:p>
    <w:p>
      <w:pPr>
        <w:pStyle w:val="BodyText"/>
        <w:spacing w:line="610" w:lineRule="atLeast" w:before="30"/>
        <w:ind w:left="587" w:right="986" w:firstLine="2"/>
        <w:jc w:val="left"/>
      </w:pPr>
      <w:r>
        <w:rPr>
          <w:rFonts w:ascii="Times New Roman" w:hAnsi="Times New Roman" w:cs="Times New Roman" w:eastAsia="Times New Roman" w:hint="default"/>
          <w:b/>
          <w:bCs/>
        </w:rPr>
        <w:t>1</w:t>
      </w:r>
      <w:r>
        <w:rPr>
          <w:rFonts w:ascii="宋体" w:hAnsi="宋体" w:cs="宋体" w:eastAsia="宋体" w:hint="default"/>
          <w:b/>
          <w:bCs/>
        </w:rPr>
        <w:t>、公司主要业务</w:t>
      </w:r>
      <w:r>
        <w:rPr>
          <w:rFonts w:ascii="宋体" w:hAnsi="宋体" w:cs="宋体" w:eastAsia="宋体" w:hint="default"/>
          <w:b/>
          <w:bCs/>
          <w:w w:val="100"/>
        </w:rPr>
        <w:t> </w:t>
      </w:r>
      <w:r>
        <w:rPr>
          <w:spacing w:val="-3"/>
        </w:rPr>
        <w:t>公司自成立以来深耕电子数据取证及大数据智能化业务，已成长为国内电子数据取证行业龙头和公安</w:t>
      </w:r>
    </w:p>
    <w:p>
      <w:pPr>
        <w:spacing w:line="240" w:lineRule="auto" w:before="10"/>
        <w:rPr>
          <w:rFonts w:ascii="宋体" w:hAnsi="宋体" w:cs="宋体" w:eastAsia="宋体" w:hint="default"/>
          <w:sz w:val="14"/>
          <w:szCs w:val="14"/>
        </w:rPr>
      </w:pPr>
    </w:p>
    <w:p>
      <w:pPr>
        <w:pStyle w:val="BodyText"/>
        <w:spacing w:line="408" w:lineRule="auto" w:before="0"/>
        <w:ind w:right="1108"/>
        <w:jc w:val="both"/>
      </w:pPr>
      <w:r>
        <w:rPr>
          <w:spacing w:val="-2"/>
        </w:rPr>
        <w:t>大数据领先企业、网络空间安全及大数据智能化等领域专家。公司主要服务于国内各级司法机关以及行政</w:t>
      </w:r>
      <w:r>
        <w:rPr>
          <w:spacing w:val="-42"/>
        </w:rPr>
        <w:t> </w:t>
      </w:r>
      <w:r>
        <w:rPr>
          <w:spacing w:val="-42"/>
        </w:rPr>
      </w:r>
      <w:r>
        <w:rPr>
          <w:spacing w:val="-2"/>
        </w:rPr>
        <w:t>执法部门，业务覆盖全国各省、市、自治区及部分“一带一路”沿线国家。公司曾参与</w:t>
      </w:r>
      <w:r>
        <w:rPr>
          <w:rFonts w:ascii="宋体" w:hAnsi="宋体" w:cs="宋体" w:eastAsia="宋体" w:hint="default"/>
          <w:spacing w:val="-2"/>
        </w:rPr>
        <w:t>2018</w:t>
      </w:r>
      <w:r>
        <w:rPr>
          <w:spacing w:val="-2"/>
        </w:rPr>
        <w:t>年全国两会、</w:t>
      </w:r>
      <w:r>
        <w:rPr>
          <w:spacing w:val="-20"/>
        </w:rPr>
        <w:t> </w:t>
      </w:r>
      <w:r>
        <w:rPr>
          <w:spacing w:val="-20"/>
        </w:rPr>
      </w:r>
      <w:r>
        <w:rPr/>
        <w:t>厦门金砖会晤、北京一带一路高峰论坛、杭州</w:t>
      </w:r>
      <w:r>
        <w:rPr>
          <w:rFonts w:ascii="宋体" w:hAnsi="宋体" w:cs="宋体" w:eastAsia="宋体" w:hint="default"/>
        </w:rPr>
        <w:t>G20</w:t>
      </w:r>
      <w:r>
        <w:rPr/>
        <w:t>峰会、北京奥运会等十几个国家大型活动的信息安全保</w:t>
      </w:r>
      <w:r>
        <w:rPr>
          <w:spacing w:val="-27"/>
        </w:rPr>
        <w:t> </w:t>
      </w:r>
      <w:r>
        <w:rPr>
          <w:spacing w:val="-27"/>
        </w:rPr>
      </w:r>
      <w:r>
        <w:rPr/>
        <w:t>障，并且在多次社会重大突发事件中提供技术协助。</w:t>
      </w:r>
    </w:p>
    <w:p>
      <w:pPr>
        <w:pStyle w:val="BodyText"/>
        <w:spacing w:line="408" w:lineRule="auto"/>
        <w:ind w:right="1128" w:firstLine="434"/>
        <w:jc w:val="both"/>
      </w:pPr>
      <w:r>
        <w:rPr>
          <w:rFonts w:ascii="宋体" w:hAnsi="宋体" w:cs="宋体" w:eastAsia="宋体" w:hint="default"/>
        </w:rPr>
        <w:t>2019</w:t>
      </w:r>
      <w:r>
        <w:rPr/>
        <w:t>年</w:t>
      </w:r>
      <w:r>
        <w:rPr>
          <w:rFonts w:ascii="宋体" w:hAnsi="宋体" w:cs="宋体" w:eastAsia="宋体" w:hint="default"/>
        </w:rPr>
        <w:t>7</w:t>
      </w:r>
      <w:r>
        <w:rPr/>
        <w:t>月份，公司主要股东通过协议转让的方式引入了国投智能为公司控股股东，国务院国资委成</w:t>
      </w:r>
      <w:r>
        <w:rPr>
          <w:w w:val="100"/>
        </w:rPr>
        <w:t> </w:t>
      </w:r>
      <w:r>
        <w:rPr>
          <w:spacing w:val="-2"/>
        </w:rPr>
        <w:t>为公司实际控制人。国投智能是国家开发投资集团的全资子公司，是国投集团在数字经济产业的战略投资</w:t>
      </w:r>
      <w:r>
        <w:rPr>
          <w:spacing w:val="-42"/>
        </w:rPr>
        <w:t> </w:t>
      </w:r>
      <w:r>
        <w:rPr>
          <w:spacing w:val="-42"/>
        </w:rPr>
      </w:r>
      <w:r>
        <w:rPr>
          <w:spacing w:val="-2"/>
        </w:rPr>
        <w:t>平台和信息化综合服务平台。通过国投集团有效赋能和产业协同，公司将拥有央企优势，同时保持民企活</w:t>
      </w:r>
      <w:r>
        <w:rPr>
          <w:spacing w:val="-46"/>
        </w:rPr>
        <w:t> </w:t>
      </w:r>
      <w:r>
        <w:rPr>
          <w:spacing w:val="-46"/>
        </w:rPr>
      </w:r>
      <w:r>
        <w:rPr>
          <w:spacing w:val="-2"/>
        </w:rPr>
        <w:t>力。未来双方将通过优势互补，共同助力数字经济的发展。公司也将依托控股股东及实际控制人的资源优</w:t>
      </w:r>
      <w:r>
        <w:rPr>
          <w:spacing w:val="-43"/>
        </w:rPr>
        <w:t> </w:t>
      </w:r>
      <w:r>
        <w:rPr>
          <w:spacing w:val="-43"/>
        </w:rPr>
      </w:r>
      <w:r>
        <w:rPr/>
        <w:t>势，提升承接大型项目能力，获取更多的市场机会。</w:t>
      </w:r>
    </w:p>
    <w:p>
      <w:pPr>
        <w:spacing w:line="240" w:lineRule="auto" w:before="6"/>
        <w:rPr>
          <w:rFonts w:ascii="宋体" w:hAnsi="宋体" w:cs="宋体" w:eastAsia="宋体" w:hint="default"/>
          <w:sz w:val="15"/>
          <w:szCs w:val="15"/>
        </w:rPr>
      </w:pPr>
    </w:p>
    <w:p>
      <w:pPr>
        <w:pStyle w:val="Heading4"/>
        <w:spacing w:line="240" w:lineRule="auto"/>
        <w:ind w:left="589" w:right="986"/>
        <w:jc w:val="left"/>
        <w:rPr>
          <w:b w:val="0"/>
          <w:bCs w:val="0"/>
        </w:rPr>
      </w:pPr>
      <w:r>
        <w:rPr>
          <w:rFonts w:ascii="宋体" w:hAnsi="宋体" w:cs="宋体" w:eastAsia="宋体" w:hint="default"/>
        </w:rPr>
        <w:t>2</w:t>
      </w:r>
      <w:r>
        <w:rPr/>
        <w:t>、公司主要产品及业绩驱动因素</w:t>
      </w:r>
      <w:r>
        <w:rPr>
          <w:b w:val="0"/>
          <w:bCs w:val="0"/>
        </w:rPr>
      </w:r>
    </w:p>
    <w:p>
      <w:pPr>
        <w:spacing w:line="240" w:lineRule="auto" w:before="9"/>
        <w:rPr>
          <w:rFonts w:ascii="宋体" w:hAnsi="宋体" w:cs="宋体" w:eastAsia="宋体" w:hint="default"/>
          <w:b/>
          <w:bCs/>
          <w:sz w:val="26"/>
          <w:szCs w:val="26"/>
        </w:rPr>
      </w:pPr>
    </w:p>
    <w:p>
      <w:pPr>
        <w:pStyle w:val="BodyText"/>
        <w:spacing w:line="408" w:lineRule="auto" w:before="0"/>
        <w:ind w:right="1107" w:firstLine="434"/>
        <w:jc w:val="both"/>
      </w:pPr>
      <w:r>
        <w:rPr/>
        <w:t>（</w:t>
      </w:r>
      <w:r>
        <w:rPr>
          <w:rFonts w:ascii="宋体" w:hAnsi="宋体" w:cs="宋体" w:eastAsia="宋体" w:hint="default"/>
        </w:rPr>
        <w:t>1</w:t>
      </w:r>
      <w:r>
        <w:rPr/>
        <w:t>）电子数据取证产品：随着移动智能终端、大数据、人工智能、物联网等技术的不断进步，取证</w:t>
      </w:r>
      <w:r>
        <w:rPr>
          <w:w w:val="100"/>
        </w:rPr>
        <w:t> </w:t>
      </w:r>
      <w:r>
        <w:rPr/>
        <w:t>技术也跟着演化升级，电子数据取证已进入取证</w:t>
      </w:r>
      <w:r>
        <w:rPr>
          <w:rFonts w:ascii="宋体" w:hAnsi="宋体" w:cs="宋体" w:eastAsia="宋体" w:hint="default"/>
        </w:rPr>
        <w:t>3.0</w:t>
      </w:r>
      <w:r>
        <w:rPr/>
        <w:t>时代，即基于终端取证、云取证、物联网取证、流量</w:t>
      </w:r>
      <w:r>
        <w:rPr>
          <w:spacing w:val="-28"/>
        </w:rPr>
        <w:t> </w:t>
      </w:r>
      <w:r>
        <w:rPr>
          <w:spacing w:val="-28"/>
        </w:rPr>
      </w:r>
      <w:r>
        <w:rPr>
          <w:spacing w:val="-2"/>
        </w:rPr>
        <w:t>取证等技术，开展“云、管、端”取证建设，做到资源全互联、数据全汇聚、业务全对接、生态全开放，</w:t>
      </w:r>
      <w:r>
        <w:rPr>
          <w:spacing w:val="-24"/>
        </w:rPr>
        <w:t> </w:t>
      </w:r>
      <w:r>
        <w:rPr>
          <w:spacing w:val="-24"/>
        </w:rPr>
      </w:r>
      <w:r>
        <w:rPr/>
        <w:t>实现全景数据下的智能取证与研判。</w:t>
      </w:r>
    </w:p>
    <w:p>
      <w:pPr>
        <w:pStyle w:val="BodyText"/>
        <w:spacing w:line="408" w:lineRule="auto"/>
        <w:ind w:right="986" w:firstLine="434"/>
        <w:jc w:val="left"/>
      </w:pPr>
      <w:r>
        <w:rPr>
          <w:spacing w:val="-3"/>
        </w:rPr>
        <w:t>报告期内：公司已将人工智能、大数据技术和取证技术进行了有机融合，对电子数据取证产品的数据</w:t>
      </w:r>
      <w:r>
        <w:rPr>
          <w:w w:val="100"/>
        </w:rPr>
        <w:t> </w:t>
      </w:r>
      <w:r>
        <w:rPr>
          <w:spacing w:val="-2"/>
        </w:rPr>
        <w:t>提取能力、处理分析能力和智能化能力进行优化提升。电子数据取证产品已由最初的计算机取证，发展成</w:t>
      </w:r>
      <w:r>
        <w:rPr>
          <w:spacing w:val="-47"/>
        </w:rPr>
        <w:t> </w:t>
      </w:r>
      <w:r>
        <w:rPr>
          <w:spacing w:val="-47"/>
        </w:rPr>
      </w:r>
      <w:r>
        <w:rPr>
          <w:spacing w:val="-2"/>
        </w:rPr>
        <w:t>为涵盖移动智能设备取证、云取证、物联网取证。产品形态已由一体化装备，逐步形成与后端大数据进行</w:t>
      </w:r>
      <w:r>
        <w:rPr>
          <w:spacing w:val="-44"/>
        </w:rPr>
        <w:t> </w:t>
      </w:r>
      <w:r>
        <w:rPr>
          <w:spacing w:val="-44"/>
        </w:rPr>
      </w:r>
      <w:r>
        <w:rPr>
          <w:spacing w:val="-7"/>
        </w:rPr>
        <w:t>联动的全息数据一体化平台。取证</w:t>
      </w:r>
      <w:r>
        <w:rPr>
          <w:rFonts w:ascii="宋体" w:hAnsi="宋体" w:cs="宋体" w:eastAsia="宋体" w:hint="default"/>
          <w:spacing w:val="-7"/>
        </w:rPr>
        <w:t>3.0</w:t>
      </w:r>
      <w:r>
        <w:rPr>
          <w:spacing w:val="-7"/>
        </w:rPr>
        <w:t>时代，催生出“手机云勘大师”、“云勘大师”、“汽车取证大师”、</w:t>
      </w:r>
      <w:r>
        <w:rPr>
          <w:spacing w:val="-5"/>
        </w:rPr>
        <w:t> </w:t>
      </w:r>
      <w:r>
        <w:rPr>
          <w:spacing w:val="-5"/>
        </w:rPr>
      </w:r>
      <w:r>
        <w:rPr>
          <w:spacing w:val="-2"/>
        </w:rPr>
        <w:t>“物联网取证大师”、“美亚大脑”等新产品，同时也带动了“取证航母”、“取证大师”等产品的更新</w:t>
      </w:r>
      <w:r>
        <w:rPr>
          <w:spacing w:val="-41"/>
        </w:rPr>
        <w:t> </w:t>
      </w:r>
      <w:r>
        <w:rPr>
          <w:spacing w:val="-41"/>
        </w:rPr>
      </w:r>
      <w:r>
        <w:rPr/>
        <w:t>迭代。电子数据取证产品已由网络安全部门逐步向刑侦、监察委、税务、军工等领域延伸。</w:t>
      </w:r>
    </w:p>
    <w:p>
      <w:pPr>
        <w:spacing w:after="0" w:line="408" w:lineRule="auto"/>
        <w:jc w:val="left"/>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5" w:type="dxa"/>
        <w:tblLayout w:type="fixed"/>
        <w:tblCellMar>
          <w:top w:w="0" w:type="dxa"/>
          <w:left w:w="0" w:type="dxa"/>
          <w:bottom w:w="0" w:type="dxa"/>
          <w:right w:w="0" w:type="dxa"/>
        </w:tblCellMar>
        <w:tblLook w:val="01E0"/>
      </w:tblPr>
      <w:tblGrid>
        <w:gridCol w:w="2834"/>
        <w:gridCol w:w="1985"/>
        <w:gridCol w:w="2268"/>
        <w:gridCol w:w="2551"/>
      </w:tblGrid>
      <w:tr>
        <w:trPr>
          <w:trHeight w:val="2376" w:hRule="exact"/>
        </w:trPr>
        <w:tc>
          <w:tcPr>
            <w:tcW w:w="2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7"/>
                <w:szCs w:val="7"/>
              </w:rPr>
            </w:pPr>
          </w:p>
          <w:p>
            <w:pPr>
              <w:pStyle w:val="TableParagraph"/>
              <w:spacing w:line="1693" w:lineRule="exact"/>
              <w:ind w:left="7" w:right="-41"/>
              <w:jc w:val="left"/>
              <w:rPr>
                <w:rFonts w:ascii="宋体" w:hAnsi="宋体" w:cs="宋体" w:eastAsia="宋体" w:hint="default"/>
                <w:sz w:val="20"/>
                <w:szCs w:val="20"/>
              </w:rPr>
            </w:pPr>
            <w:r>
              <w:rPr>
                <w:rFonts w:ascii="宋体" w:hAnsi="宋体" w:cs="宋体" w:eastAsia="宋体" w:hint="default"/>
                <w:position w:val="-33"/>
                <w:sz w:val="20"/>
                <w:szCs w:val="20"/>
              </w:rPr>
              <w:drawing>
                <wp:inline distT="0" distB="0" distL="0" distR="0">
                  <wp:extent cx="1786456" cy="1075181"/>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12" cstate="print"/>
                          <a:stretch>
                            <a:fillRect/>
                          </a:stretch>
                        </pic:blipFill>
                        <pic:spPr>
                          <a:xfrm>
                            <a:off x="0" y="0"/>
                            <a:ext cx="1786456" cy="1075181"/>
                          </a:xfrm>
                          <a:prstGeom prst="rect">
                            <a:avLst/>
                          </a:prstGeom>
                        </pic:spPr>
                      </pic:pic>
                    </a:graphicData>
                  </a:graphic>
                </wp:inline>
              </w:drawing>
            </w:r>
            <w:r>
              <w:rPr>
                <w:rFonts w:ascii="宋体" w:hAnsi="宋体" w:cs="宋体" w:eastAsia="宋体" w:hint="default"/>
                <w:position w:val="-33"/>
                <w:sz w:val="20"/>
                <w:szCs w:val="20"/>
              </w:rPr>
            </w:r>
          </w:p>
          <w:p>
            <w:pPr>
              <w:pStyle w:val="TableParagraph"/>
              <w:spacing w:line="240" w:lineRule="auto" w:before="152"/>
              <w:ind w:left="780" w:right="0"/>
              <w:jc w:val="left"/>
              <w:rPr>
                <w:rFonts w:ascii="宋体" w:hAnsi="宋体" w:cs="宋体" w:eastAsia="宋体" w:hint="default"/>
                <w:sz w:val="21"/>
                <w:szCs w:val="21"/>
              </w:rPr>
            </w:pPr>
            <w:r>
              <w:rPr>
                <w:rFonts w:ascii="宋体" w:hAnsi="宋体" w:cs="宋体" w:eastAsia="宋体" w:hint="default"/>
                <w:b/>
                <w:bCs/>
                <w:sz w:val="21"/>
                <w:szCs w:val="21"/>
              </w:rPr>
              <w:t>手机云勘大师</w:t>
            </w:r>
            <w:r>
              <w:rPr>
                <w:rFonts w:ascii="宋体" w:hAnsi="宋体" w:cs="宋体" w:eastAsia="宋体" w:hint="default"/>
                <w:sz w:val="21"/>
                <w:szCs w:val="21"/>
              </w:rPr>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7"/>
                <w:szCs w:val="7"/>
              </w:rPr>
            </w:pPr>
          </w:p>
          <w:p>
            <w:pPr>
              <w:pStyle w:val="TableParagraph"/>
              <w:spacing w:line="1677" w:lineRule="exact"/>
              <w:ind w:left="143" w:right="0"/>
              <w:jc w:val="left"/>
              <w:rPr>
                <w:rFonts w:ascii="宋体" w:hAnsi="宋体" w:cs="宋体" w:eastAsia="宋体" w:hint="default"/>
                <w:sz w:val="20"/>
                <w:szCs w:val="20"/>
              </w:rPr>
            </w:pPr>
            <w:r>
              <w:rPr>
                <w:rFonts w:ascii="宋体" w:hAnsi="宋体" w:cs="宋体" w:eastAsia="宋体" w:hint="default"/>
                <w:position w:val="-33"/>
                <w:sz w:val="20"/>
                <w:szCs w:val="20"/>
              </w:rPr>
              <w:drawing>
                <wp:inline distT="0" distB="0" distL="0" distR="0">
                  <wp:extent cx="1060489" cy="1064895"/>
                  <wp:effectExtent l="0" t="0" r="0" b="0"/>
                  <wp:docPr id="5" name="image4.png" descr="?"/>
                  <wp:cNvGraphicFramePr>
                    <a:graphicFrameLocks noChangeAspect="1"/>
                  </wp:cNvGraphicFramePr>
                  <a:graphic>
                    <a:graphicData uri="http://schemas.openxmlformats.org/drawingml/2006/picture">
                      <pic:pic>
                        <pic:nvPicPr>
                          <pic:cNvPr id="6" name="image4.png"/>
                          <pic:cNvPicPr/>
                        </pic:nvPicPr>
                        <pic:blipFill>
                          <a:blip r:embed="rId13" cstate="print"/>
                          <a:stretch>
                            <a:fillRect/>
                          </a:stretch>
                        </pic:blipFill>
                        <pic:spPr>
                          <a:xfrm>
                            <a:off x="0" y="0"/>
                            <a:ext cx="1060489" cy="1064895"/>
                          </a:xfrm>
                          <a:prstGeom prst="rect">
                            <a:avLst/>
                          </a:prstGeom>
                        </pic:spPr>
                      </pic:pic>
                    </a:graphicData>
                  </a:graphic>
                </wp:inline>
              </w:drawing>
            </w:r>
            <w:r>
              <w:rPr>
                <w:rFonts w:ascii="宋体" w:hAnsi="宋体" w:cs="宋体" w:eastAsia="宋体" w:hint="default"/>
                <w:position w:val="-33"/>
                <w:sz w:val="20"/>
                <w:szCs w:val="20"/>
              </w:rPr>
            </w:r>
          </w:p>
          <w:p>
            <w:pPr>
              <w:pStyle w:val="TableParagraph"/>
              <w:spacing w:line="240" w:lineRule="auto" w:before="170"/>
              <w:ind w:left="566" w:right="0"/>
              <w:jc w:val="left"/>
              <w:rPr>
                <w:rFonts w:ascii="宋体" w:hAnsi="宋体" w:cs="宋体" w:eastAsia="宋体" w:hint="default"/>
                <w:sz w:val="21"/>
                <w:szCs w:val="21"/>
              </w:rPr>
            </w:pPr>
            <w:r>
              <w:rPr>
                <w:rFonts w:ascii="宋体" w:hAnsi="宋体" w:cs="宋体" w:eastAsia="宋体" w:hint="default"/>
                <w:b/>
                <w:bCs/>
                <w:sz w:val="21"/>
                <w:szCs w:val="21"/>
              </w:rPr>
              <w:t>云勘大师</w:t>
            </w:r>
            <w:r>
              <w:rPr>
                <w:rFonts w:ascii="宋体" w:hAnsi="宋体" w:cs="宋体" w:eastAsia="宋体" w:hint="default"/>
                <w:sz w:val="21"/>
                <w:szCs w:val="21"/>
              </w:rPr>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8"/>
                <w:szCs w:val="8"/>
              </w:rPr>
            </w:pPr>
          </w:p>
          <w:p>
            <w:pPr>
              <w:pStyle w:val="TableParagraph"/>
              <w:spacing w:line="1680" w:lineRule="exact"/>
              <w:ind w:left="282" w:right="0"/>
              <w:jc w:val="left"/>
              <w:rPr>
                <w:rFonts w:ascii="宋体" w:hAnsi="宋体" w:cs="宋体" w:eastAsia="宋体" w:hint="default"/>
                <w:sz w:val="20"/>
                <w:szCs w:val="20"/>
              </w:rPr>
            </w:pPr>
            <w:r>
              <w:rPr>
                <w:rFonts w:ascii="宋体" w:hAnsi="宋体" w:cs="宋体" w:eastAsia="宋体" w:hint="default"/>
                <w:position w:val="-33"/>
                <w:sz w:val="20"/>
                <w:szCs w:val="20"/>
              </w:rPr>
              <w:drawing>
                <wp:inline distT="0" distB="0" distL="0" distR="0">
                  <wp:extent cx="1076984" cy="1066800"/>
                  <wp:effectExtent l="0" t="0" r="0" b="0"/>
                  <wp:docPr id="7" name="image5.png" descr="?"/>
                  <wp:cNvGraphicFramePr>
                    <a:graphicFrameLocks noChangeAspect="1"/>
                  </wp:cNvGraphicFramePr>
                  <a:graphic>
                    <a:graphicData uri="http://schemas.openxmlformats.org/drawingml/2006/picture">
                      <pic:pic>
                        <pic:nvPicPr>
                          <pic:cNvPr id="8" name="image5.png"/>
                          <pic:cNvPicPr/>
                        </pic:nvPicPr>
                        <pic:blipFill>
                          <a:blip r:embed="rId14" cstate="print"/>
                          <a:stretch>
                            <a:fillRect/>
                          </a:stretch>
                        </pic:blipFill>
                        <pic:spPr>
                          <a:xfrm>
                            <a:off x="0" y="0"/>
                            <a:ext cx="1076984" cy="1066800"/>
                          </a:xfrm>
                          <a:prstGeom prst="rect">
                            <a:avLst/>
                          </a:prstGeom>
                        </pic:spPr>
                      </pic:pic>
                    </a:graphicData>
                  </a:graphic>
                </wp:inline>
              </w:drawing>
            </w:r>
            <w:r>
              <w:rPr>
                <w:rFonts w:ascii="宋体" w:hAnsi="宋体" w:cs="宋体" w:eastAsia="宋体" w:hint="default"/>
                <w:position w:val="-33"/>
                <w:sz w:val="20"/>
                <w:szCs w:val="20"/>
              </w:rPr>
            </w:r>
          </w:p>
          <w:p>
            <w:pPr>
              <w:pStyle w:val="TableParagraph"/>
              <w:spacing w:line="240" w:lineRule="auto" w:before="158"/>
              <w:ind w:left="496" w:right="0"/>
              <w:jc w:val="left"/>
              <w:rPr>
                <w:rFonts w:ascii="宋体" w:hAnsi="宋体" w:cs="宋体" w:eastAsia="宋体" w:hint="default"/>
                <w:sz w:val="21"/>
                <w:szCs w:val="21"/>
              </w:rPr>
            </w:pPr>
            <w:r>
              <w:rPr>
                <w:rFonts w:ascii="宋体" w:hAnsi="宋体" w:cs="宋体" w:eastAsia="宋体" w:hint="default"/>
                <w:b/>
                <w:bCs/>
                <w:sz w:val="21"/>
                <w:szCs w:val="21"/>
              </w:rPr>
              <w:t>汽车取证大师</w:t>
            </w:r>
            <w:r>
              <w:rPr>
                <w:rFonts w:ascii="宋体" w:hAnsi="宋体" w:cs="宋体" w:eastAsia="宋体" w:hint="default"/>
                <w:sz w:val="21"/>
                <w:szCs w:val="21"/>
              </w:rPr>
            </w:r>
          </w:p>
        </w:tc>
        <w:tc>
          <w:tcPr>
            <w:tcW w:w="25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6"/>
                <w:szCs w:val="6"/>
              </w:rPr>
            </w:pPr>
          </w:p>
          <w:p>
            <w:pPr>
              <w:pStyle w:val="TableParagraph"/>
              <w:spacing w:line="1709" w:lineRule="exact"/>
              <w:ind w:left="412" w:right="0"/>
              <w:jc w:val="left"/>
              <w:rPr>
                <w:rFonts w:ascii="宋体" w:hAnsi="宋体" w:cs="宋体" w:eastAsia="宋体" w:hint="default"/>
                <w:sz w:val="20"/>
                <w:szCs w:val="20"/>
              </w:rPr>
            </w:pPr>
            <w:r>
              <w:rPr>
                <w:rFonts w:ascii="宋体" w:hAnsi="宋体" w:cs="宋体" w:eastAsia="宋体" w:hint="default"/>
                <w:position w:val="-33"/>
                <w:sz w:val="20"/>
                <w:szCs w:val="20"/>
              </w:rPr>
              <w:drawing>
                <wp:inline distT="0" distB="0" distL="0" distR="0">
                  <wp:extent cx="1089090" cy="1085278"/>
                  <wp:effectExtent l="0" t="0" r="0" b="0"/>
                  <wp:docPr id="9" name="image6.png" descr="?"/>
                  <wp:cNvGraphicFramePr>
                    <a:graphicFrameLocks noChangeAspect="1"/>
                  </wp:cNvGraphicFramePr>
                  <a:graphic>
                    <a:graphicData uri="http://schemas.openxmlformats.org/drawingml/2006/picture">
                      <pic:pic>
                        <pic:nvPicPr>
                          <pic:cNvPr id="10" name="image6.png"/>
                          <pic:cNvPicPr/>
                        </pic:nvPicPr>
                        <pic:blipFill>
                          <a:blip r:embed="rId15" cstate="print"/>
                          <a:stretch>
                            <a:fillRect/>
                          </a:stretch>
                        </pic:blipFill>
                        <pic:spPr>
                          <a:xfrm>
                            <a:off x="0" y="0"/>
                            <a:ext cx="1089090" cy="1085278"/>
                          </a:xfrm>
                          <a:prstGeom prst="rect">
                            <a:avLst/>
                          </a:prstGeom>
                        </pic:spPr>
                      </pic:pic>
                    </a:graphicData>
                  </a:graphic>
                </wp:inline>
              </w:drawing>
            </w:r>
            <w:r>
              <w:rPr>
                <w:rFonts w:ascii="宋体" w:hAnsi="宋体" w:cs="宋体" w:eastAsia="宋体" w:hint="default"/>
                <w:position w:val="-33"/>
                <w:sz w:val="20"/>
                <w:szCs w:val="20"/>
              </w:rPr>
            </w:r>
          </w:p>
          <w:p>
            <w:pPr>
              <w:pStyle w:val="TableParagraph"/>
              <w:spacing w:line="240" w:lineRule="auto" w:before="145"/>
              <w:ind w:left="743" w:right="0"/>
              <w:jc w:val="left"/>
              <w:rPr>
                <w:rFonts w:ascii="宋体" w:hAnsi="宋体" w:cs="宋体" w:eastAsia="宋体" w:hint="default"/>
                <w:sz w:val="21"/>
                <w:szCs w:val="21"/>
              </w:rPr>
            </w:pPr>
            <w:r>
              <w:rPr>
                <w:rFonts w:ascii="宋体" w:hAnsi="宋体" w:cs="宋体" w:eastAsia="宋体" w:hint="default"/>
                <w:b/>
                <w:bCs/>
                <w:sz w:val="21"/>
                <w:szCs w:val="21"/>
              </w:rPr>
              <w:t>物联网取证</w:t>
            </w:r>
            <w:r>
              <w:rPr>
                <w:rFonts w:ascii="宋体" w:hAnsi="宋体" w:cs="宋体" w:eastAsia="宋体" w:hint="default"/>
                <w:sz w:val="21"/>
                <w:szCs w:val="21"/>
              </w:rPr>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p>
      <w:pPr>
        <w:pStyle w:val="BodyText"/>
        <w:spacing w:line="408" w:lineRule="auto" w:before="36"/>
        <w:ind w:right="986" w:firstLine="316"/>
        <w:jc w:val="left"/>
      </w:pPr>
      <w:r>
        <w:rPr>
          <w:rFonts w:ascii="宋体" w:hAnsi="宋体" w:cs="宋体" w:eastAsia="宋体" w:hint="default"/>
          <w:b/>
          <w:bCs/>
          <w:spacing w:val="-5"/>
        </w:rPr>
        <w:t>（</w:t>
      </w:r>
      <w:r>
        <w:rPr>
          <w:rFonts w:ascii="宋体" w:hAnsi="宋体" w:cs="宋体" w:eastAsia="宋体" w:hint="default"/>
          <w:b/>
          <w:bCs/>
          <w:spacing w:val="-5"/>
        </w:rPr>
        <w:t>2</w:t>
      </w:r>
      <w:r>
        <w:rPr>
          <w:rFonts w:ascii="宋体" w:hAnsi="宋体" w:cs="宋体" w:eastAsia="宋体" w:hint="default"/>
          <w:b/>
          <w:bCs/>
          <w:spacing w:val="-5"/>
        </w:rPr>
        <w:t>）大数据智能化产品：</w:t>
      </w:r>
      <w:r>
        <w:rPr>
          <w:spacing w:val="-5"/>
        </w:rPr>
        <w:t>建设“大数据中台”，实现数据与应用的分层解耦，进行接入、分析、治理、</w:t>
      </w:r>
      <w:r>
        <w:rPr>
          <w:w w:val="100"/>
        </w:rPr>
        <w:t> </w:t>
      </w:r>
      <w:r>
        <w:rPr/>
        <w:t>组织和服务，沉淀公共的数据，打通数据共享通道，并依托大数据、“大数据</w:t>
      </w:r>
      <w:r>
        <w:rPr>
          <w:rFonts w:ascii="宋体" w:hAnsi="宋体" w:cs="宋体" w:eastAsia="宋体" w:hint="default"/>
        </w:rPr>
        <w:t>+AI</w:t>
      </w:r>
      <w:r>
        <w:rPr/>
        <w:t>”等技术，对平台数据</w:t>
      </w:r>
      <w:r>
        <w:rPr>
          <w:spacing w:val="-28"/>
        </w:rPr>
        <w:t> </w:t>
      </w:r>
      <w:r>
        <w:rPr>
          <w:spacing w:val="-28"/>
        </w:rPr>
      </w:r>
      <w:r>
        <w:rPr>
          <w:spacing w:val="-5"/>
        </w:rPr>
        <w:t>进行获取、分析及应用，提升客户数据智能化执法能力。大数据中台是通过优化数据模型、提升数据治理，</w:t>
      </w:r>
      <w:r>
        <w:rPr>
          <w:spacing w:val="-10"/>
        </w:rPr>
        <w:t> </w:t>
      </w:r>
      <w:r>
        <w:rPr>
          <w:spacing w:val="-10"/>
        </w:rPr>
      </w:r>
      <w:r>
        <w:rPr>
          <w:spacing w:val="-2"/>
        </w:rPr>
        <w:t>将数据抽象封装成服务，支撑应用前台提升业务价值。现阶段重点发展公安大数据中台，并逐步向社会治</w:t>
      </w:r>
      <w:r>
        <w:rPr>
          <w:spacing w:val="-42"/>
        </w:rPr>
        <w:t> </w:t>
      </w:r>
      <w:r>
        <w:rPr>
          <w:spacing w:val="-42"/>
        </w:rPr>
      </w:r>
      <w:r>
        <w:rPr/>
        <w:t>理大数据中台发展，满足国家对社会治理智能化的需求。</w:t>
      </w:r>
    </w:p>
    <w:p>
      <w:pPr>
        <w:pStyle w:val="BodyText"/>
        <w:spacing w:line="408" w:lineRule="auto"/>
        <w:ind w:right="986" w:firstLine="420"/>
        <w:jc w:val="left"/>
      </w:pPr>
      <w:r>
        <w:rPr>
          <w:spacing w:val="-2"/>
        </w:rPr>
        <w:t>报告期内：公司持续加大在大数据产品研发及市场推广的投入，并依托人工智能技术，深入挖掘大数</w:t>
      </w:r>
      <w:r>
        <w:rPr>
          <w:w w:val="100"/>
        </w:rPr>
        <w:t> </w:t>
      </w:r>
      <w:r>
        <w:rPr>
          <w:spacing w:val="-2"/>
        </w:rPr>
        <w:t>据的核心价值，实现大数据智能化高端应用。公司大数据智能化业务从数据体系建设、融合开放、技术创</w:t>
      </w:r>
      <w:r>
        <w:rPr>
          <w:spacing w:val="-47"/>
        </w:rPr>
        <w:t> </w:t>
      </w:r>
      <w:r>
        <w:rPr>
          <w:spacing w:val="-47"/>
        </w:rPr>
      </w:r>
      <w:r>
        <w:rPr>
          <w:spacing w:val="-2"/>
        </w:rPr>
        <w:t>新和人才培养四个方面着力，实现数据、业务、技术、管理有机融合。在数据整合过程中，充分发挥数据</w:t>
      </w:r>
      <w:r>
        <w:rPr>
          <w:spacing w:val="-42"/>
        </w:rPr>
        <w:t> </w:t>
      </w:r>
      <w:r>
        <w:rPr>
          <w:spacing w:val="-42"/>
        </w:rPr>
      </w:r>
      <w:r>
        <w:rPr>
          <w:spacing w:val="-2"/>
        </w:rPr>
        <w:t>作用，贴近客户业务需求和实战要求。公司大数据智能化业务主要包括公安大数据、政府大数据和民生大</w:t>
      </w:r>
      <w:r>
        <w:rPr>
          <w:spacing w:val="-43"/>
        </w:rPr>
        <w:t> </w:t>
      </w:r>
      <w:r>
        <w:rPr>
          <w:spacing w:val="-43"/>
        </w:rPr>
      </w:r>
      <w:r>
        <w:rPr/>
        <w:t>数据。其中，“公安大数据平台”，依托公司多年的大数据跨行业经验，通过打通各警种通道数据壁垒，</w:t>
      </w:r>
      <w:r>
        <w:rPr>
          <w:w w:val="100"/>
        </w:rPr>
        <w:t> </w:t>
      </w:r>
      <w:r>
        <w:rPr/>
        <w:t>汇聚融合数据资源，协助客户提升数据治理及服务大众的能力。政府大数据领域，公司建设的 “城市公</w:t>
      </w:r>
      <w:r>
        <w:rPr>
          <w:spacing w:val="-26"/>
        </w:rPr>
        <w:t> </w:t>
      </w:r>
      <w:r>
        <w:rPr>
          <w:spacing w:val="-26"/>
        </w:rPr>
      </w:r>
      <w:r>
        <w:rPr>
          <w:spacing w:val="-5"/>
        </w:rPr>
        <w:t>共安全管理平台”，主要为公共安全管理提供统筹研判、预防预警、协调等功能服务，助力智慧城市建设，</w:t>
      </w:r>
      <w:r>
        <w:rPr>
          <w:spacing w:val="-6"/>
        </w:rPr>
        <w:t> </w:t>
      </w:r>
      <w:r>
        <w:rPr>
          <w:spacing w:val="-6"/>
        </w:rPr>
      </w:r>
      <w:r>
        <w:rPr>
          <w:spacing w:val="-2"/>
        </w:rPr>
        <w:t>目前已进入厦门、沈阳、临夏等地市。同时公司的大数据平台也在公安、海关、税务、市场监督、监察委</w:t>
      </w:r>
      <w:r>
        <w:rPr>
          <w:spacing w:val="-45"/>
        </w:rPr>
        <w:t> </w:t>
      </w:r>
      <w:r>
        <w:rPr>
          <w:spacing w:val="-45"/>
        </w:rPr>
      </w:r>
      <w:r>
        <w:rPr>
          <w:spacing w:val="-2"/>
        </w:rPr>
        <w:t>等司法机关和行政执法部门应用和推广，</w:t>
      </w:r>
      <w:r>
        <w:rPr>
          <w:rFonts w:ascii="宋体" w:hAnsi="宋体" w:cs="宋体" w:eastAsia="宋体" w:hint="default"/>
          <w:spacing w:val="-2"/>
        </w:rPr>
        <w:t>2019</w:t>
      </w:r>
      <w:r>
        <w:rPr>
          <w:spacing w:val="-2"/>
        </w:rPr>
        <w:t>年公司还中标国家税务总局大数据平台建设。“民生大数据</w:t>
      </w:r>
      <w:r>
        <w:rPr>
          <w:spacing w:val="-40"/>
        </w:rPr>
        <w:t> </w:t>
      </w:r>
      <w:r>
        <w:rPr>
          <w:spacing w:val="-40"/>
        </w:rPr>
      </w:r>
      <w:r>
        <w:rPr/>
        <w:t>平台”，实现“线上综合数据平台</w:t>
      </w:r>
      <w:r>
        <w:rPr>
          <w:rFonts w:ascii="宋体" w:hAnsi="宋体" w:cs="宋体" w:eastAsia="宋体" w:hint="default"/>
        </w:rPr>
        <w:t>+</w:t>
      </w:r>
      <w:r>
        <w:rPr/>
        <w:t>放管服客户终端”综合服务的解决方案，主要服务于政务部门。</w:t>
      </w:r>
    </w:p>
    <w:p>
      <w:pPr>
        <w:pStyle w:val="BodyText"/>
        <w:spacing w:line="408" w:lineRule="auto"/>
        <w:ind w:right="986" w:firstLine="316"/>
        <w:jc w:val="left"/>
      </w:pPr>
      <w:r>
        <w:rPr>
          <w:rFonts w:ascii="宋体" w:hAnsi="宋体" w:cs="宋体" w:eastAsia="宋体" w:hint="default"/>
          <w:b/>
          <w:bCs/>
        </w:rPr>
        <w:t>（</w:t>
      </w:r>
      <w:r>
        <w:rPr>
          <w:rFonts w:ascii="宋体" w:hAnsi="宋体" w:cs="宋体" w:eastAsia="宋体" w:hint="default"/>
          <w:b/>
          <w:bCs/>
        </w:rPr>
        <w:t>3</w:t>
      </w:r>
      <w:r>
        <w:rPr>
          <w:rFonts w:ascii="宋体" w:hAnsi="宋体" w:cs="宋体" w:eastAsia="宋体" w:hint="default"/>
          <w:b/>
          <w:bCs/>
        </w:rPr>
        <w:t>）网络空间安全产品：</w:t>
      </w:r>
      <w:r>
        <w:rPr/>
        <w:t>依托于公司的超级计算中心，应用大数据、大搜索等技术汇聚互联网数据及</w:t>
      </w:r>
      <w:r>
        <w:rPr>
          <w:w w:val="100"/>
        </w:rPr>
        <w:t> </w:t>
      </w:r>
      <w:r>
        <w:rPr>
          <w:spacing w:val="-2"/>
        </w:rPr>
        <w:t>其他数据资源，为网络空间安全治理提供网络舆情分析、金融风险监测、网络市场监管、社会信用综合服</w:t>
      </w:r>
      <w:r>
        <w:rPr>
          <w:spacing w:val="-47"/>
        </w:rPr>
        <w:t> </w:t>
      </w:r>
      <w:r>
        <w:rPr>
          <w:spacing w:val="-47"/>
        </w:rPr>
      </w:r>
      <w:r>
        <w:rPr>
          <w:spacing w:val="-5"/>
        </w:rPr>
        <w:t>务等解决方案。近年来公司增加了开源情报方向的研发投入，形成开源情报解决方案，实现从采集、刻画、</w:t>
      </w:r>
      <w:r>
        <w:rPr>
          <w:spacing w:val="-10"/>
        </w:rPr>
        <w:t> </w:t>
      </w:r>
      <w:r>
        <w:rPr>
          <w:spacing w:val="-10"/>
        </w:rPr>
      </w:r>
      <w:r>
        <w:rPr>
          <w:spacing w:val="-2"/>
        </w:rPr>
        <w:t>应对及评估为一体的产品体系，形成有效的业务闭环，为客户的情报分析、战略决策、危机应对提供了支</w:t>
      </w:r>
      <w:r>
        <w:rPr>
          <w:spacing w:val="-47"/>
        </w:rPr>
        <w:t> </w:t>
      </w:r>
      <w:r>
        <w:rPr>
          <w:spacing w:val="-47"/>
        </w:rPr>
      </w:r>
      <w:r>
        <w:rPr/>
        <w:t>撑。</w:t>
      </w:r>
    </w:p>
    <w:p>
      <w:pPr>
        <w:pStyle w:val="BodyText"/>
        <w:spacing w:line="408" w:lineRule="auto"/>
        <w:ind w:right="1106" w:firstLine="420"/>
        <w:jc w:val="both"/>
      </w:pPr>
      <w:r>
        <w:rPr>
          <w:spacing w:val="-2"/>
        </w:rPr>
        <w:t>报告期内，充分发挥“公安大数据平台”的资源优势，利用人工智能、知识图谱与自然语言处理等技</w:t>
      </w:r>
      <w:r>
        <w:rPr>
          <w:w w:val="100"/>
        </w:rPr>
        <w:t> </w:t>
      </w:r>
      <w:r>
        <w:rPr>
          <w:spacing w:val="-2"/>
        </w:rPr>
        <w:t>术，进一步提升了公司网络空间安全产品与服务能力。如：完成舆情监测平台升级，提升目标信息发现、</w:t>
      </w:r>
      <w:r>
        <w:rPr>
          <w:spacing w:val="-21"/>
        </w:rPr>
        <w:t> </w:t>
      </w:r>
      <w:r>
        <w:rPr>
          <w:spacing w:val="-21"/>
        </w:rPr>
      </w:r>
      <w:r>
        <w:rPr/>
        <w:t>分析、搜集及整理等能力；推出了鑫智业务应用平台，完成了多项业务应用模型的研发。</w:t>
      </w:r>
    </w:p>
    <w:p>
      <w:pPr>
        <w:spacing w:after="0" w:line="408" w:lineRule="auto"/>
        <w:jc w:val="both"/>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986" w:firstLine="422"/>
        <w:jc w:val="left"/>
      </w:pPr>
      <w:r>
        <w:rPr>
          <w:rFonts w:ascii="宋体" w:hAnsi="宋体" w:cs="宋体" w:eastAsia="宋体" w:hint="default"/>
          <w:b/>
          <w:bCs/>
        </w:rPr>
        <w:t>（</w:t>
      </w:r>
      <w:r>
        <w:rPr>
          <w:rFonts w:ascii="宋体" w:hAnsi="宋体" w:cs="宋体" w:eastAsia="宋体" w:hint="default"/>
          <w:b/>
          <w:bCs/>
        </w:rPr>
        <w:t>4</w:t>
      </w:r>
      <w:r>
        <w:rPr>
          <w:rFonts w:ascii="宋体" w:hAnsi="宋体" w:cs="宋体" w:eastAsia="宋体" w:hint="default"/>
          <w:b/>
          <w:bCs/>
        </w:rPr>
        <w:t>）智能执法与便民设备：</w:t>
      </w:r>
      <w:r>
        <w:rPr/>
        <w:t>集公司取证、大数据、人工智能和信息化等相关技术，应用于政府执法</w:t>
      </w:r>
      <w:r>
        <w:rPr>
          <w:w w:val="100"/>
        </w:rPr>
        <w:t> </w:t>
      </w:r>
      <w:r>
        <w:rPr/>
        <w:t>单位和行政管理部门特定业务场景下的各种智能执法和便民设备。</w:t>
      </w:r>
    </w:p>
    <w:p>
      <w:pPr>
        <w:pStyle w:val="BodyText"/>
        <w:spacing w:line="408" w:lineRule="auto"/>
        <w:ind w:right="986" w:firstLine="419"/>
        <w:jc w:val="left"/>
      </w:pPr>
      <w:r>
        <w:rPr>
          <w:spacing w:val="-5"/>
        </w:rPr>
        <w:t>报告期内，全资子公司新德汇利用自身行业优势及技术力量，立足于国家“放管服”政策和便民措施，</w:t>
      </w:r>
      <w:r>
        <w:rPr>
          <w:spacing w:val="-3"/>
          <w:w w:val="100"/>
        </w:rPr>
        <w:t> </w:t>
      </w:r>
      <w:r>
        <w:rPr>
          <w:spacing w:val="-2"/>
        </w:rPr>
        <w:t>完成了</w:t>
      </w:r>
      <w:r>
        <w:rPr>
          <w:rFonts w:ascii="宋体" w:hAnsi="宋体" w:cs="宋体" w:eastAsia="宋体" w:hint="default"/>
          <w:spacing w:val="-2"/>
        </w:rPr>
        <w:t>60</w:t>
      </w:r>
      <w:r>
        <w:rPr>
          <w:spacing w:val="-2"/>
        </w:rPr>
        <w:t>多个出入境智慧办证大厅的建设，研发推出“照片质量人工检测平台”、“智慧受理台”、“户</w:t>
      </w:r>
      <w:r>
        <w:rPr>
          <w:spacing w:val="-45"/>
        </w:rPr>
        <w:t> </w:t>
      </w:r>
      <w:r>
        <w:rPr>
          <w:spacing w:val="-45"/>
        </w:rPr>
      </w:r>
      <w:r>
        <w:rPr>
          <w:spacing w:val="-2"/>
        </w:rPr>
        <w:t>政自助办理一体机”、“交管三合一自助机”、“自助拍照受理一体机”等新产品，并完成了“政务自助</w:t>
      </w:r>
      <w:r>
        <w:rPr>
          <w:spacing w:val="-47"/>
        </w:rPr>
        <w:t> </w:t>
      </w:r>
      <w:r>
        <w:rPr>
          <w:spacing w:val="-47"/>
        </w:rPr>
      </w:r>
      <w:r>
        <w:rPr>
          <w:spacing w:val="-3"/>
        </w:rPr>
        <w:t>服务一体机”、“驾考无纸化系统”、“机动车智能制证一体机”、“车驾宝”、自助产品“驾考无纸化</w:t>
      </w:r>
      <w:r>
        <w:rPr>
          <w:spacing w:val="-5"/>
        </w:rPr>
        <w:t> </w:t>
      </w:r>
      <w:r>
        <w:rPr>
          <w:spacing w:val="-5"/>
        </w:rPr>
      </w:r>
      <w:r>
        <w:rPr>
          <w:spacing w:val="-3"/>
        </w:rPr>
        <w:t>系统”的上线，加强了对“民生自助终端”产品的研究，打造高品质民生装备。全资子公司江苏税软，针</w:t>
      </w:r>
      <w:r>
        <w:rPr>
          <w:spacing w:val="-5"/>
        </w:rPr>
        <w:t> </w:t>
      </w:r>
      <w:r>
        <w:rPr>
          <w:spacing w:val="-5"/>
        </w:rPr>
        <w:t>对国地税合并后带来的税务稽查装备化、信息化的发展机会，及时调整业务线，在深耕原有税务稽查软件、</w:t>
      </w:r>
      <w:r>
        <w:rPr>
          <w:spacing w:val="-4"/>
        </w:rPr>
        <w:t> </w:t>
      </w:r>
      <w:r>
        <w:rPr>
          <w:spacing w:val="-4"/>
        </w:rPr>
      </w:r>
      <w:r>
        <w:rPr>
          <w:spacing w:val="-2"/>
        </w:rPr>
        <w:t>电子查账软件的基础上，推出新税务稽查执法设备，并参与税务稽查指挥实验室等方面的建设。公司“智</w:t>
      </w:r>
      <w:r>
        <w:rPr>
          <w:spacing w:val="-48"/>
        </w:rPr>
        <w:t> </w:t>
      </w:r>
      <w:r>
        <w:rPr>
          <w:spacing w:val="-48"/>
        </w:rPr>
      </w:r>
      <w:r>
        <w:rPr/>
        <w:t>慧警务机器人”在疫情防控期间，协助执勤人员进行温度测量和防疫知识宣导。</w:t>
      </w:r>
    </w:p>
    <w:p>
      <w:pPr>
        <w:pStyle w:val="BodyText"/>
        <w:spacing w:line="408" w:lineRule="auto"/>
        <w:ind w:right="986" w:firstLine="422"/>
        <w:jc w:val="left"/>
      </w:pPr>
      <w:r>
        <w:rPr>
          <w:rFonts w:ascii="宋体" w:hAnsi="宋体" w:cs="宋体" w:eastAsia="宋体" w:hint="default"/>
          <w:b/>
          <w:bCs/>
          <w:spacing w:val="-5"/>
        </w:rPr>
        <w:t>（</w:t>
      </w:r>
      <w:r>
        <w:rPr>
          <w:rFonts w:ascii="宋体" w:hAnsi="宋体" w:cs="宋体" w:eastAsia="宋体" w:hint="default"/>
          <w:b/>
          <w:bCs/>
          <w:spacing w:val="-5"/>
        </w:rPr>
        <w:t>5</w:t>
      </w:r>
      <w:r>
        <w:rPr>
          <w:rFonts w:ascii="宋体" w:hAnsi="宋体" w:cs="宋体" w:eastAsia="宋体" w:hint="default"/>
          <w:b/>
          <w:bCs/>
          <w:spacing w:val="-5"/>
        </w:rPr>
        <w:t>）服务业务：</w:t>
      </w:r>
      <w:r>
        <w:rPr>
          <w:spacing w:val="-5"/>
        </w:rPr>
        <w:t>公司的四大服务由四大产品衍生而来，包括存证云</w:t>
      </w:r>
      <w:r>
        <w:rPr>
          <w:rFonts w:ascii="宋体" w:hAnsi="宋体" w:cs="宋体" w:eastAsia="宋体" w:hint="default"/>
          <w:spacing w:val="-5"/>
        </w:rPr>
        <w:t>+</w:t>
      </w:r>
      <w:r>
        <w:rPr>
          <w:spacing w:val="-5"/>
        </w:rPr>
        <w:t>、网络空间安全服务、数据服务、</w:t>
      </w:r>
      <w:r>
        <w:rPr>
          <w:w w:val="100"/>
        </w:rPr>
        <w:t> </w:t>
      </w:r>
      <w:r>
        <w:rPr/>
        <w:t>培训及技术支持增值服务。</w:t>
      </w:r>
    </w:p>
    <w:p>
      <w:pPr>
        <w:pStyle w:val="BodyText"/>
        <w:spacing w:line="408" w:lineRule="auto"/>
        <w:ind w:left="153" w:right="1127" w:firstLine="419"/>
        <w:jc w:val="both"/>
      </w:pPr>
      <w:r>
        <w:rPr>
          <w:spacing w:val="-2"/>
        </w:rPr>
        <w:t>报告期内：存证云</w:t>
      </w:r>
      <w:r>
        <w:rPr>
          <w:rFonts w:ascii="宋体" w:hAnsi="宋体" w:cs="宋体" w:eastAsia="宋体" w:hint="default"/>
          <w:spacing w:val="-2"/>
        </w:rPr>
        <w:t>+</w:t>
      </w:r>
      <w:r>
        <w:rPr>
          <w:spacing w:val="-2"/>
        </w:rPr>
        <w:t>，即“公证</w:t>
      </w:r>
      <w:r>
        <w:rPr>
          <w:rFonts w:ascii="宋体" w:hAnsi="宋体" w:cs="宋体" w:eastAsia="宋体" w:hint="default"/>
          <w:spacing w:val="-2"/>
        </w:rPr>
        <w:t>+</w:t>
      </w:r>
      <w:r>
        <w:rPr>
          <w:spacing w:val="-2"/>
        </w:rPr>
        <w:t>鉴定”电子证据综合服务平台，加大了企业客户的拓展力度，覆盖互</w:t>
      </w:r>
      <w:r>
        <w:rPr>
          <w:w w:val="100"/>
        </w:rPr>
        <w:t> </w:t>
      </w:r>
      <w:r>
        <w:rPr>
          <w:spacing w:val="-2"/>
        </w:rPr>
        <w:t>联网、法律、科技</w:t>
      </w:r>
      <w:r>
        <w:rPr>
          <w:rFonts w:ascii="宋体" w:hAnsi="宋体" w:cs="宋体" w:eastAsia="宋体" w:hint="default"/>
          <w:spacing w:val="-2"/>
        </w:rPr>
        <w:t>IT</w:t>
      </w:r>
      <w:r>
        <w:rPr>
          <w:spacing w:val="-2"/>
        </w:rPr>
        <w:t>、旅游、金融、银行、政府事业单位、医疗、制造等多行业；持续为政府和企业提供</w:t>
      </w:r>
      <w:r>
        <w:rPr>
          <w:spacing w:val="-49"/>
        </w:rPr>
        <w:t> </w:t>
      </w:r>
      <w:r>
        <w:rPr>
          <w:spacing w:val="-49"/>
        </w:rPr>
      </w:r>
      <w:r>
        <w:rPr>
          <w:spacing w:val="-2"/>
        </w:rPr>
        <w:t>舆情监测、大数据分析、专题研究、舆情应对咨询等网络空间安全服务；为政府和企事业单位在海量、高</w:t>
      </w:r>
      <w:r>
        <w:rPr>
          <w:spacing w:val="-43"/>
        </w:rPr>
        <w:t> </w:t>
      </w:r>
      <w:r>
        <w:rPr>
          <w:spacing w:val="-43"/>
        </w:rPr>
      </w:r>
      <w:r>
        <w:rPr>
          <w:spacing w:val="-2"/>
        </w:rPr>
        <w:t>增长率和多样化的大数据资产中快速获得有价值的数据；美亚信息安全学院不断优化培训课程，加强新产</w:t>
      </w:r>
      <w:r>
        <w:rPr>
          <w:spacing w:val="-42"/>
        </w:rPr>
        <w:t> </w:t>
      </w:r>
      <w:r>
        <w:rPr>
          <w:spacing w:val="-42"/>
        </w:rPr>
      </w:r>
      <w:r>
        <w:rPr/>
        <w:t>品新技术宣导，并将培训模式复制到集团内各分子公司，</w:t>
      </w:r>
      <w:r>
        <w:rPr>
          <w:rFonts w:ascii="宋体" w:hAnsi="宋体" w:cs="宋体" w:eastAsia="宋体" w:hint="default"/>
        </w:rPr>
        <w:t>2019</w:t>
      </w:r>
      <w:r>
        <w:rPr/>
        <w:t>年集团累计培训约</w:t>
      </w:r>
      <w:r>
        <w:rPr>
          <w:rFonts w:ascii="宋体" w:hAnsi="宋体" w:cs="宋体" w:eastAsia="宋体" w:hint="default"/>
        </w:rPr>
        <w:t>4</w:t>
      </w:r>
      <w:r>
        <w:rPr/>
        <w:t>万人次；秉承“以客户</w:t>
      </w:r>
      <w:r>
        <w:rPr>
          <w:spacing w:val="-28"/>
        </w:rPr>
        <w:t> </w:t>
      </w:r>
      <w:r>
        <w:rPr>
          <w:spacing w:val="-28"/>
        </w:rPr>
      </w:r>
      <w:r>
        <w:rPr>
          <w:spacing w:val="-2"/>
        </w:rPr>
        <w:t>为中心”的服务宗旨，在全国各地设立</w:t>
      </w:r>
      <w:r>
        <w:rPr>
          <w:rFonts w:ascii="宋体" w:hAnsi="宋体" w:cs="宋体" w:eastAsia="宋体" w:hint="default"/>
          <w:spacing w:val="-2"/>
        </w:rPr>
        <w:t>20</w:t>
      </w:r>
      <w:r>
        <w:rPr>
          <w:spacing w:val="-2"/>
        </w:rPr>
        <w:t>多个分支机构，为客户提供</w:t>
      </w:r>
      <w:r>
        <w:rPr>
          <w:rFonts w:ascii="宋体" w:hAnsi="宋体" w:cs="宋体" w:eastAsia="宋体" w:hint="default"/>
          <w:spacing w:val="-2"/>
        </w:rPr>
        <w:t>7*24</w:t>
      </w:r>
      <w:r>
        <w:rPr>
          <w:spacing w:val="-2"/>
        </w:rPr>
        <w:t>小时人工在线技术支持服务，不</w:t>
      </w:r>
      <w:r>
        <w:rPr>
          <w:spacing w:val="-40"/>
        </w:rPr>
        <w:t> </w:t>
      </w:r>
      <w:r>
        <w:rPr>
          <w:spacing w:val="-40"/>
        </w:rPr>
      </w:r>
      <w:r>
        <w:rPr/>
        <w:t>断提升客户服务满意度。</w:t>
      </w:r>
    </w:p>
    <w:p>
      <w:pPr>
        <w:spacing w:line="240" w:lineRule="auto" w:before="6"/>
        <w:rPr>
          <w:rFonts w:ascii="宋体" w:hAnsi="宋体" w:cs="宋体" w:eastAsia="宋体" w:hint="default"/>
          <w:sz w:val="15"/>
          <w:szCs w:val="15"/>
        </w:rPr>
      </w:pPr>
    </w:p>
    <w:p>
      <w:pPr>
        <w:pStyle w:val="Heading4"/>
        <w:spacing w:line="240" w:lineRule="auto"/>
        <w:ind w:left="589" w:right="986"/>
        <w:jc w:val="left"/>
        <w:rPr>
          <w:b w:val="0"/>
          <w:bCs w:val="0"/>
        </w:rPr>
      </w:pPr>
      <w:r>
        <w:rPr/>
        <w:t>（二）公司所属行业特点及地位</w:t>
      </w:r>
      <w:r>
        <w:rPr>
          <w:b w:val="0"/>
          <w:bCs w:val="0"/>
        </w:rPr>
      </w:r>
    </w:p>
    <w:p>
      <w:pPr>
        <w:spacing w:line="240" w:lineRule="auto" w:before="9"/>
        <w:rPr>
          <w:rFonts w:ascii="宋体" w:hAnsi="宋体" w:cs="宋体" w:eastAsia="宋体" w:hint="default"/>
          <w:b/>
          <w:bCs/>
          <w:sz w:val="26"/>
          <w:szCs w:val="26"/>
        </w:rPr>
      </w:pPr>
    </w:p>
    <w:p>
      <w:pPr>
        <w:pStyle w:val="BodyText"/>
        <w:spacing w:line="408" w:lineRule="auto" w:before="0"/>
        <w:ind w:right="1129" w:firstLine="436"/>
        <w:jc w:val="left"/>
      </w:pPr>
      <w:r>
        <w:rPr>
          <w:spacing w:val="-3"/>
        </w:rPr>
        <w:t>公司是国内电子数据取证行业的龙头企业，网络空间安全及大数据智能化专家。根据中国证监会发布</w:t>
      </w:r>
      <w:r>
        <w:rPr>
          <w:spacing w:val="-3"/>
          <w:w w:val="100"/>
        </w:rPr>
        <w:t> </w:t>
      </w:r>
      <w:r>
        <w:rPr>
          <w:spacing w:val="9"/>
        </w:rPr>
        <w:t>的《</w:t>
      </w:r>
      <w:r>
        <w:rPr>
          <w:spacing w:val="-64"/>
        </w:rPr>
        <w:t> </w:t>
      </w:r>
      <w:r>
        <w:rPr>
          <w:spacing w:val="16"/>
        </w:rPr>
        <w:t>上市公司行业分类指引》（</w:t>
      </w:r>
      <w:r>
        <w:rPr>
          <w:spacing w:val="-64"/>
        </w:rPr>
        <w:t> </w:t>
      </w:r>
      <w:r>
        <w:rPr>
          <w:rFonts w:ascii="宋体" w:hAnsi="宋体" w:cs="宋体" w:eastAsia="宋体" w:hint="default"/>
        </w:rPr>
        <w:t>2012</w:t>
      </w:r>
      <w:r>
        <w:rPr>
          <w:rFonts w:ascii="宋体" w:hAnsi="宋体" w:cs="宋体" w:eastAsia="宋体" w:hint="default"/>
          <w:spacing w:val="-68"/>
        </w:rPr>
        <w:t> </w:t>
      </w:r>
      <w:r>
        <w:rPr>
          <w:spacing w:val="16"/>
        </w:rPr>
        <w:t>年修订）及国家统计局</w:t>
      </w:r>
      <w:r>
        <w:rPr>
          <w:spacing w:val="-64"/>
        </w:rPr>
        <w:t> </w:t>
      </w:r>
      <w:r>
        <w:rPr>
          <w:rFonts w:ascii="宋体" w:hAnsi="宋体" w:cs="宋体" w:eastAsia="宋体" w:hint="default"/>
        </w:rPr>
        <w:t>2011</w:t>
      </w:r>
      <w:r>
        <w:rPr>
          <w:rFonts w:ascii="宋体" w:hAnsi="宋体" w:cs="宋体" w:eastAsia="宋体" w:hint="default"/>
          <w:spacing w:val="-68"/>
        </w:rPr>
        <w:t> </w:t>
      </w:r>
      <w:r>
        <w:rPr>
          <w:spacing w:val="17"/>
        </w:rPr>
        <w:t>年公布的《国民经济行业分类》</w:t>
      </w:r>
    </w:p>
    <w:p>
      <w:pPr>
        <w:pStyle w:val="BodyText"/>
        <w:spacing w:line="240" w:lineRule="auto"/>
        <w:ind w:left="153" w:right="986"/>
        <w:jc w:val="left"/>
      </w:pPr>
      <w:r>
        <w:rPr/>
        <w:t>（</w:t>
      </w:r>
      <w:r>
        <w:rPr>
          <w:rFonts w:ascii="宋体" w:hAnsi="宋体" w:cs="宋体" w:eastAsia="宋体" w:hint="default"/>
        </w:rPr>
        <w:t>GB/T4754-2011</w:t>
      </w:r>
      <w:r>
        <w:rPr/>
        <w:t>），公司所处行业为“软件和信息技术服务业”。</w:t>
      </w:r>
    </w:p>
    <w:p>
      <w:pPr>
        <w:spacing w:line="240" w:lineRule="auto" w:before="9"/>
        <w:rPr>
          <w:rFonts w:ascii="宋体" w:hAnsi="宋体" w:cs="宋体" w:eastAsia="宋体" w:hint="default"/>
          <w:sz w:val="26"/>
          <w:szCs w:val="26"/>
        </w:rPr>
      </w:pPr>
    </w:p>
    <w:p>
      <w:pPr>
        <w:pStyle w:val="BodyText"/>
        <w:spacing w:line="408" w:lineRule="auto" w:before="0"/>
        <w:ind w:right="1130" w:firstLine="437"/>
        <w:jc w:val="both"/>
      </w:pPr>
      <w:r>
        <w:rPr>
          <w:rFonts w:ascii="宋体" w:hAnsi="宋体" w:cs="宋体" w:eastAsia="宋体" w:hint="default"/>
          <w:b/>
          <w:bCs/>
        </w:rPr>
        <w:t>1</w:t>
      </w:r>
      <w:r>
        <w:rPr>
          <w:rFonts w:ascii="宋体" w:hAnsi="宋体" w:cs="宋体" w:eastAsia="宋体" w:hint="default"/>
          <w:b/>
          <w:bCs/>
        </w:rPr>
        <w:t>、软件和信息技术服务：</w:t>
      </w:r>
      <w:r>
        <w:rPr/>
        <w:t>根据工业和信息化部公布《</w:t>
      </w:r>
      <w:r>
        <w:rPr>
          <w:rFonts w:ascii="宋体" w:hAnsi="宋体" w:cs="宋体" w:eastAsia="宋体" w:hint="default"/>
        </w:rPr>
        <w:t>2019</w:t>
      </w:r>
      <w:r>
        <w:rPr/>
        <w:t>年软件和信息技术服务业统计公报》数据</w:t>
      </w:r>
      <w:r>
        <w:rPr>
          <w:w w:val="100"/>
        </w:rPr>
        <w:t> </w:t>
      </w:r>
      <w:r>
        <w:rPr>
          <w:spacing w:val="-6"/>
        </w:rPr>
        <w:t>显示，</w:t>
      </w:r>
      <w:r>
        <w:rPr>
          <w:rFonts w:ascii="宋体" w:hAnsi="宋体" w:cs="宋体" w:eastAsia="宋体" w:hint="default"/>
          <w:spacing w:val="-6"/>
        </w:rPr>
        <w:t>2019</w:t>
      </w:r>
      <w:r>
        <w:rPr>
          <w:spacing w:val="-6"/>
        </w:rPr>
        <w:t>年，我国软件和信息技术服务业呈现平稳向好态势发展，收入和利润均保持较快增长。其中</w:t>
      </w:r>
      <w:r>
        <w:rPr>
          <w:rFonts w:ascii="宋体" w:hAnsi="宋体" w:cs="宋体" w:eastAsia="宋体" w:hint="default"/>
          <w:spacing w:val="-6"/>
        </w:rPr>
        <w:t>2019</w:t>
      </w:r>
      <w:r>
        <w:rPr>
          <w:rFonts w:ascii="宋体" w:hAnsi="宋体" w:cs="宋体" w:eastAsia="宋体" w:hint="default"/>
          <w:spacing w:val="-46"/>
        </w:rPr>
        <w:t> </w:t>
      </w:r>
      <w:r>
        <w:rPr>
          <w:rFonts w:ascii="宋体" w:hAnsi="宋体" w:cs="宋体" w:eastAsia="宋体" w:hint="default"/>
          <w:spacing w:val="-46"/>
        </w:rPr>
      </w:r>
      <w:r>
        <w:rPr>
          <w:spacing w:val="-2"/>
        </w:rPr>
        <w:t>年，软件产品收入增长较快，实现收入</w:t>
      </w:r>
      <w:r>
        <w:rPr>
          <w:rFonts w:ascii="宋体" w:hAnsi="宋体" w:cs="宋体" w:eastAsia="宋体" w:hint="default"/>
          <w:spacing w:val="-2"/>
        </w:rPr>
        <w:t>20,067</w:t>
      </w:r>
      <w:r>
        <w:rPr>
          <w:spacing w:val="-2"/>
        </w:rPr>
        <w:t>亿元，同比增长</w:t>
      </w:r>
      <w:r>
        <w:rPr>
          <w:rFonts w:ascii="宋体" w:hAnsi="宋体" w:cs="宋体" w:eastAsia="宋体" w:hint="default"/>
          <w:spacing w:val="-2"/>
        </w:rPr>
        <w:t>12.5%</w:t>
      </w:r>
      <w:r>
        <w:rPr>
          <w:spacing w:val="-2"/>
        </w:rPr>
        <w:t>，占全行业比重为</w:t>
      </w:r>
      <w:r>
        <w:rPr>
          <w:rFonts w:ascii="宋体" w:hAnsi="宋体" w:cs="宋体" w:eastAsia="宋体" w:hint="default"/>
          <w:spacing w:val="-2"/>
        </w:rPr>
        <w:t>28.0%</w:t>
      </w:r>
      <w:r>
        <w:rPr>
          <w:spacing w:val="-2"/>
        </w:rPr>
        <w:t>。</w:t>
      </w:r>
      <w:r>
        <w:rPr>
          <w:rFonts w:ascii="宋体" w:hAnsi="宋体" w:cs="宋体" w:eastAsia="宋体" w:hint="default"/>
          <w:spacing w:val="-2"/>
        </w:rPr>
        <w:t>2019</w:t>
      </w:r>
      <w:r>
        <w:rPr>
          <w:spacing w:val="-2"/>
        </w:rPr>
        <w:t>年信息</w:t>
      </w:r>
      <w:r>
        <w:rPr>
          <w:spacing w:val="-31"/>
        </w:rPr>
        <w:t> </w:t>
      </w:r>
      <w:r>
        <w:rPr>
          <w:spacing w:val="-2"/>
        </w:rPr>
        <w:t>技术服务实现收入</w:t>
      </w:r>
      <w:r>
        <w:rPr>
          <w:rFonts w:ascii="宋体" w:hAnsi="宋体" w:cs="宋体" w:eastAsia="宋体" w:hint="default"/>
          <w:spacing w:val="-2"/>
        </w:rPr>
        <w:t>42,574</w:t>
      </w:r>
      <w:r>
        <w:rPr>
          <w:spacing w:val="-2"/>
        </w:rPr>
        <w:t>亿元，同比增长</w:t>
      </w:r>
      <w:r>
        <w:rPr>
          <w:rFonts w:ascii="宋体" w:hAnsi="宋体" w:cs="宋体" w:eastAsia="宋体" w:hint="default"/>
          <w:spacing w:val="-2"/>
        </w:rPr>
        <w:t>18.4%</w:t>
      </w:r>
      <w:r>
        <w:rPr>
          <w:spacing w:val="-2"/>
        </w:rPr>
        <w:t>，增速高出全行业平均水平</w:t>
      </w:r>
      <w:r>
        <w:rPr>
          <w:rFonts w:ascii="宋体" w:hAnsi="宋体" w:cs="宋体" w:eastAsia="宋体" w:hint="default"/>
          <w:spacing w:val="-2"/>
        </w:rPr>
        <w:t>3</w:t>
      </w:r>
      <w:r>
        <w:rPr>
          <w:spacing w:val="-2"/>
        </w:rPr>
        <w:t>个百分点，占全行业收入比重</w:t>
      </w:r>
      <w:r>
        <w:rPr>
          <w:spacing w:val="-37"/>
        </w:rPr>
        <w:t> </w:t>
      </w:r>
      <w:r>
        <w:rPr>
          <w:spacing w:val="-37"/>
        </w:rPr>
      </w:r>
      <w:r>
        <w:rPr>
          <w:spacing w:val="-6"/>
        </w:rPr>
        <w:t>为</w:t>
      </w:r>
      <w:r>
        <w:rPr>
          <w:rFonts w:ascii="宋体" w:hAnsi="宋体" w:cs="宋体" w:eastAsia="宋体" w:hint="default"/>
          <w:spacing w:val="-6"/>
        </w:rPr>
        <w:t>59.3%</w:t>
      </w:r>
      <w:r>
        <w:rPr>
          <w:spacing w:val="-6"/>
        </w:rPr>
        <w:t>。云服务、大数据服务共实现收入</w:t>
      </w:r>
      <w:r>
        <w:rPr>
          <w:rFonts w:ascii="宋体" w:hAnsi="宋体" w:cs="宋体" w:eastAsia="宋体" w:hint="default"/>
          <w:spacing w:val="-6"/>
        </w:rPr>
        <w:t>3,460</w:t>
      </w:r>
      <w:r>
        <w:rPr>
          <w:spacing w:val="-6"/>
        </w:rPr>
        <w:t>亿元，同比增长</w:t>
      </w:r>
      <w:r>
        <w:rPr>
          <w:rFonts w:ascii="宋体" w:hAnsi="宋体" w:cs="宋体" w:eastAsia="宋体" w:hint="default"/>
          <w:spacing w:val="-6"/>
        </w:rPr>
        <w:t>17.6%</w:t>
      </w:r>
      <w:r>
        <w:rPr>
          <w:spacing w:val="-6"/>
        </w:rPr>
        <w:t>。信息安全产品和服务实现收入</w:t>
      </w:r>
      <w:r>
        <w:rPr>
          <w:rFonts w:ascii="宋体" w:hAnsi="宋体" w:cs="宋体" w:eastAsia="宋体" w:hint="default"/>
          <w:spacing w:val="-6"/>
        </w:rPr>
        <w:t>1,308</w:t>
      </w:r>
      <w:r>
        <w:rPr>
          <w:rFonts w:ascii="宋体" w:hAnsi="宋体" w:cs="宋体" w:eastAsia="宋体" w:hint="default"/>
          <w:spacing w:val="-12"/>
        </w:rPr>
        <w:t> </w:t>
      </w:r>
      <w:r>
        <w:rPr>
          <w:rFonts w:ascii="宋体" w:hAnsi="宋体" w:cs="宋体" w:eastAsia="宋体" w:hint="default"/>
          <w:spacing w:val="-12"/>
        </w:rPr>
      </w:r>
      <w:r>
        <w:rPr/>
        <w:t>亿元，同比增长</w:t>
      </w:r>
      <w:r>
        <w:rPr>
          <w:rFonts w:ascii="宋体" w:hAnsi="宋体" w:cs="宋体" w:eastAsia="宋体" w:hint="default"/>
        </w:rPr>
        <w:t>12.4%</w:t>
      </w:r>
      <w:r>
        <w:rPr/>
        <w:t>。</w:t>
      </w:r>
    </w:p>
    <w:p>
      <w:pPr>
        <w:spacing w:after="0" w:line="408" w:lineRule="auto"/>
        <w:jc w:val="both"/>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1029" w:firstLine="436"/>
        <w:jc w:val="both"/>
      </w:pPr>
      <w:r>
        <w:rPr>
          <w:rFonts w:ascii="宋体" w:hAnsi="宋体" w:cs="宋体" w:eastAsia="宋体" w:hint="default"/>
          <w:b/>
          <w:bCs/>
        </w:rPr>
        <w:t>2</w:t>
      </w:r>
      <w:r>
        <w:rPr>
          <w:rFonts w:ascii="宋体" w:hAnsi="宋体" w:cs="宋体" w:eastAsia="宋体" w:hint="default"/>
          <w:b/>
          <w:bCs/>
        </w:rPr>
        <w:t>、电子数据取证：</w:t>
      </w:r>
      <w:r>
        <w:rPr/>
        <w:t>取证产品可以实现对电子信息设备以及网络空间的电子数据进行事后提取和分析</w:t>
      </w:r>
      <w:r>
        <w:rPr>
          <w:w w:val="100"/>
        </w:rPr>
        <w:t> </w:t>
      </w:r>
      <w:r>
        <w:rPr/>
        <w:t>等功能，是维护信息安全的重要工具。作为国内电子数据取证行业龙头企业，公司通过不断的技术创新，</w:t>
      </w:r>
      <w:r>
        <w:rPr>
          <w:w w:val="100"/>
        </w:rPr>
        <w:t> </w:t>
      </w:r>
      <w:r>
        <w:rPr>
          <w:spacing w:val="-2"/>
        </w:rPr>
        <w:t>提出了全新的取证</w:t>
      </w:r>
      <w:r>
        <w:rPr>
          <w:rFonts w:ascii="宋体" w:hAnsi="宋体" w:cs="宋体" w:eastAsia="宋体" w:hint="default"/>
          <w:spacing w:val="-2"/>
        </w:rPr>
        <w:t>3.0</w:t>
      </w:r>
      <w:r>
        <w:rPr>
          <w:spacing w:val="-2"/>
        </w:rPr>
        <w:t>概念，从而引领电子数据取证行业进入取证</w:t>
      </w:r>
      <w:r>
        <w:rPr>
          <w:rFonts w:ascii="宋体" w:hAnsi="宋体" w:cs="宋体" w:eastAsia="宋体" w:hint="default"/>
          <w:spacing w:val="-2"/>
        </w:rPr>
        <w:t>3.0</w:t>
      </w:r>
      <w:r>
        <w:rPr>
          <w:spacing w:val="-2"/>
        </w:rPr>
        <w:t>时代。电子数据取证产品围绕着以下</w:t>
      </w:r>
      <w:r>
        <w:rPr>
          <w:spacing w:val="-44"/>
        </w:rPr>
        <w:t> </w:t>
      </w:r>
      <w:r>
        <w:rPr>
          <w:spacing w:val="-44"/>
        </w:rPr>
      </w:r>
      <w:r>
        <w:rPr/>
        <w:t>变化在发生变革：（</w:t>
      </w:r>
      <w:r>
        <w:rPr>
          <w:rFonts w:ascii="宋体" w:hAnsi="宋体" w:cs="宋体" w:eastAsia="宋体" w:hint="default"/>
        </w:rPr>
        <w:t>1</w:t>
      </w:r>
      <w:r>
        <w:rPr/>
        <w:t>）</w:t>
      </w:r>
      <w:r>
        <w:rPr>
          <w:rFonts w:ascii="宋体" w:hAnsi="宋体" w:cs="宋体" w:eastAsia="宋体" w:hint="default"/>
          <w:b/>
          <w:bCs/>
        </w:rPr>
        <w:t>取证对象变化</w:t>
      </w:r>
      <w:r>
        <w:rPr/>
        <w:t>：随着移动互联网、人工智能和物联网技术的发展，信息载体形态</w:t>
      </w:r>
      <w:r>
        <w:rPr>
          <w:spacing w:val="-31"/>
        </w:rPr>
        <w:t> </w:t>
      </w:r>
      <w:r>
        <w:rPr>
          <w:spacing w:val="-31"/>
        </w:rPr>
      </w:r>
      <w:r>
        <w:rPr>
          <w:spacing w:val="-2"/>
        </w:rPr>
        <w:t>不断发生变化，移动设备、智能设备及云存储已成为个人数据存储及承载信息传播的主要载体，电子数据</w:t>
      </w:r>
      <w:r>
        <w:rPr>
          <w:spacing w:val="-44"/>
        </w:rPr>
        <w:t> </w:t>
      </w:r>
      <w:r>
        <w:rPr>
          <w:spacing w:val="-44"/>
        </w:rPr>
      </w:r>
      <w:r>
        <w:rPr/>
        <w:t>取证对象也已从移动端、智能设备往云端、物联网端方向发展，推动电子数据取证产品需不断升级换代，</w:t>
      </w:r>
    </w:p>
    <w:p>
      <w:pPr>
        <w:spacing w:line="396" w:lineRule="auto" w:before="30"/>
        <w:ind w:left="152" w:right="986" w:hanging="1"/>
        <w:jc w:val="left"/>
        <w:rPr>
          <w:rFonts w:ascii="宋体" w:hAnsi="宋体" w:cs="宋体" w:eastAsia="宋体" w:hint="default"/>
          <w:sz w:val="21"/>
          <w:szCs w:val="21"/>
        </w:rPr>
      </w:pPr>
      <w:r>
        <w:rPr>
          <w:rFonts w:ascii="宋体" w:hAnsi="宋体" w:cs="宋体" w:eastAsia="宋体" w:hint="default"/>
          <w:sz w:val="21"/>
          <w:szCs w:val="21"/>
        </w:rPr>
        <w:t>以适应市场新需求。（</w:t>
      </w:r>
      <w:r>
        <w:rPr>
          <w:rFonts w:ascii="宋体" w:hAnsi="宋体" w:cs="宋体" w:eastAsia="宋体" w:hint="default"/>
          <w:sz w:val="21"/>
          <w:szCs w:val="21"/>
        </w:rPr>
        <w:t>2</w:t>
      </w:r>
      <w:r>
        <w:rPr>
          <w:rFonts w:ascii="宋体" w:hAnsi="宋体" w:cs="宋体" w:eastAsia="宋体" w:hint="default"/>
          <w:sz w:val="21"/>
          <w:szCs w:val="21"/>
        </w:rPr>
        <w:t>）</w:t>
      </w:r>
      <w:r>
        <w:rPr>
          <w:rFonts w:ascii="宋体" w:hAnsi="宋体" w:cs="宋体" w:eastAsia="宋体" w:hint="default"/>
          <w:b/>
          <w:bCs/>
          <w:sz w:val="21"/>
          <w:szCs w:val="21"/>
        </w:rPr>
        <w:t>行业变化：</w:t>
      </w:r>
      <w:r>
        <w:rPr>
          <w:rFonts w:ascii="宋体" w:hAnsi="宋体" w:cs="宋体" w:eastAsia="宋体" w:hint="default"/>
          <w:sz w:val="23"/>
          <w:szCs w:val="23"/>
        </w:rPr>
        <w:t>从国内行业的角度看，电子数据取证的取证需求，已由传统的</w:t>
      </w:r>
      <w:r>
        <w:rPr>
          <w:rFonts w:ascii="宋体" w:hAnsi="宋体" w:cs="宋体" w:eastAsia="宋体" w:hint="default"/>
          <w:w w:val="100"/>
          <w:sz w:val="23"/>
          <w:szCs w:val="23"/>
        </w:rPr>
        <w:t> </w:t>
      </w:r>
      <w:r>
        <w:rPr>
          <w:rFonts w:ascii="宋体" w:hAnsi="宋体" w:cs="宋体" w:eastAsia="宋体" w:hint="default"/>
          <w:spacing w:val="-5"/>
          <w:sz w:val="23"/>
          <w:szCs w:val="23"/>
        </w:rPr>
        <w:t>网络安全部门渗透到监察委、工商、税务、海关、</w:t>
      </w:r>
      <w:r>
        <w:rPr>
          <w:rFonts w:ascii="宋体" w:hAnsi="宋体" w:cs="宋体" w:eastAsia="宋体" w:hint="default"/>
          <w:spacing w:val="-5"/>
          <w:sz w:val="21"/>
          <w:szCs w:val="21"/>
        </w:rPr>
        <w:t>食药监</w:t>
      </w:r>
      <w:r>
        <w:rPr>
          <w:rFonts w:ascii="宋体" w:hAnsi="宋体" w:cs="宋体" w:eastAsia="宋体" w:hint="default"/>
          <w:spacing w:val="-5"/>
          <w:sz w:val="23"/>
          <w:szCs w:val="23"/>
        </w:rPr>
        <w:t>等各个领域。各个领域</w:t>
      </w:r>
      <w:r>
        <w:rPr>
          <w:rFonts w:ascii="宋体" w:hAnsi="宋体" w:cs="宋体" w:eastAsia="宋体" w:hint="default"/>
          <w:spacing w:val="-5"/>
          <w:sz w:val="21"/>
          <w:szCs w:val="21"/>
        </w:rPr>
        <w:t>对电子数据的采集、</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勘查、取证等需求量和工作量越来越大，迫切要求装备的处理能力、人员的协同能力、系统的调度能力、</w:t>
      </w:r>
      <w:r>
        <w:rPr>
          <w:rFonts w:ascii="宋体" w:hAnsi="宋体" w:cs="宋体" w:eastAsia="宋体" w:hint="default"/>
          <w:spacing w:val="-3"/>
          <w:w w:val="100"/>
          <w:sz w:val="21"/>
          <w:szCs w:val="21"/>
        </w:rPr>
        <w:t> </w:t>
      </w:r>
      <w:r>
        <w:rPr>
          <w:rFonts w:ascii="宋体" w:hAnsi="宋体" w:cs="宋体" w:eastAsia="宋体" w:hint="default"/>
          <w:sz w:val="21"/>
          <w:szCs w:val="21"/>
        </w:rPr>
        <w:t>知识的共享复用能力大大提升，催生了对电子数据取证产品的升级换代需求。（</w:t>
      </w:r>
      <w:r>
        <w:rPr>
          <w:rFonts w:ascii="宋体" w:hAnsi="宋体" w:cs="宋体" w:eastAsia="宋体" w:hint="default"/>
          <w:sz w:val="21"/>
          <w:szCs w:val="21"/>
        </w:rPr>
        <w:t>3</w:t>
      </w:r>
      <w:r>
        <w:rPr>
          <w:rFonts w:ascii="宋体" w:hAnsi="宋体" w:cs="宋体" w:eastAsia="宋体" w:hint="default"/>
          <w:sz w:val="21"/>
          <w:szCs w:val="21"/>
        </w:rPr>
        <w:t>）</w:t>
      </w:r>
      <w:r>
        <w:rPr>
          <w:rFonts w:ascii="宋体" w:hAnsi="宋体" w:cs="宋体" w:eastAsia="宋体" w:hint="default"/>
          <w:b/>
          <w:bCs/>
          <w:sz w:val="21"/>
          <w:szCs w:val="21"/>
        </w:rPr>
        <w:t>渠道渗透：</w:t>
      </w:r>
      <w:r>
        <w:rPr>
          <w:rFonts w:ascii="宋体" w:hAnsi="宋体" w:cs="宋体" w:eastAsia="宋体" w:hint="default"/>
          <w:sz w:val="21"/>
          <w:szCs w:val="21"/>
        </w:rPr>
        <w:t>根据《中</w:t>
      </w:r>
      <w:r>
        <w:rPr>
          <w:rFonts w:ascii="宋体" w:hAnsi="宋体" w:cs="宋体" w:eastAsia="宋体" w:hint="default"/>
          <w:spacing w:val="-30"/>
          <w:sz w:val="21"/>
          <w:szCs w:val="21"/>
        </w:rPr>
        <w:t> </w:t>
      </w:r>
      <w:r>
        <w:rPr>
          <w:rFonts w:ascii="宋体" w:hAnsi="宋体" w:cs="宋体" w:eastAsia="宋体" w:hint="default"/>
          <w:sz w:val="21"/>
          <w:szCs w:val="21"/>
        </w:rPr>
        <w:t>华人民共和国行政区划统计表》，</w:t>
      </w:r>
      <w:r>
        <w:rPr>
          <w:rFonts w:ascii="宋体" w:hAnsi="宋体" w:cs="宋体" w:eastAsia="宋体" w:hint="default"/>
          <w:sz w:val="21"/>
          <w:szCs w:val="21"/>
        </w:rPr>
        <w:t>2017</w:t>
      </w:r>
      <w:r>
        <w:rPr>
          <w:rFonts w:ascii="宋体" w:hAnsi="宋体" w:cs="宋体" w:eastAsia="宋体" w:hint="default"/>
          <w:sz w:val="21"/>
          <w:szCs w:val="21"/>
        </w:rPr>
        <w:t>年全国共有</w:t>
      </w:r>
      <w:r>
        <w:rPr>
          <w:rFonts w:ascii="宋体" w:hAnsi="宋体" w:cs="宋体" w:eastAsia="宋体" w:hint="default"/>
          <w:sz w:val="21"/>
          <w:szCs w:val="21"/>
        </w:rPr>
        <w:t>34</w:t>
      </w:r>
      <w:r>
        <w:rPr>
          <w:rFonts w:ascii="宋体" w:hAnsi="宋体" w:cs="宋体" w:eastAsia="宋体" w:hint="default"/>
          <w:sz w:val="21"/>
          <w:szCs w:val="21"/>
        </w:rPr>
        <w:t>个省，</w:t>
      </w:r>
      <w:r>
        <w:rPr>
          <w:rFonts w:ascii="宋体" w:hAnsi="宋体" w:cs="宋体" w:eastAsia="宋体" w:hint="default"/>
          <w:sz w:val="21"/>
          <w:szCs w:val="21"/>
        </w:rPr>
        <w:t>334</w:t>
      </w:r>
      <w:r>
        <w:rPr>
          <w:rFonts w:ascii="宋体" w:hAnsi="宋体" w:cs="宋体" w:eastAsia="宋体" w:hint="default"/>
          <w:sz w:val="21"/>
          <w:szCs w:val="21"/>
        </w:rPr>
        <w:t>个地市，</w:t>
      </w:r>
      <w:r>
        <w:rPr>
          <w:rFonts w:ascii="宋体" w:hAnsi="宋体" w:cs="宋体" w:eastAsia="宋体" w:hint="default"/>
          <w:sz w:val="21"/>
          <w:szCs w:val="21"/>
        </w:rPr>
        <w:t>2851</w:t>
      </w:r>
      <w:r>
        <w:rPr>
          <w:rFonts w:ascii="宋体" w:hAnsi="宋体" w:cs="宋体" w:eastAsia="宋体" w:hint="default"/>
          <w:sz w:val="21"/>
          <w:szCs w:val="21"/>
        </w:rPr>
        <w:t>个县级。随着电子证据的司</w:t>
      </w:r>
      <w:r>
        <w:rPr>
          <w:rFonts w:ascii="宋体" w:hAnsi="宋体" w:cs="宋体" w:eastAsia="宋体" w:hint="default"/>
          <w:spacing w:val="-29"/>
          <w:sz w:val="21"/>
          <w:szCs w:val="21"/>
        </w:rPr>
        <w:t> </w:t>
      </w:r>
      <w:r>
        <w:rPr>
          <w:rFonts w:ascii="宋体" w:hAnsi="宋体" w:cs="宋体" w:eastAsia="宋体" w:hint="default"/>
          <w:spacing w:val="-29"/>
          <w:sz w:val="21"/>
          <w:szCs w:val="21"/>
        </w:rPr>
      </w:r>
      <w:r>
        <w:rPr>
          <w:rFonts w:ascii="宋体" w:hAnsi="宋体" w:cs="宋体" w:eastAsia="宋体" w:hint="default"/>
          <w:spacing w:val="-2"/>
          <w:sz w:val="21"/>
          <w:szCs w:val="21"/>
        </w:rPr>
        <w:t>法地位不断提高，公安的其他细分警种以及区县级基层机关配备的需求也开始启动，电子数据取证产品市</w:t>
      </w:r>
    </w:p>
    <w:p>
      <w:pPr>
        <w:pStyle w:val="BodyText"/>
        <w:spacing w:line="240" w:lineRule="auto" w:before="56"/>
        <w:ind w:right="986"/>
        <w:jc w:val="left"/>
      </w:pPr>
      <w:r>
        <w:rPr/>
        <w:t>场也由部省市级向区县下沉。</w:t>
      </w:r>
    </w:p>
    <w:p>
      <w:pPr>
        <w:spacing w:line="240" w:lineRule="auto" w:before="9"/>
        <w:rPr>
          <w:rFonts w:ascii="宋体" w:hAnsi="宋体" w:cs="宋体" w:eastAsia="宋体" w:hint="default"/>
          <w:sz w:val="26"/>
          <w:szCs w:val="26"/>
        </w:rPr>
      </w:pPr>
    </w:p>
    <w:p>
      <w:pPr>
        <w:pStyle w:val="BodyText"/>
        <w:spacing w:line="408" w:lineRule="auto" w:before="0"/>
        <w:ind w:right="1108" w:firstLine="437"/>
        <w:jc w:val="both"/>
      </w:pPr>
      <w:r>
        <w:rPr>
          <w:rFonts w:ascii="宋体" w:hAnsi="宋体" w:cs="宋体" w:eastAsia="宋体" w:hint="default"/>
          <w:b/>
          <w:bCs/>
        </w:rPr>
        <w:t>3</w:t>
      </w:r>
      <w:r>
        <w:rPr>
          <w:rFonts w:ascii="宋体" w:hAnsi="宋体" w:cs="宋体" w:eastAsia="宋体" w:hint="default"/>
          <w:b/>
          <w:bCs/>
        </w:rPr>
        <w:t>、大数据智能化：</w:t>
      </w:r>
      <w:r>
        <w:rPr/>
        <w:t>大数据被作为一种基础性和战略性资源，能有效集成经济、政治、文化、社会、</w:t>
      </w:r>
      <w:r>
        <w:rPr>
          <w:w w:val="100"/>
        </w:rPr>
        <w:t> </w:t>
      </w:r>
      <w:r>
        <w:rPr>
          <w:spacing w:val="-2"/>
        </w:rPr>
        <w:t>生态等各方面的信息资源，为国家现代化治理提供基础数据和决策支撑。大数据通过汇聚融合，打通政府</w:t>
      </w:r>
      <w:r>
        <w:rPr>
          <w:spacing w:val="-47"/>
        </w:rPr>
        <w:t> </w:t>
      </w:r>
      <w:r>
        <w:rPr>
          <w:spacing w:val="-47"/>
        </w:rPr>
      </w:r>
      <w:r>
        <w:rPr>
          <w:spacing w:val="-2"/>
        </w:rPr>
        <w:t>及公共服务部门间的数据壁垒，实现数据流转共享；通过数据驱动，促进行政审批事务的简化，提高公共</w:t>
      </w:r>
      <w:r>
        <w:rPr>
          <w:spacing w:val="-47"/>
        </w:rPr>
        <w:t> </w:t>
      </w:r>
      <w:r>
        <w:rPr>
          <w:spacing w:val="-47"/>
        </w:rPr>
      </w:r>
      <w:r>
        <w:rPr>
          <w:spacing w:val="-2"/>
        </w:rPr>
        <w:t>服务效率，从而更好地服务民生；推动政府决策由过去基于少量的“样本数据”，转向基于海量的“全体</w:t>
      </w:r>
      <w:r>
        <w:rPr>
          <w:spacing w:val="-48"/>
        </w:rPr>
        <w:t> </w:t>
      </w:r>
      <w:r>
        <w:rPr>
          <w:spacing w:val="-48"/>
        </w:rPr>
      </w:r>
      <w:r>
        <w:rPr>
          <w:spacing w:val="-2"/>
        </w:rPr>
        <w:t>数据”，并重塑政府信息化的管理架构、业务架构，形成用“数据决策、数据服务”的现代化治理模式。</w:t>
      </w:r>
      <w:r>
        <w:rPr>
          <w:spacing w:val="-24"/>
        </w:rPr>
        <w:t> </w:t>
      </w:r>
      <w:r>
        <w:rPr>
          <w:spacing w:val="-24"/>
        </w:rPr>
      </w:r>
      <w:r>
        <w:rPr>
          <w:spacing w:val="-2"/>
        </w:rPr>
        <w:t>大数据产业已经成为数字经济发展“新动能”。</w:t>
      </w:r>
      <w:r>
        <w:rPr>
          <w:rFonts w:ascii="宋体" w:hAnsi="宋体" w:cs="宋体" w:eastAsia="宋体" w:hint="default"/>
          <w:spacing w:val="-2"/>
        </w:rPr>
        <w:t>2020</w:t>
      </w:r>
      <w:r>
        <w:rPr>
          <w:spacing w:val="-2"/>
        </w:rPr>
        <w:t>年</w:t>
      </w:r>
      <w:r>
        <w:rPr>
          <w:rFonts w:ascii="宋体" w:hAnsi="宋体" w:cs="宋体" w:eastAsia="宋体" w:hint="default"/>
          <w:spacing w:val="-2"/>
        </w:rPr>
        <w:t>3</w:t>
      </w:r>
      <w:r>
        <w:rPr>
          <w:spacing w:val="-2"/>
        </w:rPr>
        <w:t>月</w:t>
      </w:r>
      <w:r>
        <w:rPr>
          <w:rFonts w:ascii="宋体" w:hAnsi="宋体" w:cs="宋体" w:eastAsia="宋体" w:hint="default"/>
          <w:spacing w:val="-2"/>
        </w:rPr>
        <w:t>4</w:t>
      </w:r>
      <w:r>
        <w:rPr>
          <w:spacing w:val="-2"/>
        </w:rPr>
        <w:t>日中央政治局常务委员会会议，提出加快</w:t>
      </w:r>
      <w:r>
        <w:rPr>
          <w:rFonts w:ascii="宋体" w:hAnsi="宋体" w:cs="宋体" w:eastAsia="宋体" w:hint="default"/>
          <w:spacing w:val="-2"/>
        </w:rPr>
        <w:t>5G</w:t>
      </w:r>
      <w:r>
        <w:rPr>
          <w:spacing w:val="-2"/>
        </w:rPr>
        <w:t>网</w:t>
      </w:r>
      <w:r>
        <w:rPr>
          <w:spacing w:val="-44"/>
        </w:rPr>
        <w:t> </w:t>
      </w:r>
      <w:r>
        <w:rPr/>
        <w:t>络、大数据中心等七大“新基建”领域建设，反映大数据对数字经济发展的重要意义。</w:t>
      </w:r>
    </w:p>
    <w:p>
      <w:pPr>
        <w:pStyle w:val="BodyText"/>
        <w:spacing w:line="408" w:lineRule="auto"/>
        <w:ind w:right="1111" w:firstLine="419"/>
        <w:jc w:val="both"/>
      </w:pPr>
      <w:r>
        <w:rPr>
          <w:spacing w:val="-2"/>
        </w:rPr>
        <w:t>目前国内大数据产业发展已初具规模。大数据产业生态联盟联合赛迪顾问共同编制的《</w:t>
      </w:r>
      <w:r>
        <w:rPr>
          <w:rFonts w:ascii="宋体" w:hAnsi="宋体" w:cs="宋体" w:eastAsia="宋体" w:hint="default"/>
          <w:spacing w:val="-2"/>
        </w:rPr>
        <w:t>2019</w:t>
      </w:r>
      <w:r>
        <w:rPr>
          <w:spacing w:val="-2"/>
        </w:rPr>
        <w:t>中国大数</w:t>
      </w:r>
      <w:r>
        <w:rPr>
          <w:w w:val="100"/>
        </w:rPr>
        <w:t> </w:t>
      </w:r>
      <w:r>
        <w:rPr>
          <w:spacing w:val="-2"/>
        </w:rPr>
        <w:t>据产业发展白皮书》指出，</w:t>
      </w:r>
      <w:r>
        <w:rPr>
          <w:rFonts w:ascii="宋体" w:hAnsi="宋体" w:cs="宋体" w:eastAsia="宋体" w:hint="default"/>
          <w:spacing w:val="-2"/>
        </w:rPr>
        <w:t>2019</w:t>
      </w:r>
      <w:r>
        <w:rPr>
          <w:spacing w:val="-2"/>
        </w:rPr>
        <w:t>年中国大数据整体规模达到</w:t>
      </w:r>
      <w:r>
        <w:rPr>
          <w:rFonts w:ascii="宋体" w:hAnsi="宋体" w:cs="宋体" w:eastAsia="宋体" w:hint="default"/>
          <w:spacing w:val="-2"/>
        </w:rPr>
        <w:t>5,386.2</w:t>
      </w:r>
      <w:r>
        <w:rPr>
          <w:spacing w:val="-2"/>
        </w:rPr>
        <w:t>亿元，预计</w:t>
      </w:r>
      <w:r>
        <w:rPr>
          <w:rFonts w:ascii="宋体" w:hAnsi="宋体" w:cs="宋体" w:eastAsia="宋体" w:hint="default"/>
          <w:spacing w:val="-2"/>
        </w:rPr>
        <w:t>2020</w:t>
      </w:r>
      <w:r>
        <w:rPr>
          <w:spacing w:val="-2"/>
        </w:rPr>
        <w:t>年达到</w:t>
      </w:r>
      <w:r>
        <w:rPr>
          <w:rFonts w:ascii="宋体" w:hAnsi="宋体" w:cs="宋体" w:eastAsia="宋体" w:hint="default"/>
          <w:spacing w:val="-2"/>
        </w:rPr>
        <w:t>6,605.8</w:t>
      </w:r>
      <w:r>
        <w:rPr>
          <w:spacing w:val="-2"/>
        </w:rPr>
        <w:t>亿元。</w:t>
      </w:r>
      <w:r>
        <w:rPr/>
      </w:r>
    </w:p>
    <w:p>
      <w:pPr>
        <w:pStyle w:val="BodyText"/>
        <w:spacing w:line="408" w:lineRule="auto"/>
        <w:ind w:left="153" w:right="986" w:firstLine="419"/>
        <w:jc w:val="left"/>
      </w:pPr>
      <w:r>
        <w:rPr/>
        <w:t>大数据是智能化的基础，大数据应用以智能化为目标，通过大数据</w:t>
      </w:r>
      <w:r>
        <w:rPr>
          <w:rFonts w:ascii="宋体" w:hAnsi="宋体" w:cs="宋体" w:eastAsia="宋体" w:hint="default"/>
        </w:rPr>
        <w:t>+</w:t>
      </w:r>
      <w:r>
        <w:rPr/>
        <w:t>人工智能，实现大数据智能化。</w:t>
      </w:r>
      <w:r>
        <w:rPr>
          <w:spacing w:val="-3"/>
          <w:w w:val="100"/>
        </w:rPr>
        <w:t> </w:t>
      </w:r>
      <w:r>
        <w:rPr>
          <w:rFonts w:ascii="宋体" w:hAnsi="宋体" w:cs="宋体" w:eastAsia="宋体" w:hint="default"/>
          <w:spacing w:val="-2"/>
        </w:rPr>
        <w:t>2018</w:t>
      </w:r>
      <w:r>
        <w:rPr>
          <w:spacing w:val="-2"/>
        </w:rPr>
        <w:t>年开始，公司参加了公安部组织的公安大数据安全体系和大数据处理标准规范的制定工作。公司研发</w:t>
      </w:r>
      <w:r>
        <w:rPr>
          <w:spacing w:val="-38"/>
        </w:rPr>
        <w:t> </w:t>
      </w:r>
      <w:r>
        <w:rPr>
          <w:spacing w:val="-38"/>
        </w:rPr>
      </w:r>
      <w:r>
        <w:rPr>
          <w:spacing w:val="-2"/>
        </w:rPr>
        <w:t>的公安大数据平台部分关键技术达国内领先、国际先进水平，</w:t>
      </w:r>
      <w:r>
        <w:rPr>
          <w:rFonts w:ascii="宋体" w:hAnsi="宋体" w:cs="宋体" w:eastAsia="宋体" w:hint="default"/>
          <w:spacing w:val="-2"/>
        </w:rPr>
        <w:t>2019</w:t>
      </w:r>
      <w:r>
        <w:rPr>
          <w:spacing w:val="-2"/>
        </w:rPr>
        <w:t>年获得公安部科学技术奖二等奖；在社</w:t>
      </w:r>
      <w:r>
        <w:rPr>
          <w:spacing w:val="-39"/>
        </w:rPr>
        <w:t> </w:t>
      </w:r>
      <w:r>
        <w:rPr>
          <w:spacing w:val="-39"/>
        </w:rPr>
      </w:r>
      <w:r>
        <w:rPr>
          <w:spacing w:val="-2"/>
        </w:rPr>
        <w:t>会治理大数据平台建设方面，公司在厦门、沈阳等地建设了城市公共安全管理平台，并参与了厦门市公共</w:t>
      </w:r>
      <w:r>
        <w:rPr>
          <w:spacing w:val="-43"/>
        </w:rPr>
        <w:t> </w:t>
      </w:r>
      <w:r>
        <w:rPr>
          <w:spacing w:val="-43"/>
        </w:rPr>
      </w:r>
      <w:r>
        <w:rPr>
          <w:spacing w:val="-2"/>
        </w:rPr>
        <w:t>安全管理平台</w:t>
      </w:r>
      <w:r>
        <w:rPr>
          <w:rFonts w:ascii="宋体" w:hAnsi="宋体" w:cs="宋体" w:eastAsia="宋体" w:hint="default"/>
          <w:spacing w:val="-2"/>
        </w:rPr>
        <w:t>11</w:t>
      </w:r>
      <w:r>
        <w:rPr>
          <w:spacing w:val="-2"/>
        </w:rPr>
        <w:t>项地方标准的编制。近年来，公司加大在人工智能领域的技术研发，目前在图像、视频、</w:t>
      </w:r>
      <w:r>
        <w:rPr>
          <w:spacing w:val="-19"/>
        </w:rPr>
        <w:t> </w:t>
      </w:r>
      <w:r>
        <w:rPr>
          <w:spacing w:val="-19"/>
        </w:rPr>
      </w:r>
      <w:r>
        <w:rPr>
          <w:spacing w:val="-2"/>
        </w:rPr>
        <w:t>语音、自然语言、文本等智能识别分析领域，都取得了突破，建立领先的核心技术体系。</w:t>
      </w:r>
      <w:r>
        <w:rPr>
          <w:rFonts w:ascii="宋体" w:hAnsi="宋体" w:cs="宋体" w:eastAsia="宋体" w:hint="default"/>
          <w:spacing w:val="-2"/>
        </w:rPr>
        <w:t>2019</w:t>
      </w:r>
      <w:r>
        <w:rPr>
          <w:spacing w:val="-2"/>
        </w:rPr>
        <w:t>年，公司核</w:t>
      </w:r>
      <w:r>
        <w:rPr>
          <w:spacing w:val="-38"/>
        </w:rPr>
        <w:t> </w:t>
      </w:r>
      <w:r>
        <w:rPr>
          <w:spacing w:val="-38"/>
        </w:rPr>
      </w:r>
      <w:r>
        <w:rPr>
          <w:spacing w:val="-2"/>
        </w:rPr>
        <w:t>心团队在中国人工智能比赛中，在人脸识别组获得</w:t>
      </w:r>
      <w:r>
        <w:rPr>
          <w:rFonts w:ascii="宋体" w:hAnsi="宋体" w:cs="宋体" w:eastAsia="宋体" w:hint="default"/>
          <w:spacing w:val="-2"/>
        </w:rPr>
        <w:t>A</w:t>
      </w:r>
      <w:r>
        <w:rPr>
          <w:spacing w:val="-2"/>
        </w:rPr>
        <w:t>级（最高级别）证书、变种同源视频检索获</w:t>
      </w:r>
      <w:r>
        <w:rPr>
          <w:rFonts w:ascii="宋体" w:hAnsi="宋体" w:cs="宋体" w:eastAsia="宋体" w:hint="default"/>
          <w:spacing w:val="-2"/>
        </w:rPr>
        <w:t>B</w:t>
      </w:r>
      <w:r>
        <w:rPr>
          <w:spacing w:val="-2"/>
        </w:rPr>
        <w:t>级证书。</w:t>
      </w:r>
      <w:r>
        <w:rPr/>
      </w:r>
    </w:p>
    <w:p>
      <w:pPr>
        <w:spacing w:after="0" w:line="408"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986"/>
        <w:jc w:val="left"/>
      </w:pPr>
      <w:r>
        <w:rPr>
          <w:spacing w:val="-2"/>
        </w:rPr>
        <w:t>公司已将人工智能技术广泛用于各类取证设备、互联网舆情分析、城市公共安全等产品中，提升公司核心</w:t>
      </w:r>
      <w:r>
        <w:rPr>
          <w:spacing w:val="-48"/>
        </w:rPr>
        <w:t> </w:t>
      </w:r>
      <w:r>
        <w:rPr>
          <w:spacing w:val="-48"/>
        </w:rPr>
      </w:r>
      <w:r>
        <w:rPr/>
        <w:t>技术竞争力。</w:t>
      </w:r>
    </w:p>
    <w:p>
      <w:pPr>
        <w:pStyle w:val="BodyText"/>
        <w:spacing w:line="408" w:lineRule="auto"/>
        <w:ind w:right="986" w:firstLine="422"/>
        <w:jc w:val="left"/>
      </w:pPr>
      <w:r>
        <w:rPr>
          <w:rFonts w:ascii="宋体" w:hAnsi="宋体" w:cs="宋体" w:eastAsia="宋体" w:hint="default"/>
          <w:b/>
          <w:bCs/>
        </w:rPr>
        <w:t>4</w:t>
      </w:r>
      <w:r>
        <w:rPr>
          <w:rFonts w:ascii="宋体" w:hAnsi="宋体" w:cs="宋体" w:eastAsia="宋体" w:hint="default"/>
          <w:b/>
          <w:bCs/>
        </w:rPr>
        <w:t>、网络空间安全：</w:t>
      </w:r>
      <w:r>
        <w:rPr/>
        <w:t>主要面向重点行业及企业级用户提供保障网络可靠性、安全性的产品和服务，对</w:t>
      </w:r>
      <w:r>
        <w:rPr>
          <w:spacing w:val="-3"/>
          <w:w w:val="100"/>
        </w:rPr>
        <w:t> </w:t>
      </w:r>
      <w:r>
        <w:rPr>
          <w:spacing w:val="-2"/>
        </w:rPr>
        <w:t>互联网虚拟空间涉及经济、政治、文化、社会及军事等各个领域的网络安全和信息化重大问题进行治理。</w:t>
      </w:r>
      <w:r>
        <w:rPr>
          <w:spacing w:val="-21"/>
        </w:rPr>
        <w:t> </w:t>
      </w:r>
      <w:r>
        <w:rPr>
          <w:spacing w:val="-21"/>
        </w:rPr>
      </w:r>
      <w:r>
        <w:rPr>
          <w:spacing w:val="-2"/>
        </w:rPr>
        <w:t>互联网虚拟社会是现实社会的缩影与映射，是人类现实社会活动与社会关系在虚拟空间中的延伸。网络空</w:t>
      </w:r>
      <w:r>
        <w:rPr>
          <w:spacing w:val="-42"/>
        </w:rPr>
        <w:t> </w:t>
      </w:r>
      <w:r>
        <w:rPr>
          <w:spacing w:val="-42"/>
        </w:rPr>
      </w:r>
      <w:r>
        <w:rPr>
          <w:spacing w:val="-2"/>
        </w:rPr>
        <w:t>间治理显然不同于治理一个现实社会，也绝不仅仅是治理一个虚拟社会，而是治理现实社会与虚拟社会相</w:t>
      </w:r>
      <w:r>
        <w:rPr>
          <w:spacing w:val="-42"/>
        </w:rPr>
        <w:t> </w:t>
      </w:r>
      <w:r>
        <w:rPr>
          <w:spacing w:val="-42"/>
        </w:rPr>
      </w:r>
      <w:r>
        <w:rPr/>
        <w:t>结合。</w:t>
      </w:r>
      <w:r>
        <w:rPr>
          <w:rFonts w:ascii="宋体" w:hAnsi="宋体" w:cs="宋体" w:eastAsia="宋体" w:hint="default"/>
        </w:rPr>
        <w:t>2014</w:t>
      </w:r>
      <w:r>
        <w:rPr/>
        <w:t>年</w:t>
      </w:r>
      <w:r>
        <w:rPr>
          <w:rFonts w:ascii="宋体" w:hAnsi="宋体" w:cs="宋体" w:eastAsia="宋体" w:hint="default"/>
        </w:rPr>
        <w:t>2</w:t>
      </w:r>
      <w:r>
        <w:rPr/>
        <w:t>月</w:t>
      </w:r>
      <w:r>
        <w:rPr>
          <w:rFonts w:ascii="宋体" w:hAnsi="宋体" w:cs="宋体" w:eastAsia="宋体" w:hint="default"/>
        </w:rPr>
        <w:t>27</w:t>
      </w:r>
      <w:r>
        <w:rPr/>
        <w:t>日中共网络安全和信息化领导小组成立以来，我国围绕网络安全工作加强顶层设计，</w:t>
      </w:r>
      <w:r>
        <w:rPr>
          <w:w w:val="100"/>
        </w:rPr>
        <w:t> </w:t>
      </w:r>
      <w:r>
        <w:rPr>
          <w:spacing w:val="-2"/>
        </w:rPr>
        <w:t>频出新政。</w:t>
      </w:r>
      <w:r>
        <w:rPr>
          <w:rFonts w:ascii="宋体" w:hAnsi="宋体" w:cs="宋体" w:eastAsia="宋体" w:hint="default"/>
          <w:spacing w:val="-2"/>
        </w:rPr>
        <w:t>2016</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27</w:t>
      </w:r>
      <w:r>
        <w:rPr>
          <w:spacing w:val="-2"/>
        </w:rPr>
        <w:t>日，国家互联网信息办公室发布实施了《国家网络空间安全战略》；</w:t>
      </w:r>
      <w:r>
        <w:rPr>
          <w:rFonts w:ascii="宋体" w:hAnsi="宋体" w:cs="宋体" w:eastAsia="宋体" w:hint="default"/>
          <w:spacing w:val="-2"/>
        </w:rPr>
        <w:t>2016</w:t>
      </w:r>
      <w:r>
        <w:rPr>
          <w:spacing w:val="-2"/>
        </w:rPr>
        <w:t>年</w:t>
      </w:r>
      <w:r>
        <w:rPr>
          <w:rFonts w:ascii="宋体" w:hAnsi="宋体" w:cs="宋体" w:eastAsia="宋体" w:hint="default"/>
          <w:spacing w:val="-2"/>
        </w:rPr>
        <w:t>11</w:t>
      </w:r>
      <w:r>
        <w:rPr>
          <w:spacing w:val="-2"/>
        </w:rPr>
        <w:t>月</w:t>
      </w:r>
      <w:r>
        <w:rPr>
          <w:spacing w:val="-30"/>
        </w:rPr>
        <w:t> </w:t>
      </w:r>
      <w:r>
        <w:rPr>
          <w:rFonts w:ascii="宋体" w:hAnsi="宋体" w:cs="宋体" w:eastAsia="宋体" w:hint="default"/>
        </w:rPr>
        <w:t>7</w:t>
      </w:r>
      <w:r>
        <w:rPr/>
        <w:t>日由全国人民代表大会常务委员会发布《中华人民共和国网络安全法》；</w:t>
      </w:r>
      <w:r>
        <w:rPr>
          <w:rFonts w:ascii="宋体" w:hAnsi="宋体" w:cs="宋体" w:eastAsia="宋体" w:hint="default"/>
        </w:rPr>
        <w:t>2020</w:t>
      </w:r>
      <w:r>
        <w:rPr/>
        <w:t>年</w:t>
      </w:r>
      <w:r>
        <w:rPr>
          <w:rFonts w:ascii="宋体" w:hAnsi="宋体" w:cs="宋体" w:eastAsia="宋体" w:hint="default"/>
        </w:rPr>
        <w:t>3</w:t>
      </w:r>
      <w:r>
        <w:rPr/>
        <w:t>月</w:t>
      </w:r>
      <w:r>
        <w:rPr>
          <w:rFonts w:ascii="宋体" w:hAnsi="宋体" w:cs="宋体" w:eastAsia="宋体" w:hint="default"/>
        </w:rPr>
        <w:t>1</w:t>
      </w:r>
      <w:r>
        <w:rPr/>
        <w:t>日，国家互联网信</w:t>
      </w:r>
      <w:r>
        <w:rPr>
          <w:spacing w:val="-3"/>
          <w:w w:val="100"/>
        </w:rPr>
        <w:t> </w:t>
      </w:r>
      <w:r>
        <w:rPr/>
        <w:t>息办公室发布《网络信息内容生态治理规定》。</w:t>
      </w:r>
    </w:p>
    <w:p>
      <w:pPr>
        <w:spacing w:line="240" w:lineRule="auto" w:before="8"/>
        <w:rPr>
          <w:rFonts w:ascii="宋体" w:hAnsi="宋体" w:cs="宋体" w:eastAsia="宋体" w:hint="default"/>
          <w:sz w:val="18"/>
          <w:szCs w:val="18"/>
        </w:rPr>
      </w:pPr>
    </w:p>
    <w:p>
      <w:pPr>
        <w:pStyle w:val="Heading2"/>
        <w:spacing w:line="240" w:lineRule="auto"/>
        <w:ind w:right="986"/>
        <w:jc w:val="left"/>
        <w:rPr>
          <w:b w:val="0"/>
          <w:bCs w:val="0"/>
        </w:rPr>
      </w:pPr>
      <w:bookmarkStart w:name="二、主要资产重大变化情况" w:id="17"/>
      <w:bookmarkEnd w:id="17"/>
      <w:r>
        <w:rPr>
          <w:b w:val="0"/>
          <w:bCs w:val="0"/>
        </w:rPr>
      </w:r>
      <w:r>
        <w:rPr/>
        <w:t>二、主要资产重大变化情况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6"/>
        <w:jc w:val="left"/>
        <w:rPr>
          <w:b w:val="0"/>
          <w:bCs w:val="0"/>
        </w:rPr>
      </w:pPr>
      <w:bookmarkStart w:name="1、主要资产重大变化情况" w:id="18"/>
      <w:bookmarkEnd w:id="18"/>
      <w:r>
        <w:rPr>
          <w:b w:val="0"/>
          <w:bCs w:val="0"/>
        </w:rPr>
      </w:r>
      <w:r>
        <w:rPr>
          <w:rFonts w:ascii="Times New Roman" w:hAnsi="Times New Roman" w:cs="Times New Roman" w:eastAsia="Times New Roman" w:hint="default"/>
        </w:rPr>
        <w:t>1</w:t>
      </w:r>
      <w:r>
        <w:rPr/>
        <w:t>、主要资产重大变化情况</w:t>
      </w:r>
      <w:r>
        <w:rPr>
          <w:b w:val="0"/>
          <w:bCs w:val="0"/>
        </w:rPr>
      </w: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702"/>
        <w:gridCol w:w="7867"/>
      </w:tblGrid>
      <w:tr>
        <w:trPr>
          <w:trHeight w:val="187" w:hRule="exact"/>
        </w:trPr>
        <w:tc>
          <w:tcPr>
            <w:tcW w:w="1702" w:type="dxa"/>
            <w:tcBorders>
              <w:top w:val="single" w:sz="4" w:space="0" w:color="000000"/>
              <w:left w:val="single" w:sz="4" w:space="0" w:color="000000"/>
              <w:bottom w:val="nil" w:sz="6" w:space="0" w:color="auto"/>
              <w:right w:val="single" w:sz="4" w:space="0" w:color="000000"/>
            </w:tcBorders>
            <w:shd w:val="clear" w:color="auto" w:fill="D4D4D4"/>
          </w:tcPr>
          <w:p>
            <w:pPr/>
          </w:p>
        </w:tc>
        <w:tc>
          <w:tcPr>
            <w:tcW w:w="7867" w:type="dxa"/>
            <w:tcBorders>
              <w:top w:val="single" w:sz="4" w:space="0" w:color="000000"/>
              <w:left w:val="single" w:sz="4" w:space="0" w:color="000000"/>
              <w:bottom w:val="nil" w:sz="6" w:space="0" w:color="auto"/>
              <w:right w:val="single" w:sz="4" w:space="0" w:color="000000"/>
            </w:tcBorders>
            <w:shd w:val="clear" w:color="auto" w:fill="D4D4D4"/>
          </w:tcPr>
          <w:p>
            <w:pPr/>
          </w:p>
        </w:tc>
      </w:tr>
      <w:tr>
        <w:trPr>
          <w:trHeight w:val="391" w:hRule="exact"/>
        </w:trPr>
        <w:tc>
          <w:tcPr>
            <w:tcW w:w="1702"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484" w:right="0"/>
              <w:jc w:val="left"/>
              <w:rPr>
                <w:rFonts w:ascii="宋体" w:hAnsi="宋体" w:cs="宋体" w:eastAsia="宋体" w:hint="default"/>
                <w:sz w:val="18"/>
                <w:szCs w:val="18"/>
              </w:rPr>
            </w:pPr>
            <w:r>
              <w:rPr>
                <w:rFonts w:ascii="宋体" w:hAnsi="宋体" w:cs="宋体" w:eastAsia="宋体" w:hint="default"/>
                <w:sz w:val="18"/>
                <w:szCs w:val="18"/>
              </w:rPr>
              <w:t>主要资产</w:t>
            </w:r>
          </w:p>
        </w:tc>
        <w:tc>
          <w:tcPr>
            <w:tcW w:w="7867"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185" w:hRule="exact"/>
        </w:trPr>
        <w:tc>
          <w:tcPr>
            <w:tcW w:w="1702" w:type="dxa"/>
            <w:tcBorders>
              <w:top w:val="nil" w:sz="6" w:space="0" w:color="auto"/>
              <w:left w:val="single" w:sz="4" w:space="0" w:color="000000"/>
              <w:bottom w:val="single" w:sz="4" w:space="0" w:color="000000"/>
              <w:right w:val="single" w:sz="4" w:space="0" w:color="000000"/>
            </w:tcBorders>
            <w:shd w:val="clear" w:color="auto" w:fill="D4D4D4"/>
          </w:tcPr>
          <w:p>
            <w:pPr/>
          </w:p>
        </w:tc>
        <w:tc>
          <w:tcPr>
            <w:tcW w:w="7867" w:type="dxa"/>
            <w:tcBorders>
              <w:top w:val="nil" w:sz="6" w:space="0" w:color="auto"/>
              <w:left w:val="single" w:sz="4" w:space="0" w:color="000000"/>
              <w:bottom w:val="single" w:sz="4" w:space="0" w:color="000000"/>
              <w:right w:val="single" w:sz="4" w:space="0" w:color="000000"/>
            </w:tcBorders>
            <w:shd w:val="clear" w:color="auto" w:fill="D4D4D4"/>
          </w:tcPr>
          <w:p>
            <w:pPr/>
          </w:p>
        </w:tc>
      </w:tr>
      <w:tr>
        <w:trPr>
          <w:trHeight w:val="163" w:hRule="exact"/>
        </w:trPr>
        <w:tc>
          <w:tcPr>
            <w:tcW w:w="1702" w:type="dxa"/>
            <w:tcBorders>
              <w:top w:val="single" w:sz="4" w:space="0" w:color="000000"/>
              <w:left w:val="single" w:sz="4" w:space="0" w:color="000000"/>
              <w:bottom w:val="nil" w:sz="6" w:space="0" w:color="auto"/>
              <w:right w:val="single" w:sz="4" w:space="0" w:color="000000"/>
            </w:tcBorders>
            <w:shd w:val="clear" w:color="auto" w:fill="D4D4D4"/>
          </w:tcPr>
          <w:p>
            <w:pPr/>
          </w:p>
        </w:tc>
        <w:tc>
          <w:tcPr>
            <w:tcW w:w="7867" w:type="dxa"/>
            <w:vMerge w:val="restart"/>
            <w:tcBorders>
              <w:top w:val="single" w:sz="4" w:space="0" w:color="000000"/>
              <w:left w:val="single" w:sz="9" w:space="0" w:color="D4D4D4"/>
              <w:right w:val="single" w:sz="4" w:space="0" w:color="000000"/>
            </w:tcBorders>
          </w:tcPr>
          <w:p>
            <w:pPr>
              <w:pStyle w:val="TableParagraph"/>
              <w:spacing w:line="297" w:lineRule="auto" w:before="51"/>
              <w:ind w:left="18" w:right="19"/>
              <w:jc w:val="left"/>
              <w:rPr>
                <w:rFonts w:ascii="宋体" w:hAnsi="宋体" w:cs="宋体" w:eastAsia="宋体" w:hint="default"/>
                <w:sz w:val="18"/>
                <w:szCs w:val="18"/>
              </w:rPr>
            </w:pPr>
            <w:r>
              <w:rPr>
                <w:rFonts w:ascii="宋体" w:hAnsi="宋体" w:cs="宋体" w:eastAsia="宋体" w:hint="default"/>
                <w:sz w:val="18"/>
                <w:szCs w:val="18"/>
              </w:rPr>
              <w:t>期末长期股权投资较年初增长</w:t>
            </w:r>
            <w:r>
              <w:rPr>
                <w:rFonts w:ascii="宋体" w:hAnsi="宋体" w:cs="宋体" w:eastAsia="宋体" w:hint="default"/>
                <w:spacing w:val="-40"/>
                <w:sz w:val="18"/>
                <w:szCs w:val="18"/>
              </w:rPr>
              <w:t> </w:t>
            </w:r>
            <w:r>
              <w:rPr>
                <w:rFonts w:ascii="Times New Roman" w:hAnsi="Times New Roman" w:cs="Times New Roman" w:eastAsia="Times New Roman" w:hint="default"/>
                <w:spacing w:val="-7"/>
                <w:sz w:val="18"/>
                <w:szCs w:val="18"/>
              </w:rPr>
              <w:t>39.99%</w:t>
            </w:r>
            <w:r>
              <w:rPr>
                <w:rFonts w:ascii="宋体" w:hAnsi="宋体" w:cs="宋体" w:eastAsia="宋体" w:hint="default"/>
                <w:spacing w:val="-7"/>
                <w:sz w:val="18"/>
                <w:szCs w:val="18"/>
              </w:rPr>
              <w:t>，主要是由于</w:t>
            </w:r>
            <w:r>
              <w:rPr>
                <w:rFonts w:ascii="宋体" w:hAnsi="宋体" w:cs="宋体" w:eastAsia="宋体" w:hint="default"/>
                <w:spacing w:val="-40"/>
                <w:sz w:val="18"/>
                <w:szCs w:val="18"/>
              </w:rPr>
              <w:t> </w:t>
            </w:r>
            <w:r>
              <w:rPr>
                <w:rFonts w:ascii="Times New Roman" w:hAnsi="Times New Roman" w:cs="Times New Roman" w:eastAsia="Times New Roman" w:hint="default"/>
                <w:spacing w:val="-1"/>
                <w:sz w:val="18"/>
                <w:szCs w:val="18"/>
              </w:rPr>
              <w:t>2019</w:t>
            </w:r>
            <w:r>
              <w:rPr>
                <w:rFonts w:ascii="Times New Roman" w:hAnsi="Times New Roman" w:cs="Times New Roman" w:eastAsia="Times New Roman" w:hint="default"/>
                <w:spacing w:val="8"/>
                <w:sz w:val="18"/>
                <w:szCs w:val="18"/>
              </w:rPr>
              <w:t> </w:t>
            </w:r>
            <w:r>
              <w:rPr>
                <w:rFonts w:ascii="宋体" w:hAnsi="宋体" w:cs="宋体" w:eastAsia="宋体" w:hint="default"/>
                <w:spacing w:val="-1"/>
                <w:sz w:val="18"/>
                <w:szCs w:val="18"/>
              </w:rPr>
              <w:t>年支付安徽华图和厦门本思信息的参股投资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款所致</w:t>
            </w:r>
          </w:p>
        </w:tc>
      </w:tr>
      <w:tr>
        <w:trPr>
          <w:trHeight w:val="391" w:hRule="exact"/>
        </w:trPr>
        <w:tc>
          <w:tcPr>
            <w:tcW w:w="1702"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7867" w:type="dxa"/>
            <w:vMerge/>
            <w:tcBorders>
              <w:left w:val="single" w:sz="9" w:space="0" w:color="D4D4D4"/>
              <w:right w:val="single" w:sz="4" w:space="0" w:color="000000"/>
            </w:tcBorders>
          </w:tcPr>
          <w:p>
            <w:pPr/>
          </w:p>
        </w:tc>
      </w:tr>
      <w:tr>
        <w:trPr>
          <w:trHeight w:val="161" w:hRule="exact"/>
        </w:trPr>
        <w:tc>
          <w:tcPr>
            <w:tcW w:w="1702" w:type="dxa"/>
            <w:tcBorders>
              <w:top w:val="nil" w:sz="6" w:space="0" w:color="auto"/>
              <w:left w:val="single" w:sz="4" w:space="0" w:color="000000"/>
              <w:bottom w:val="single" w:sz="4" w:space="0" w:color="000000"/>
              <w:right w:val="single" w:sz="4" w:space="0" w:color="000000"/>
            </w:tcBorders>
            <w:shd w:val="clear" w:color="auto" w:fill="D4D4D4"/>
          </w:tcPr>
          <w:p>
            <w:pPr/>
          </w:p>
        </w:tc>
        <w:tc>
          <w:tcPr>
            <w:tcW w:w="7867" w:type="dxa"/>
            <w:vMerge/>
            <w:tcBorders>
              <w:left w:val="single" w:sz="9" w:space="0" w:color="D4D4D4"/>
              <w:bottom w:val="single" w:sz="4" w:space="0" w:color="000000"/>
              <w:right w:val="single" w:sz="4" w:space="0" w:color="000000"/>
            </w:tcBorders>
          </w:tcPr>
          <w:p>
            <w:pP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7867"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18" w:right="0"/>
              <w:jc w:val="left"/>
              <w:rPr>
                <w:rFonts w:ascii="宋体" w:hAnsi="宋体" w:cs="宋体" w:eastAsia="宋体" w:hint="default"/>
                <w:sz w:val="18"/>
                <w:szCs w:val="18"/>
              </w:rPr>
            </w:pPr>
            <w:r>
              <w:rPr>
                <w:rFonts w:ascii="宋体" w:hAnsi="宋体" w:cs="宋体" w:eastAsia="宋体" w:hint="default"/>
                <w:sz w:val="18"/>
                <w:szCs w:val="18"/>
              </w:rPr>
              <w:t>期末固定资产较年初增长</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43.68%</w:t>
            </w:r>
            <w:r>
              <w:rPr>
                <w:rFonts w:ascii="宋体" w:hAnsi="宋体" w:cs="宋体" w:eastAsia="宋体" w:hint="default"/>
                <w:sz w:val="18"/>
                <w:szCs w:val="18"/>
              </w:rPr>
              <w:t>，主要是由于公司人才房交房转固所致</w:t>
            </w:r>
          </w:p>
        </w:tc>
      </w:tr>
      <w:tr>
        <w:trPr>
          <w:trHeight w:val="163" w:hRule="exact"/>
        </w:trPr>
        <w:tc>
          <w:tcPr>
            <w:tcW w:w="1702" w:type="dxa"/>
            <w:tcBorders>
              <w:top w:val="single" w:sz="4" w:space="0" w:color="000000"/>
              <w:left w:val="single" w:sz="4" w:space="0" w:color="000000"/>
              <w:bottom w:val="nil" w:sz="6" w:space="0" w:color="auto"/>
              <w:right w:val="single" w:sz="4" w:space="0" w:color="000000"/>
            </w:tcBorders>
            <w:shd w:val="clear" w:color="auto" w:fill="D4D4D4"/>
          </w:tcPr>
          <w:p>
            <w:pPr/>
          </w:p>
        </w:tc>
        <w:tc>
          <w:tcPr>
            <w:tcW w:w="7867" w:type="dxa"/>
            <w:vMerge w:val="restart"/>
            <w:tcBorders>
              <w:top w:val="single" w:sz="4" w:space="0" w:color="000000"/>
              <w:left w:val="single" w:sz="9" w:space="0" w:color="D4D4D4"/>
              <w:right w:val="single" w:sz="4" w:space="0" w:color="000000"/>
            </w:tcBorders>
          </w:tcPr>
          <w:p>
            <w:pPr>
              <w:pStyle w:val="TableParagraph"/>
              <w:spacing w:line="297" w:lineRule="auto" w:before="51"/>
              <w:ind w:left="18" w:right="29"/>
              <w:jc w:val="left"/>
              <w:rPr>
                <w:rFonts w:ascii="宋体" w:hAnsi="宋体" w:cs="宋体" w:eastAsia="宋体" w:hint="default"/>
                <w:sz w:val="18"/>
                <w:szCs w:val="18"/>
              </w:rPr>
            </w:pPr>
            <w:r>
              <w:rPr>
                <w:rFonts w:ascii="宋体" w:hAnsi="宋体" w:cs="宋体" w:eastAsia="宋体" w:hint="default"/>
                <w:sz w:val="18"/>
                <w:szCs w:val="18"/>
              </w:rPr>
              <w:t>期末无形资产较年初增长</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16.90%</w:t>
            </w:r>
            <w:r>
              <w:rPr>
                <w:rFonts w:ascii="宋体" w:hAnsi="宋体" w:cs="宋体" w:eastAsia="宋体" w:hint="default"/>
                <w:sz w:val="18"/>
                <w:szCs w:val="18"/>
              </w:rPr>
              <w:t>，主要是由于公司部分开发支出达到预定可使用状态转为无形资产 所致</w:t>
            </w:r>
          </w:p>
        </w:tc>
      </w:tr>
      <w:tr>
        <w:trPr>
          <w:trHeight w:val="391" w:hRule="exact"/>
        </w:trPr>
        <w:tc>
          <w:tcPr>
            <w:tcW w:w="1702"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7867" w:type="dxa"/>
            <w:vMerge/>
            <w:tcBorders>
              <w:left w:val="single" w:sz="9" w:space="0" w:color="D4D4D4"/>
              <w:right w:val="single" w:sz="4" w:space="0" w:color="000000"/>
            </w:tcBorders>
          </w:tcPr>
          <w:p>
            <w:pPr/>
          </w:p>
        </w:tc>
      </w:tr>
      <w:tr>
        <w:trPr>
          <w:trHeight w:val="161" w:hRule="exact"/>
        </w:trPr>
        <w:tc>
          <w:tcPr>
            <w:tcW w:w="1702" w:type="dxa"/>
            <w:tcBorders>
              <w:top w:val="nil" w:sz="6" w:space="0" w:color="auto"/>
              <w:left w:val="single" w:sz="4" w:space="0" w:color="000000"/>
              <w:bottom w:val="single" w:sz="4" w:space="0" w:color="000000"/>
              <w:right w:val="single" w:sz="4" w:space="0" w:color="000000"/>
            </w:tcBorders>
            <w:shd w:val="clear" w:color="auto" w:fill="D4D4D4"/>
          </w:tcPr>
          <w:p>
            <w:pPr/>
          </w:p>
        </w:tc>
        <w:tc>
          <w:tcPr>
            <w:tcW w:w="7867" w:type="dxa"/>
            <w:vMerge/>
            <w:tcBorders>
              <w:left w:val="single" w:sz="9" w:space="0" w:color="D4D4D4"/>
              <w:bottom w:val="single" w:sz="4" w:space="0" w:color="000000"/>
              <w:right w:val="single" w:sz="4" w:space="0" w:color="000000"/>
            </w:tcBorders>
          </w:tcPr>
          <w:p>
            <w:pP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7867"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18" w:right="0"/>
              <w:jc w:val="left"/>
              <w:rPr>
                <w:rFonts w:ascii="宋体" w:hAnsi="宋体" w:cs="宋体" w:eastAsia="宋体" w:hint="default"/>
                <w:sz w:val="18"/>
                <w:szCs w:val="18"/>
              </w:rPr>
            </w:pPr>
            <w:r>
              <w:rPr>
                <w:rFonts w:ascii="宋体" w:hAnsi="宋体" w:cs="宋体" w:eastAsia="宋体" w:hint="default"/>
                <w:sz w:val="18"/>
                <w:szCs w:val="18"/>
              </w:rPr>
              <w:t>期末在建工程较年初增长</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74.73%</w:t>
            </w:r>
            <w:r>
              <w:rPr>
                <w:rFonts w:ascii="宋体" w:hAnsi="宋体" w:cs="宋体" w:eastAsia="宋体" w:hint="default"/>
                <w:sz w:val="18"/>
                <w:szCs w:val="18"/>
              </w:rPr>
              <w:t>，主要是由于公司办公室装修增加所致</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7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期末开发支出较年初增长</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pacing w:val="-2"/>
                <w:sz w:val="18"/>
                <w:szCs w:val="18"/>
              </w:rPr>
              <w:t>8</w:t>
            </w:r>
            <w:r>
              <w:rPr>
                <w:rFonts w:ascii="Times New Roman" w:hAnsi="Times New Roman" w:cs="Times New Roman" w:eastAsia="Times New Roman" w:hint="default"/>
                <w:spacing w:val="1"/>
                <w:sz w:val="18"/>
                <w:szCs w:val="18"/>
              </w:rPr>
              <w:t>8</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6</w:t>
            </w:r>
            <w:r>
              <w:rPr>
                <w:rFonts w:ascii="Times New Roman" w:hAnsi="Times New Roman" w:cs="Times New Roman" w:eastAsia="Times New Roman" w:hint="default"/>
                <w:spacing w:val="1"/>
                <w:sz w:val="18"/>
                <w:szCs w:val="18"/>
              </w:rPr>
              <w:t>8</w:t>
            </w:r>
            <w:r>
              <w:rPr>
                <w:rFonts w:ascii="Times New Roman" w:hAnsi="Times New Roman" w:cs="Times New Roman" w:eastAsia="Times New Roman" w:hint="default"/>
                <w:spacing w:val="-2"/>
                <w:sz w:val="18"/>
                <w:szCs w:val="18"/>
              </w:rPr>
              <w:t>%</w:t>
            </w:r>
            <w:r>
              <w:rPr>
                <w:rFonts w:ascii="宋体" w:hAnsi="宋体" w:cs="宋体" w:eastAsia="宋体" w:hint="default"/>
                <w:spacing w:val="-80"/>
                <w:sz w:val="18"/>
                <w:szCs w:val="18"/>
              </w:rPr>
              <w:t>，</w:t>
            </w:r>
            <w:r>
              <w:rPr>
                <w:rFonts w:ascii="宋体" w:hAnsi="宋体" w:cs="宋体" w:eastAsia="宋体" w:hint="default"/>
                <w:sz w:val="18"/>
                <w:szCs w:val="18"/>
              </w:rPr>
              <w:t>主要是由于公司开发支出尚未达到预定可使用状态项目增加所致</w:t>
            </w: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7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期末其他权益工具投资较年初增长</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39.66%</w:t>
            </w:r>
            <w:r>
              <w:rPr>
                <w:rFonts w:ascii="宋体" w:hAnsi="宋体" w:cs="宋体" w:eastAsia="宋体" w:hint="default"/>
                <w:sz w:val="18"/>
                <w:szCs w:val="18"/>
              </w:rPr>
              <w:t>，主要是由于公司参股公司中新赛克股价上涨所致</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7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期末其他流动资产较年初增长</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87.03%</w:t>
            </w:r>
            <w:r>
              <w:rPr>
                <w:rFonts w:ascii="宋体" w:hAnsi="宋体" w:cs="宋体" w:eastAsia="宋体" w:hint="default"/>
                <w:sz w:val="18"/>
                <w:szCs w:val="18"/>
              </w:rPr>
              <w:t>，主要是由于期末公司待认证、待抵扣增值税增加所致</w:t>
            </w:r>
          </w:p>
        </w:tc>
      </w:tr>
      <w:tr>
        <w:trPr>
          <w:trHeight w:val="715"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786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31"/>
              <w:jc w:val="left"/>
              <w:rPr>
                <w:rFonts w:ascii="宋体" w:hAnsi="宋体" w:cs="宋体" w:eastAsia="宋体" w:hint="default"/>
                <w:sz w:val="18"/>
                <w:szCs w:val="18"/>
              </w:rPr>
            </w:pPr>
            <w:r>
              <w:rPr>
                <w:rFonts w:ascii="宋体" w:hAnsi="宋体" w:cs="宋体" w:eastAsia="宋体" w:hint="default"/>
                <w:sz w:val="18"/>
                <w:szCs w:val="18"/>
              </w:rPr>
              <w:t>期末其他非流动资产较年初下降</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60.91%</w:t>
            </w:r>
            <w:r>
              <w:rPr>
                <w:rFonts w:ascii="宋体" w:hAnsi="宋体" w:cs="宋体" w:eastAsia="宋体" w:hint="default"/>
                <w:sz w:val="18"/>
                <w:szCs w:val="18"/>
              </w:rPr>
              <w:t>，主要是由于公司人才房交房转固，从其他非流动资产转至 固定资产所致。</w:t>
            </w:r>
          </w:p>
        </w:tc>
      </w:tr>
    </w:tbl>
    <w:p>
      <w:pPr>
        <w:spacing w:line="240" w:lineRule="auto" w:before="3"/>
        <w:rPr>
          <w:rFonts w:ascii="宋体" w:hAnsi="宋体" w:cs="宋体" w:eastAsia="宋体" w:hint="default"/>
          <w:b/>
          <w:bCs/>
          <w:sz w:val="19"/>
          <w:szCs w:val="19"/>
        </w:rPr>
      </w:pPr>
    </w:p>
    <w:p>
      <w:pPr>
        <w:pStyle w:val="Heading4"/>
        <w:spacing w:line="240" w:lineRule="auto" w:before="36"/>
        <w:ind w:right="986"/>
        <w:jc w:val="left"/>
        <w:rPr>
          <w:b w:val="0"/>
          <w:bCs w:val="0"/>
        </w:rPr>
      </w:pPr>
      <w:bookmarkStart w:name="2、主要境外资产情况" w:id="19"/>
      <w:bookmarkEnd w:id="19"/>
      <w:r>
        <w:rPr>
          <w:b w:val="0"/>
          <w:bCs w:val="0"/>
        </w:rPr>
      </w:r>
      <w:r>
        <w:rPr>
          <w:rFonts w:ascii="Times New Roman" w:hAnsi="Times New Roman" w:cs="Times New Roman" w:eastAsia="Times New Roman" w:hint="default"/>
        </w:rPr>
        <w:t>2</w:t>
      </w:r>
      <w:r>
        <w:rPr/>
        <w:t>、主要境外资产情况</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7"/>
          <w:szCs w:val="7"/>
        </w:rPr>
      </w:pPr>
    </w:p>
    <w:tbl>
      <w:tblPr>
        <w:tblW w:w="0" w:type="auto"/>
        <w:jc w:val="left"/>
        <w:tblInd w:w="182" w:type="dxa"/>
        <w:tblLayout w:type="fixed"/>
        <w:tblCellMar>
          <w:top w:w="0" w:type="dxa"/>
          <w:left w:w="0" w:type="dxa"/>
          <w:bottom w:w="0" w:type="dxa"/>
          <w:right w:w="0" w:type="dxa"/>
        </w:tblCellMar>
        <w:tblLook w:val="01E0"/>
      </w:tblPr>
      <w:tblGrid>
        <w:gridCol w:w="1249"/>
        <w:gridCol w:w="1094"/>
        <w:gridCol w:w="1066"/>
        <w:gridCol w:w="845"/>
        <w:gridCol w:w="1063"/>
        <w:gridCol w:w="1063"/>
        <w:gridCol w:w="643"/>
        <w:gridCol w:w="1486"/>
        <w:gridCol w:w="1058"/>
      </w:tblGrid>
      <w:tr>
        <w:trPr>
          <w:trHeight w:val="1025" w:hRule="exact"/>
        </w:trPr>
        <w:tc>
          <w:tcPr>
            <w:tcW w:w="124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529" w:right="79" w:hanging="452"/>
              <w:jc w:val="left"/>
              <w:rPr>
                <w:rFonts w:ascii="宋体" w:hAnsi="宋体" w:cs="宋体" w:eastAsia="宋体" w:hint="default"/>
                <w:sz w:val="18"/>
                <w:szCs w:val="18"/>
              </w:rPr>
            </w:pPr>
            <w:r>
              <w:rPr>
                <w:rFonts w:ascii="宋体" w:hAnsi="宋体" w:cs="宋体" w:eastAsia="宋体" w:hint="default"/>
                <w:sz w:val="18"/>
                <w:szCs w:val="18"/>
              </w:rPr>
              <w:t>资产的具体内 容</w:t>
            </w:r>
          </w:p>
        </w:tc>
        <w:tc>
          <w:tcPr>
            <w:tcW w:w="10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82" w:right="0"/>
              <w:jc w:val="left"/>
              <w:rPr>
                <w:rFonts w:ascii="宋体" w:hAnsi="宋体" w:cs="宋体" w:eastAsia="宋体" w:hint="default"/>
                <w:sz w:val="18"/>
                <w:szCs w:val="18"/>
              </w:rPr>
            </w:pPr>
            <w:r>
              <w:rPr>
                <w:rFonts w:ascii="宋体" w:hAnsi="宋体" w:cs="宋体" w:eastAsia="宋体" w:hint="default"/>
                <w:sz w:val="18"/>
                <w:szCs w:val="18"/>
              </w:rPr>
              <w:t>形成原因</w:t>
            </w:r>
          </w:p>
        </w:tc>
        <w:tc>
          <w:tcPr>
            <w:tcW w:w="10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67" w:right="0"/>
              <w:jc w:val="left"/>
              <w:rPr>
                <w:rFonts w:ascii="宋体" w:hAnsi="宋体" w:cs="宋体" w:eastAsia="宋体" w:hint="default"/>
                <w:sz w:val="18"/>
                <w:szCs w:val="18"/>
              </w:rPr>
            </w:pPr>
            <w:r>
              <w:rPr>
                <w:rFonts w:ascii="宋体" w:hAnsi="宋体" w:cs="宋体" w:eastAsia="宋体" w:hint="default"/>
                <w:sz w:val="18"/>
                <w:szCs w:val="18"/>
              </w:rPr>
              <w:t>资产规模</w:t>
            </w:r>
          </w:p>
        </w:tc>
        <w:tc>
          <w:tcPr>
            <w:tcW w:w="84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46" w:right="0"/>
              <w:jc w:val="left"/>
              <w:rPr>
                <w:rFonts w:ascii="宋体" w:hAnsi="宋体" w:cs="宋体" w:eastAsia="宋体" w:hint="default"/>
                <w:sz w:val="18"/>
                <w:szCs w:val="18"/>
              </w:rPr>
            </w:pPr>
            <w:r>
              <w:rPr>
                <w:rFonts w:ascii="宋体" w:hAnsi="宋体" w:cs="宋体" w:eastAsia="宋体" w:hint="default"/>
                <w:sz w:val="18"/>
                <w:szCs w:val="18"/>
              </w:rPr>
              <w:t>所在地</w:t>
            </w:r>
          </w:p>
        </w:tc>
        <w:tc>
          <w:tcPr>
            <w:tcW w:w="106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67" w:right="0"/>
              <w:jc w:val="left"/>
              <w:rPr>
                <w:rFonts w:ascii="宋体" w:hAnsi="宋体" w:cs="宋体" w:eastAsia="宋体" w:hint="default"/>
                <w:sz w:val="18"/>
                <w:szCs w:val="18"/>
              </w:rPr>
            </w:pPr>
            <w:r>
              <w:rPr>
                <w:rFonts w:ascii="宋体" w:hAnsi="宋体" w:cs="宋体" w:eastAsia="宋体" w:hint="default"/>
                <w:sz w:val="18"/>
                <w:szCs w:val="18"/>
              </w:rPr>
              <w:t>运营模式</w:t>
            </w:r>
          </w:p>
        </w:tc>
        <w:tc>
          <w:tcPr>
            <w:tcW w:w="106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76" w:right="74"/>
              <w:jc w:val="center"/>
              <w:rPr>
                <w:rFonts w:ascii="宋体" w:hAnsi="宋体" w:cs="宋体" w:eastAsia="宋体" w:hint="default"/>
                <w:sz w:val="18"/>
                <w:szCs w:val="18"/>
              </w:rPr>
            </w:pPr>
            <w:r>
              <w:rPr>
                <w:rFonts w:ascii="宋体" w:hAnsi="宋体" w:cs="宋体" w:eastAsia="宋体" w:hint="default"/>
                <w:sz w:val="18"/>
                <w:szCs w:val="18"/>
              </w:rPr>
              <w:t>保障资产安 全性的控制 措施</w:t>
            </w:r>
          </w:p>
        </w:tc>
        <w:tc>
          <w:tcPr>
            <w:tcW w:w="64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27" w:right="43" w:hanging="180"/>
              <w:jc w:val="left"/>
              <w:rPr>
                <w:rFonts w:ascii="宋体" w:hAnsi="宋体" w:cs="宋体" w:eastAsia="宋体" w:hint="default"/>
                <w:sz w:val="18"/>
                <w:szCs w:val="18"/>
              </w:rPr>
            </w:pPr>
            <w:r>
              <w:rPr>
                <w:rFonts w:ascii="宋体" w:hAnsi="宋体" w:cs="宋体" w:eastAsia="宋体" w:hint="default"/>
                <w:sz w:val="18"/>
                <w:szCs w:val="18"/>
              </w:rPr>
              <w:t>收益状 况</w:t>
            </w:r>
          </w:p>
        </w:tc>
        <w:tc>
          <w:tcPr>
            <w:tcW w:w="148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96" w:right="107" w:hanging="89"/>
              <w:jc w:val="left"/>
              <w:rPr>
                <w:rFonts w:ascii="宋体" w:hAnsi="宋体" w:cs="宋体" w:eastAsia="宋体" w:hint="default"/>
                <w:sz w:val="18"/>
                <w:szCs w:val="18"/>
              </w:rPr>
            </w:pPr>
            <w:r>
              <w:rPr>
                <w:rFonts w:ascii="宋体" w:hAnsi="宋体" w:cs="宋体" w:eastAsia="宋体" w:hint="default"/>
                <w:sz w:val="18"/>
                <w:szCs w:val="18"/>
              </w:rPr>
              <w:t>境外资产占公司 净资产的比重</w:t>
            </w:r>
          </w:p>
        </w:tc>
        <w:tc>
          <w:tcPr>
            <w:tcW w:w="10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74" w:right="72"/>
              <w:jc w:val="left"/>
              <w:rPr>
                <w:rFonts w:ascii="宋体" w:hAnsi="宋体" w:cs="宋体" w:eastAsia="宋体" w:hint="default"/>
                <w:sz w:val="18"/>
                <w:szCs w:val="18"/>
              </w:rPr>
            </w:pPr>
            <w:r>
              <w:rPr>
                <w:rFonts w:ascii="宋体" w:hAnsi="宋体" w:cs="宋体" w:eastAsia="宋体" w:hint="default"/>
                <w:sz w:val="18"/>
                <w:szCs w:val="18"/>
              </w:rPr>
              <w:t>是否存在重 大减值风险</w:t>
            </w:r>
          </w:p>
        </w:tc>
      </w:tr>
    </w:tbl>
    <w:p>
      <w:pPr>
        <w:spacing w:after="0" w:line="316"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81" w:type="dxa"/>
        <w:tblLayout w:type="fixed"/>
        <w:tblCellMar>
          <w:top w:w="0" w:type="dxa"/>
          <w:left w:w="0" w:type="dxa"/>
          <w:bottom w:w="0" w:type="dxa"/>
          <w:right w:w="0" w:type="dxa"/>
        </w:tblCellMar>
        <w:tblLook w:val="01E0"/>
      </w:tblPr>
      <w:tblGrid>
        <w:gridCol w:w="1250"/>
        <w:gridCol w:w="1094"/>
        <w:gridCol w:w="1066"/>
        <w:gridCol w:w="845"/>
        <w:gridCol w:w="1063"/>
        <w:gridCol w:w="1063"/>
        <w:gridCol w:w="643"/>
        <w:gridCol w:w="1486"/>
        <w:gridCol w:w="1058"/>
      </w:tblGrid>
      <w:tr>
        <w:trPr>
          <w:trHeight w:val="715" w:hRule="exact"/>
        </w:trPr>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79" w:right="79"/>
              <w:jc w:val="left"/>
              <w:rPr>
                <w:rFonts w:ascii="宋体" w:hAnsi="宋体" w:cs="宋体" w:eastAsia="宋体" w:hint="default"/>
                <w:sz w:val="18"/>
                <w:szCs w:val="18"/>
              </w:rPr>
            </w:pPr>
            <w:r>
              <w:rPr>
                <w:rFonts w:ascii="宋体" w:hAnsi="宋体" w:cs="宋体" w:eastAsia="宋体" w:hint="default"/>
                <w:sz w:val="18"/>
                <w:szCs w:val="18"/>
              </w:rPr>
              <w:t>香港鼎永泰克 科技有限公司</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控股子公司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7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346.49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7"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7" w:right="0"/>
              <w:jc w:val="left"/>
              <w:rPr>
                <w:rFonts w:ascii="宋体" w:hAnsi="宋体" w:cs="宋体" w:eastAsia="宋体" w:hint="default"/>
                <w:sz w:val="18"/>
                <w:szCs w:val="18"/>
              </w:rPr>
            </w:pPr>
            <w:r>
              <w:rPr>
                <w:rFonts w:ascii="宋体" w:hAnsi="宋体" w:cs="宋体" w:eastAsia="宋体" w:hint="default"/>
                <w:sz w:val="18"/>
                <w:szCs w:val="18"/>
              </w:rPr>
              <w:t>自主经营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7" w:right="0"/>
              <w:jc w:val="left"/>
              <w:rPr>
                <w:rFonts w:ascii="宋体" w:hAnsi="宋体" w:cs="宋体" w:eastAsia="宋体" w:hint="default"/>
                <w:sz w:val="18"/>
                <w:szCs w:val="18"/>
              </w:rPr>
            </w:pPr>
            <w:r>
              <w:rPr>
                <w:rFonts w:ascii="宋体" w:hAnsi="宋体" w:cs="宋体" w:eastAsia="宋体" w:hint="default"/>
                <w:sz w:val="18"/>
                <w:szCs w:val="18"/>
              </w:rPr>
              <w:t>公司章程</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36" w:right="0"/>
              <w:jc w:val="left"/>
              <w:rPr>
                <w:rFonts w:ascii="宋体" w:hAnsi="宋体" w:cs="宋体" w:eastAsia="宋体" w:hint="default"/>
                <w:sz w:val="18"/>
                <w:szCs w:val="18"/>
              </w:rPr>
            </w:pPr>
            <w:r>
              <w:rPr>
                <w:rFonts w:ascii="宋体" w:hAnsi="宋体" w:cs="宋体" w:eastAsia="宋体" w:hint="default"/>
                <w:sz w:val="18"/>
                <w:szCs w:val="18"/>
              </w:rPr>
              <w:t>正常</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0.12%</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1"/>
        <w:rPr>
          <w:rFonts w:ascii="宋体" w:hAnsi="宋体" w:cs="宋体" w:eastAsia="宋体" w:hint="default"/>
          <w:sz w:val="18"/>
          <w:szCs w:val="18"/>
        </w:rPr>
      </w:pPr>
    </w:p>
    <w:p>
      <w:pPr>
        <w:pStyle w:val="Heading2"/>
        <w:spacing w:line="240" w:lineRule="auto" w:before="26"/>
        <w:ind w:right="0"/>
        <w:jc w:val="both"/>
        <w:rPr>
          <w:b w:val="0"/>
          <w:bCs w:val="0"/>
        </w:rPr>
      </w:pPr>
      <w:bookmarkStart w:name="三、核心竞争力分析" w:id="20"/>
      <w:bookmarkEnd w:id="20"/>
      <w:r>
        <w:rPr>
          <w:b w:val="0"/>
          <w:bCs w:val="0"/>
        </w:rPr>
      </w:r>
      <w:r>
        <w:rPr/>
        <w:t>三、核心竞争力分析</w:t>
      </w:r>
      <w:r>
        <w:rPr>
          <w:b w:val="0"/>
          <w:bCs w:val="0"/>
        </w:rPr>
      </w:r>
    </w:p>
    <w:p>
      <w:pPr>
        <w:spacing w:line="240" w:lineRule="auto" w:before="8"/>
        <w:rPr>
          <w:rFonts w:ascii="宋体" w:hAnsi="宋体" w:cs="宋体" w:eastAsia="宋体" w:hint="default"/>
          <w:b/>
          <w:bCs/>
          <w:sz w:val="30"/>
          <w:szCs w:val="30"/>
        </w:rPr>
      </w:pPr>
    </w:p>
    <w:p>
      <w:pPr>
        <w:spacing w:before="0"/>
        <w:ind w:left="575" w:right="986"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、“党建引领方向，创新驱动发展”党建品牌：</w:t>
      </w:r>
      <w:r>
        <w:rPr>
          <w:rFonts w:ascii="宋体" w:hAnsi="宋体" w:cs="宋体" w:eastAsia="宋体" w:hint="default"/>
          <w:sz w:val="21"/>
          <w:szCs w:val="21"/>
        </w:rPr>
        <w:t>公司党组织成立于</w:t>
      </w:r>
      <w:r>
        <w:rPr>
          <w:rFonts w:ascii="宋体" w:hAnsi="宋体" w:cs="宋体" w:eastAsia="宋体" w:hint="default"/>
          <w:sz w:val="21"/>
          <w:szCs w:val="21"/>
        </w:rPr>
        <w:t>2007</w:t>
      </w:r>
      <w:r>
        <w:rPr>
          <w:rFonts w:ascii="宋体" w:hAnsi="宋体" w:cs="宋体" w:eastAsia="宋体" w:hint="default"/>
          <w:sz w:val="21"/>
          <w:szCs w:val="21"/>
        </w:rPr>
        <w:t>年，目前为党委建制，下设</w:t>
      </w:r>
    </w:p>
    <w:p>
      <w:pPr>
        <w:spacing w:line="240" w:lineRule="auto" w:before="10"/>
        <w:rPr>
          <w:rFonts w:ascii="宋体" w:hAnsi="宋体" w:cs="宋体" w:eastAsia="宋体" w:hint="default"/>
          <w:sz w:val="14"/>
          <w:szCs w:val="14"/>
        </w:rPr>
      </w:pPr>
    </w:p>
    <w:p>
      <w:pPr>
        <w:pStyle w:val="BodyText"/>
        <w:spacing w:line="408" w:lineRule="auto" w:before="0"/>
        <w:ind w:right="1128"/>
        <w:jc w:val="both"/>
      </w:pPr>
      <w:r>
        <w:rPr>
          <w:rFonts w:ascii="宋体" w:hAnsi="宋体" w:cs="宋体" w:eastAsia="宋体" w:hint="default"/>
        </w:rPr>
        <w:t>24</w:t>
      </w:r>
      <w:r>
        <w:rPr/>
        <w:t>个党支部，有党员</w:t>
      </w:r>
      <w:r>
        <w:rPr>
          <w:rFonts w:ascii="宋体" w:hAnsi="宋体" w:cs="宋体" w:eastAsia="宋体" w:hint="default"/>
        </w:rPr>
        <w:t>500</w:t>
      </w:r>
      <w:r>
        <w:rPr/>
        <w:t>多名。先后被表彰为全国先进基层党组织、厦门市直机关先进基层党组织、福建</w:t>
      </w:r>
      <w:r>
        <w:rPr>
          <w:spacing w:val="-27"/>
        </w:rPr>
        <w:t> </w:t>
      </w:r>
      <w:r>
        <w:rPr>
          <w:spacing w:val="-27"/>
        </w:rPr>
      </w:r>
      <w:r>
        <w:rPr>
          <w:spacing w:val="-2"/>
        </w:rPr>
        <w:t>省先进基层党组织等荣誉称号。公司高度重视党建工作，</w:t>
      </w:r>
      <w:r>
        <w:rPr>
          <w:rFonts w:ascii="宋体" w:hAnsi="宋体" w:cs="宋体" w:eastAsia="宋体" w:hint="default"/>
          <w:spacing w:val="-2"/>
        </w:rPr>
        <w:t>2018</w:t>
      </w:r>
      <w:r>
        <w:rPr>
          <w:spacing w:val="-2"/>
        </w:rPr>
        <w:t>年公司将党建工作要求写入公司章程，明确</w:t>
      </w:r>
      <w:r>
        <w:rPr>
          <w:spacing w:val="-40"/>
        </w:rPr>
        <w:t> </w:t>
      </w:r>
      <w:r>
        <w:rPr>
          <w:spacing w:val="-40"/>
        </w:rPr>
      </w:r>
      <w:r>
        <w:rPr>
          <w:spacing w:val="-2"/>
        </w:rPr>
        <w:t>党委在公司的政治核心和思想引领作用。公司以打造“发展强、党建强”的“双强”企业为目标，在企业</w:t>
      </w:r>
      <w:r>
        <w:rPr>
          <w:spacing w:val="-47"/>
        </w:rPr>
        <w:t> </w:t>
      </w:r>
      <w:r>
        <w:rPr>
          <w:spacing w:val="-47"/>
        </w:rPr>
      </w:r>
      <w:r>
        <w:rPr>
          <w:spacing w:val="-2"/>
        </w:rPr>
        <w:t>发展的过程中充分发挥党组织在贯彻党的路线、推进科学发展、加强培才育才、服务生产经营，凝聚员工</w:t>
      </w:r>
      <w:r>
        <w:rPr>
          <w:spacing w:val="-47"/>
        </w:rPr>
        <w:t> </w:t>
      </w:r>
      <w:r>
        <w:rPr>
          <w:spacing w:val="-47"/>
        </w:rPr>
      </w:r>
      <w:r>
        <w:rPr/>
        <w:t>群众、主导企业文化等方面的政治核心和政治引领作用。</w:t>
      </w:r>
    </w:p>
    <w:p>
      <w:pPr>
        <w:pStyle w:val="BodyText"/>
        <w:spacing w:line="408" w:lineRule="auto"/>
        <w:ind w:right="986" w:firstLine="422"/>
        <w:jc w:val="left"/>
      </w:pPr>
      <w:r>
        <w:rPr>
          <w:rFonts w:ascii="宋体" w:hAnsi="宋体" w:cs="宋体" w:eastAsia="宋体" w:hint="default"/>
          <w:b/>
          <w:bCs/>
        </w:rPr>
        <w:t>2</w:t>
      </w:r>
      <w:r>
        <w:rPr>
          <w:rFonts w:ascii="宋体" w:hAnsi="宋体" w:cs="宋体" w:eastAsia="宋体" w:hint="default"/>
          <w:b/>
          <w:bCs/>
        </w:rPr>
        <w:t>、资源优势：</w:t>
      </w:r>
      <w:r>
        <w:rPr/>
        <w:t>公司控股股东国投智能科技有限公司重点布局数字经济产业重要基础设施，核心技术</w:t>
      </w:r>
      <w:r>
        <w:rPr>
          <w:w w:val="100"/>
        </w:rPr>
        <w:t> </w:t>
      </w:r>
      <w:r>
        <w:rPr>
          <w:spacing w:val="-2"/>
        </w:rPr>
        <w:t>和高端装备等符合国家战略、集团战略、关系国计民生的重要领域。国投智能为国家开发投资集团有限公</w:t>
      </w:r>
      <w:r>
        <w:rPr>
          <w:spacing w:val="-45"/>
        </w:rPr>
        <w:t> </w:t>
      </w:r>
      <w:r>
        <w:rPr>
          <w:spacing w:val="-45"/>
        </w:rPr>
      </w:r>
      <w:r>
        <w:rPr>
          <w:spacing w:val="-2"/>
        </w:rPr>
        <w:t>司全资子公司，国投集团是中央直接管理的国有重要骨干企业，是中央企业中唯一的投资控股公司，是首</w:t>
      </w:r>
      <w:r>
        <w:rPr>
          <w:spacing w:val="-43"/>
        </w:rPr>
        <w:t> </w:t>
      </w:r>
      <w:r>
        <w:rPr>
          <w:spacing w:val="-43"/>
        </w:rPr>
      </w:r>
      <w:r>
        <w:rPr>
          <w:spacing w:val="-5"/>
        </w:rPr>
        <w:t>批国有资本投资公司改革试点单位，在国民经济发展中发挥了投资导向、结构调整和资本经营的独特作用。 </w:t>
      </w:r>
      <w:r>
        <w:rPr>
          <w:spacing w:val="-5"/>
        </w:rPr>
      </w:r>
      <w:r>
        <w:rPr/>
        <w:t>国投集团拥有全资及控股子公司</w:t>
      </w:r>
      <w:r>
        <w:rPr>
          <w:rFonts w:ascii="宋体" w:hAnsi="宋体" w:cs="宋体" w:eastAsia="宋体" w:hint="default"/>
        </w:rPr>
        <w:t>17</w:t>
      </w:r>
      <w:r>
        <w:rPr/>
        <w:t>家；拥有三级以上全资和控股投资企业</w:t>
      </w:r>
      <w:r>
        <w:rPr>
          <w:rFonts w:ascii="宋体" w:hAnsi="宋体" w:cs="宋体" w:eastAsia="宋体" w:hint="default"/>
        </w:rPr>
        <w:t>145</w:t>
      </w:r>
      <w:r>
        <w:rPr/>
        <w:t>家，其中</w:t>
      </w:r>
      <w:r>
        <w:rPr>
          <w:rFonts w:ascii="宋体" w:hAnsi="宋体" w:cs="宋体" w:eastAsia="宋体" w:hint="default"/>
        </w:rPr>
        <w:t>9</w:t>
      </w:r>
      <w:r>
        <w:rPr/>
        <w:t>家控股上市公司，</w:t>
      </w:r>
      <w:r>
        <w:rPr>
          <w:spacing w:val="-3"/>
          <w:w w:val="100"/>
        </w:rPr>
        <w:t> </w:t>
      </w:r>
      <w:r>
        <w:rPr>
          <w:spacing w:val="-2"/>
        </w:rPr>
        <w:t>产业布局健康养老、先进制造业、生物能源、大数据和互联网</w:t>
      </w:r>
      <w:r>
        <w:rPr>
          <w:rFonts w:ascii="宋体" w:hAnsi="宋体" w:cs="宋体" w:eastAsia="宋体" w:hint="default"/>
          <w:spacing w:val="-2"/>
        </w:rPr>
        <w:t>+</w:t>
      </w:r>
      <w:r>
        <w:rPr>
          <w:spacing w:val="-2"/>
        </w:rPr>
        <w:t>、生物医药、城市环保等多个行业。未来，</w:t>
      </w:r>
      <w:r>
        <w:rPr>
          <w:spacing w:val="-42"/>
        </w:rPr>
        <w:t> </w:t>
      </w:r>
      <w:r>
        <w:rPr>
          <w:spacing w:val="-42"/>
        </w:rPr>
      </w:r>
      <w:r>
        <w:rPr>
          <w:spacing w:val="-2"/>
        </w:rPr>
        <w:t>公司将加强与国投集团的资源协同，通过形成资源、技术、人才的聚集和共享，不断拓展完善产业链，共</w:t>
      </w:r>
      <w:r>
        <w:rPr>
          <w:spacing w:val="-48"/>
        </w:rPr>
        <w:t> </w:t>
      </w:r>
      <w:r>
        <w:rPr>
          <w:spacing w:val="-48"/>
        </w:rPr>
      </w:r>
      <w:r>
        <w:rPr/>
        <w:t>同推动国家网络安全和信息化、社会治理建设。</w:t>
      </w:r>
    </w:p>
    <w:p>
      <w:pPr>
        <w:pStyle w:val="BodyText"/>
        <w:spacing w:line="408" w:lineRule="auto"/>
        <w:ind w:right="986" w:firstLine="422"/>
        <w:jc w:val="left"/>
      </w:pPr>
      <w:r>
        <w:rPr>
          <w:rFonts w:ascii="宋体" w:hAnsi="宋体" w:cs="宋体" w:eastAsia="宋体" w:hint="default"/>
          <w:b/>
          <w:bCs/>
          <w:spacing w:val="-2"/>
        </w:rPr>
        <w:t>3</w:t>
      </w:r>
      <w:r>
        <w:rPr>
          <w:rFonts w:ascii="宋体" w:hAnsi="宋体" w:cs="宋体" w:eastAsia="宋体" w:hint="default"/>
          <w:b/>
          <w:bCs/>
          <w:spacing w:val="-2"/>
        </w:rPr>
        <w:t>、持续技术创新的研发体系：</w:t>
      </w:r>
      <w:r>
        <w:rPr>
          <w:spacing w:val="-2"/>
        </w:rPr>
        <w:t>公司是知识</w:t>
      </w:r>
      <w:r>
        <w:rPr>
          <w:rFonts w:ascii="宋体" w:hAnsi="宋体" w:cs="宋体" w:eastAsia="宋体" w:hint="default"/>
          <w:spacing w:val="-2"/>
        </w:rPr>
        <w:t>/</w:t>
      </w:r>
      <w:r>
        <w:rPr>
          <w:spacing w:val="-2"/>
        </w:rPr>
        <w:t>技术密集型产业，研发技术人员占公司总人数达</w:t>
      </w:r>
      <w:r>
        <w:rPr>
          <w:rFonts w:ascii="宋体" w:hAnsi="宋体" w:cs="宋体" w:eastAsia="宋体" w:hint="default"/>
          <w:spacing w:val="-2"/>
        </w:rPr>
        <w:t>70%</w:t>
      </w:r>
      <w:r>
        <w:rPr>
          <w:spacing w:val="-2"/>
        </w:rPr>
        <w:t>以上，</w:t>
      </w:r>
      <w:r>
        <w:rPr>
          <w:w w:val="100"/>
        </w:rPr>
        <w:t> </w:t>
      </w:r>
      <w:r>
        <w:rPr>
          <w:spacing w:val="-2"/>
        </w:rPr>
        <w:t>创新能力是公司保持长久活力的源泉。公司十分重视技术创新及产品研发，近几年每年研发投入占当年度</w:t>
      </w:r>
      <w:r>
        <w:rPr>
          <w:spacing w:val="-42"/>
        </w:rPr>
        <w:t> </w:t>
      </w:r>
      <w:r>
        <w:rPr>
          <w:spacing w:val="-42"/>
        </w:rPr>
      </w:r>
      <w:r>
        <w:rPr/>
        <w:t>营业收入比例不断增加，其中</w:t>
      </w:r>
      <w:r>
        <w:rPr>
          <w:rFonts w:ascii="宋体" w:hAnsi="宋体" w:cs="宋体" w:eastAsia="宋体" w:hint="default"/>
        </w:rPr>
        <w:t>2017</w:t>
      </w:r>
      <w:r>
        <w:rPr/>
        <w:t>年</w:t>
      </w:r>
      <w:r>
        <w:rPr>
          <w:rFonts w:ascii="宋体" w:hAnsi="宋体" w:cs="宋体" w:eastAsia="宋体" w:hint="default"/>
        </w:rPr>
        <w:t>15.22%</w:t>
      </w:r>
      <w:r>
        <w:rPr/>
        <w:t>、</w:t>
      </w:r>
      <w:r>
        <w:rPr>
          <w:rFonts w:ascii="宋体" w:hAnsi="宋体" w:cs="宋体" w:eastAsia="宋体" w:hint="default"/>
        </w:rPr>
        <w:t>2018</w:t>
      </w:r>
      <w:r>
        <w:rPr/>
        <w:t>年</w:t>
      </w:r>
      <w:r>
        <w:rPr>
          <w:rFonts w:ascii="宋体" w:hAnsi="宋体" w:cs="宋体" w:eastAsia="宋体" w:hint="default"/>
        </w:rPr>
        <w:t>16.35%</w:t>
      </w:r>
      <w:r>
        <w:rPr/>
        <w:t>、</w:t>
      </w:r>
      <w:r>
        <w:rPr>
          <w:rFonts w:ascii="宋体" w:hAnsi="宋体" w:cs="宋体" w:eastAsia="宋体" w:hint="default"/>
        </w:rPr>
        <w:t>2019</w:t>
      </w:r>
      <w:r>
        <w:rPr/>
        <w:t>年</w:t>
      </w:r>
      <w:r>
        <w:rPr>
          <w:rFonts w:ascii="宋体" w:hAnsi="宋体" w:cs="宋体" w:eastAsia="宋体" w:hint="default"/>
        </w:rPr>
        <w:t>17.32%</w:t>
      </w:r>
      <w:r>
        <w:rPr/>
        <w:t>。公司围绕着电子数据取证、</w:t>
      </w:r>
      <w:r>
        <w:rPr>
          <w:spacing w:val="-3"/>
          <w:w w:val="100"/>
        </w:rPr>
        <w:t> </w:t>
      </w:r>
      <w:r>
        <w:rPr>
          <w:spacing w:val="-5"/>
        </w:rPr>
        <w:t>大数据、网络空间安全产品等主营业务成立了大数据与智能平台研究院、电子数据取证与智能装备研究院、</w:t>
      </w:r>
      <w:r>
        <w:rPr>
          <w:spacing w:val="-4"/>
        </w:rPr>
        <w:t> </w:t>
      </w:r>
      <w:r>
        <w:rPr>
          <w:spacing w:val="-4"/>
        </w:rPr>
      </w:r>
      <w:r>
        <w:rPr>
          <w:spacing w:val="-5"/>
        </w:rPr>
        <w:t>开源情报与应用研究院。为了更专注的进行技术创新研究，公司设立技术管理委员会，下设技术创新中心，</w:t>
      </w:r>
      <w:r>
        <w:rPr>
          <w:spacing w:val="-4"/>
        </w:rPr>
        <w:t> </w:t>
      </w:r>
      <w:r>
        <w:rPr>
          <w:spacing w:val="-4"/>
        </w:rPr>
      </w:r>
      <w:r>
        <w:rPr/>
        <w:t>围绕着智能取证、大数据、人工智能等技术方向不断探索和研究。</w:t>
      </w:r>
      <w:r>
        <w:rPr>
          <w:rFonts w:ascii="宋体" w:hAnsi="宋体" w:cs="宋体" w:eastAsia="宋体" w:hint="default"/>
        </w:rPr>
        <w:t>2019</w:t>
      </w:r>
      <w:r>
        <w:rPr/>
        <w:t>年公司参与了</w:t>
      </w:r>
      <w:r>
        <w:rPr>
          <w:rFonts w:ascii="宋体" w:hAnsi="宋体" w:cs="宋体" w:eastAsia="宋体" w:hint="default"/>
        </w:rPr>
        <w:t>3</w:t>
      </w:r>
      <w:r>
        <w:rPr/>
        <w:t>个国家重点专项项</w:t>
      </w:r>
      <w:r>
        <w:rPr>
          <w:spacing w:val="-3"/>
          <w:w w:val="100"/>
        </w:rPr>
        <w:t> </w:t>
      </w:r>
      <w:r>
        <w:rPr>
          <w:spacing w:val="-2"/>
        </w:rPr>
        <w:t>目的研究，两项成果分别获得“国家科技进步二等奖”和“福建省科技进步一等奖”。公司人工智能研究</w:t>
      </w:r>
      <w:r>
        <w:rPr>
          <w:spacing w:val="-43"/>
        </w:rPr>
        <w:t> </w:t>
      </w:r>
      <w:r>
        <w:rPr>
          <w:spacing w:val="-43"/>
        </w:rPr>
      </w:r>
      <w:r>
        <w:rPr/>
        <w:t>成果“基于深度学习的移动端敏感信息检测设备”获批为福建省“数字福建人工智能应用示范项目”和</w:t>
      </w:r>
      <w:r>
        <w:rPr>
          <w:w w:val="100"/>
        </w:rPr>
        <w:t> </w:t>
      </w:r>
      <w:r>
        <w:rPr>
          <w:spacing w:val="-2"/>
        </w:rPr>
        <w:t>厦门市人工智能应用示范项目；“基于人工智能先进技术的网络有害信息识别系统”成为工业和信息化部</w:t>
      </w:r>
      <w:r>
        <w:rPr>
          <w:spacing w:val="-43"/>
        </w:rPr>
        <w:t> </w:t>
      </w:r>
      <w:r>
        <w:rPr>
          <w:spacing w:val="-43"/>
        </w:rPr>
      </w:r>
      <w:r>
        <w:rPr/>
        <w:t>新一代人工智能产业创新重点任务揭榜项目。</w:t>
      </w:r>
    </w:p>
    <w:p>
      <w:pPr>
        <w:pStyle w:val="BodyText"/>
        <w:spacing w:line="408" w:lineRule="auto"/>
        <w:ind w:right="986" w:firstLine="419"/>
        <w:jc w:val="left"/>
      </w:pPr>
      <w:r>
        <w:rPr>
          <w:spacing w:val="-2"/>
        </w:rPr>
        <w:t>为了保证公司产品自主可控，公司加强了核心技术产品的知识产权保护。截至</w:t>
      </w:r>
      <w:r>
        <w:rPr>
          <w:rFonts w:ascii="宋体" w:hAnsi="宋体" w:cs="宋体" w:eastAsia="宋体" w:hint="default"/>
          <w:spacing w:val="-2"/>
        </w:rPr>
        <w:t>2019</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日，公司</w:t>
      </w:r>
      <w:r>
        <w:rPr>
          <w:w w:val="100"/>
        </w:rPr>
        <w:t> </w:t>
      </w:r>
      <w:r>
        <w:rPr>
          <w:spacing w:val="-2"/>
        </w:rPr>
        <w:t>共取得授权专利</w:t>
      </w:r>
      <w:r>
        <w:rPr>
          <w:rFonts w:ascii="宋体" w:hAnsi="宋体" w:cs="宋体" w:eastAsia="宋体" w:hint="default"/>
          <w:spacing w:val="-2"/>
        </w:rPr>
        <w:t>284</w:t>
      </w:r>
      <w:r>
        <w:rPr>
          <w:spacing w:val="-2"/>
        </w:rPr>
        <w:t>项，其中发明专利</w:t>
      </w:r>
      <w:r>
        <w:rPr>
          <w:rFonts w:ascii="宋体" w:hAnsi="宋体" w:cs="宋体" w:eastAsia="宋体" w:hint="default"/>
          <w:spacing w:val="-2"/>
        </w:rPr>
        <w:t>166</w:t>
      </w:r>
      <w:r>
        <w:rPr>
          <w:spacing w:val="-2"/>
        </w:rPr>
        <w:t>项，实用新型专利</w:t>
      </w:r>
      <w:r>
        <w:rPr>
          <w:rFonts w:ascii="宋体" w:hAnsi="宋体" w:cs="宋体" w:eastAsia="宋体" w:hint="default"/>
          <w:spacing w:val="-2"/>
        </w:rPr>
        <w:t>54</w:t>
      </w:r>
      <w:r>
        <w:rPr>
          <w:spacing w:val="-2"/>
        </w:rPr>
        <w:t>项，外观专利</w:t>
      </w:r>
      <w:r>
        <w:rPr>
          <w:rFonts w:ascii="宋体" w:hAnsi="宋体" w:cs="宋体" w:eastAsia="宋体" w:hint="default"/>
          <w:spacing w:val="-2"/>
        </w:rPr>
        <w:t>64</w:t>
      </w:r>
      <w:r>
        <w:rPr>
          <w:spacing w:val="-2"/>
        </w:rPr>
        <w:t>项；有效注册商标</w:t>
      </w:r>
      <w:r>
        <w:rPr>
          <w:rFonts w:ascii="宋体" w:hAnsi="宋体" w:cs="宋体" w:eastAsia="宋体" w:hint="default"/>
          <w:spacing w:val="-2"/>
        </w:rPr>
        <w:t>60</w:t>
      </w:r>
      <w:r>
        <w:rPr>
          <w:spacing w:val="-2"/>
        </w:rPr>
        <w:t>项，软</w:t>
      </w:r>
      <w:r>
        <w:rPr/>
      </w:r>
    </w:p>
    <w:p>
      <w:pPr>
        <w:spacing w:after="0" w:line="408"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left="153" w:right="1022" w:hanging="1"/>
        <w:jc w:val="left"/>
      </w:pPr>
      <w:r>
        <w:rPr/>
        <w:t>件著作权</w:t>
      </w:r>
      <w:r>
        <w:rPr>
          <w:rFonts w:ascii="宋体" w:hAnsi="宋体" w:cs="宋体" w:eastAsia="宋体" w:hint="default"/>
        </w:rPr>
        <w:t>570</w:t>
      </w:r>
      <w:r>
        <w:rPr/>
        <w:t>项。报告期内，公司新增授权专利</w:t>
      </w:r>
      <w:r>
        <w:rPr>
          <w:rFonts w:ascii="宋体" w:hAnsi="宋体" w:cs="宋体" w:eastAsia="宋体" w:hint="default"/>
        </w:rPr>
        <w:t>62</w:t>
      </w:r>
      <w:r>
        <w:rPr/>
        <w:t>项，其中发明专利</w:t>
      </w:r>
      <w:r>
        <w:rPr>
          <w:rFonts w:ascii="宋体" w:hAnsi="宋体" w:cs="宋体" w:eastAsia="宋体" w:hint="default"/>
        </w:rPr>
        <w:t>24</w:t>
      </w:r>
      <w:r>
        <w:rPr/>
        <w:t>项，实用新型专利</w:t>
      </w:r>
      <w:r>
        <w:rPr>
          <w:rFonts w:ascii="宋体" w:hAnsi="宋体" w:cs="宋体" w:eastAsia="宋体" w:hint="default"/>
        </w:rPr>
        <w:t>11</w:t>
      </w:r>
      <w:r>
        <w:rPr/>
        <w:t>项，外观专利</w:t>
      </w:r>
      <w:r>
        <w:rPr>
          <w:spacing w:val="-29"/>
        </w:rPr>
        <w:t> </w:t>
      </w:r>
      <w:r>
        <w:rPr>
          <w:spacing w:val="-29"/>
        </w:rPr>
      </w:r>
      <w:r>
        <w:rPr>
          <w:rFonts w:ascii="宋体" w:hAnsi="宋体" w:cs="宋体" w:eastAsia="宋体" w:hint="default"/>
          <w:spacing w:val="-2"/>
        </w:rPr>
        <w:t>27</w:t>
      </w:r>
      <w:r>
        <w:rPr>
          <w:spacing w:val="-2"/>
        </w:rPr>
        <w:t>项；新增软件著作权</w:t>
      </w:r>
      <w:r>
        <w:rPr>
          <w:rFonts w:ascii="宋体" w:hAnsi="宋体" w:cs="宋体" w:eastAsia="宋体" w:hint="default"/>
          <w:spacing w:val="-2"/>
        </w:rPr>
        <w:t>177</w:t>
      </w:r>
      <w:r>
        <w:rPr>
          <w:spacing w:val="-2"/>
        </w:rPr>
        <w:t>项。公司还入选“2019年全国软件百强企业榜”、“国家知识产权示范企业”、</w:t>
      </w:r>
      <w:r>
        <w:rPr>
          <w:spacing w:val="-34"/>
        </w:rPr>
        <w:t> </w:t>
      </w:r>
      <w:r>
        <w:rPr>
          <w:spacing w:val="-34"/>
        </w:rPr>
      </w:r>
      <w:r>
        <w:rPr/>
        <w:t>上市企业专利竞争力风云榜“创业板</w:t>
      </w:r>
      <w:r>
        <w:rPr>
          <w:rFonts w:ascii="宋体" w:hAnsi="宋体" w:cs="宋体" w:eastAsia="宋体" w:hint="default"/>
        </w:rPr>
        <w:t>-</w:t>
      </w:r>
      <w:r>
        <w:rPr/>
        <w:t>专利竞争力百强企业”、“中国网络安全</w:t>
      </w:r>
      <w:r>
        <w:rPr>
          <w:rFonts w:ascii="宋体" w:hAnsi="宋体" w:cs="宋体" w:eastAsia="宋体" w:hint="default"/>
        </w:rPr>
        <w:t>100</w:t>
      </w:r>
      <w:r>
        <w:rPr/>
        <w:t>强企业榜单”。</w:t>
      </w:r>
    </w:p>
    <w:p>
      <w:pPr>
        <w:pStyle w:val="BodyText"/>
        <w:spacing w:line="408" w:lineRule="auto"/>
        <w:ind w:right="986" w:firstLine="422"/>
        <w:jc w:val="left"/>
      </w:pPr>
      <w:r>
        <w:rPr>
          <w:rFonts w:ascii="宋体" w:hAnsi="宋体" w:cs="宋体" w:eastAsia="宋体" w:hint="default"/>
          <w:b/>
          <w:bCs/>
        </w:rPr>
        <w:t>4</w:t>
      </w:r>
      <w:r>
        <w:rPr>
          <w:rFonts w:ascii="宋体" w:hAnsi="宋体" w:cs="宋体" w:eastAsia="宋体" w:hint="default"/>
          <w:b/>
          <w:bCs/>
        </w:rPr>
        <w:t>、“以培训带动销售”的营销模式：</w:t>
      </w:r>
      <w:r>
        <w:rPr/>
        <w:t>培训获需求、培训促服务、培训得市场。公司设有美亚柏科信</w:t>
      </w:r>
      <w:r>
        <w:rPr>
          <w:spacing w:val="-3"/>
          <w:w w:val="100"/>
        </w:rPr>
        <w:t> </w:t>
      </w:r>
      <w:r>
        <w:rPr>
          <w:spacing w:val="-2"/>
        </w:rPr>
        <w:t>息安全学院，拥有专业的培训团队、培训课程、培训场所、专业资格认证。公司的培训已在培训管理、培</w:t>
      </w:r>
      <w:r>
        <w:rPr>
          <w:spacing w:val="-42"/>
        </w:rPr>
        <w:t> </w:t>
      </w:r>
      <w:r>
        <w:rPr>
          <w:spacing w:val="-42"/>
        </w:rPr>
      </w:r>
      <w:r>
        <w:rPr>
          <w:spacing w:val="-2"/>
        </w:rPr>
        <w:t>训课程体系、培训服务流程实现了集团资源融合，并将培训模式复制到集团内子公司。通过建立集团完善</w:t>
      </w:r>
      <w:r>
        <w:rPr>
          <w:spacing w:val="-43"/>
        </w:rPr>
        <w:t> </w:t>
      </w:r>
      <w:r>
        <w:rPr>
          <w:spacing w:val="-43"/>
        </w:rPr>
      </w:r>
      <w:r>
        <w:rPr>
          <w:spacing w:val="-2"/>
        </w:rPr>
        <w:t>的培训服务体系、培训服务流程，为顾客提供包括行业技术培训、产品培训、认证培训等服务，树立行业</w:t>
      </w:r>
      <w:r>
        <w:rPr>
          <w:spacing w:val="-43"/>
        </w:rPr>
        <w:t> </w:t>
      </w:r>
      <w:r>
        <w:rPr>
          <w:spacing w:val="-43"/>
        </w:rPr>
      </w:r>
      <w:r>
        <w:rPr>
          <w:spacing w:val="-2"/>
        </w:rPr>
        <w:t>培训与认证标杆，奠定行业品牌地位。培训带动销售，为客户培养专业技术人才及提升专业技术水平，快</w:t>
      </w:r>
      <w:r>
        <w:rPr>
          <w:spacing w:val="-47"/>
        </w:rPr>
        <w:t> </w:t>
      </w:r>
      <w:r>
        <w:rPr>
          <w:spacing w:val="-47"/>
        </w:rPr>
      </w:r>
      <w:r>
        <w:rPr/>
        <w:t>速实现行业覆盖，是公司独特的营销模式。</w:t>
      </w:r>
    </w:p>
    <w:p>
      <w:pPr>
        <w:spacing w:before="46"/>
        <w:ind w:left="575" w:right="0" w:firstLine="0"/>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、“以客户为中心”的服务模式：</w:t>
      </w:r>
      <w:r>
        <w:rPr>
          <w:rFonts w:ascii="宋体" w:hAnsi="宋体" w:cs="宋体" w:eastAsia="宋体" w:hint="default"/>
          <w:sz w:val="21"/>
          <w:szCs w:val="21"/>
        </w:rPr>
        <w:t>贯彻“以客户为中心”的服务方针，公司现拥有</w:t>
      </w:r>
      <w:r>
        <w:rPr>
          <w:rFonts w:ascii="宋体" w:hAnsi="宋体" w:cs="宋体" w:eastAsia="宋体" w:hint="default"/>
          <w:sz w:val="21"/>
          <w:szCs w:val="21"/>
        </w:rPr>
        <w:t>11</w:t>
      </w:r>
      <w:r>
        <w:rPr>
          <w:rFonts w:ascii="宋体" w:hAnsi="宋体" w:cs="宋体" w:eastAsia="宋体" w:hint="default"/>
          <w:sz w:val="21"/>
          <w:szCs w:val="21"/>
        </w:rPr>
        <w:t>家全资子公司，</w:t>
      </w:r>
    </w:p>
    <w:p>
      <w:pPr>
        <w:spacing w:line="240" w:lineRule="auto" w:before="10"/>
        <w:rPr>
          <w:rFonts w:ascii="宋体" w:hAnsi="宋体" w:cs="宋体" w:eastAsia="宋体" w:hint="default"/>
          <w:sz w:val="14"/>
          <w:szCs w:val="14"/>
        </w:rPr>
      </w:pPr>
    </w:p>
    <w:p>
      <w:pPr>
        <w:pStyle w:val="BodyText"/>
        <w:spacing w:line="240" w:lineRule="auto" w:before="0"/>
        <w:ind w:right="986"/>
        <w:jc w:val="left"/>
      </w:pPr>
      <w:r>
        <w:rPr>
          <w:rFonts w:ascii="宋体" w:hAnsi="宋体" w:cs="宋体" w:eastAsia="宋体" w:hint="default"/>
          <w:spacing w:val="-4"/>
        </w:rPr>
        <w:t>2</w:t>
      </w:r>
      <w:r>
        <w:rPr>
          <w:spacing w:val="-4"/>
        </w:rPr>
        <w:t>家分公司，</w:t>
      </w:r>
      <w:r>
        <w:rPr>
          <w:rFonts w:ascii="宋体" w:hAnsi="宋体" w:cs="宋体" w:eastAsia="宋体" w:hint="default"/>
          <w:spacing w:val="-4"/>
        </w:rPr>
        <w:t>9</w:t>
      </w:r>
      <w:r>
        <w:rPr>
          <w:spacing w:val="-4"/>
        </w:rPr>
        <w:t>家控股子公司，</w:t>
      </w:r>
      <w:r>
        <w:rPr>
          <w:rFonts w:ascii="宋体" w:hAnsi="宋体" w:cs="宋体" w:eastAsia="宋体" w:hint="default"/>
          <w:spacing w:val="-4"/>
        </w:rPr>
        <w:t>12</w:t>
      </w:r>
      <w:r>
        <w:rPr>
          <w:spacing w:val="-4"/>
        </w:rPr>
        <w:t>家参股公司，在全国设立了</w:t>
      </w:r>
      <w:r>
        <w:rPr>
          <w:rFonts w:ascii="宋体" w:hAnsi="宋体" w:cs="宋体" w:eastAsia="宋体" w:hint="default"/>
          <w:spacing w:val="-4"/>
        </w:rPr>
        <w:t>26</w:t>
      </w:r>
      <w:r>
        <w:rPr>
          <w:spacing w:val="-4"/>
        </w:rPr>
        <w:t>支分支机构，通过微信公众号、微信小程序、</w:t>
      </w:r>
    </w:p>
    <w:p>
      <w:pPr>
        <w:spacing w:line="240" w:lineRule="auto" w:before="10"/>
        <w:rPr>
          <w:rFonts w:ascii="宋体" w:hAnsi="宋体" w:cs="宋体" w:eastAsia="宋体" w:hint="default"/>
          <w:sz w:val="14"/>
          <w:szCs w:val="14"/>
        </w:rPr>
      </w:pPr>
    </w:p>
    <w:p>
      <w:pPr>
        <w:pStyle w:val="BodyText"/>
        <w:spacing w:line="240" w:lineRule="auto" w:before="0"/>
        <w:ind w:right="986"/>
        <w:jc w:val="left"/>
      </w:pPr>
      <w:r>
        <w:rPr>
          <w:rFonts w:ascii="宋体" w:hAnsi="宋体" w:cs="宋体" w:eastAsia="宋体" w:hint="default"/>
        </w:rPr>
        <w:t>400 888</w:t>
      </w:r>
      <w:r>
        <w:rPr>
          <w:rFonts w:ascii="宋体" w:hAnsi="宋体" w:cs="宋体" w:eastAsia="宋体" w:hint="default"/>
          <w:spacing w:val="-7"/>
        </w:rPr>
        <w:t> </w:t>
      </w:r>
      <w:r>
        <w:rPr>
          <w:rFonts w:ascii="宋体" w:hAnsi="宋体" w:cs="宋体" w:eastAsia="宋体" w:hint="default"/>
        </w:rPr>
        <w:t>6688</w:t>
      </w:r>
      <w:r>
        <w:rPr/>
        <w:t>服务热线、企业</w:t>
      </w:r>
      <w:r>
        <w:rPr>
          <w:rFonts w:ascii="宋体" w:hAnsi="宋体" w:cs="宋体" w:eastAsia="宋体" w:hint="default"/>
        </w:rPr>
        <w:t>QQ</w:t>
      </w:r>
      <w:r>
        <w:rPr/>
        <w:t>等方式提供了</w:t>
      </w:r>
      <w:r>
        <w:rPr>
          <w:rFonts w:ascii="宋体" w:hAnsi="宋体" w:cs="宋体" w:eastAsia="宋体" w:hint="default"/>
        </w:rPr>
        <w:t>7×24</w:t>
      </w:r>
      <w:r>
        <w:rPr/>
        <w:t>小时技术支持服务。</w:t>
      </w:r>
    </w:p>
    <w:p>
      <w:pPr>
        <w:spacing w:after="0" w:line="240"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pStyle w:val="Heading1"/>
        <w:spacing w:line="240" w:lineRule="auto"/>
        <w:ind w:left="3044" w:right="986"/>
        <w:jc w:val="left"/>
        <w:rPr>
          <w:b w:val="0"/>
          <w:bCs w:val="0"/>
        </w:rPr>
      </w:pPr>
      <w:bookmarkStart w:name="第四节经营情况讨论与分析" w:id="21"/>
      <w:bookmarkEnd w:id="21"/>
      <w:r>
        <w:rPr>
          <w:b w:val="0"/>
          <w:bCs w:val="0"/>
        </w:rPr>
      </w:r>
      <w:bookmarkStart w:name="_bookmark2" w:id="22"/>
      <w:bookmarkEnd w:id="22"/>
      <w:r>
        <w:rPr>
          <w:b w:val="0"/>
          <w:bCs w:val="0"/>
        </w:rPr>
      </w:r>
      <w:r>
        <w:rPr/>
        <w:t>第四节经营情况讨论与分析</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6"/>
          <w:szCs w:val="16"/>
        </w:rPr>
      </w:pPr>
    </w:p>
    <w:p>
      <w:pPr>
        <w:pStyle w:val="Heading2"/>
        <w:spacing w:line="240" w:lineRule="auto" w:before="26"/>
        <w:ind w:right="986"/>
        <w:jc w:val="left"/>
        <w:rPr>
          <w:b w:val="0"/>
          <w:bCs w:val="0"/>
        </w:rPr>
      </w:pPr>
      <w:bookmarkStart w:name="一、概述" w:id="23"/>
      <w:bookmarkEnd w:id="23"/>
      <w:r>
        <w:rPr>
          <w:b w:val="0"/>
          <w:bCs w:val="0"/>
        </w:rPr>
      </w:r>
      <w:r>
        <w:rPr/>
        <w:t>一、概述</w:t>
      </w:r>
      <w:r>
        <w:rPr>
          <w:b w:val="0"/>
          <w:bCs w:val="0"/>
        </w:rPr>
      </w:r>
    </w:p>
    <w:p>
      <w:pPr>
        <w:spacing w:line="240" w:lineRule="auto" w:before="10"/>
        <w:rPr>
          <w:rFonts w:ascii="宋体" w:hAnsi="宋体" w:cs="宋体" w:eastAsia="宋体" w:hint="default"/>
          <w:b/>
          <w:bCs/>
          <w:sz w:val="30"/>
          <w:szCs w:val="30"/>
        </w:rPr>
      </w:pPr>
    </w:p>
    <w:p>
      <w:pPr>
        <w:pStyle w:val="BodyText"/>
        <w:spacing w:line="408" w:lineRule="auto" w:before="0"/>
        <w:ind w:right="1130" w:firstLine="422"/>
        <w:jc w:val="both"/>
      </w:pPr>
      <w:r>
        <w:rPr>
          <w:spacing w:val="-2"/>
        </w:rPr>
        <w:t>报告期内</w:t>
      </w:r>
      <w:r>
        <w:rPr>
          <w:rFonts w:ascii="宋体" w:hAnsi="宋体" w:cs="宋体" w:eastAsia="宋体" w:hint="default"/>
          <w:spacing w:val="-2"/>
        </w:rPr>
        <w:t>,</w:t>
      </w:r>
      <w:r>
        <w:rPr>
          <w:spacing w:val="-2"/>
        </w:rPr>
        <w:t>公司实现营业总收入</w:t>
      </w:r>
      <w:r>
        <w:rPr>
          <w:rFonts w:ascii="宋体" w:hAnsi="宋体" w:cs="宋体" w:eastAsia="宋体" w:hint="default"/>
          <w:spacing w:val="-2"/>
        </w:rPr>
        <w:t>206,741.04</w:t>
      </w:r>
      <w:r>
        <w:rPr>
          <w:spacing w:val="-2"/>
        </w:rPr>
        <w:t>万元，同比增长</w:t>
      </w:r>
      <w:r>
        <w:rPr>
          <w:rFonts w:ascii="宋体" w:hAnsi="宋体" w:cs="宋体" w:eastAsia="宋体" w:hint="default"/>
          <w:spacing w:val="-2"/>
        </w:rPr>
        <w:t>29.17%</w:t>
      </w:r>
      <w:r>
        <w:rPr>
          <w:spacing w:val="-2"/>
        </w:rPr>
        <w:t>；利润总额</w:t>
      </w:r>
      <w:r>
        <w:rPr>
          <w:rFonts w:ascii="宋体" w:hAnsi="宋体" w:cs="宋体" w:eastAsia="宋体" w:hint="default"/>
          <w:spacing w:val="-2"/>
        </w:rPr>
        <w:t>30,576.24</w:t>
      </w:r>
      <w:r>
        <w:rPr>
          <w:spacing w:val="-2"/>
        </w:rPr>
        <w:t>万元，同比下</w:t>
      </w:r>
      <w:r>
        <w:rPr>
          <w:w w:val="100"/>
        </w:rPr>
        <w:t> </w:t>
      </w:r>
      <w:r>
        <w:rPr/>
        <w:t>降</w:t>
      </w:r>
      <w:r>
        <w:rPr>
          <w:rFonts w:ascii="宋体" w:hAnsi="宋体" w:cs="宋体" w:eastAsia="宋体" w:hint="default"/>
        </w:rPr>
        <w:t>6.78%</w:t>
      </w:r>
      <w:r>
        <w:rPr/>
        <w:t>；实现归属于上市公司股东的净利润</w:t>
      </w:r>
      <w:r>
        <w:rPr>
          <w:rFonts w:ascii="宋体" w:hAnsi="宋体" w:cs="宋体" w:eastAsia="宋体" w:hint="default"/>
        </w:rPr>
        <w:t>28,967.56</w:t>
      </w:r>
      <w:r>
        <w:rPr/>
        <w:t>万元，同比下降</w:t>
      </w:r>
      <w:r>
        <w:rPr>
          <w:rFonts w:ascii="宋体" w:hAnsi="宋体" w:cs="宋体" w:eastAsia="宋体" w:hint="default"/>
        </w:rPr>
        <w:t>4.47%</w:t>
      </w:r>
      <w:r>
        <w:rPr/>
        <w:t>；归属于上市公司股东的扣</w:t>
      </w:r>
      <w:r>
        <w:rPr>
          <w:spacing w:val="-29"/>
        </w:rPr>
        <w:t> </w:t>
      </w:r>
      <w:r>
        <w:rPr>
          <w:spacing w:val="-29"/>
        </w:rPr>
      </w:r>
      <w:r>
        <w:rPr/>
        <w:t>除非经常性损益的净利润</w:t>
      </w:r>
      <w:r>
        <w:rPr>
          <w:rFonts w:ascii="宋体" w:hAnsi="宋体" w:cs="宋体" w:eastAsia="宋体" w:hint="default"/>
        </w:rPr>
        <w:t>26,705.17</w:t>
      </w:r>
      <w:r>
        <w:rPr/>
        <w:t>万元，同比增长</w:t>
      </w:r>
      <w:r>
        <w:rPr>
          <w:rFonts w:ascii="宋体" w:hAnsi="宋体" w:cs="宋体" w:eastAsia="宋体" w:hint="default"/>
        </w:rPr>
        <w:t>24.38%</w:t>
      </w:r>
      <w:r>
        <w:rPr/>
        <w:t>；报告期末公司资产总额</w:t>
      </w:r>
      <w:r>
        <w:rPr>
          <w:rFonts w:ascii="宋体" w:hAnsi="宋体" w:cs="宋体" w:eastAsia="宋体" w:hint="default"/>
        </w:rPr>
        <w:t>420,014.83</w:t>
      </w:r>
      <w:r>
        <w:rPr/>
        <w:t>万元，较</w:t>
      </w:r>
      <w:r>
        <w:rPr>
          <w:spacing w:val="-32"/>
        </w:rPr>
        <w:t> </w:t>
      </w:r>
      <w:r>
        <w:rPr>
          <w:spacing w:val="-32"/>
        </w:rPr>
      </w:r>
      <w:r>
        <w:rPr/>
        <w:t>上年末增长</w:t>
      </w:r>
      <w:r>
        <w:rPr>
          <w:rFonts w:ascii="宋体" w:hAnsi="宋体" w:cs="宋体" w:eastAsia="宋体" w:hint="default"/>
        </w:rPr>
        <w:t>21.95%</w:t>
      </w:r>
      <w:r>
        <w:rPr/>
        <w:t>，归属于上市公司股东的所有者权益</w:t>
      </w:r>
      <w:r>
        <w:rPr>
          <w:rFonts w:ascii="宋体" w:hAnsi="宋体" w:cs="宋体" w:eastAsia="宋体" w:hint="default"/>
        </w:rPr>
        <w:t>296,078.92</w:t>
      </w:r>
      <w:r>
        <w:rPr/>
        <w:t>万元，较上年末增长</w:t>
      </w:r>
      <w:r>
        <w:rPr>
          <w:rFonts w:ascii="宋体" w:hAnsi="宋体" w:cs="宋体" w:eastAsia="宋体" w:hint="default"/>
        </w:rPr>
        <w:t>16.08%</w:t>
      </w:r>
      <w:r>
        <w:rPr/>
        <w:t>。</w:t>
      </w:r>
    </w:p>
    <w:p>
      <w:pPr>
        <w:pStyle w:val="BodyText"/>
        <w:spacing w:line="408" w:lineRule="auto"/>
        <w:ind w:right="986" w:firstLine="422"/>
        <w:jc w:val="left"/>
      </w:pPr>
      <w:r>
        <w:rPr/>
        <w:t>报告期内，公司产品整体毛利率为</w:t>
      </w:r>
      <w:r>
        <w:rPr>
          <w:rFonts w:ascii="宋体" w:hAnsi="宋体" w:cs="宋体" w:eastAsia="宋体" w:hint="default"/>
        </w:rPr>
        <w:t>55.74%</w:t>
      </w:r>
      <w:r>
        <w:rPr/>
        <w:t>，对比去年下降</w:t>
      </w:r>
      <w:r>
        <w:rPr>
          <w:rFonts w:ascii="宋体" w:hAnsi="宋体" w:cs="宋体" w:eastAsia="宋体" w:hint="default"/>
        </w:rPr>
        <w:t>3.76%</w:t>
      </w:r>
      <w:r>
        <w:rPr/>
        <w:t>。主要原因为：随着公司承接大数据</w:t>
      </w:r>
      <w:r>
        <w:rPr>
          <w:w w:val="100"/>
        </w:rPr>
        <w:t> </w:t>
      </w:r>
      <w:r>
        <w:rPr>
          <w:spacing w:val="-5"/>
        </w:rPr>
        <w:t>业务能力的提升，公司已由原来提供大数据解决方案，逐渐发展为客户承接大数据智能化平台项目的建设，</w:t>
      </w:r>
      <w:r>
        <w:rPr>
          <w:spacing w:val="-4"/>
        </w:rPr>
        <w:t> </w:t>
      </w:r>
      <w:r>
        <w:rPr>
          <w:spacing w:val="-4"/>
        </w:rPr>
      </w:r>
      <w:r>
        <w:rPr/>
        <w:t>项目通用硬件比重增加，成本提高，导致毛利率下降。</w:t>
      </w:r>
    </w:p>
    <w:p>
      <w:pPr>
        <w:pStyle w:val="BodyText"/>
        <w:spacing w:line="408" w:lineRule="auto"/>
        <w:ind w:right="1127" w:firstLine="422"/>
        <w:jc w:val="both"/>
      </w:pPr>
      <w:r>
        <w:rPr>
          <w:spacing w:val="-2"/>
        </w:rPr>
        <w:t>报告期内，公司实现归属于上市公司股东的净利润</w:t>
      </w:r>
      <w:r>
        <w:rPr>
          <w:rFonts w:ascii="宋体" w:hAnsi="宋体" w:cs="宋体" w:eastAsia="宋体" w:hint="default"/>
          <w:spacing w:val="-2"/>
        </w:rPr>
        <w:t>28,967.56</w:t>
      </w:r>
      <w:r>
        <w:rPr>
          <w:spacing w:val="-2"/>
        </w:rPr>
        <w:t>万元，同比下降</w:t>
      </w:r>
      <w:r>
        <w:rPr>
          <w:rFonts w:ascii="宋体" w:hAnsi="宋体" w:cs="宋体" w:eastAsia="宋体" w:hint="default"/>
          <w:spacing w:val="-2"/>
        </w:rPr>
        <w:t>4.47%</w:t>
      </w:r>
      <w:r>
        <w:rPr>
          <w:spacing w:val="-2"/>
        </w:rPr>
        <w:t>。主要原因为：一</w:t>
      </w:r>
      <w:r>
        <w:rPr>
          <w:w w:val="100"/>
        </w:rPr>
        <w:t> </w:t>
      </w:r>
      <w:r>
        <w:rPr>
          <w:spacing w:val="-2"/>
        </w:rPr>
        <w:t>方面，为保持市场竞争力，公司持续加大了研发投入和市场拓展投入，</w:t>
      </w:r>
      <w:r>
        <w:rPr>
          <w:rFonts w:ascii="宋体" w:hAnsi="宋体" w:cs="宋体" w:eastAsia="宋体" w:hint="default"/>
          <w:spacing w:val="-2"/>
        </w:rPr>
        <w:t>2019</w:t>
      </w:r>
      <w:r>
        <w:rPr>
          <w:spacing w:val="-2"/>
        </w:rPr>
        <w:t>年公司销售、管理、研发三大</w:t>
      </w:r>
      <w:r>
        <w:rPr>
          <w:spacing w:val="-39"/>
        </w:rPr>
        <w:t> </w:t>
      </w:r>
      <w:r>
        <w:rPr>
          <w:spacing w:val="-39"/>
        </w:rPr>
      </w:r>
      <w:r>
        <w:rPr>
          <w:spacing w:val="-2"/>
        </w:rPr>
        <w:t>费用合计同比增长</w:t>
      </w:r>
      <w:r>
        <w:rPr>
          <w:rFonts w:ascii="宋体" w:hAnsi="宋体" w:cs="宋体" w:eastAsia="宋体" w:hint="default"/>
          <w:spacing w:val="-2"/>
        </w:rPr>
        <w:t>18.03%</w:t>
      </w:r>
      <w:r>
        <w:rPr>
          <w:spacing w:val="-2"/>
        </w:rPr>
        <w:t>，其中</w:t>
      </w:r>
      <w:r>
        <w:rPr>
          <w:rFonts w:ascii="宋体" w:hAnsi="宋体" w:cs="宋体" w:eastAsia="宋体" w:hint="default"/>
          <w:spacing w:val="-2"/>
        </w:rPr>
        <w:t>2019</w:t>
      </w:r>
      <w:r>
        <w:rPr>
          <w:spacing w:val="-2"/>
        </w:rPr>
        <w:t>年研发费用同比增长</w:t>
      </w:r>
      <w:r>
        <w:rPr>
          <w:rFonts w:ascii="宋体" w:hAnsi="宋体" w:cs="宋体" w:eastAsia="宋体" w:hint="default"/>
          <w:spacing w:val="-2"/>
        </w:rPr>
        <w:t>22.50%</w:t>
      </w:r>
      <w:r>
        <w:rPr>
          <w:spacing w:val="-2"/>
        </w:rPr>
        <w:t>。另一方面，报告期内公司新实施了</w:t>
      </w:r>
      <w:r>
        <w:rPr>
          <w:rFonts w:ascii="宋体" w:hAnsi="宋体" w:cs="宋体" w:eastAsia="宋体" w:hint="default"/>
          <w:spacing w:val="-2"/>
        </w:rPr>
        <w:t>2019</w:t>
      </w:r>
      <w:r>
        <w:rPr>
          <w:rFonts w:ascii="宋体" w:hAnsi="宋体" w:cs="宋体" w:eastAsia="宋体" w:hint="default"/>
          <w:spacing w:val="-25"/>
        </w:rPr>
        <w:t> </w:t>
      </w:r>
      <w:r>
        <w:rPr>
          <w:rFonts w:ascii="宋体" w:hAnsi="宋体" w:cs="宋体" w:eastAsia="宋体" w:hint="default"/>
          <w:spacing w:val="-25"/>
        </w:rPr>
      </w:r>
      <w:r>
        <w:rPr>
          <w:spacing w:val="-2"/>
        </w:rPr>
        <w:t>年股票期权与限制性股票激励计划，加上还正在实施期内的</w:t>
      </w:r>
      <w:r>
        <w:rPr>
          <w:rFonts w:ascii="宋体" w:hAnsi="宋体" w:cs="宋体" w:eastAsia="宋体" w:hint="default"/>
          <w:spacing w:val="-2"/>
        </w:rPr>
        <w:t>2016</w:t>
      </w:r>
      <w:r>
        <w:rPr>
          <w:spacing w:val="-2"/>
        </w:rPr>
        <w:t>年第二期股权激励计划，导致成本费用有</w:t>
      </w:r>
      <w:r>
        <w:rPr>
          <w:spacing w:val="-38"/>
        </w:rPr>
        <w:t> </w:t>
      </w:r>
      <w:r>
        <w:rPr>
          <w:spacing w:val="-38"/>
        </w:rPr>
      </w:r>
      <w:r>
        <w:rPr/>
        <w:t>所增加。</w:t>
      </w:r>
      <w:r>
        <w:rPr>
          <w:rFonts w:ascii="宋体" w:hAnsi="宋体" w:cs="宋体" w:eastAsia="宋体" w:hint="default"/>
        </w:rPr>
        <w:t>2019</w:t>
      </w:r>
      <w:r>
        <w:rPr/>
        <w:t>年股权激励成本为</w:t>
      </w:r>
      <w:r>
        <w:rPr>
          <w:rFonts w:ascii="宋体" w:hAnsi="宋体" w:cs="宋体" w:eastAsia="宋体" w:hint="default"/>
        </w:rPr>
        <w:t>2,903.84</w:t>
      </w:r>
      <w:r>
        <w:rPr/>
        <w:t>万元。</w:t>
      </w:r>
    </w:p>
    <w:p>
      <w:pPr>
        <w:pStyle w:val="Heading4"/>
        <w:spacing w:line="240" w:lineRule="auto" w:before="46"/>
        <w:ind w:left="572" w:right="986"/>
        <w:jc w:val="left"/>
        <w:rPr>
          <w:b w:val="0"/>
          <w:bCs w:val="0"/>
        </w:rPr>
      </w:pPr>
      <w:r>
        <w:rPr/>
        <w:t>公司主要经营情况如下：</w:t>
      </w:r>
      <w:r>
        <w:rPr>
          <w:b w:val="0"/>
          <w:bCs w:val="0"/>
        </w:rPr>
      </w:r>
    </w:p>
    <w:p>
      <w:pPr>
        <w:spacing w:line="240" w:lineRule="auto" w:before="10"/>
        <w:rPr>
          <w:rFonts w:ascii="宋体" w:hAnsi="宋体" w:cs="宋体" w:eastAsia="宋体" w:hint="default"/>
          <w:b/>
          <w:bCs/>
          <w:sz w:val="14"/>
          <w:szCs w:val="14"/>
        </w:rPr>
      </w:pPr>
    </w:p>
    <w:p>
      <w:pPr>
        <w:pStyle w:val="BodyText"/>
        <w:spacing w:line="408" w:lineRule="auto" w:before="0"/>
        <w:ind w:right="1128" w:firstLine="422"/>
        <w:jc w:val="both"/>
      </w:pPr>
      <w:r>
        <w:rPr>
          <w:rFonts w:ascii="宋体" w:hAnsi="宋体" w:cs="宋体" w:eastAsia="宋体" w:hint="default"/>
          <w:b/>
          <w:bCs/>
        </w:rPr>
        <w:t>1</w:t>
      </w:r>
      <w:r>
        <w:rPr>
          <w:rFonts w:ascii="宋体" w:hAnsi="宋体" w:cs="宋体" w:eastAsia="宋体" w:hint="default"/>
          <w:b/>
          <w:bCs/>
        </w:rPr>
        <w:t>、优化治理结构，增强资源实力：</w:t>
      </w:r>
      <w:r>
        <w:rPr/>
        <w:t>公司围绕业务发展持续优化治理架构，</w:t>
      </w:r>
      <w:r>
        <w:rPr>
          <w:rFonts w:ascii="宋体" w:hAnsi="宋体" w:cs="宋体" w:eastAsia="宋体" w:hint="default"/>
        </w:rPr>
        <w:t>2019</w:t>
      </w:r>
      <w:r>
        <w:rPr/>
        <w:t>年公司全面实施双总</w:t>
      </w:r>
      <w:r>
        <w:rPr>
          <w:w w:val="100"/>
        </w:rPr>
        <w:t> </w:t>
      </w:r>
      <w:r>
        <w:rPr>
          <w:spacing w:val="-7"/>
        </w:rPr>
        <w:t>部战略，强化厦门总部的集团化管理及技术研发职能，推进北京未来总部的市场和行业拓展能力建设。</w:t>
      </w:r>
      <w:r>
        <w:rPr>
          <w:rFonts w:ascii="宋体" w:hAnsi="宋体" w:cs="宋体" w:eastAsia="宋体" w:hint="default"/>
          <w:spacing w:val="-7"/>
        </w:rPr>
        <w:t>2019</w:t>
      </w:r>
      <w:r>
        <w:rPr>
          <w:rFonts w:ascii="宋体" w:hAnsi="宋体" w:cs="宋体" w:eastAsia="宋体" w:hint="default"/>
          <w:spacing w:val="-3"/>
        </w:rPr>
        <w:t> </w:t>
      </w:r>
      <w:r>
        <w:rPr>
          <w:rFonts w:ascii="宋体" w:hAnsi="宋体" w:cs="宋体" w:eastAsia="宋体" w:hint="default"/>
          <w:spacing w:val="-3"/>
        </w:rPr>
      </w:r>
      <w:r>
        <w:rPr/>
        <w:t>年</w:t>
      </w:r>
      <w:r>
        <w:rPr>
          <w:rFonts w:ascii="宋体" w:hAnsi="宋体" w:cs="宋体" w:eastAsia="宋体" w:hint="default"/>
        </w:rPr>
        <w:t>7</w:t>
      </w:r>
      <w:r>
        <w:rPr/>
        <w:t>月，公司为优化股东结构，引入国投智能为公司的控股股东、国务院国资委为实际控制人。为更好适</w:t>
      </w:r>
      <w:r>
        <w:rPr>
          <w:spacing w:val="-25"/>
        </w:rPr>
        <w:t> </w:t>
      </w:r>
      <w:r>
        <w:rPr>
          <w:spacing w:val="-25"/>
        </w:rPr>
      </w:r>
      <w:r>
        <w:rPr>
          <w:spacing w:val="-2"/>
        </w:rPr>
        <w:t>应新形势下公司治理的需要，公司董事会完成了改组，并维持现有经营管理层不变。公司在借助央企优势</w:t>
      </w:r>
      <w:r>
        <w:rPr>
          <w:spacing w:val="-42"/>
        </w:rPr>
        <w:t> </w:t>
      </w:r>
      <w:r>
        <w:rPr>
          <w:spacing w:val="-42"/>
        </w:rPr>
      </w:r>
      <w:r>
        <w:rPr/>
        <w:t>的同时，保持民企活力，加强了资源整合，共同促进业务发展。</w:t>
      </w:r>
    </w:p>
    <w:p>
      <w:pPr>
        <w:pStyle w:val="BodyText"/>
        <w:spacing w:line="408" w:lineRule="auto"/>
        <w:ind w:right="1109" w:firstLine="422"/>
        <w:jc w:val="both"/>
      </w:pPr>
      <w:r>
        <w:rPr>
          <w:rFonts w:ascii="宋体" w:hAnsi="宋体" w:cs="宋体" w:eastAsia="宋体" w:hint="default"/>
          <w:b/>
          <w:bCs/>
        </w:rPr>
        <w:t>2</w:t>
      </w:r>
      <w:r>
        <w:rPr>
          <w:rFonts w:ascii="宋体" w:hAnsi="宋体" w:cs="宋体" w:eastAsia="宋体" w:hint="default"/>
          <w:b/>
          <w:bCs/>
        </w:rPr>
        <w:t>、主要业务情况：</w:t>
      </w:r>
      <w:r>
        <w:rPr/>
        <w:t>公司通过内生式发展及外延式并购的方式，已形成了美亚生态圈。美亚生态圈内</w:t>
      </w:r>
      <w:r>
        <w:rPr>
          <w:w w:val="100"/>
        </w:rPr>
        <w:t> </w:t>
      </w:r>
      <w:r>
        <w:rPr>
          <w:spacing w:val="-2"/>
        </w:rPr>
        <w:t>各公司通过协同合作、资源共享复用，筑造美亚核心竞争力。主要子公司在各自领域发挥独特优势，保持</w:t>
      </w:r>
      <w:r>
        <w:rPr>
          <w:spacing w:val="-50"/>
        </w:rPr>
        <w:t> </w:t>
      </w:r>
      <w:r>
        <w:rPr>
          <w:spacing w:val="-50"/>
        </w:rPr>
      </w:r>
      <w:r>
        <w:rPr>
          <w:spacing w:val="-2"/>
        </w:rPr>
        <w:t>良好增长。公司的主要客户为国内各级司法机关及政府行政执法部门，</w:t>
      </w:r>
      <w:r>
        <w:rPr>
          <w:rFonts w:ascii="宋体" w:hAnsi="宋体" w:cs="宋体" w:eastAsia="宋体" w:hint="default"/>
          <w:spacing w:val="-2"/>
        </w:rPr>
        <w:t>2018</w:t>
      </w:r>
      <w:r>
        <w:rPr>
          <w:spacing w:val="-2"/>
        </w:rPr>
        <w:t>年由于受到国务院组织机构改</w:t>
      </w:r>
      <w:r>
        <w:rPr>
          <w:spacing w:val="-38"/>
        </w:rPr>
        <w:t> </w:t>
      </w:r>
      <w:r>
        <w:rPr>
          <w:spacing w:val="-38"/>
        </w:rPr>
      </w:r>
      <w:r>
        <w:rPr>
          <w:spacing w:val="-2"/>
        </w:rPr>
        <w:t>革带来的订单延缓压力，</w:t>
      </w:r>
      <w:r>
        <w:rPr>
          <w:rFonts w:ascii="宋体" w:hAnsi="宋体" w:cs="宋体" w:eastAsia="宋体" w:hint="default"/>
          <w:spacing w:val="-2"/>
        </w:rPr>
        <w:t>2019</w:t>
      </w:r>
      <w:r>
        <w:rPr>
          <w:spacing w:val="-2"/>
        </w:rPr>
        <w:t>年已逐渐得到释放，</w:t>
      </w:r>
      <w:r>
        <w:rPr>
          <w:rFonts w:ascii="宋体" w:hAnsi="宋体" w:cs="宋体" w:eastAsia="宋体" w:hint="default"/>
          <w:spacing w:val="-2"/>
        </w:rPr>
        <w:t>2019</w:t>
      </w:r>
      <w:r>
        <w:rPr>
          <w:spacing w:val="-2"/>
        </w:rPr>
        <w:t>年公司新签合同和经营收入相比往年均有所增长。</w:t>
      </w:r>
      <w:r>
        <w:rPr>
          <w:spacing w:val="-18"/>
        </w:rPr>
        <w:t> </w:t>
      </w:r>
      <w:r>
        <w:rPr>
          <w:spacing w:val="-18"/>
        </w:rPr>
      </w:r>
      <w:r>
        <w:rPr/>
        <w:t>其中：</w:t>
      </w:r>
    </w:p>
    <w:p>
      <w:pPr>
        <w:pStyle w:val="BodyText"/>
        <w:spacing w:line="408" w:lineRule="auto"/>
        <w:ind w:right="1129" w:firstLine="422"/>
        <w:jc w:val="both"/>
      </w:pPr>
      <w:r>
        <w:rPr>
          <w:rFonts w:ascii="宋体" w:hAnsi="宋体" w:cs="宋体" w:eastAsia="宋体" w:hint="default"/>
          <w:b/>
          <w:bCs/>
          <w:spacing w:val="-2"/>
        </w:rPr>
        <w:t>电子数据取证产品：</w:t>
      </w:r>
      <w:r>
        <w:rPr>
          <w:spacing w:val="-2"/>
        </w:rPr>
        <w:t>持续保持国内电子数据取证龙头企业地位，并加强核心技术产品的自主研发，公</w:t>
      </w:r>
      <w:r>
        <w:rPr>
          <w:w w:val="100"/>
        </w:rPr>
        <w:t> </w:t>
      </w:r>
      <w:r>
        <w:rPr>
          <w:spacing w:val="-3"/>
        </w:rPr>
        <w:t>司推出“破冰计划”，开展技术攻关，以实现国产化适配。公司将人工智能、大数据等技术融入到了电子</w:t>
      </w:r>
    </w:p>
    <w:p>
      <w:pPr>
        <w:spacing w:after="0" w:line="408" w:lineRule="auto"/>
        <w:jc w:val="both"/>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986"/>
        <w:jc w:val="left"/>
      </w:pPr>
      <w:r>
        <w:rPr>
          <w:spacing w:val="-2"/>
        </w:rPr>
        <w:t>数据取证产品中，优化了产品结构，已研发覆盖电子数据取证全领域的装备，形成国家、地方和行业标准</w:t>
      </w:r>
      <w:r>
        <w:rPr>
          <w:spacing w:val="-47"/>
        </w:rPr>
        <w:t> </w:t>
      </w:r>
      <w:r>
        <w:rPr>
          <w:spacing w:val="-47"/>
        </w:rPr>
      </w:r>
      <w:r>
        <w:rPr/>
        <w:t>规范</w:t>
      </w:r>
      <w:r>
        <w:rPr>
          <w:rFonts w:ascii="宋体" w:hAnsi="宋体" w:cs="宋体" w:eastAsia="宋体" w:hint="default"/>
        </w:rPr>
        <w:t>45</w:t>
      </w:r>
      <w:r>
        <w:rPr/>
        <w:t>项。公司的取证</w:t>
      </w:r>
      <w:r>
        <w:rPr>
          <w:rFonts w:ascii="宋体" w:hAnsi="宋体" w:cs="宋体" w:eastAsia="宋体" w:hint="default"/>
        </w:rPr>
        <w:t>3.0</w:t>
      </w:r>
      <w:r>
        <w:rPr/>
        <w:t>项目也已在多个标杆省市落地，为后续推广到其他地市奠定了基础。公司的电</w:t>
      </w:r>
      <w:r>
        <w:rPr>
          <w:w w:val="100"/>
        </w:rPr>
        <w:t> </w:t>
      </w:r>
      <w:r>
        <w:rPr>
          <w:spacing w:val="-2"/>
        </w:rPr>
        <w:t>子数据取证产品客户已不局限于网络安全部门，横向已拓展到刑侦、监察委、税务、军工等领域，纵向加</w:t>
      </w:r>
      <w:r>
        <w:rPr>
          <w:spacing w:val="-44"/>
        </w:rPr>
        <w:t> </w:t>
      </w:r>
      <w:r>
        <w:rPr>
          <w:spacing w:val="-44"/>
        </w:rPr>
      </w:r>
      <w:r>
        <w:rPr>
          <w:spacing w:val="-2"/>
        </w:rPr>
        <w:t>强了部、省、地市向区县下沉。</w:t>
      </w:r>
      <w:r>
        <w:rPr>
          <w:rFonts w:ascii="宋体" w:hAnsi="宋体" w:cs="宋体" w:eastAsia="宋体" w:hint="default"/>
          <w:spacing w:val="-2"/>
        </w:rPr>
        <w:t>2019</w:t>
      </w:r>
      <w:r>
        <w:rPr>
          <w:spacing w:val="-2"/>
        </w:rPr>
        <w:t>年网络安全部门的电子数据取证产品需求略有下降，主要增长来自于</w:t>
      </w:r>
      <w:r>
        <w:rPr>
          <w:spacing w:val="-44"/>
        </w:rPr>
        <w:t> </w:t>
      </w:r>
      <w:r>
        <w:rPr>
          <w:spacing w:val="-44"/>
        </w:rPr>
      </w:r>
      <w:r>
        <w:rPr/>
        <w:t>刑侦、监察委、税务、军工等领域。</w:t>
      </w:r>
      <w:r>
        <w:rPr>
          <w:rFonts w:ascii="宋体" w:hAnsi="宋体" w:cs="宋体" w:eastAsia="宋体" w:hint="default"/>
        </w:rPr>
        <w:t>2019</w:t>
      </w:r>
      <w:r>
        <w:rPr/>
        <w:t>年公司电子数据取证产品销售收入同比增长</w:t>
      </w:r>
      <w:r>
        <w:rPr>
          <w:rFonts w:ascii="宋体" w:hAnsi="宋体" w:cs="宋体" w:eastAsia="宋体" w:hint="default"/>
        </w:rPr>
        <w:t>13.33%</w:t>
      </w:r>
      <w:r>
        <w:rPr/>
        <w:t>。</w:t>
      </w:r>
    </w:p>
    <w:p>
      <w:pPr>
        <w:pStyle w:val="BodyText"/>
        <w:spacing w:line="408" w:lineRule="auto"/>
        <w:ind w:right="1128" w:firstLine="422"/>
        <w:jc w:val="both"/>
      </w:pPr>
      <w:r>
        <w:rPr>
          <w:rFonts w:ascii="宋体" w:hAnsi="宋体" w:cs="宋体" w:eastAsia="宋体" w:hint="default"/>
          <w:b/>
          <w:bCs/>
          <w:spacing w:val="-3"/>
        </w:rPr>
        <w:t>大数据智能化产品：</w:t>
      </w:r>
      <w:r>
        <w:rPr>
          <w:spacing w:val="-3"/>
        </w:rPr>
        <w:t>大数据智能化已成为公司重要战略发展方向之一。报告期内，公司成立了广东大</w:t>
      </w:r>
      <w:r>
        <w:rPr>
          <w:spacing w:val="-3"/>
          <w:w w:val="100"/>
        </w:rPr>
        <w:t> </w:t>
      </w:r>
      <w:r>
        <w:rPr>
          <w:spacing w:val="-2"/>
        </w:rPr>
        <w:t>数据研究院、北京大数据研究院，专攻大数据相关技术的研究，推进行业及政府大数据重点项目的建设及</w:t>
      </w:r>
      <w:r>
        <w:rPr>
          <w:spacing w:val="-42"/>
        </w:rPr>
        <w:t> </w:t>
      </w:r>
      <w:r>
        <w:rPr>
          <w:spacing w:val="-42"/>
        </w:rPr>
      </w:r>
      <w:r>
        <w:rPr>
          <w:spacing w:val="-2"/>
        </w:rPr>
        <w:t>落地，巩固市场地位。公司从事的大数据智能化业务具备了产品优势和技术壁垒优势，大数据智能化将成</w:t>
      </w:r>
      <w:r>
        <w:rPr>
          <w:spacing w:val="-44"/>
        </w:rPr>
        <w:t> </w:t>
      </w:r>
      <w:r>
        <w:rPr>
          <w:spacing w:val="-44"/>
        </w:rPr>
      </w:r>
      <w:r>
        <w:rPr>
          <w:spacing w:val="2"/>
        </w:rPr>
        <w:t>为未来公司收入增长的核心动力。</w:t>
      </w:r>
      <w:r>
        <w:rPr>
          <w:rFonts w:ascii="宋体" w:hAnsi="宋体" w:cs="宋体" w:eastAsia="宋体" w:hint="default"/>
          <w:spacing w:val="2"/>
        </w:rPr>
        <w:t>2019</w:t>
      </w:r>
      <w:r>
        <w:rPr>
          <w:spacing w:val="2"/>
        </w:rPr>
        <w:t>年，公司被美国列入出口管制“实体清单”后，启动了“破冰计</w:t>
      </w:r>
      <w:r>
        <w:rPr>
          <w:spacing w:val="-29"/>
        </w:rPr>
        <w:t> </w:t>
      </w:r>
      <w:r>
        <w:rPr>
          <w:spacing w:val="-29"/>
        </w:rPr>
      </w:r>
      <w:r>
        <w:rPr>
          <w:spacing w:val="-3"/>
        </w:rPr>
        <w:t>划”，完成了大数据产品国产化适配工作，实现核心技术自主可控。与此同时，公司参与部级大数据标准</w:t>
      </w:r>
      <w:r>
        <w:rPr>
          <w:spacing w:val="-5"/>
        </w:rPr>
        <w:t> </w:t>
      </w:r>
      <w:r>
        <w:rPr>
          <w:spacing w:val="-5"/>
        </w:rPr>
      </w:r>
      <w:r>
        <w:rPr>
          <w:spacing w:val="-2"/>
        </w:rPr>
        <w:t>制定，并在若干一线及省市建设大数据平台，在技术和市场份额上获得持续突破。</w:t>
      </w:r>
      <w:r>
        <w:rPr>
          <w:rFonts w:ascii="宋体" w:hAnsi="宋体" w:cs="宋体" w:eastAsia="宋体" w:hint="default"/>
          <w:spacing w:val="-2"/>
        </w:rPr>
        <w:t>2019</w:t>
      </w:r>
      <w:r>
        <w:rPr>
          <w:spacing w:val="-2"/>
        </w:rPr>
        <w:t>年大数据智能化业</w:t>
      </w:r>
      <w:r>
        <w:rPr>
          <w:spacing w:val="-43"/>
        </w:rPr>
        <w:t> </w:t>
      </w:r>
      <w:r>
        <w:rPr>
          <w:spacing w:val="-43"/>
        </w:rPr>
      </w:r>
      <w:r>
        <w:rPr/>
        <w:t>务销售收入同比增长</w:t>
      </w:r>
      <w:r>
        <w:rPr>
          <w:rFonts w:ascii="宋体" w:hAnsi="宋体" w:cs="宋体" w:eastAsia="宋体" w:hint="default"/>
        </w:rPr>
        <w:t>54.51%</w:t>
      </w:r>
      <w:r>
        <w:rPr/>
        <w:t>。</w:t>
      </w:r>
    </w:p>
    <w:p>
      <w:pPr>
        <w:pStyle w:val="BodyText"/>
        <w:spacing w:line="408" w:lineRule="auto"/>
        <w:ind w:right="1128" w:firstLine="422"/>
        <w:jc w:val="both"/>
      </w:pPr>
      <w:r>
        <w:rPr>
          <w:rFonts w:ascii="宋体" w:hAnsi="宋体" w:cs="宋体" w:eastAsia="宋体" w:hint="default"/>
          <w:b/>
          <w:bCs/>
          <w:spacing w:val="-2"/>
        </w:rPr>
        <w:t>网络空间安全产品：</w:t>
      </w:r>
      <w:r>
        <w:rPr>
          <w:spacing w:val="-2"/>
        </w:rPr>
        <w:t>依托公司大数据能力，网络空间安全产品打开了新的行业局面，已在全国</w:t>
      </w:r>
      <w:r>
        <w:rPr>
          <w:rFonts w:ascii="宋体" w:hAnsi="宋体" w:cs="宋体" w:eastAsia="宋体" w:hint="default"/>
          <w:spacing w:val="-2"/>
        </w:rPr>
        <w:t>10</w:t>
      </w:r>
      <w:r>
        <w:rPr>
          <w:spacing w:val="-2"/>
        </w:rPr>
        <w:t>多个</w:t>
      </w:r>
      <w:r>
        <w:rPr>
          <w:spacing w:val="-3"/>
          <w:w w:val="100"/>
        </w:rPr>
        <w:t> </w:t>
      </w:r>
      <w:r>
        <w:rPr>
          <w:spacing w:val="-2"/>
        </w:rPr>
        <w:t>省市客户单位得到落地及应用。但因为组织机构改革影响，网络空间安全产品的项目验收有所延缓，</w:t>
      </w:r>
      <w:r>
        <w:rPr>
          <w:rFonts w:ascii="宋体" w:hAnsi="宋体" w:cs="宋体" w:eastAsia="宋体" w:hint="default"/>
          <w:spacing w:val="-2"/>
        </w:rPr>
        <w:t>2019</w:t>
      </w:r>
      <w:r>
        <w:rPr>
          <w:rFonts w:ascii="宋体" w:hAnsi="宋体" w:cs="宋体" w:eastAsia="宋体" w:hint="default"/>
          <w:spacing w:val="-39"/>
        </w:rPr>
        <w:t> </w:t>
      </w:r>
      <w:r>
        <w:rPr>
          <w:rFonts w:ascii="宋体" w:hAnsi="宋体" w:cs="宋体" w:eastAsia="宋体" w:hint="default"/>
          <w:spacing w:val="-39"/>
        </w:rPr>
      </w:r>
      <w:r>
        <w:rPr/>
        <w:t>年网络空间安全产品销售收入同比下降</w:t>
      </w:r>
      <w:r>
        <w:rPr>
          <w:rFonts w:ascii="宋体" w:hAnsi="宋体" w:cs="宋体" w:eastAsia="宋体" w:hint="default"/>
        </w:rPr>
        <w:t>31.66%</w:t>
      </w:r>
      <w:r>
        <w:rPr/>
        <w:t>。</w:t>
      </w:r>
    </w:p>
    <w:p>
      <w:pPr>
        <w:pStyle w:val="BodyText"/>
        <w:spacing w:line="408" w:lineRule="auto"/>
        <w:ind w:right="986" w:firstLine="422"/>
        <w:jc w:val="left"/>
      </w:pPr>
      <w:r>
        <w:rPr>
          <w:rFonts w:ascii="宋体" w:hAnsi="宋体" w:cs="宋体" w:eastAsia="宋体" w:hint="default"/>
          <w:b/>
          <w:bCs/>
        </w:rPr>
        <w:t>智能执法与便民设备：</w:t>
      </w:r>
      <w:r>
        <w:rPr/>
        <w:t>全资子公司新德汇在“放管服”改革政策引导下，自助便民设备及后端服务平</w:t>
      </w:r>
      <w:r>
        <w:rPr>
          <w:w w:val="100"/>
        </w:rPr>
        <w:t> </w:t>
      </w:r>
      <w:r>
        <w:rPr/>
        <w:t>台已在</w:t>
      </w:r>
      <w:r>
        <w:rPr>
          <w:rFonts w:ascii="宋体" w:hAnsi="宋体" w:cs="宋体" w:eastAsia="宋体" w:hint="default"/>
        </w:rPr>
        <w:t>10</w:t>
      </w:r>
      <w:r>
        <w:rPr/>
        <w:t>多个省市上线应用。全资子公司江苏税软，</w:t>
      </w:r>
      <w:r>
        <w:rPr>
          <w:rFonts w:ascii="宋体" w:hAnsi="宋体" w:cs="宋体" w:eastAsia="宋体" w:hint="default"/>
        </w:rPr>
        <w:t>2019</w:t>
      </w:r>
      <w:r>
        <w:rPr/>
        <w:t>年</w:t>
      </w:r>
      <w:r>
        <w:rPr>
          <w:rFonts w:ascii="宋体" w:hAnsi="宋体" w:cs="宋体" w:eastAsia="宋体" w:hint="default"/>
        </w:rPr>
        <w:t>2</w:t>
      </w:r>
      <w:r>
        <w:rPr/>
        <w:t>月中标国家税务总局稽查视频指挥系统项目</w:t>
      </w:r>
      <w:r>
        <w:rPr>
          <w:spacing w:val="-3"/>
          <w:w w:val="100"/>
        </w:rPr>
        <w:t> </w:t>
      </w:r>
      <w:r>
        <w:rPr>
          <w:spacing w:val="-2"/>
        </w:rPr>
        <w:t>中标，打开全国税务稽查指挥新局面，国地税改革后迎来税务行业增长新机会，全年实现销售额翻番。控</w:t>
      </w:r>
      <w:r>
        <w:rPr>
          <w:spacing w:val="-48"/>
        </w:rPr>
        <w:t> </w:t>
      </w:r>
      <w:r>
        <w:rPr>
          <w:spacing w:val="-48"/>
        </w:rPr>
      </w:r>
      <w:r>
        <w:rPr>
          <w:spacing w:val="-5"/>
        </w:rPr>
        <w:t>股子公司美亚中敏，在江苏常熟设立新的生产车间，通过构建新的加工设备，提升大型智能装备生产能力，</w:t>
      </w:r>
      <w:r>
        <w:rPr>
          <w:spacing w:val="-4"/>
        </w:rPr>
        <w:t> </w:t>
      </w:r>
      <w:r>
        <w:rPr>
          <w:spacing w:val="-4"/>
        </w:rPr>
      </w:r>
      <w:r>
        <w:rPr>
          <w:rFonts w:ascii="宋体" w:hAnsi="宋体" w:cs="宋体" w:eastAsia="宋体" w:hint="default"/>
        </w:rPr>
        <w:t>2019</w:t>
      </w:r>
      <w:r>
        <w:rPr/>
        <w:t>年净利润实现较大增长。</w:t>
      </w:r>
    </w:p>
    <w:p>
      <w:pPr>
        <w:spacing w:line="240" w:lineRule="auto" w:before="8"/>
        <w:rPr>
          <w:rFonts w:ascii="宋体" w:hAnsi="宋体" w:cs="宋体" w:eastAsia="宋体" w:hint="default"/>
          <w:sz w:val="18"/>
          <w:szCs w:val="18"/>
        </w:rPr>
      </w:pPr>
    </w:p>
    <w:p>
      <w:pPr>
        <w:pStyle w:val="Heading2"/>
        <w:spacing w:line="240" w:lineRule="auto"/>
        <w:ind w:right="986"/>
        <w:jc w:val="left"/>
        <w:rPr>
          <w:b w:val="0"/>
          <w:bCs w:val="0"/>
        </w:rPr>
      </w:pPr>
      <w:bookmarkStart w:name="二、主营业务分析" w:id="24"/>
      <w:bookmarkEnd w:id="24"/>
      <w:r>
        <w:rPr>
          <w:b w:val="0"/>
          <w:bCs w:val="0"/>
        </w:rPr>
      </w:r>
      <w:r>
        <w:rPr/>
        <w:t>二、主营业务分析</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986"/>
        <w:jc w:val="left"/>
        <w:rPr>
          <w:b w:val="0"/>
          <w:bCs w:val="0"/>
        </w:rPr>
      </w:pPr>
      <w:bookmarkStart w:name="1、概述" w:id="25"/>
      <w:bookmarkEnd w:id="25"/>
      <w:r>
        <w:rPr>
          <w:b w:val="0"/>
          <w:bCs w:val="0"/>
        </w:rPr>
      </w:r>
      <w:r>
        <w:rPr>
          <w:rFonts w:ascii="Times New Roman" w:hAnsi="Times New Roman" w:cs="Times New Roman" w:eastAsia="Times New Roman" w:hint="default"/>
        </w:rPr>
        <w:t>1</w:t>
      </w:r>
      <w:r>
        <w:rPr/>
        <w:t>、概述</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参见“经营情况讨论与分析”中的“一、概述”相关内容。</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2、收入与成本" w:id="26"/>
      <w:bookmarkEnd w:id="26"/>
      <w:r>
        <w:rPr>
          <w:b w:val="0"/>
          <w:bCs w:val="0"/>
        </w:rPr>
      </w:r>
      <w:r>
        <w:rPr>
          <w:rFonts w:ascii="Times New Roman" w:hAnsi="Times New Roman" w:cs="Times New Roman" w:eastAsia="Times New Roman" w:hint="default"/>
        </w:rPr>
        <w:t>2</w:t>
      </w:r>
      <w:r>
        <w:rPr/>
        <w:t>、收入与成本</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营业收入构成" w:id="27"/>
      <w:bookmarkEnd w:id="27"/>
      <w:r>
        <w:rPr>
          <w:b w:val="0"/>
          <w:bCs w:val="0"/>
        </w:rPr>
      </w:r>
      <w:r>
        <w:rPr/>
        <w:t>（</w:t>
      </w:r>
      <w:r>
        <w:rPr>
          <w:rFonts w:ascii="Times New Roman" w:hAnsi="Times New Roman" w:cs="Times New Roman" w:eastAsia="Times New Roman" w:hint="default"/>
        </w:rPr>
        <w:t>1</w:t>
      </w:r>
      <w:r>
        <w:rPr/>
        <w:t>）营业收入构成</w:t>
      </w:r>
      <w:r>
        <w:rPr>
          <w:b w:val="0"/>
          <w:bCs w:val="0"/>
        </w:rPr>
      </w:r>
    </w:p>
    <w:p>
      <w:pPr>
        <w:spacing w:line="240" w:lineRule="auto" w:before="10"/>
        <w:rPr>
          <w:rFonts w:ascii="宋体" w:hAnsi="宋体" w:cs="宋体" w:eastAsia="宋体" w:hint="default"/>
          <w:b/>
          <w:bCs/>
          <w:sz w:val="22"/>
          <w:szCs w:val="22"/>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营业收入整体情况</w:t>
      </w:r>
    </w:p>
    <w:p>
      <w:pPr>
        <w:spacing w:before="117"/>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24"/>
        <w:gridCol w:w="3181"/>
        <w:gridCol w:w="3210"/>
        <w:gridCol w:w="1240"/>
      </w:tblGrid>
      <w:tr>
        <w:trPr>
          <w:trHeight w:val="403" w:hRule="exact"/>
        </w:trPr>
        <w:tc>
          <w:tcPr>
            <w:tcW w:w="1924"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31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1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4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同比增减</w:t>
            </w:r>
          </w:p>
        </w:tc>
      </w:tr>
    </w:tbl>
    <w:p>
      <w:pPr>
        <w:spacing w:after="0" w:line="240"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925"/>
        <w:gridCol w:w="1534"/>
        <w:gridCol w:w="1643"/>
        <w:gridCol w:w="1520"/>
        <w:gridCol w:w="1691"/>
        <w:gridCol w:w="1253"/>
      </w:tblGrid>
      <w:tr>
        <w:trPr>
          <w:trHeight w:val="402" w:hRule="exact"/>
        </w:trPr>
        <w:tc>
          <w:tcPr>
            <w:tcW w:w="1925"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5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64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86"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2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69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10"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253"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7" w:hRule="exact"/>
        </w:trPr>
        <w:tc>
          <w:tcPr>
            <w:tcW w:w="19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34" w:type="dxa"/>
            <w:tcBorders>
              <w:top w:val="single" w:sz="4" w:space="0" w:color="000000"/>
              <w:left w:val="single" w:sz="9" w:space="0" w:color="D4D4D4"/>
              <w:bottom w:val="single" w:sz="4" w:space="0" w:color="000000"/>
              <w:right w:val="single" w:sz="13" w:space="0" w:color="D4D4D4"/>
            </w:tcBorders>
          </w:tcPr>
          <w:p>
            <w:pPr>
              <w:pStyle w:val="TableParagraph"/>
              <w:spacing w:line="240" w:lineRule="auto" w:before="92"/>
              <w:ind w:right="11"/>
              <w:jc w:val="right"/>
              <w:rPr>
                <w:rFonts w:ascii="Times New Roman" w:hAnsi="Times New Roman" w:cs="Times New Roman" w:eastAsia="Times New Roman" w:hint="default"/>
                <w:sz w:val="18"/>
                <w:szCs w:val="18"/>
              </w:rPr>
            </w:pPr>
            <w:r>
              <w:rPr>
                <w:rFonts w:ascii="Times New Roman"/>
                <w:spacing w:val="-1"/>
                <w:sz w:val="18"/>
              </w:rPr>
              <w:t>2,067,410,376.33</w:t>
            </w:r>
          </w:p>
        </w:tc>
        <w:tc>
          <w:tcPr>
            <w:tcW w:w="164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2"/>
              <w:ind w:right="11"/>
              <w:jc w:val="right"/>
              <w:rPr>
                <w:rFonts w:ascii="Times New Roman" w:hAnsi="Times New Roman" w:cs="Times New Roman" w:eastAsia="Times New Roman" w:hint="default"/>
                <w:sz w:val="18"/>
                <w:szCs w:val="18"/>
              </w:rPr>
            </w:pPr>
            <w:r>
              <w:rPr>
                <w:rFonts w:ascii="Times New Roman"/>
                <w:sz w:val="18"/>
              </w:rPr>
              <w:t>100%</w:t>
            </w:r>
          </w:p>
        </w:tc>
        <w:tc>
          <w:tcPr>
            <w:tcW w:w="1520" w:type="dxa"/>
            <w:tcBorders>
              <w:top w:val="single" w:sz="4" w:space="0" w:color="000000"/>
              <w:left w:val="single" w:sz="12" w:space="0" w:color="D4D4D4"/>
              <w:bottom w:val="single" w:sz="4" w:space="0" w:color="000000"/>
              <w:right w:val="single" w:sz="13" w:space="0" w:color="D4D4D4"/>
            </w:tcBorders>
          </w:tcPr>
          <w:p>
            <w:pPr>
              <w:pStyle w:val="TableParagraph"/>
              <w:spacing w:line="240" w:lineRule="auto" w:before="92"/>
              <w:ind w:right="10"/>
              <w:jc w:val="right"/>
              <w:rPr>
                <w:rFonts w:ascii="Times New Roman" w:hAnsi="Times New Roman" w:cs="Times New Roman" w:eastAsia="Times New Roman" w:hint="default"/>
                <w:sz w:val="18"/>
                <w:szCs w:val="18"/>
              </w:rPr>
            </w:pPr>
            <w:r>
              <w:rPr>
                <w:rFonts w:ascii="Times New Roman"/>
                <w:spacing w:val="-1"/>
                <w:sz w:val="18"/>
              </w:rPr>
              <w:t>1,600,584,391.00</w:t>
            </w:r>
          </w:p>
        </w:tc>
        <w:tc>
          <w:tcPr>
            <w:tcW w:w="169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2"/>
              <w:ind w:right="14"/>
              <w:jc w:val="right"/>
              <w:rPr>
                <w:rFonts w:ascii="Times New Roman" w:hAnsi="Times New Roman" w:cs="Times New Roman" w:eastAsia="Times New Roman" w:hint="default"/>
                <w:sz w:val="18"/>
                <w:szCs w:val="18"/>
              </w:rPr>
            </w:pPr>
            <w:r>
              <w:rPr>
                <w:rFonts w:ascii="Times New Roman"/>
                <w:sz w:val="18"/>
              </w:rPr>
              <w:t>100%</w:t>
            </w:r>
          </w:p>
        </w:tc>
        <w:tc>
          <w:tcPr>
            <w:tcW w:w="1253"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4"/>
              <w:jc w:val="right"/>
              <w:rPr>
                <w:rFonts w:ascii="Times New Roman" w:hAnsi="Times New Roman" w:cs="Times New Roman" w:eastAsia="Times New Roman" w:hint="default"/>
                <w:sz w:val="18"/>
                <w:szCs w:val="18"/>
              </w:rPr>
            </w:pPr>
            <w:r>
              <w:rPr>
                <w:rFonts w:ascii="Times New Roman"/>
                <w:sz w:val="18"/>
              </w:rPr>
              <w:t>29.17%</w:t>
            </w:r>
          </w:p>
        </w:tc>
      </w:tr>
      <w:tr>
        <w:trPr>
          <w:trHeight w:val="396" w:hRule="exact"/>
        </w:trPr>
        <w:tc>
          <w:tcPr>
            <w:tcW w:w="9566" w:type="dxa"/>
            <w:gridSpan w:val="6"/>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3" w:hRule="exact"/>
        </w:trPr>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司法机关</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pacing w:val="-1"/>
                <w:sz w:val="18"/>
              </w:rPr>
              <w:t>1,103,357,180.06</w:t>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1"/>
              <w:jc w:val="right"/>
              <w:rPr>
                <w:rFonts w:ascii="Times New Roman" w:hAnsi="Times New Roman" w:cs="Times New Roman" w:eastAsia="Times New Roman" w:hint="default"/>
                <w:sz w:val="18"/>
                <w:szCs w:val="18"/>
              </w:rPr>
            </w:pPr>
            <w:r>
              <w:rPr>
                <w:rFonts w:ascii="Times New Roman"/>
                <w:sz w:val="18"/>
              </w:rPr>
              <w:t>53.37%</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798,206,397.29</w:t>
            </w:r>
            <w:r>
              <w:rPr>
                <w:rFonts w:ascii="Times New Roman"/>
                <w:sz w:val="18"/>
              </w:rPr>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3"/>
              <w:jc w:val="right"/>
              <w:rPr>
                <w:rFonts w:ascii="Times New Roman" w:hAnsi="Times New Roman" w:cs="Times New Roman" w:eastAsia="Times New Roman" w:hint="default"/>
                <w:sz w:val="18"/>
                <w:szCs w:val="18"/>
              </w:rPr>
            </w:pPr>
            <w:r>
              <w:rPr>
                <w:rFonts w:ascii="Times New Roman"/>
                <w:sz w:val="18"/>
              </w:rPr>
              <w:t>49.87%</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38.23%</w:t>
            </w:r>
          </w:p>
        </w:tc>
      </w:tr>
      <w:tr>
        <w:trPr>
          <w:trHeight w:val="401" w:hRule="exact"/>
        </w:trPr>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行政执法机关</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310,612,057.08</w:t>
            </w:r>
            <w:r>
              <w:rPr>
                <w:rFonts w:ascii="Times New Roman"/>
                <w:sz w:val="18"/>
              </w:rPr>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z w:val="18"/>
              </w:rPr>
              <w:t>15.02%</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268,514,334.27</w:t>
            </w:r>
            <w:r>
              <w:rPr>
                <w:rFonts w:ascii="Times New Roman"/>
                <w:sz w:val="18"/>
              </w:rPr>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z w:val="18"/>
              </w:rPr>
              <w:t>16.78%</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15.68%</w:t>
            </w:r>
          </w:p>
        </w:tc>
      </w:tr>
      <w:tr>
        <w:trPr>
          <w:trHeight w:val="403" w:hRule="exact"/>
        </w:trPr>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企业</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557,132,982.19</w:t>
            </w:r>
            <w:r>
              <w:rPr>
                <w:rFonts w:ascii="Times New Roman"/>
                <w:sz w:val="18"/>
              </w:rPr>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1"/>
              <w:jc w:val="right"/>
              <w:rPr>
                <w:rFonts w:ascii="Times New Roman" w:hAnsi="Times New Roman" w:cs="Times New Roman" w:eastAsia="Times New Roman" w:hint="default"/>
                <w:sz w:val="18"/>
                <w:szCs w:val="18"/>
              </w:rPr>
            </w:pPr>
            <w:r>
              <w:rPr>
                <w:rFonts w:ascii="Times New Roman"/>
                <w:sz w:val="18"/>
              </w:rPr>
              <w:t>26.95%</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507,132,805.03</w:t>
            </w:r>
            <w:r>
              <w:rPr>
                <w:rFonts w:ascii="Times New Roman"/>
                <w:sz w:val="18"/>
              </w:rPr>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3"/>
              <w:jc w:val="right"/>
              <w:rPr>
                <w:rFonts w:ascii="Times New Roman" w:hAnsi="Times New Roman" w:cs="Times New Roman" w:eastAsia="Times New Roman" w:hint="default"/>
                <w:sz w:val="18"/>
                <w:szCs w:val="18"/>
              </w:rPr>
            </w:pPr>
            <w:r>
              <w:rPr>
                <w:rFonts w:ascii="Times New Roman"/>
                <w:sz w:val="18"/>
              </w:rPr>
              <w:t>31.68%</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9.86%</w:t>
            </w:r>
          </w:p>
        </w:tc>
      </w:tr>
      <w:tr>
        <w:trPr>
          <w:trHeight w:val="402" w:hRule="exact"/>
        </w:trPr>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96,308,157.00</w:t>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4.66%</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26,730,854.41</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1.67%</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260.29%</w:t>
            </w:r>
          </w:p>
        </w:tc>
      </w:tr>
      <w:tr>
        <w:trPr>
          <w:trHeight w:val="402" w:hRule="exact"/>
        </w:trPr>
        <w:tc>
          <w:tcPr>
            <w:tcW w:w="9566" w:type="dxa"/>
            <w:gridSpan w:val="6"/>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1" w:hRule="exact"/>
        </w:trPr>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电子数据取证产品</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835,666,672.92</w:t>
            </w:r>
            <w:r>
              <w:rPr>
                <w:rFonts w:ascii="Times New Roman"/>
                <w:sz w:val="18"/>
              </w:rPr>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z w:val="18"/>
              </w:rPr>
              <w:t>40.42%</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737,369,976.66</w:t>
            </w:r>
            <w:r>
              <w:rPr>
                <w:rFonts w:ascii="Times New Roman"/>
                <w:sz w:val="18"/>
              </w:rPr>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3"/>
              <w:jc w:val="right"/>
              <w:rPr>
                <w:rFonts w:ascii="Times New Roman" w:hAnsi="Times New Roman" w:cs="Times New Roman" w:eastAsia="Times New Roman" w:hint="default"/>
                <w:sz w:val="18"/>
                <w:szCs w:val="18"/>
              </w:rPr>
            </w:pPr>
            <w:r>
              <w:rPr>
                <w:rFonts w:ascii="Times New Roman"/>
                <w:sz w:val="18"/>
              </w:rPr>
              <w:t>46.07%</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13.33%</w:t>
            </w:r>
          </w:p>
        </w:tc>
      </w:tr>
      <w:tr>
        <w:trPr>
          <w:trHeight w:val="403" w:hRule="exact"/>
        </w:trPr>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大数据智能化平台</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766,523,747.64</w:t>
            </w:r>
            <w:r>
              <w:rPr>
                <w:rFonts w:ascii="Times New Roman"/>
                <w:sz w:val="18"/>
              </w:rPr>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1"/>
              <w:jc w:val="right"/>
              <w:rPr>
                <w:rFonts w:ascii="Times New Roman" w:hAnsi="Times New Roman" w:cs="Times New Roman" w:eastAsia="Times New Roman" w:hint="default"/>
                <w:sz w:val="18"/>
                <w:szCs w:val="18"/>
              </w:rPr>
            </w:pPr>
            <w:r>
              <w:rPr>
                <w:rFonts w:ascii="Times New Roman"/>
                <w:sz w:val="18"/>
              </w:rPr>
              <w:t>37.08%</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496,092,342.13</w:t>
            </w:r>
            <w:r>
              <w:rPr>
                <w:rFonts w:ascii="Times New Roman"/>
                <w:sz w:val="18"/>
              </w:rPr>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3"/>
              <w:jc w:val="right"/>
              <w:rPr>
                <w:rFonts w:ascii="Times New Roman" w:hAnsi="Times New Roman" w:cs="Times New Roman" w:eastAsia="Times New Roman" w:hint="default"/>
                <w:sz w:val="18"/>
                <w:szCs w:val="18"/>
              </w:rPr>
            </w:pPr>
            <w:r>
              <w:rPr>
                <w:rFonts w:ascii="Times New Roman"/>
                <w:sz w:val="18"/>
              </w:rPr>
              <w:t>30.99%</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54.51%</w:t>
            </w:r>
          </w:p>
        </w:tc>
      </w:tr>
      <w:tr>
        <w:trPr>
          <w:trHeight w:val="401" w:hRule="exact"/>
        </w:trPr>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网络空间安全产品</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5"/>
              <w:jc w:val="right"/>
              <w:rPr>
                <w:rFonts w:ascii="Times New Roman" w:hAnsi="Times New Roman" w:cs="Times New Roman" w:eastAsia="Times New Roman" w:hint="default"/>
                <w:sz w:val="18"/>
                <w:szCs w:val="18"/>
              </w:rPr>
            </w:pPr>
            <w:r>
              <w:rPr>
                <w:rFonts w:ascii="Times New Roman"/>
                <w:spacing w:val="-1"/>
                <w:sz w:val="18"/>
              </w:rPr>
              <w:t>63,681,586.06</w:t>
            </w:r>
            <w:r>
              <w:rPr>
                <w:rFonts w:ascii="Times New Roman"/>
                <w:sz w:val="18"/>
              </w:rPr>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3.08%</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93,180,452.04</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5.82%</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-31.66%</w:t>
            </w:r>
          </w:p>
        </w:tc>
      </w:tr>
      <w:tr>
        <w:trPr>
          <w:trHeight w:val="403" w:hRule="exact"/>
        </w:trPr>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智能执法与便民设备</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229,522,797.89</w:t>
            </w:r>
            <w:r>
              <w:rPr>
                <w:rFonts w:ascii="Times New Roman"/>
                <w:sz w:val="18"/>
              </w:rPr>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1"/>
              <w:jc w:val="right"/>
              <w:rPr>
                <w:rFonts w:ascii="Times New Roman" w:hAnsi="Times New Roman" w:cs="Times New Roman" w:eastAsia="Times New Roman" w:hint="default"/>
                <w:sz w:val="18"/>
                <w:szCs w:val="18"/>
              </w:rPr>
            </w:pPr>
            <w:r>
              <w:rPr>
                <w:rFonts w:ascii="Times New Roman"/>
                <w:spacing w:val="-1"/>
                <w:sz w:val="18"/>
              </w:rPr>
              <w:t>11.10%</w:t>
            </w:r>
            <w:r>
              <w:rPr>
                <w:rFonts w:ascii="Times New Roman"/>
                <w:sz w:val="18"/>
              </w:rPr>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119,992,213.70</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7.50%</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91.28%</w:t>
            </w:r>
          </w:p>
        </w:tc>
      </w:tr>
      <w:tr>
        <w:trPr>
          <w:trHeight w:val="713" w:hRule="exact"/>
        </w:trPr>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9"/>
              <w:jc w:val="left"/>
              <w:rPr>
                <w:rFonts w:ascii="宋体" w:hAnsi="宋体" w:cs="宋体" w:eastAsia="宋体" w:hint="default"/>
                <w:sz w:val="18"/>
                <w:szCs w:val="18"/>
              </w:rPr>
            </w:pPr>
            <w:r>
              <w:rPr>
                <w:rFonts w:ascii="宋体" w:hAnsi="宋体" w:cs="宋体" w:eastAsia="宋体" w:hint="default"/>
                <w:sz w:val="18"/>
                <w:szCs w:val="18"/>
              </w:rPr>
              <w:t>电子数据鉴定及信息安 全相关服务</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169,243,859.22</w:t>
            </w:r>
            <w:r>
              <w:rPr>
                <w:rFonts w:ascii="Times New Roman"/>
                <w:sz w:val="18"/>
              </w:rPr>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8.19%</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152,526,801.10</w:t>
            </w:r>
            <w:r>
              <w:rPr>
                <w:rFonts w:ascii="Times New Roman"/>
                <w:sz w:val="18"/>
              </w:rPr>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9.53%</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10.96%</w:t>
            </w:r>
          </w:p>
        </w:tc>
      </w:tr>
      <w:tr>
        <w:trPr>
          <w:trHeight w:val="403" w:hRule="exact"/>
        </w:trPr>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工程项目收入</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1,652,308.81</w:t>
            </w:r>
            <w:r>
              <w:rPr>
                <w:rFonts w:ascii="Times New Roman"/>
                <w:sz w:val="18"/>
              </w:rPr>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0.08%</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1,218,603.77</w:t>
            </w:r>
            <w:r>
              <w:rPr>
                <w:rFonts w:ascii="Times New Roman"/>
                <w:sz w:val="18"/>
              </w:rPr>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0.08%</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35.59%</w:t>
            </w:r>
          </w:p>
        </w:tc>
      </w:tr>
      <w:tr>
        <w:trPr>
          <w:trHeight w:val="402" w:hRule="exact"/>
        </w:trPr>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1,119,403.79</w:t>
            </w:r>
            <w:r>
              <w:rPr>
                <w:rFonts w:ascii="Times New Roman"/>
                <w:sz w:val="18"/>
              </w:rPr>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0.05%</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204,001.60</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0.01%</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448.72%</w:t>
            </w:r>
          </w:p>
        </w:tc>
      </w:tr>
      <w:tr>
        <w:trPr>
          <w:trHeight w:val="402" w:hRule="exact"/>
        </w:trPr>
        <w:tc>
          <w:tcPr>
            <w:tcW w:w="9566" w:type="dxa"/>
            <w:gridSpan w:val="6"/>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1" w:hRule="exact"/>
        </w:trPr>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东北及华北</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565,889,189.22</w:t>
            </w:r>
            <w:r>
              <w:rPr>
                <w:rFonts w:ascii="Times New Roman"/>
                <w:sz w:val="18"/>
              </w:rPr>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z w:val="18"/>
              </w:rPr>
              <w:t>27.37%</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361,649,180.94</w:t>
            </w:r>
            <w:r>
              <w:rPr>
                <w:rFonts w:ascii="Times New Roman"/>
                <w:sz w:val="18"/>
              </w:rPr>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3"/>
              <w:jc w:val="right"/>
              <w:rPr>
                <w:rFonts w:ascii="Times New Roman" w:hAnsi="Times New Roman" w:cs="Times New Roman" w:eastAsia="Times New Roman" w:hint="default"/>
                <w:sz w:val="18"/>
                <w:szCs w:val="18"/>
              </w:rPr>
            </w:pPr>
            <w:r>
              <w:rPr>
                <w:rFonts w:ascii="Times New Roman"/>
                <w:sz w:val="18"/>
              </w:rPr>
              <w:t>22.59%</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56.47%</w:t>
            </w:r>
          </w:p>
        </w:tc>
      </w:tr>
      <w:tr>
        <w:trPr>
          <w:trHeight w:val="403" w:hRule="exact"/>
        </w:trPr>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华东及华南</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972,333,519.66</w:t>
            </w:r>
            <w:r>
              <w:rPr>
                <w:rFonts w:ascii="Times New Roman"/>
                <w:sz w:val="18"/>
              </w:rPr>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1"/>
              <w:jc w:val="right"/>
              <w:rPr>
                <w:rFonts w:ascii="Times New Roman" w:hAnsi="Times New Roman" w:cs="Times New Roman" w:eastAsia="Times New Roman" w:hint="default"/>
                <w:sz w:val="18"/>
                <w:szCs w:val="18"/>
              </w:rPr>
            </w:pPr>
            <w:r>
              <w:rPr>
                <w:rFonts w:ascii="Times New Roman"/>
                <w:sz w:val="18"/>
              </w:rPr>
              <w:t>47.04%</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813,318,983.59</w:t>
            </w:r>
            <w:r>
              <w:rPr>
                <w:rFonts w:ascii="Times New Roman"/>
                <w:sz w:val="18"/>
              </w:rPr>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3"/>
              <w:jc w:val="right"/>
              <w:rPr>
                <w:rFonts w:ascii="Times New Roman" w:hAnsi="Times New Roman" w:cs="Times New Roman" w:eastAsia="Times New Roman" w:hint="default"/>
                <w:sz w:val="18"/>
                <w:szCs w:val="18"/>
              </w:rPr>
            </w:pPr>
            <w:r>
              <w:rPr>
                <w:rFonts w:ascii="Times New Roman"/>
                <w:sz w:val="18"/>
              </w:rPr>
              <w:t>50.81%</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19.55%</w:t>
            </w:r>
          </w:p>
        </w:tc>
      </w:tr>
      <w:tr>
        <w:trPr>
          <w:trHeight w:val="401" w:hRule="exact"/>
        </w:trPr>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西南及西北</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352,384,825.82</w:t>
            </w:r>
            <w:r>
              <w:rPr>
                <w:rFonts w:ascii="Times New Roman"/>
                <w:sz w:val="18"/>
              </w:rPr>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z w:val="18"/>
              </w:rPr>
              <w:t>17.04%</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328,019,646.05</w:t>
            </w:r>
            <w:r>
              <w:rPr>
                <w:rFonts w:ascii="Times New Roman"/>
                <w:sz w:val="18"/>
              </w:rPr>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3"/>
              <w:jc w:val="right"/>
              <w:rPr>
                <w:rFonts w:ascii="Times New Roman" w:hAnsi="Times New Roman" w:cs="Times New Roman" w:eastAsia="Times New Roman" w:hint="default"/>
                <w:sz w:val="18"/>
                <w:szCs w:val="18"/>
              </w:rPr>
            </w:pPr>
            <w:r>
              <w:rPr>
                <w:rFonts w:ascii="Times New Roman"/>
                <w:sz w:val="18"/>
              </w:rPr>
              <w:t>20.49%</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7.43%</w:t>
            </w:r>
          </w:p>
        </w:tc>
      </w:tr>
      <w:tr>
        <w:trPr>
          <w:trHeight w:val="403" w:hRule="exact"/>
        </w:trPr>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华中及其他</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176,802,841.63</w:t>
            </w:r>
            <w:r>
              <w:rPr>
                <w:rFonts w:ascii="Times New Roman"/>
                <w:sz w:val="18"/>
              </w:rPr>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5"/>
              <w:jc w:val="right"/>
              <w:rPr>
                <w:rFonts w:ascii="Times New Roman" w:hAnsi="Times New Roman" w:cs="Times New Roman" w:eastAsia="Times New Roman" w:hint="default"/>
                <w:sz w:val="18"/>
                <w:szCs w:val="18"/>
              </w:rPr>
            </w:pPr>
            <w:r>
              <w:rPr>
                <w:rFonts w:ascii="Times New Roman"/>
                <w:sz w:val="18"/>
              </w:rPr>
              <w:t>8.55%</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97,596,580.42</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2"/>
                <w:sz w:val="18"/>
              </w:rPr>
              <w:t>6.11%</w:t>
            </w:r>
            <w:r>
              <w:rPr>
                <w:rFonts w:ascii="Times New Roman"/>
                <w:sz w:val="18"/>
              </w:rPr>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81.16%</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上市公司从事软件与信息技术服务业务》的披露要求</w:t>
      </w:r>
    </w:p>
    <w:p>
      <w:pPr>
        <w:spacing w:before="101"/>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507"/>
        <w:gridCol w:w="1008"/>
        <w:gridCol w:w="1008"/>
        <w:gridCol w:w="1013"/>
        <w:gridCol w:w="1010"/>
        <w:gridCol w:w="1003"/>
        <w:gridCol w:w="1006"/>
        <w:gridCol w:w="1001"/>
        <w:gridCol w:w="1003"/>
      </w:tblGrid>
      <w:tr>
        <w:trPr>
          <w:trHeight w:val="206" w:hRule="exact"/>
        </w:trPr>
        <w:tc>
          <w:tcPr>
            <w:tcW w:w="1507" w:type="dxa"/>
            <w:tcBorders>
              <w:top w:val="single" w:sz="4" w:space="0" w:color="000000"/>
              <w:left w:val="single" w:sz="4" w:space="0" w:color="000000"/>
              <w:bottom w:val="nil" w:sz="6" w:space="0" w:color="auto"/>
              <w:right w:val="single" w:sz="4" w:space="0" w:color="000000"/>
            </w:tcBorders>
            <w:shd w:val="clear" w:color="auto" w:fill="D4D4D4"/>
          </w:tcPr>
          <w:p>
            <w:pPr/>
          </w:p>
        </w:tc>
        <w:tc>
          <w:tcPr>
            <w:tcW w:w="4039" w:type="dxa"/>
            <w:gridSpan w:val="4"/>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4013" w:type="dxa"/>
            <w:gridSpan w:val="4"/>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192" w:hRule="exact"/>
        </w:trPr>
        <w:tc>
          <w:tcPr>
            <w:tcW w:w="1507" w:type="dxa"/>
            <w:vMerge w:val="restart"/>
            <w:tcBorders>
              <w:top w:val="nil" w:sz="6" w:space="0" w:color="auto"/>
              <w:left w:val="single" w:sz="4" w:space="0" w:color="000000"/>
              <w:right w:val="single" w:sz="4" w:space="0" w:color="000000"/>
            </w:tcBorders>
            <w:shd w:val="clear" w:color="auto" w:fill="D4D4D4"/>
          </w:tcPr>
          <w:p>
            <w:pPr/>
          </w:p>
        </w:tc>
        <w:tc>
          <w:tcPr>
            <w:tcW w:w="4039" w:type="dxa"/>
            <w:gridSpan w:val="4"/>
            <w:vMerge/>
            <w:tcBorders>
              <w:left w:val="single" w:sz="4" w:space="0" w:color="000000"/>
              <w:bottom w:val="single" w:sz="4" w:space="0" w:color="000000"/>
              <w:right w:val="single" w:sz="4" w:space="0" w:color="000000"/>
            </w:tcBorders>
            <w:shd w:val="clear" w:color="auto" w:fill="D4D4D4"/>
          </w:tcPr>
          <w:p>
            <w:pPr/>
          </w:p>
        </w:tc>
        <w:tc>
          <w:tcPr>
            <w:tcW w:w="4013" w:type="dxa"/>
            <w:gridSpan w:val="4"/>
            <w:vMerge/>
            <w:tcBorders>
              <w:left w:val="single" w:sz="4" w:space="0" w:color="000000"/>
              <w:bottom w:val="single" w:sz="4" w:space="0" w:color="000000"/>
              <w:right w:val="single" w:sz="4" w:space="0" w:color="000000"/>
            </w:tcBorders>
            <w:shd w:val="clear" w:color="auto" w:fill="D4D4D4"/>
          </w:tcPr>
          <w:p>
            <w:pPr/>
          </w:p>
        </w:tc>
      </w:tr>
      <w:tr>
        <w:trPr>
          <w:trHeight w:val="199" w:hRule="exact"/>
        </w:trPr>
        <w:tc>
          <w:tcPr>
            <w:tcW w:w="1507" w:type="dxa"/>
            <w:vMerge/>
            <w:tcBorders>
              <w:left w:val="single" w:sz="4" w:space="0" w:color="000000"/>
              <w:bottom w:val="nil" w:sz="6" w:space="0" w:color="auto"/>
              <w:right w:val="single" w:sz="4" w:space="0" w:color="000000"/>
            </w:tcBorders>
            <w:shd w:val="clear" w:color="auto" w:fill="D4D4D4"/>
          </w:tcPr>
          <w:p>
            <w:pPr/>
          </w:p>
        </w:tc>
        <w:tc>
          <w:tcPr>
            <w:tcW w:w="1008"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139"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008"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139"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013"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010"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第四季度</w:t>
            </w:r>
          </w:p>
        </w:tc>
        <w:tc>
          <w:tcPr>
            <w:tcW w:w="1003"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136"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006"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136"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001"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136"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003"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136"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206" w:hRule="exact"/>
        </w:trPr>
        <w:tc>
          <w:tcPr>
            <w:tcW w:w="1507" w:type="dxa"/>
            <w:tcBorders>
              <w:top w:val="nil" w:sz="6" w:space="0" w:color="auto"/>
              <w:left w:val="single" w:sz="4" w:space="0" w:color="000000"/>
              <w:bottom w:val="single" w:sz="4" w:space="0" w:color="000000"/>
              <w:right w:val="single" w:sz="4" w:space="0" w:color="000000"/>
            </w:tcBorders>
            <w:shd w:val="clear" w:color="auto" w:fill="D4D4D4"/>
          </w:tcPr>
          <w:p>
            <w:pPr/>
          </w:p>
        </w:tc>
        <w:tc>
          <w:tcPr>
            <w:tcW w:w="1008" w:type="dxa"/>
            <w:vMerge/>
            <w:tcBorders>
              <w:left w:val="single" w:sz="4" w:space="0" w:color="000000"/>
              <w:bottom w:val="single" w:sz="4" w:space="0" w:color="000000"/>
              <w:right w:val="single" w:sz="4" w:space="0" w:color="000000"/>
            </w:tcBorders>
            <w:shd w:val="clear" w:color="auto" w:fill="D4D4D4"/>
          </w:tcPr>
          <w:p>
            <w:pPr/>
          </w:p>
        </w:tc>
        <w:tc>
          <w:tcPr>
            <w:tcW w:w="1008" w:type="dxa"/>
            <w:vMerge/>
            <w:tcBorders>
              <w:left w:val="single" w:sz="4" w:space="0" w:color="000000"/>
              <w:bottom w:val="single" w:sz="4" w:space="0" w:color="000000"/>
              <w:right w:val="single" w:sz="4" w:space="0" w:color="000000"/>
            </w:tcBorders>
            <w:shd w:val="clear" w:color="auto" w:fill="D4D4D4"/>
          </w:tcPr>
          <w:p>
            <w:pPr/>
          </w:p>
        </w:tc>
        <w:tc>
          <w:tcPr>
            <w:tcW w:w="1013" w:type="dxa"/>
            <w:vMerge/>
            <w:tcBorders>
              <w:left w:val="single" w:sz="4" w:space="0" w:color="000000"/>
              <w:bottom w:val="single" w:sz="4" w:space="0" w:color="000000"/>
              <w:right w:val="single" w:sz="4" w:space="0" w:color="000000"/>
            </w:tcBorders>
            <w:shd w:val="clear" w:color="auto" w:fill="D4D4D4"/>
          </w:tcPr>
          <w:p>
            <w:pPr/>
          </w:p>
        </w:tc>
        <w:tc>
          <w:tcPr>
            <w:tcW w:w="1010" w:type="dxa"/>
            <w:vMerge/>
            <w:tcBorders>
              <w:left w:val="single" w:sz="4" w:space="0" w:color="000000"/>
              <w:bottom w:val="single" w:sz="4" w:space="0" w:color="000000"/>
              <w:right w:val="single" w:sz="4" w:space="0" w:color="000000"/>
            </w:tcBorders>
            <w:shd w:val="clear" w:color="auto" w:fill="D4D4D4"/>
          </w:tcPr>
          <w:p>
            <w:pPr/>
          </w:p>
        </w:tc>
        <w:tc>
          <w:tcPr>
            <w:tcW w:w="1003" w:type="dxa"/>
            <w:vMerge/>
            <w:tcBorders>
              <w:left w:val="single" w:sz="4" w:space="0" w:color="000000"/>
              <w:bottom w:val="single" w:sz="4" w:space="0" w:color="000000"/>
              <w:right w:val="single" w:sz="4" w:space="0" w:color="000000"/>
            </w:tcBorders>
            <w:shd w:val="clear" w:color="auto" w:fill="D4D4D4"/>
          </w:tcPr>
          <w:p>
            <w:pPr/>
          </w:p>
        </w:tc>
        <w:tc>
          <w:tcPr>
            <w:tcW w:w="1006" w:type="dxa"/>
            <w:vMerge/>
            <w:tcBorders>
              <w:left w:val="single" w:sz="4" w:space="0" w:color="000000"/>
              <w:bottom w:val="single" w:sz="4" w:space="0" w:color="000000"/>
              <w:right w:val="single" w:sz="4" w:space="0" w:color="000000"/>
            </w:tcBorders>
            <w:shd w:val="clear" w:color="auto" w:fill="D4D4D4"/>
          </w:tcPr>
          <w:p>
            <w:pPr/>
          </w:p>
        </w:tc>
        <w:tc>
          <w:tcPr>
            <w:tcW w:w="1001" w:type="dxa"/>
            <w:vMerge/>
            <w:tcBorders>
              <w:left w:val="single" w:sz="4" w:space="0" w:color="000000"/>
              <w:bottom w:val="single" w:sz="4" w:space="0" w:color="000000"/>
              <w:right w:val="single" w:sz="4" w:space="0" w:color="000000"/>
            </w:tcBorders>
            <w:shd w:val="clear" w:color="auto" w:fill="D4D4D4"/>
          </w:tcPr>
          <w:p>
            <w:pPr/>
          </w:p>
        </w:tc>
        <w:tc>
          <w:tcPr>
            <w:tcW w:w="1003" w:type="dxa"/>
            <w:vMerge/>
            <w:tcBorders>
              <w:left w:val="single" w:sz="4" w:space="0" w:color="000000"/>
              <w:bottom w:val="single" w:sz="4" w:space="0" w:color="000000"/>
              <w:right w:val="single" w:sz="4" w:space="0" w:color="000000"/>
            </w:tcBorders>
            <w:shd w:val="clear" w:color="auto" w:fill="D4D4D4"/>
          </w:tcPr>
          <w:p>
            <w:pPr/>
          </w:p>
        </w:tc>
      </w:tr>
      <w:tr>
        <w:trPr>
          <w:trHeight w:val="161" w:hRule="exact"/>
        </w:trPr>
        <w:tc>
          <w:tcPr>
            <w:tcW w:w="1507" w:type="dxa"/>
            <w:tcBorders>
              <w:top w:val="single" w:sz="4" w:space="0" w:color="000000"/>
              <w:left w:val="single" w:sz="4" w:space="0" w:color="000000"/>
              <w:bottom w:val="nil" w:sz="6" w:space="0" w:color="auto"/>
              <w:right w:val="single" w:sz="4" w:space="0" w:color="000000"/>
            </w:tcBorders>
            <w:shd w:val="clear" w:color="auto" w:fill="D4D4D4"/>
          </w:tcPr>
          <w:p>
            <w:pPr/>
          </w:p>
        </w:tc>
        <w:tc>
          <w:tcPr>
            <w:tcW w:w="1008" w:type="dxa"/>
            <w:vMerge w:val="restart"/>
            <w:tcBorders>
              <w:top w:val="single" w:sz="4" w:space="0" w:color="000000"/>
              <w:left w:val="single" w:sz="10" w:space="0" w:color="D4D4D4"/>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246,643,816.</w:t>
            </w:r>
            <w:r>
              <w:rPr>
                <w:rFonts w:ascii="Times New Roman"/>
                <w:sz w:val="18"/>
              </w:rPr>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26</w:t>
            </w:r>
          </w:p>
        </w:tc>
        <w:tc>
          <w:tcPr>
            <w:tcW w:w="1008" w:type="dxa"/>
            <w:vMerge w:val="restart"/>
            <w:tcBorders>
              <w:top w:val="single" w:sz="4" w:space="0" w:color="000000"/>
              <w:left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336,732,046.</w:t>
            </w:r>
            <w:r>
              <w:rPr>
                <w:rFonts w:ascii="Times New Roman"/>
                <w:sz w:val="18"/>
              </w:rPr>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63</w:t>
            </w:r>
          </w:p>
        </w:tc>
        <w:tc>
          <w:tcPr>
            <w:tcW w:w="1013"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279,618,297.</w:t>
            </w:r>
            <w:r>
              <w:rPr>
                <w:rFonts w:ascii="Times New Roman"/>
                <w:sz w:val="18"/>
              </w:rPr>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29</w:t>
            </w:r>
          </w:p>
        </w:tc>
        <w:tc>
          <w:tcPr>
            <w:tcW w:w="1010" w:type="dxa"/>
            <w:vMerge w:val="restart"/>
            <w:tcBorders>
              <w:top w:val="single" w:sz="4" w:space="0" w:color="000000"/>
              <w:left w:val="single" w:sz="4" w:space="0" w:color="000000"/>
              <w:right w:val="single" w:sz="4" w:space="0" w:color="000000"/>
            </w:tcBorders>
          </w:tcPr>
          <w:p>
            <w:pPr>
              <w:pStyle w:val="TableParagraph"/>
              <w:spacing w:line="240" w:lineRule="auto" w:before="91"/>
              <w:ind w:left="33" w:right="0"/>
              <w:jc w:val="left"/>
              <w:rPr>
                <w:rFonts w:ascii="Times New Roman" w:hAnsi="Times New Roman" w:cs="Times New Roman" w:eastAsia="Times New Roman" w:hint="default"/>
                <w:sz w:val="18"/>
                <w:szCs w:val="18"/>
              </w:rPr>
            </w:pPr>
            <w:r>
              <w:rPr>
                <w:rFonts w:ascii="Times New Roman"/>
                <w:sz w:val="18"/>
              </w:rPr>
              <w:t>1,204,416,21</w:t>
            </w:r>
          </w:p>
          <w:p>
            <w:pPr>
              <w:pStyle w:val="TableParagraph"/>
              <w:spacing w:line="240" w:lineRule="auto" w:before="105"/>
              <w:ind w:left="664" w:right="0"/>
              <w:jc w:val="left"/>
              <w:rPr>
                <w:rFonts w:ascii="Times New Roman" w:hAnsi="Times New Roman" w:cs="Times New Roman" w:eastAsia="Times New Roman" w:hint="default"/>
                <w:sz w:val="18"/>
                <w:szCs w:val="18"/>
              </w:rPr>
            </w:pPr>
            <w:r>
              <w:rPr>
                <w:rFonts w:ascii="Times New Roman"/>
                <w:sz w:val="18"/>
              </w:rPr>
              <w:t>6.15</w:t>
            </w:r>
          </w:p>
        </w:tc>
        <w:tc>
          <w:tcPr>
            <w:tcW w:w="1003" w:type="dxa"/>
            <w:vMerge w:val="restart"/>
            <w:tcBorders>
              <w:top w:val="single" w:sz="4" w:space="0" w:color="000000"/>
              <w:left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184,705,580.</w:t>
            </w:r>
            <w:r>
              <w:rPr>
                <w:rFonts w:ascii="Times New Roman"/>
                <w:sz w:val="18"/>
              </w:rPr>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53</w:t>
            </w:r>
          </w:p>
        </w:tc>
        <w:tc>
          <w:tcPr>
            <w:tcW w:w="1006"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297,297,203.</w:t>
            </w:r>
            <w:r>
              <w:rPr>
                <w:rFonts w:ascii="Times New Roman"/>
                <w:sz w:val="18"/>
              </w:rPr>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18</w:t>
            </w:r>
          </w:p>
        </w:tc>
        <w:tc>
          <w:tcPr>
            <w:tcW w:w="1001" w:type="dxa"/>
            <w:vMerge w:val="restart"/>
            <w:tcBorders>
              <w:top w:val="single" w:sz="4" w:space="0" w:color="000000"/>
              <w:left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241,671,590.</w:t>
            </w:r>
            <w:r>
              <w:rPr>
                <w:rFonts w:ascii="Times New Roman"/>
                <w:sz w:val="18"/>
              </w:rPr>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40</w:t>
            </w:r>
          </w:p>
        </w:tc>
        <w:tc>
          <w:tcPr>
            <w:tcW w:w="1003"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876,910,016.</w:t>
            </w:r>
            <w:r>
              <w:rPr>
                <w:rFonts w:ascii="Times New Roman"/>
                <w:sz w:val="18"/>
              </w:rPr>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89</w:t>
            </w:r>
          </w:p>
        </w:tc>
      </w:tr>
      <w:tr>
        <w:trPr>
          <w:trHeight w:val="394" w:hRule="exact"/>
        </w:trPr>
        <w:tc>
          <w:tcPr>
            <w:tcW w:w="1507"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08" w:type="dxa"/>
            <w:vMerge/>
            <w:tcBorders>
              <w:left w:val="single" w:sz="10" w:space="0" w:color="D4D4D4"/>
              <w:right w:val="single" w:sz="4" w:space="0" w:color="000000"/>
            </w:tcBorders>
          </w:tcPr>
          <w:p>
            <w:pPr/>
          </w:p>
        </w:tc>
        <w:tc>
          <w:tcPr>
            <w:tcW w:w="1008" w:type="dxa"/>
            <w:vMerge/>
            <w:tcBorders>
              <w:left w:val="single" w:sz="4" w:space="0" w:color="000000"/>
              <w:right w:val="single" w:sz="4" w:space="0" w:color="000000"/>
            </w:tcBorders>
          </w:tcPr>
          <w:p>
            <w:pPr/>
          </w:p>
        </w:tc>
        <w:tc>
          <w:tcPr>
            <w:tcW w:w="1013"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03" w:type="dxa"/>
            <w:vMerge/>
            <w:tcBorders>
              <w:left w:val="single" w:sz="4" w:space="0" w:color="000000"/>
              <w:right w:val="single" w:sz="4" w:space="0" w:color="000000"/>
            </w:tcBorders>
          </w:tcPr>
          <w:p>
            <w:pPr/>
          </w:p>
        </w:tc>
        <w:tc>
          <w:tcPr>
            <w:tcW w:w="1006" w:type="dxa"/>
            <w:vMerge/>
            <w:tcBorders>
              <w:left w:val="single" w:sz="4" w:space="0" w:color="000000"/>
              <w:right w:val="single" w:sz="4" w:space="0" w:color="000000"/>
            </w:tcBorders>
          </w:tcPr>
          <w:p>
            <w:pPr/>
          </w:p>
        </w:tc>
        <w:tc>
          <w:tcPr>
            <w:tcW w:w="1001" w:type="dxa"/>
            <w:vMerge/>
            <w:tcBorders>
              <w:left w:val="single" w:sz="4" w:space="0" w:color="000000"/>
              <w:right w:val="single" w:sz="4" w:space="0" w:color="000000"/>
            </w:tcBorders>
          </w:tcPr>
          <w:p>
            <w:pPr/>
          </w:p>
        </w:tc>
        <w:tc>
          <w:tcPr>
            <w:tcW w:w="1003" w:type="dxa"/>
            <w:vMerge/>
            <w:tcBorders>
              <w:left w:val="single" w:sz="4" w:space="0" w:color="000000"/>
              <w:right w:val="single" w:sz="4" w:space="0" w:color="000000"/>
            </w:tcBorders>
          </w:tcPr>
          <w:p>
            <w:pPr/>
          </w:p>
        </w:tc>
      </w:tr>
      <w:tr>
        <w:trPr>
          <w:trHeight w:val="161" w:hRule="exact"/>
        </w:trPr>
        <w:tc>
          <w:tcPr>
            <w:tcW w:w="1507" w:type="dxa"/>
            <w:tcBorders>
              <w:top w:val="nil" w:sz="6" w:space="0" w:color="auto"/>
              <w:left w:val="single" w:sz="4" w:space="0" w:color="000000"/>
              <w:bottom w:val="single" w:sz="4" w:space="0" w:color="000000"/>
              <w:right w:val="single" w:sz="4" w:space="0" w:color="000000"/>
            </w:tcBorders>
            <w:shd w:val="clear" w:color="auto" w:fill="D4D4D4"/>
          </w:tcPr>
          <w:p>
            <w:pPr/>
          </w:p>
        </w:tc>
        <w:tc>
          <w:tcPr>
            <w:tcW w:w="1008" w:type="dxa"/>
            <w:vMerge/>
            <w:tcBorders>
              <w:left w:val="single" w:sz="10" w:space="0" w:color="D4D4D4"/>
              <w:bottom w:val="single" w:sz="4" w:space="0" w:color="000000"/>
              <w:right w:val="single" w:sz="4" w:space="0" w:color="000000"/>
            </w:tcBorders>
          </w:tcPr>
          <w:p>
            <w:pPr/>
          </w:p>
        </w:tc>
        <w:tc>
          <w:tcPr>
            <w:tcW w:w="1008" w:type="dxa"/>
            <w:vMerge/>
            <w:tcBorders>
              <w:left w:val="single" w:sz="4" w:space="0" w:color="000000"/>
              <w:bottom w:val="single" w:sz="4" w:space="0" w:color="000000"/>
              <w:right w:val="single" w:sz="4" w:space="0" w:color="000000"/>
            </w:tcBorders>
          </w:tcPr>
          <w:p>
            <w:pPr/>
          </w:p>
        </w:tc>
        <w:tc>
          <w:tcPr>
            <w:tcW w:w="1013"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03" w:type="dxa"/>
            <w:vMerge/>
            <w:tcBorders>
              <w:left w:val="single" w:sz="4" w:space="0" w:color="000000"/>
              <w:bottom w:val="single" w:sz="4" w:space="0" w:color="000000"/>
              <w:right w:val="single" w:sz="4" w:space="0" w:color="000000"/>
            </w:tcBorders>
          </w:tcPr>
          <w:p>
            <w:pPr/>
          </w:p>
        </w:tc>
        <w:tc>
          <w:tcPr>
            <w:tcW w:w="1006" w:type="dxa"/>
            <w:vMerge/>
            <w:tcBorders>
              <w:left w:val="single" w:sz="4" w:space="0" w:color="000000"/>
              <w:bottom w:val="single" w:sz="4" w:space="0" w:color="000000"/>
              <w:right w:val="single" w:sz="4" w:space="0" w:color="000000"/>
            </w:tcBorders>
          </w:tcPr>
          <w:p>
            <w:pPr/>
          </w:p>
        </w:tc>
        <w:tc>
          <w:tcPr>
            <w:tcW w:w="1001" w:type="dxa"/>
            <w:vMerge/>
            <w:tcBorders>
              <w:left w:val="single" w:sz="4" w:space="0" w:color="000000"/>
              <w:bottom w:val="single" w:sz="4" w:space="0" w:color="000000"/>
              <w:right w:val="single" w:sz="4" w:space="0" w:color="000000"/>
            </w:tcBorders>
          </w:tcPr>
          <w:p>
            <w:pPr/>
          </w:p>
        </w:tc>
        <w:tc>
          <w:tcPr>
            <w:tcW w:w="1003" w:type="dxa"/>
            <w:vMerge/>
            <w:tcBorders>
              <w:left w:val="single" w:sz="4" w:space="0" w:color="000000"/>
              <w:bottom w:val="single" w:sz="4" w:space="0" w:color="000000"/>
              <w:right w:val="single" w:sz="4" w:space="0" w:color="000000"/>
            </w:tcBorders>
          </w:tcPr>
          <w:p>
            <w:pPr/>
          </w:p>
        </w:tc>
      </w:tr>
      <w:tr>
        <w:trPr>
          <w:trHeight w:val="713" w:hRule="exact"/>
        </w:trPr>
        <w:tc>
          <w:tcPr>
            <w:tcW w:w="150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49"/>
              <w:ind w:left="12" w:right="43"/>
              <w:jc w:val="left"/>
              <w:rPr>
                <w:rFonts w:ascii="宋体" w:hAnsi="宋体" w:cs="宋体" w:eastAsia="宋体" w:hint="default"/>
                <w:sz w:val="18"/>
                <w:szCs w:val="18"/>
              </w:rPr>
            </w:pPr>
            <w:r>
              <w:rPr>
                <w:rFonts w:ascii="宋体" w:hAnsi="宋体" w:cs="宋体" w:eastAsia="宋体" w:hint="default"/>
                <w:sz w:val="18"/>
                <w:szCs w:val="18"/>
              </w:rPr>
              <w:t>归属于上市公司股 东的净利润</w:t>
            </w:r>
          </w:p>
        </w:tc>
        <w:tc>
          <w:tcPr>
            <w:tcW w:w="1008"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-14,296,950.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39</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15,651,107.0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7</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-35,501,711.</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73</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323,823,128.</w:t>
            </w:r>
            <w:r>
              <w:rPr>
                <w:rFonts w:ascii="Times New Roman"/>
                <w:sz w:val="18"/>
              </w:rPr>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21</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5,174,687.49</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34,590,589.3</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8</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7,607,227.24</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255,842,175.</w:t>
            </w:r>
            <w:r>
              <w:rPr>
                <w:rFonts w:ascii="Times New Roman"/>
                <w:sz w:val="18"/>
              </w:rPr>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72</w:t>
            </w:r>
          </w:p>
        </w:tc>
      </w:tr>
    </w:tbl>
    <w:p>
      <w:pPr>
        <w:pStyle w:val="BodyText"/>
        <w:spacing w:line="410" w:lineRule="auto" w:before="49"/>
        <w:ind w:right="986"/>
        <w:jc w:val="left"/>
      </w:pPr>
      <w:r>
        <w:rPr>
          <w:sz w:val="18"/>
          <w:szCs w:val="18"/>
        </w:rPr>
        <w:t>说明经营季节性（或周期性）发生的原因及波动风险 </w:t>
      </w:r>
      <w:r>
        <w:rPr>
          <w:spacing w:val="-2"/>
        </w:rPr>
        <w:t>公司产品销售收入有明显的季节性特征和风险。公司客户主要为国内各级司法机关及行政执法部门，该类</w:t>
      </w:r>
      <w:r>
        <w:rPr>
          <w:spacing w:val="-43"/>
        </w:rPr>
        <w:t> </w:t>
      </w:r>
      <w:r>
        <w:rPr>
          <w:spacing w:val="-43"/>
        </w:rPr>
      </w:r>
      <w:r>
        <w:rPr>
          <w:spacing w:val="-2"/>
        </w:rPr>
        <w:t>客户的普遍特点是：上半年制定计划、预算审批、下半年实施和验收。因此，公司产品销售收入的实现主</w:t>
      </w:r>
      <w:r>
        <w:rPr>
          <w:spacing w:val="-43"/>
        </w:rPr>
        <w:t> </w:t>
      </w:r>
      <w:r>
        <w:rPr>
          <w:spacing w:val="-43"/>
        </w:rPr>
      </w:r>
      <w:r>
        <w:rPr>
          <w:spacing w:val="-2"/>
        </w:rPr>
        <w:t>要集中在下半年尤其是第四季度，第四季度的经营结果决定了全年的总体表现。受公司业绩季节性特点影</w:t>
      </w:r>
      <w:r>
        <w:rPr>
          <w:spacing w:val="-42"/>
        </w:rPr>
        <w:t> </w:t>
      </w:r>
      <w:r>
        <w:rPr>
          <w:spacing w:val="-42"/>
        </w:rPr>
      </w:r>
      <w:r>
        <w:rPr/>
        <w:t>响，公司上半年收入和利润占全年收入和利润的比重较低，季节性资金需求和现金流量不均衡。</w:t>
      </w:r>
    </w:p>
    <w:p>
      <w:pPr>
        <w:spacing w:after="0" w:line="410" w:lineRule="auto"/>
        <w:jc w:val="left"/>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2）占公司营业收入或营业利润10%以上的行业、产品或地区情况" w:id="28"/>
      <w:bookmarkEnd w:id="28"/>
      <w:r>
        <w:rPr>
          <w:b w:val="0"/>
          <w:bCs w:val="0"/>
        </w:rPr>
      </w:r>
      <w:r>
        <w:rPr/>
        <w:t>（</w:t>
      </w:r>
      <w:r>
        <w:rPr>
          <w:rFonts w:ascii="Times New Roman" w:hAnsi="Times New Roman" w:cs="Times New Roman" w:eastAsia="Times New Roman" w:hint="default"/>
        </w:rPr>
        <w:t>2</w:t>
      </w:r>
      <w:r>
        <w:rPr/>
        <w:t>）占公司营业收入或营业利润</w:t>
      </w:r>
      <w:r>
        <w:rPr>
          <w:spacing w:val="-54"/>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82" w:top="1060" w:bottom="1180" w:left="980" w:right="0"/>
        </w:sectPr>
      </w:pPr>
    </w:p>
    <w:p>
      <w:pPr>
        <w:spacing w:before="44"/>
        <w:ind w:left="152" w:right="-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before="101"/>
        <w:ind w:left="152" w:right="-17"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上市公司从事软件与信息技术服务业务》的披露要求</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spacing w:before="0"/>
        <w:ind w:left="-3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9065" w:space="40"/>
            <w:col w:w="1825"/>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685"/>
        <w:gridCol w:w="1334"/>
        <w:gridCol w:w="1471"/>
        <w:gridCol w:w="977"/>
        <w:gridCol w:w="1366"/>
        <w:gridCol w:w="1368"/>
        <w:gridCol w:w="1370"/>
      </w:tblGrid>
      <w:tr>
        <w:trPr>
          <w:trHeight w:val="713" w:hRule="exact"/>
        </w:trPr>
        <w:tc>
          <w:tcPr>
            <w:tcW w:w="1685"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3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69"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97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49"/>
              <w:ind w:left="319" w:right="47" w:hanging="272"/>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49"/>
              <w:ind w:left="319" w:right="48" w:hanging="272"/>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49"/>
              <w:ind w:left="410" w:right="48"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3"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分客户所处行业</w:t>
            </w:r>
          </w:p>
        </w:tc>
      </w:tr>
      <w:tr>
        <w:trPr>
          <w:trHeight w:val="401"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司法机关</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1,103,357,180.06</w:t>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454,173,319.23</w:t>
            </w:r>
            <w:r>
              <w:rPr>
                <w:rFonts w:ascii="Times New Roman"/>
                <w:sz w:val="18"/>
              </w:rPr>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58.84%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38.23%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59.90%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-5.58%</w:t>
            </w:r>
          </w:p>
        </w:tc>
      </w:tr>
      <w:tr>
        <w:trPr>
          <w:trHeight w:val="403"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行政执法机关</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310,612,057.08</w:t>
            </w:r>
            <w:r>
              <w:rPr>
                <w:rFonts w:ascii="Times New Roman"/>
                <w:sz w:val="18"/>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107,725,700.56</w:t>
            </w:r>
            <w:r>
              <w:rPr>
                <w:rFonts w:ascii="Times New Roman"/>
                <w:sz w:val="18"/>
              </w:rPr>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65.32%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15.68%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40.72%</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-6.17%</w:t>
            </w:r>
          </w:p>
        </w:tc>
      </w:tr>
      <w:tr>
        <w:trPr>
          <w:trHeight w:val="401"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企业</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557,132,982.19</w:t>
            </w:r>
            <w:r>
              <w:rPr>
                <w:rFonts w:ascii="Times New Roman"/>
                <w:sz w:val="18"/>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320,930,778.27</w:t>
            </w:r>
            <w:r>
              <w:rPr>
                <w:rFonts w:ascii="Times New Roman"/>
                <w:sz w:val="18"/>
              </w:rPr>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42.40%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9.86%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15.71%</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-2.91%</w:t>
            </w:r>
          </w:p>
        </w:tc>
      </w:tr>
      <w:tr>
        <w:trPr>
          <w:trHeight w:val="403"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96,308,157.00</w:t>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32,148,273.48</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66.62%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260.29%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211.06%</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5.28%</w:t>
            </w:r>
          </w:p>
        </w:tc>
      </w:tr>
      <w:tr>
        <w:trPr>
          <w:trHeight w:val="401"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3"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电子数据取证产品</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835,666,672.92</w:t>
            </w:r>
            <w:r>
              <w:rPr>
                <w:rFonts w:ascii="Times New Roman"/>
                <w:sz w:val="18"/>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340,533,785.64</w:t>
            </w:r>
            <w:r>
              <w:rPr>
                <w:rFonts w:ascii="Times New Roman"/>
                <w:sz w:val="18"/>
              </w:rPr>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59.25%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13.33%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5.89%</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2.87%</w:t>
            </w:r>
          </w:p>
        </w:tc>
      </w:tr>
      <w:tr>
        <w:trPr>
          <w:trHeight w:val="401"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大数据智能化平台</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766,523,747.64</w:t>
            </w:r>
            <w:r>
              <w:rPr>
                <w:rFonts w:ascii="Times New Roman"/>
                <w:sz w:val="18"/>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419,224,201.72</w:t>
            </w:r>
            <w:r>
              <w:rPr>
                <w:rFonts w:ascii="Times New Roman"/>
                <w:sz w:val="18"/>
              </w:rPr>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45.31%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54.51%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88.00%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-9.74%</w:t>
            </w:r>
          </w:p>
        </w:tc>
      </w:tr>
      <w:tr>
        <w:trPr>
          <w:trHeight w:val="403"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网络空间安全产品</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63,681,586.06</w:t>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11,154,465.42</w:t>
            </w:r>
            <w:r>
              <w:rPr>
                <w:rFonts w:ascii="Times New Roman"/>
                <w:sz w:val="18"/>
              </w:rPr>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82.48%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-31.66%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-28.69%</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-0.73%</w:t>
            </w:r>
          </w:p>
        </w:tc>
      </w:tr>
      <w:tr>
        <w:trPr>
          <w:trHeight w:val="401"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智能执法与便民设备</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229,522,797.89</w:t>
            </w:r>
            <w:r>
              <w:rPr>
                <w:rFonts w:ascii="Times New Roman"/>
                <w:sz w:val="18"/>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94,795,415.77</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58.70%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91.28%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w w:val="95"/>
                <w:sz w:val="18"/>
              </w:rPr>
              <w:t>110.8%</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-3.82%</w:t>
            </w:r>
          </w:p>
        </w:tc>
      </w:tr>
      <w:tr>
        <w:trPr>
          <w:trHeight w:val="715"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9"/>
              <w:jc w:val="left"/>
              <w:rPr>
                <w:rFonts w:ascii="宋体" w:hAnsi="宋体" w:cs="宋体" w:eastAsia="宋体" w:hint="default"/>
                <w:sz w:val="18"/>
                <w:szCs w:val="18"/>
              </w:rPr>
            </w:pPr>
            <w:r>
              <w:rPr>
                <w:rFonts w:ascii="宋体" w:hAnsi="宋体" w:cs="宋体" w:eastAsia="宋体" w:hint="default"/>
                <w:sz w:val="18"/>
                <w:szCs w:val="18"/>
              </w:rPr>
              <w:t>电子数据鉴定及信息 安全相关服务</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169,243,859.22</w:t>
            </w:r>
            <w:r>
              <w:rPr>
                <w:rFonts w:ascii="Times New Roman"/>
                <w:sz w:val="18"/>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47,760,366.46</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71.78%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10.96%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14.36%</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-0.84%</w:t>
            </w:r>
          </w:p>
        </w:tc>
      </w:tr>
      <w:tr>
        <w:trPr>
          <w:trHeight w:val="401"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工程项目收入</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1,652,308.81</w:t>
            </w:r>
            <w:r>
              <w:rPr>
                <w:rFonts w:ascii="Times New Roman"/>
                <w:sz w:val="18"/>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1,448,945.93</w:t>
            </w:r>
            <w:r>
              <w:rPr>
                <w:rFonts w:ascii="Times New Roman"/>
                <w:sz w:val="18"/>
              </w:rPr>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12.31%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35.59%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9.76%</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20.64%</w:t>
            </w:r>
          </w:p>
        </w:tc>
      </w:tr>
      <w:tr>
        <w:trPr>
          <w:trHeight w:val="403"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1,119,403.79</w:t>
            </w:r>
            <w:r>
              <w:rPr>
                <w:rFonts w:ascii="Times New Roman"/>
                <w:sz w:val="18"/>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60,890.60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94.56%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448.72%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163.24%</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5.90%</w:t>
            </w:r>
          </w:p>
        </w:tc>
      </w:tr>
      <w:tr>
        <w:trPr>
          <w:trHeight w:val="401"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3"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东北及华北</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565,889,189.22</w:t>
            </w:r>
            <w:r>
              <w:rPr>
                <w:rFonts w:ascii="Times New Roman"/>
                <w:sz w:val="18"/>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253,104,440.00</w:t>
            </w:r>
            <w:r>
              <w:rPr>
                <w:rFonts w:ascii="Times New Roman"/>
                <w:sz w:val="18"/>
              </w:rPr>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55.27%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56.47%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109.05%</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-11.25%</w:t>
            </w:r>
            <w:r>
              <w:rPr>
                <w:rFonts w:ascii="Times New Roman"/>
                <w:sz w:val="18"/>
              </w:rPr>
            </w:r>
          </w:p>
        </w:tc>
      </w:tr>
      <w:tr>
        <w:trPr>
          <w:trHeight w:val="401"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华东及华南</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972,333,519.66</w:t>
            </w:r>
            <w:r>
              <w:rPr>
                <w:rFonts w:ascii="Times New Roman"/>
                <w:sz w:val="18"/>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505,931,544.62</w:t>
            </w:r>
            <w:r>
              <w:rPr>
                <w:rFonts w:ascii="Times New Roman"/>
                <w:sz w:val="18"/>
              </w:rPr>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47.97%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19.55%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37.94%</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-6.93%</w:t>
            </w:r>
          </w:p>
        </w:tc>
      </w:tr>
      <w:tr>
        <w:trPr>
          <w:trHeight w:val="403"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西南及西北</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352,384,825.82</w:t>
            </w:r>
            <w:r>
              <w:rPr>
                <w:rFonts w:ascii="Times New Roman"/>
                <w:sz w:val="18"/>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103,147,043.11</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70.73%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7.43%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-18.25%</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9.20%</w:t>
            </w:r>
          </w:p>
        </w:tc>
      </w:tr>
      <w:tr>
        <w:trPr>
          <w:trHeight w:val="401"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华中及其他</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176,802,841.63</w:t>
            </w:r>
            <w:r>
              <w:rPr>
                <w:rFonts w:ascii="Times New Roman"/>
                <w:sz w:val="18"/>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52,795,043.81</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70.14%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81.16%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53.97%</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5.27%</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公司主营业务数据统计口径在报告期发生调整的情况下，公司最近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年按报告期末口径调整后的主营业务数据</w:t>
      </w:r>
    </w:p>
    <w:p>
      <w:pPr>
        <w:spacing w:before="103"/>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25"/>
          <w:szCs w:val="25"/>
        </w:rPr>
      </w:pPr>
    </w:p>
    <w:p>
      <w:pPr>
        <w:pStyle w:val="Heading4"/>
        <w:spacing w:line="240" w:lineRule="auto"/>
        <w:ind w:right="986"/>
        <w:jc w:val="left"/>
        <w:rPr>
          <w:b w:val="0"/>
          <w:bCs w:val="0"/>
        </w:rPr>
      </w:pPr>
      <w:bookmarkStart w:name="（3）公司实物销售收入是否大于劳务收入" w:id="29"/>
      <w:bookmarkEnd w:id="29"/>
      <w:r>
        <w:rPr>
          <w:b w:val="0"/>
          <w:bCs w:val="0"/>
        </w:rPr>
      </w: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37"/>
        <w:gridCol w:w="1657"/>
        <w:gridCol w:w="1189"/>
        <w:gridCol w:w="1596"/>
        <w:gridCol w:w="1594"/>
        <w:gridCol w:w="1594"/>
      </w:tblGrid>
      <w:tr>
        <w:trPr>
          <w:trHeight w:val="401" w:hRule="exact"/>
        </w:trPr>
        <w:tc>
          <w:tcPr>
            <w:tcW w:w="19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7"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65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1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单位</w:t>
            </w:r>
          </w:p>
        </w:tc>
        <w:tc>
          <w:tcPr>
            <w:tcW w:w="15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3" w:hRule="exact"/>
        </w:trPr>
        <w:tc>
          <w:tcPr>
            <w:tcW w:w="1937" w:type="dxa"/>
            <w:vMerge w:val="restart"/>
            <w:tcBorders>
              <w:top w:val="single" w:sz="4" w:space="0" w:color="000000"/>
              <w:left w:val="single" w:sz="4" w:space="0" w:color="000000"/>
              <w:right w:val="single" w:sz="13" w:space="0" w:color="D4D4D4"/>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电子数据取证产品</w:t>
            </w:r>
          </w:p>
        </w:tc>
        <w:tc>
          <w:tcPr>
            <w:tcW w:w="165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1"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189"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件</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22,270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22,747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-2.10%</w:t>
            </w:r>
          </w:p>
        </w:tc>
      </w:tr>
      <w:tr>
        <w:trPr>
          <w:trHeight w:val="401" w:hRule="exact"/>
        </w:trPr>
        <w:tc>
          <w:tcPr>
            <w:tcW w:w="1937" w:type="dxa"/>
            <w:vMerge/>
            <w:tcBorders>
              <w:left w:val="single" w:sz="4" w:space="0" w:color="000000"/>
              <w:right w:val="single" w:sz="13" w:space="0" w:color="D4D4D4"/>
            </w:tcBorders>
          </w:tcPr>
          <w:p>
            <w:pPr/>
          </w:p>
        </w:tc>
        <w:tc>
          <w:tcPr>
            <w:tcW w:w="165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1"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189"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件</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18,502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17,167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7.78%</w:t>
            </w:r>
          </w:p>
        </w:tc>
      </w:tr>
      <w:tr>
        <w:trPr>
          <w:trHeight w:val="403" w:hRule="exact"/>
        </w:trPr>
        <w:tc>
          <w:tcPr>
            <w:tcW w:w="1937" w:type="dxa"/>
            <w:vMerge/>
            <w:tcBorders>
              <w:left w:val="single" w:sz="4" w:space="0" w:color="000000"/>
              <w:bottom w:val="single" w:sz="4" w:space="0" w:color="000000"/>
              <w:right w:val="single" w:sz="13" w:space="0" w:color="D4D4D4"/>
            </w:tcBorders>
          </w:tcPr>
          <w:p>
            <w:pPr/>
          </w:p>
        </w:tc>
        <w:tc>
          <w:tcPr>
            <w:tcW w:w="165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1"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189"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件</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19,320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23,088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-16.32%</w:t>
            </w:r>
          </w:p>
        </w:tc>
      </w:tr>
      <w:tr>
        <w:trPr>
          <w:trHeight w:val="401" w:hRule="exact"/>
        </w:trPr>
        <w:tc>
          <w:tcPr>
            <w:tcW w:w="1937"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网络空间安全产品</w:t>
            </w:r>
          </w:p>
        </w:tc>
        <w:tc>
          <w:tcPr>
            <w:tcW w:w="165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1"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189"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件</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294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-42.86%</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926"/>
        <w:gridCol w:w="1668"/>
        <w:gridCol w:w="1189"/>
        <w:gridCol w:w="1596"/>
        <w:gridCol w:w="1594"/>
        <w:gridCol w:w="1594"/>
      </w:tblGrid>
      <w:tr>
        <w:trPr>
          <w:trHeight w:val="401" w:hRule="exact"/>
        </w:trPr>
        <w:tc>
          <w:tcPr>
            <w:tcW w:w="1926" w:type="dxa"/>
            <w:vMerge w:val="restart"/>
            <w:tcBorders>
              <w:top w:val="single" w:sz="4" w:space="0" w:color="000000"/>
              <w:left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189"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件</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176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-27.27%</w:t>
            </w:r>
          </w:p>
        </w:tc>
      </w:tr>
      <w:tr>
        <w:trPr>
          <w:trHeight w:val="403" w:hRule="exact"/>
        </w:trPr>
        <w:tc>
          <w:tcPr>
            <w:tcW w:w="1926" w:type="dxa"/>
            <w:vMerge/>
            <w:tcBorders>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189"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51"/>
              <w:ind w:left="28" w:right="0"/>
              <w:jc w:val="left"/>
              <w:rPr>
                <w:rFonts w:ascii="宋体" w:hAnsi="宋体" w:cs="宋体" w:eastAsia="宋体" w:hint="default"/>
                <w:sz w:val="18"/>
                <w:szCs w:val="18"/>
              </w:rPr>
            </w:pPr>
            <w:r>
              <w:rPr>
                <w:rFonts w:ascii="宋体" w:hAnsi="宋体" w:cs="宋体" w:eastAsia="宋体" w:hint="default"/>
                <w:sz w:val="18"/>
                <w:szCs w:val="18"/>
              </w:rPr>
              <w:t>件</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102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142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-28.17%</w:t>
            </w:r>
          </w:p>
        </w:tc>
      </w:tr>
      <w:tr>
        <w:trPr>
          <w:trHeight w:val="401" w:hRule="exact"/>
        </w:trPr>
        <w:tc>
          <w:tcPr>
            <w:tcW w:w="192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智能执法与便民设备</w:t>
            </w:r>
          </w:p>
        </w:tc>
        <w:tc>
          <w:tcPr>
            <w:tcW w:w="16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189"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件</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4,155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2,548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63.07%</w:t>
            </w:r>
          </w:p>
        </w:tc>
      </w:tr>
      <w:tr>
        <w:trPr>
          <w:trHeight w:val="403" w:hRule="exact"/>
        </w:trPr>
        <w:tc>
          <w:tcPr>
            <w:tcW w:w="1926" w:type="dxa"/>
            <w:vMerge/>
            <w:tcBorders>
              <w:left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189"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51"/>
              <w:ind w:left="28" w:right="0"/>
              <w:jc w:val="left"/>
              <w:rPr>
                <w:rFonts w:ascii="宋体" w:hAnsi="宋体" w:cs="宋体" w:eastAsia="宋体" w:hint="default"/>
                <w:sz w:val="18"/>
                <w:szCs w:val="18"/>
              </w:rPr>
            </w:pPr>
            <w:r>
              <w:rPr>
                <w:rFonts w:ascii="宋体" w:hAnsi="宋体" w:cs="宋体" w:eastAsia="宋体" w:hint="default"/>
                <w:sz w:val="18"/>
                <w:szCs w:val="18"/>
              </w:rPr>
              <w:t>件</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4,394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3,142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39.85%</w:t>
            </w:r>
          </w:p>
        </w:tc>
      </w:tr>
      <w:tr>
        <w:trPr>
          <w:trHeight w:val="403" w:hRule="exact"/>
        </w:trPr>
        <w:tc>
          <w:tcPr>
            <w:tcW w:w="1926" w:type="dxa"/>
            <w:vMerge/>
            <w:tcBorders>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189"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件</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1,148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909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26.29%</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相关数据同比发生变动</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以上的原因说明</w:t>
      </w:r>
    </w:p>
    <w:p>
      <w:pPr>
        <w:spacing w:before="101"/>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pStyle w:val="BodyText"/>
        <w:spacing w:line="408" w:lineRule="auto" w:before="159"/>
        <w:ind w:right="1128" w:firstLine="420"/>
        <w:jc w:val="both"/>
      </w:pPr>
      <w:r>
        <w:rPr>
          <w:spacing w:val="-3"/>
        </w:rPr>
        <w:t>网络空间安全产品项目，销售量、生产量、库存量下降主要是由于收入有所下降所致；智能执法与便</w:t>
      </w:r>
      <w:r>
        <w:rPr>
          <w:spacing w:val="-3"/>
          <w:w w:val="100"/>
        </w:rPr>
        <w:t> </w:t>
      </w:r>
      <w:r>
        <w:rPr>
          <w:spacing w:val="-2"/>
        </w:rPr>
        <w:t>民设备项目销售量、生产量、库存量较去年同期增长，主要是由于该类产品受国地税改革落地本年收入额</w:t>
      </w:r>
      <w:r>
        <w:rPr>
          <w:spacing w:val="-42"/>
        </w:rPr>
        <w:t> </w:t>
      </w:r>
      <w:r>
        <w:rPr>
          <w:spacing w:val="-42"/>
        </w:rPr>
      </w:r>
      <w:r>
        <w:rPr/>
        <w:t>有所增长所致。</w:t>
      </w:r>
    </w:p>
    <w:p>
      <w:pPr>
        <w:spacing w:line="240" w:lineRule="auto" w:before="8"/>
        <w:rPr>
          <w:rFonts w:ascii="宋体" w:hAnsi="宋体" w:cs="宋体" w:eastAsia="宋体" w:hint="default"/>
          <w:sz w:val="20"/>
          <w:szCs w:val="20"/>
        </w:rPr>
      </w:pPr>
    </w:p>
    <w:p>
      <w:pPr>
        <w:pStyle w:val="Heading4"/>
        <w:spacing w:line="240" w:lineRule="auto"/>
        <w:ind w:right="986"/>
        <w:jc w:val="left"/>
        <w:rPr>
          <w:b w:val="0"/>
          <w:bCs w:val="0"/>
        </w:rPr>
      </w:pPr>
      <w:bookmarkStart w:name="（4）公司已签订的重大销售合同截至本报告期的履行情况" w:id="30"/>
      <w:bookmarkEnd w:id="30"/>
      <w:r>
        <w:rPr>
          <w:b w:val="0"/>
          <w:bCs w:val="0"/>
        </w:rPr>
      </w: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6"/>
          <w:szCs w:val="26"/>
        </w:rPr>
      </w:pPr>
    </w:p>
    <w:p>
      <w:pPr>
        <w:pStyle w:val="Heading4"/>
        <w:spacing w:line="240" w:lineRule="auto"/>
        <w:ind w:right="986"/>
        <w:jc w:val="left"/>
        <w:rPr>
          <w:b w:val="0"/>
          <w:bCs w:val="0"/>
        </w:rPr>
      </w:pPr>
      <w:bookmarkStart w:name="（5）营业成本构成" w:id="31"/>
      <w:bookmarkEnd w:id="31"/>
      <w:r>
        <w:rPr>
          <w:b w:val="0"/>
          <w:bCs w:val="0"/>
        </w:rPr>
      </w:r>
      <w:r>
        <w:rPr/>
        <w:t>（</w:t>
      </w:r>
      <w:r>
        <w:rPr>
          <w:rFonts w:ascii="Times New Roman" w:hAnsi="Times New Roman" w:cs="Times New Roman" w:eastAsia="Times New Roman" w:hint="default"/>
        </w:rPr>
        <w:t>5</w:t>
      </w:r>
      <w:r>
        <w:rPr/>
        <w:t>）营业成本构成</w:t>
      </w:r>
      <w:r>
        <w:rPr>
          <w:b w:val="0"/>
          <w:bCs w:val="0"/>
        </w:rPr>
      </w:r>
    </w:p>
    <w:p>
      <w:pPr>
        <w:spacing w:line="240" w:lineRule="auto" w:before="12"/>
        <w:rPr>
          <w:rFonts w:ascii="宋体" w:hAnsi="宋体" w:cs="宋体" w:eastAsia="宋体" w:hint="default"/>
          <w:b/>
          <w:bCs/>
          <w:sz w:val="22"/>
          <w:szCs w:val="22"/>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产品分类</w:t>
      </w:r>
    </w:p>
    <w:p>
      <w:pPr>
        <w:spacing w:before="115"/>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759"/>
        <w:gridCol w:w="1186"/>
        <w:gridCol w:w="1291"/>
        <w:gridCol w:w="1349"/>
        <w:gridCol w:w="1253"/>
        <w:gridCol w:w="1366"/>
        <w:gridCol w:w="1368"/>
      </w:tblGrid>
      <w:tr>
        <w:trPr>
          <w:trHeight w:val="403" w:hRule="exact"/>
        </w:trPr>
        <w:tc>
          <w:tcPr>
            <w:tcW w:w="1759"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516" w:right="0"/>
              <w:jc w:val="left"/>
              <w:rPr>
                <w:rFonts w:ascii="宋体" w:hAnsi="宋体" w:cs="宋体" w:eastAsia="宋体" w:hint="default"/>
                <w:sz w:val="18"/>
                <w:szCs w:val="18"/>
              </w:rPr>
            </w:pPr>
            <w:r>
              <w:rPr>
                <w:rFonts w:ascii="宋体" w:hAnsi="宋体" w:cs="宋体" w:eastAsia="宋体" w:hint="default"/>
                <w:sz w:val="18"/>
                <w:szCs w:val="18"/>
              </w:rPr>
              <w:t>产品分类</w:t>
            </w:r>
          </w:p>
        </w:tc>
        <w:tc>
          <w:tcPr>
            <w:tcW w:w="1186"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640"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618"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68"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1" w:hRule="exact"/>
        </w:trPr>
        <w:tc>
          <w:tcPr>
            <w:tcW w:w="1759" w:type="dxa"/>
            <w:vMerge/>
            <w:tcBorders>
              <w:left w:val="single" w:sz="4" w:space="0" w:color="000000"/>
              <w:bottom w:val="single" w:sz="4" w:space="0" w:color="000000"/>
              <w:right w:val="single" w:sz="4" w:space="0" w:color="000000"/>
            </w:tcBorders>
            <w:shd w:val="clear" w:color="auto" w:fill="D4D4D4"/>
          </w:tcPr>
          <w:p>
            <w:pPr/>
          </w:p>
        </w:tc>
        <w:tc>
          <w:tcPr>
            <w:tcW w:w="1186" w:type="dxa"/>
            <w:vMerge/>
            <w:tcBorders>
              <w:left w:val="single" w:sz="4" w:space="0" w:color="000000"/>
              <w:bottom w:val="single" w:sz="4" w:space="0" w:color="000000"/>
              <w:right w:val="single" w:sz="4" w:space="0" w:color="000000"/>
            </w:tcBorders>
            <w:shd w:val="clear" w:color="auto" w:fill="D4D4D4"/>
          </w:tcPr>
          <w:p>
            <w:pPr/>
          </w:p>
        </w:tc>
        <w:tc>
          <w:tcPr>
            <w:tcW w:w="129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4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36"/>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25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4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vMerge/>
            <w:tcBorders>
              <w:left w:val="single" w:sz="4" w:space="0" w:color="000000"/>
              <w:bottom w:val="single" w:sz="4" w:space="0" w:color="000000"/>
              <w:right w:val="single" w:sz="4" w:space="0" w:color="000000"/>
            </w:tcBorders>
            <w:shd w:val="clear" w:color="auto" w:fill="D4D4D4"/>
          </w:tcPr>
          <w:p>
            <w:pPr/>
          </w:p>
        </w:tc>
      </w:tr>
      <w:tr>
        <w:trPr>
          <w:trHeight w:val="403" w:hRule="exact"/>
        </w:trPr>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电子数据取证产品</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原材料等</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327,584,742.89</w:t>
            </w:r>
            <w:r>
              <w:rPr>
                <w:rFonts w:ascii="Times New Roman"/>
                <w:sz w:val="18"/>
              </w:rPr>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96.20%</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312,240,553.58</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97.09%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4.91%</w:t>
            </w:r>
          </w:p>
        </w:tc>
      </w:tr>
      <w:tr>
        <w:trPr>
          <w:trHeight w:val="401" w:hRule="exact"/>
        </w:trPr>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大数据智能化平台</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原材料等</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409,987,086.42</w:t>
            </w:r>
            <w:r>
              <w:rPr>
                <w:rFonts w:ascii="Times New Roman"/>
                <w:sz w:val="18"/>
              </w:rPr>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97.80%</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212,084,733.14</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95.11%</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93.31%</w:t>
            </w:r>
          </w:p>
        </w:tc>
      </w:tr>
      <w:tr>
        <w:trPr>
          <w:trHeight w:val="403" w:hRule="exact"/>
        </w:trPr>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网络空间大搜索产品</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原材料等</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9,528,607.19</w:t>
            </w:r>
            <w:r>
              <w:rPr>
                <w:rFonts w:ascii="Times New Roman"/>
                <w:sz w:val="18"/>
              </w:rPr>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85.42%</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11,285,615.90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72.15%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-15.57%</w:t>
            </w:r>
          </w:p>
        </w:tc>
      </w:tr>
      <w:tr>
        <w:trPr>
          <w:trHeight w:val="713" w:hRule="exact"/>
        </w:trPr>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103"/>
              <w:jc w:val="left"/>
              <w:rPr>
                <w:rFonts w:ascii="宋体" w:hAnsi="宋体" w:cs="宋体" w:eastAsia="宋体" w:hint="default"/>
                <w:sz w:val="18"/>
                <w:szCs w:val="18"/>
              </w:rPr>
            </w:pPr>
            <w:r>
              <w:rPr>
                <w:rFonts w:ascii="宋体" w:hAnsi="宋体" w:cs="宋体" w:eastAsia="宋体" w:hint="default"/>
                <w:sz w:val="18"/>
                <w:szCs w:val="18"/>
              </w:rPr>
              <w:t>电子数据鉴定及信息 安全相关服务</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人工工资等</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18,272,232.16</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38.26%</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13,188,000.31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31.58%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38.55%</w:t>
            </w:r>
          </w:p>
        </w:tc>
      </w:tr>
      <w:tr>
        <w:trPr>
          <w:trHeight w:val="403" w:hRule="exact"/>
        </w:trPr>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智能执法与便民设备</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原材料等</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94,329,724.17</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99.51%</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44,796,080.54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99.62%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113.57%</w:t>
            </w:r>
          </w:p>
        </w:tc>
      </w:tr>
      <w:tr>
        <w:trPr>
          <w:trHeight w:val="401" w:hRule="exact"/>
        </w:trPr>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工程项目收入</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外包施工成本</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1,448,945.93</w:t>
            </w:r>
            <w:r>
              <w:rPr>
                <w:rFonts w:ascii="Times New Roman"/>
                <w:sz w:val="18"/>
              </w:rPr>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100.00%</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1,320,135.68</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9.76%</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before="49"/>
        <w:ind w:left="152" w:right="-17" w:firstLine="0"/>
        <w:jc w:val="left"/>
        <w:rPr>
          <w:rFonts w:ascii="宋体" w:hAnsi="宋体" w:cs="宋体" w:eastAsia="宋体" w:hint="default"/>
          <w:sz w:val="18"/>
          <w:szCs w:val="18"/>
        </w:rPr>
      </w:pPr>
      <w:r>
        <w:rPr>
          <w:rFonts w:ascii="宋体" w:hAnsi="宋体" w:cs="宋体" w:eastAsia="宋体" w:hint="default"/>
          <w:sz w:val="18"/>
          <w:szCs w:val="18"/>
        </w:rPr>
        <w:t>说明</w:t>
      </w:r>
    </w:p>
    <w:p>
      <w:pPr>
        <w:spacing w:line="338" w:lineRule="auto" w:before="117"/>
        <w:ind w:left="152" w:right="-17"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上市公司从事软件与信息技术服务业务》的披露要求 主营业务成本构成</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2"/>
          <w:szCs w:val="12"/>
        </w:rPr>
      </w:pPr>
    </w:p>
    <w:p>
      <w:pPr>
        <w:spacing w:before="0"/>
        <w:ind w:left="-3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9065" w:space="40"/>
            <w:col w:w="1825"/>
          </w:cols>
        </w:sectPr>
      </w:pP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5"/>
        <w:gridCol w:w="1594"/>
        <w:gridCol w:w="1594"/>
        <w:gridCol w:w="1596"/>
        <w:gridCol w:w="1594"/>
        <w:gridCol w:w="1594"/>
      </w:tblGrid>
      <w:tr>
        <w:trPr>
          <w:trHeight w:val="401" w:hRule="exact"/>
        </w:trPr>
        <w:tc>
          <w:tcPr>
            <w:tcW w:w="1595"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33" w:right="0"/>
              <w:jc w:val="left"/>
              <w:rPr>
                <w:rFonts w:ascii="宋体" w:hAnsi="宋体" w:cs="宋体" w:eastAsia="宋体" w:hint="default"/>
                <w:sz w:val="18"/>
                <w:szCs w:val="18"/>
              </w:rPr>
            </w:pPr>
            <w:r>
              <w:rPr>
                <w:rFonts w:ascii="宋体" w:hAnsi="宋体" w:cs="宋体" w:eastAsia="宋体" w:hint="default"/>
                <w:sz w:val="18"/>
                <w:szCs w:val="18"/>
              </w:rPr>
              <w:t>成本构成</w:t>
            </w:r>
          </w:p>
        </w:tc>
        <w:tc>
          <w:tcPr>
            <w:tcW w:w="3187"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本报告期</w:t>
            </w:r>
          </w:p>
        </w:tc>
        <w:tc>
          <w:tcPr>
            <w:tcW w:w="3190"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上年同期</w:t>
            </w:r>
          </w:p>
        </w:tc>
        <w:tc>
          <w:tcPr>
            <w:tcW w:w="1594"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3" w:hRule="exact"/>
        </w:trPr>
        <w:tc>
          <w:tcPr>
            <w:tcW w:w="1595" w:type="dxa"/>
            <w:vMerge/>
            <w:tcBorders>
              <w:left w:val="single" w:sz="4" w:space="0" w:color="000000"/>
              <w:bottom w:val="single" w:sz="4" w:space="0" w:color="000000"/>
              <w:right w:val="single" w:sz="4" w:space="0" w:color="000000"/>
            </w:tcBorders>
            <w:shd w:val="clear" w:color="auto" w:fill="D4D4D4"/>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63"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5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63"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594" w:type="dxa"/>
            <w:vMerge/>
            <w:tcBorders>
              <w:left w:val="single" w:sz="4" w:space="0" w:color="000000"/>
              <w:bottom w:val="single" w:sz="4" w:space="0" w:color="000000"/>
              <w:right w:val="single" w:sz="4" w:space="0" w:color="000000"/>
            </w:tcBorders>
            <w:shd w:val="clear" w:color="auto" w:fill="D4D4D4"/>
          </w:tcPr>
          <w:p>
            <w:pPr/>
          </w:p>
        </w:tc>
      </w:tr>
      <w:tr>
        <w:trPr>
          <w:trHeight w:val="401"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原材料等</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6" w:right="0"/>
              <w:jc w:val="left"/>
              <w:rPr>
                <w:rFonts w:ascii="Times New Roman" w:hAnsi="Times New Roman" w:cs="Times New Roman" w:eastAsia="Times New Roman" w:hint="default"/>
                <w:sz w:val="18"/>
                <w:szCs w:val="18"/>
              </w:rPr>
            </w:pPr>
            <w:r>
              <w:rPr>
                <w:rFonts w:ascii="Times New Roman"/>
                <w:sz w:val="18"/>
              </w:rPr>
              <w:t>841,430,160.68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7" w:right="0"/>
              <w:jc w:val="left"/>
              <w:rPr>
                <w:rFonts w:ascii="Times New Roman" w:hAnsi="Times New Roman" w:cs="Times New Roman" w:eastAsia="Times New Roman" w:hint="default"/>
                <w:sz w:val="18"/>
                <w:szCs w:val="18"/>
              </w:rPr>
            </w:pPr>
            <w:r>
              <w:rPr>
                <w:rFonts w:ascii="Times New Roman"/>
                <w:sz w:val="18"/>
              </w:rPr>
              <w:t>91.97%</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6" w:right="0"/>
              <w:jc w:val="left"/>
              <w:rPr>
                <w:rFonts w:ascii="Times New Roman" w:hAnsi="Times New Roman" w:cs="Times New Roman" w:eastAsia="Times New Roman" w:hint="default"/>
                <w:sz w:val="18"/>
                <w:szCs w:val="18"/>
              </w:rPr>
            </w:pPr>
            <w:r>
              <w:rPr>
                <w:rFonts w:ascii="Times New Roman"/>
                <w:sz w:val="18"/>
              </w:rPr>
              <w:t>580,406,983.16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7" w:right="0"/>
              <w:jc w:val="left"/>
              <w:rPr>
                <w:rFonts w:ascii="Times New Roman" w:hAnsi="Times New Roman" w:cs="Times New Roman" w:eastAsia="Times New Roman" w:hint="default"/>
                <w:sz w:val="18"/>
                <w:szCs w:val="18"/>
              </w:rPr>
            </w:pPr>
            <w:r>
              <w:rPr>
                <w:rFonts w:ascii="Times New Roman"/>
                <w:sz w:val="18"/>
              </w:rPr>
              <w:t>89.53%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7" w:right="0"/>
              <w:jc w:val="left"/>
              <w:rPr>
                <w:rFonts w:ascii="Times New Roman" w:hAnsi="Times New Roman" w:cs="Times New Roman" w:eastAsia="Times New Roman" w:hint="default"/>
                <w:sz w:val="18"/>
                <w:szCs w:val="18"/>
              </w:rPr>
            </w:pPr>
            <w:r>
              <w:rPr>
                <w:rFonts w:ascii="Times New Roman"/>
                <w:sz w:val="18"/>
              </w:rPr>
              <w:t>44.97%</w:t>
            </w:r>
          </w:p>
        </w:tc>
      </w:tr>
    </w:tbl>
    <w:p>
      <w:pPr>
        <w:spacing w:after="0" w:line="240" w:lineRule="auto"/>
        <w:jc w:val="left"/>
        <w:rPr>
          <w:rFonts w:ascii="Times New Roman" w:hAnsi="Times New Roman" w:cs="Times New Roman" w:eastAsia="Times New Roman" w:hint="default"/>
          <w:sz w:val="18"/>
          <w:szCs w:val="18"/>
        </w:rPr>
        <w:sectPr>
          <w:type w:val="continuous"/>
          <w:pgSz w:w="11910" w:h="16840"/>
          <w:pgMar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6）报告期内合并范围是否发生变动" w:id="32"/>
      <w:bookmarkEnd w:id="32"/>
      <w:r>
        <w:rPr>
          <w:b w:val="0"/>
          <w:bCs w:val="0"/>
        </w:rPr>
      </w: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pStyle w:val="BodyText"/>
        <w:spacing w:line="240" w:lineRule="auto" w:before="157"/>
        <w:ind w:left="572" w:right="986"/>
        <w:jc w:val="left"/>
      </w:pPr>
      <w:r>
        <w:rPr/>
        <w:t>（</w:t>
      </w:r>
      <w:r>
        <w:rPr>
          <w:rFonts w:ascii="宋体" w:hAnsi="宋体" w:cs="宋体" w:eastAsia="宋体" w:hint="default"/>
        </w:rPr>
        <w:t>1</w:t>
      </w:r>
      <w:r>
        <w:rPr/>
        <w:t>）设立美亚信安：</w:t>
      </w:r>
      <w:r>
        <w:rPr>
          <w:rFonts w:ascii="宋体" w:hAnsi="宋体" w:cs="宋体" w:eastAsia="宋体" w:hint="default"/>
        </w:rPr>
        <w:t>2019</w:t>
      </w:r>
      <w:r>
        <w:rPr/>
        <w:t>年</w:t>
      </w:r>
      <w:r>
        <w:rPr>
          <w:rFonts w:ascii="宋体" w:hAnsi="宋体" w:cs="宋体" w:eastAsia="宋体" w:hint="default"/>
        </w:rPr>
        <w:t>1</w:t>
      </w:r>
      <w:r>
        <w:rPr/>
        <w:t>月</w:t>
      </w:r>
      <w:r>
        <w:rPr>
          <w:rFonts w:ascii="宋体" w:hAnsi="宋体" w:cs="宋体" w:eastAsia="宋体" w:hint="default"/>
        </w:rPr>
        <w:t>10</w:t>
      </w:r>
      <w:r>
        <w:rPr/>
        <w:t>日，公司独资设立美亚信安，注册资本为</w:t>
      </w:r>
      <w:r>
        <w:rPr>
          <w:rFonts w:ascii="宋体" w:hAnsi="宋体" w:cs="宋体" w:eastAsia="宋体" w:hint="default"/>
        </w:rPr>
        <w:t>1,000.00</w:t>
      </w:r>
      <w:r>
        <w:rPr/>
        <w:t>万元。</w:t>
      </w:r>
    </w:p>
    <w:p>
      <w:pPr>
        <w:spacing w:line="240" w:lineRule="auto" w:before="10"/>
        <w:rPr>
          <w:rFonts w:ascii="宋体" w:hAnsi="宋体" w:cs="宋体" w:eastAsia="宋体" w:hint="default"/>
          <w:sz w:val="14"/>
          <w:szCs w:val="14"/>
        </w:rPr>
      </w:pPr>
    </w:p>
    <w:p>
      <w:pPr>
        <w:pStyle w:val="BodyText"/>
        <w:spacing w:line="240" w:lineRule="auto" w:before="0"/>
        <w:ind w:left="573" w:right="986"/>
        <w:jc w:val="left"/>
      </w:pPr>
      <w:r>
        <w:rPr/>
        <w:t>（</w:t>
      </w:r>
      <w:r>
        <w:rPr>
          <w:rFonts w:ascii="宋体" w:hAnsi="宋体" w:cs="宋体" w:eastAsia="宋体" w:hint="default"/>
        </w:rPr>
        <w:t>2</w:t>
      </w:r>
      <w:r>
        <w:rPr/>
        <w:t>）设立美亚秦安：</w:t>
      </w:r>
      <w:r>
        <w:rPr>
          <w:rFonts w:ascii="宋体" w:hAnsi="宋体" w:cs="宋体" w:eastAsia="宋体" w:hint="default"/>
        </w:rPr>
        <w:t>2019</w:t>
      </w:r>
      <w:r>
        <w:rPr/>
        <w:t>年</w:t>
      </w:r>
      <w:r>
        <w:rPr>
          <w:rFonts w:ascii="宋体" w:hAnsi="宋体" w:cs="宋体" w:eastAsia="宋体" w:hint="default"/>
        </w:rPr>
        <w:t>6</w:t>
      </w:r>
      <w:r>
        <w:rPr/>
        <w:t>月</w:t>
      </w:r>
      <w:r>
        <w:rPr>
          <w:rFonts w:ascii="宋体" w:hAnsi="宋体" w:cs="宋体" w:eastAsia="宋体" w:hint="default"/>
        </w:rPr>
        <w:t>13</w:t>
      </w:r>
      <w:r>
        <w:rPr/>
        <w:t>日，公司独资设立美亚秦安，注册资本为</w:t>
      </w:r>
      <w:r>
        <w:rPr>
          <w:rFonts w:ascii="宋体" w:hAnsi="宋体" w:cs="宋体" w:eastAsia="宋体" w:hint="default"/>
        </w:rPr>
        <w:t>1,000.00</w:t>
      </w:r>
      <w:r>
        <w:rPr/>
        <w:t>万元。</w:t>
      </w:r>
    </w:p>
    <w:p>
      <w:pPr>
        <w:spacing w:line="240" w:lineRule="auto" w:before="10"/>
        <w:rPr>
          <w:rFonts w:ascii="宋体" w:hAnsi="宋体" w:cs="宋体" w:eastAsia="宋体" w:hint="default"/>
          <w:sz w:val="14"/>
          <w:szCs w:val="14"/>
        </w:rPr>
      </w:pPr>
    </w:p>
    <w:p>
      <w:pPr>
        <w:pStyle w:val="BodyText"/>
        <w:spacing w:line="240" w:lineRule="auto" w:before="0"/>
        <w:ind w:left="573" w:right="986"/>
        <w:jc w:val="left"/>
      </w:pPr>
      <w:r>
        <w:rPr/>
        <w:t>（</w:t>
      </w:r>
      <w:r>
        <w:rPr>
          <w:rFonts w:ascii="宋体" w:hAnsi="宋体" w:cs="宋体" w:eastAsia="宋体" w:hint="default"/>
        </w:rPr>
        <w:t>3</w:t>
      </w:r>
      <w:r>
        <w:rPr/>
        <w:t>）设立美亚川安：</w:t>
      </w:r>
      <w:r>
        <w:rPr>
          <w:rFonts w:ascii="宋体" w:hAnsi="宋体" w:cs="宋体" w:eastAsia="宋体" w:hint="default"/>
        </w:rPr>
        <w:t>2019</w:t>
      </w:r>
      <w:r>
        <w:rPr/>
        <w:t>年</w:t>
      </w:r>
      <w:r>
        <w:rPr>
          <w:rFonts w:ascii="宋体" w:hAnsi="宋体" w:cs="宋体" w:eastAsia="宋体" w:hint="default"/>
        </w:rPr>
        <w:t>10</w:t>
      </w:r>
      <w:r>
        <w:rPr/>
        <w:t>月</w:t>
      </w:r>
      <w:r>
        <w:rPr>
          <w:rFonts w:ascii="宋体" w:hAnsi="宋体" w:cs="宋体" w:eastAsia="宋体" w:hint="default"/>
        </w:rPr>
        <w:t>12</w:t>
      </w:r>
      <w:r>
        <w:rPr/>
        <w:t>日，公司独资设立美亚川安，注册资本为</w:t>
      </w:r>
      <w:r>
        <w:rPr>
          <w:rFonts w:ascii="宋体" w:hAnsi="宋体" w:cs="宋体" w:eastAsia="宋体" w:hint="default"/>
        </w:rPr>
        <w:t>800.00</w:t>
      </w:r>
      <w:r>
        <w:rPr/>
        <w:t>万元。</w:t>
      </w:r>
    </w:p>
    <w:p>
      <w:pPr>
        <w:spacing w:line="240" w:lineRule="auto" w:before="10"/>
        <w:rPr>
          <w:rFonts w:ascii="宋体" w:hAnsi="宋体" w:cs="宋体" w:eastAsia="宋体" w:hint="default"/>
          <w:sz w:val="14"/>
          <w:szCs w:val="14"/>
        </w:rPr>
      </w:pPr>
    </w:p>
    <w:p>
      <w:pPr>
        <w:pStyle w:val="BodyText"/>
        <w:spacing w:line="240" w:lineRule="auto" w:before="0"/>
        <w:ind w:left="573" w:right="986"/>
        <w:jc w:val="left"/>
      </w:pPr>
      <w:r>
        <w:rPr/>
        <w:t>（</w:t>
      </w:r>
      <w:r>
        <w:rPr>
          <w:rFonts w:ascii="宋体" w:hAnsi="宋体" w:cs="宋体" w:eastAsia="宋体" w:hint="default"/>
        </w:rPr>
        <w:t>4</w:t>
      </w:r>
      <w:r>
        <w:rPr/>
        <w:t>）设立美亚陇安：</w:t>
      </w:r>
      <w:r>
        <w:rPr>
          <w:rFonts w:ascii="宋体" w:hAnsi="宋体" w:cs="宋体" w:eastAsia="宋体" w:hint="default"/>
        </w:rPr>
        <w:t>2019</w:t>
      </w:r>
      <w:r>
        <w:rPr/>
        <w:t>年</w:t>
      </w:r>
      <w:r>
        <w:rPr>
          <w:rFonts w:ascii="宋体" w:hAnsi="宋体" w:cs="宋体" w:eastAsia="宋体" w:hint="default"/>
        </w:rPr>
        <w:t>10</w:t>
      </w:r>
      <w:r>
        <w:rPr/>
        <w:t>月</w:t>
      </w:r>
      <w:r>
        <w:rPr>
          <w:rFonts w:ascii="宋体" w:hAnsi="宋体" w:cs="宋体" w:eastAsia="宋体" w:hint="default"/>
        </w:rPr>
        <w:t>29</w:t>
      </w:r>
      <w:r>
        <w:rPr/>
        <w:t>日，公司独资设立美亚陇安，注册资本为</w:t>
      </w:r>
      <w:r>
        <w:rPr>
          <w:rFonts w:ascii="宋体" w:hAnsi="宋体" w:cs="宋体" w:eastAsia="宋体" w:hint="default"/>
        </w:rPr>
        <w:t>1,000.00</w:t>
      </w:r>
      <w:r>
        <w:rPr/>
        <w:t>万元。</w:t>
      </w:r>
    </w:p>
    <w:p>
      <w:pPr>
        <w:spacing w:line="240" w:lineRule="auto" w:before="10"/>
        <w:rPr>
          <w:rFonts w:ascii="宋体" w:hAnsi="宋体" w:cs="宋体" w:eastAsia="宋体" w:hint="default"/>
          <w:sz w:val="14"/>
          <w:szCs w:val="14"/>
        </w:rPr>
      </w:pPr>
    </w:p>
    <w:p>
      <w:pPr>
        <w:pStyle w:val="BodyText"/>
        <w:spacing w:line="240" w:lineRule="auto" w:before="0"/>
        <w:ind w:left="573" w:right="986"/>
        <w:jc w:val="left"/>
      </w:pPr>
      <w:r>
        <w:rPr/>
        <w:t>（</w:t>
      </w:r>
      <w:r>
        <w:rPr>
          <w:rFonts w:ascii="宋体" w:hAnsi="宋体" w:cs="宋体" w:eastAsia="宋体" w:hint="default"/>
        </w:rPr>
        <w:t>5</w:t>
      </w:r>
      <w:r>
        <w:rPr/>
        <w:t>）非同一控制下合并中检美亚：公司于</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31</w:t>
      </w:r>
      <w:r>
        <w:rPr/>
        <w:t>日将其纳入合并范围。</w:t>
      </w:r>
    </w:p>
    <w:p>
      <w:pPr>
        <w:spacing w:line="240" w:lineRule="auto" w:before="0"/>
        <w:rPr>
          <w:rFonts w:ascii="宋体" w:hAnsi="宋体" w:cs="宋体" w:eastAsia="宋体" w:hint="default"/>
          <w:sz w:val="20"/>
          <w:szCs w:val="20"/>
        </w:rPr>
      </w:pPr>
    </w:p>
    <w:p>
      <w:pPr>
        <w:pStyle w:val="Heading4"/>
        <w:spacing w:line="240" w:lineRule="auto" w:before="154"/>
        <w:ind w:right="986"/>
        <w:jc w:val="left"/>
        <w:rPr>
          <w:b w:val="0"/>
          <w:bCs w:val="0"/>
        </w:rPr>
      </w:pPr>
      <w:bookmarkStart w:name="（7）公司报告期内业务、产品或服务发生重大变化或调整有关情况" w:id="33"/>
      <w:bookmarkEnd w:id="33"/>
      <w:r>
        <w:rPr>
          <w:b w:val="0"/>
          <w:bCs w:val="0"/>
        </w:rPr>
      </w: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25"/>
          <w:szCs w:val="25"/>
        </w:rPr>
      </w:pPr>
    </w:p>
    <w:p>
      <w:pPr>
        <w:pStyle w:val="Heading4"/>
        <w:spacing w:line="240" w:lineRule="auto"/>
        <w:ind w:right="986"/>
        <w:jc w:val="left"/>
        <w:rPr>
          <w:b w:val="0"/>
          <w:bCs w:val="0"/>
        </w:rPr>
      </w:pPr>
      <w:bookmarkStart w:name="（8）主要销售客户和主要供应商情况" w:id="34"/>
      <w:bookmarkEnd w:id="34"/>
      <w:r>
        <w:rPr>
          <w:b w:val="0"/>
          <w:bCs w:val="0"/>
        </w:rPr>
      </w: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公司主要销售客户情况</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535"/>
        <w:gridCol w:w="5033"/>
      </w:tblGrid>
      <w:tr>
        <w:trPr>
          <w:trHeight w:val="402" w:hRule="exact"/>
        </w:trPr>
        <w:tc>
          <w:tcPr>
            <w:tcW w:w="45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5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456,051,167.90</w:t>
            </w:r>
            <w:r>
              <w:rPr>
                <w:rFonts w:ascii="Times New Roman"/>
                <w:sz w:val="18"/>
              </w:rPr>
            </w:r>
          </w:p>
        </w:tc>
      </w:tr>
      <w:tr>
        <w:trPr>
          <w:trHeight w:val="402" w:hRule="exact"/>
        </w:trPr>
        <w:tc>
          <w:tcPr>
            <w:tcW w:w="45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5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4"/>
              <w:jc w:val="right"/>
              <w:rPr>
                <w:rFonts w:ascii="Times New Roman" w:hAnsi="Times New Roman" w:cs="Times New Roman" w:eastAsia="Times New Roman" w:hint="default"/>
                <w:sz w:val="18"/>
                <w:szCs w:val="18"/>
              </w:rPr>
            </w:pPr>
            <w:r>
              <w:rPr>
                <w:rFonts w:ascii="Times New Roman"/>
                <w:sz w:val="18"/>
              </w:rPr>
              <w:t>22.06%</w:t>
            </w:r>
          </w:p>
        </w:tc>
      </w:tr>
      <w:tr>
        <w:trPr>
          <w:trHeight w:val="403" w:hRule="exact"/>
        </w:trPr>
        <w:tc>
          <w:tcPr>
            <w:tcW w:w="45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前五名客户销售额中关联方销售额占年度销售总额比例</w:t>
            </w:r>
          </w:p>
        </w:tc>
        <w:tc>
          <w:tcPr>
            <w:tcW w:w="5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0.00%</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大客户资料</w:t>
      </w:r>
    </w:p>
    <w:p>
      <w:pPr>
        <w:spacing w:line="240" w:lineRule="auto" w:before="1"/>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779"/>
        <w:gridCol w:w="3313"/>
        <w:gridCol w:w="2321"/>
        <w:gridCol w:w="3144"/>
      </w:tblGrid>
      <w:tr>
        <w:trPr>
          <w:trHeight w:val="401" w:hRule="exact"/>
        </w:trPr>
        <w:tc>
          <w:tcPr>
            <w:tcW w:w="7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序号</w:t>
            </w:r>
          </w:p>
        </w:tc>
        <w:tc>
          <w:tcPr>
            <w:tcW w:w="33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616"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56"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3" w:hRule="exact"/>
        </w:trPr>
        <w:tc>
          <w:tcPr>
            <w:tcW w:w="7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1</w:t>
            </w:r>
          </w:p>
        </w:tc>
        <w:tc>
          <w:tcPr>
            <w:tcW w:w="3313"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51"/>
              <w:ind w:left="27"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221,833,113.33</w:t>
            </w:r>
          </w:p>
        </w:tc>
        <w:tc>
          <w:tcPr>
            <w:tcW w:w="3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10.73%</w:t>
            </w:r>
          </w:p>
        </w:tc>
      </w:tr>
      <w:tr>
        <w:trPr>
          <w:trHeight w:val="401" w:hRule="exact"/>
        </w:trPr>
        <w:tc>
          <w:tcPr>
            <w:tcW w:w="7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w:t>
            </w:r>
          </w:p>
        </w:tc>
        <w:tc>
          <w:tcPr>
            <w:tcW w:w="3313"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85,666,077.11</w:t>
            </w:r>
          </w:p>
        </w:tc>
        <w:tc>
          <w:tcPr>
            <w:tcW w:w="3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4.14%</w:t>
            </w:r>
          </w:p>
        </w:tc>
      </w:tr>
      <w:tr>
        <w:trPr>
          <w:trHeight w:val="403" w:hRule="exact"/>
        </w:trPr>
        <w:tc>
          <w:tcPr>
            <w:tcW w:w="7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3</w:t>
            </w:r>
          </w:p>
        </w:tc>
        <w:tc>
          <w:tcPr>
            <w:tcW w:w="3313"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51"/>
              <w:ind w:left="27"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61,121,277.81</w:t>
            </w:r>
          </w:p>
        </w:tc>
        <w:tc>
          <w:tcPr>
            <w:tcW w:w="3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2.96%</w:t>
            </w:r>
          </w:p>
        </w:tc>
      </w:tr>
      <w:tr>
        <w:trPr>
          <w:trHeight w:val="401" w:hRule="exact"/>
        </w:trPr>
        <w:tc>
          <w:tcPr>
            <w:tcW w:w="7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w:t>
            </w:r>
          </w:p>
        </w:tc>
        <w:tc>
          <w:tcPr>
            <w:tcW w:w="3313"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47,572,983.76</w:t>
            </w:r>
          </w:p>
        </w:tc>
        <w:tc>
          <w:tcPr>
            <w:tcW w:w="3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2.30%</w:t>
            </w:r>
          </w:p>
        </w:tc>
      </w:tr>
      <w:tr>
        <w:trPr>
          <w:trHeight w:val="403" w:hRule="exact"/>
        </w:trPr>
        <w:tc>
          <w:tcPr>
            <w:tcW w:w="7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5</w:t>
            </w:r>
          </w:p>
        </w:tc>
        <w:tc>
          <w:tcPr>
            <w:tcW w:w="3313"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51"/>
              <w:ind w:left="27"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39,857,715.89</w:t>
            </w:r>
          </w:p>
        </w:tc>
        <w:tc>
          <w:tcPr>
            <w:tcW w:w="3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1.93%</w:t>
            </w:r>
          </w:p>
        </w:tc>
      </w:tr>
      <w:tr>
        <w:trPr>
          <w:trHeight w:val="403" w:hRule="exact"/>
        </w:trPr>
        <w:tc>
          <w:tcPr>
            <w:tcW w:w="7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33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2321"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456,051,167.90</w:t>
            </w:r>
            <w:r>
              <w:rPr>
                <w:rFonts w:ascii="Times New Roman"/>
                <w:sz w:val="18"/>
              </w:rPr>
            </w:r>
          </w:p>
        </w:tc>
        <w:tc>
          <w:tcPr>
            <w:tcW w:w="3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22.06%</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主要客户其他情况说明</w:t>
      </w:r>
    </w:p>
    <w:p>
      <w:pPr>
        <w:spacing w:line="319" w:lineRule="auto" w:before="115"/>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w:t>
      </w:r>
      <w:r>
        <w:rPr>
          <w:rFonts w:ascii="宋体" w:hAnsi="宋体" w:cs="宋体" w:eastAsia="宋体" w:hint="default"/>
          <w:spacing w:val="-2"/>
          <w:sz w:val="18"/>
          <w:szCs w:val="18"/>
        </w:rPr>
        <w:t>报告期内，公司前</w:t>
      </w: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名客户与公司不存在关联关系，公司董事、监事、高级管理人员、核心技术人员、持股</w:t>
      </w: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以上股东、实</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际控制人和其他关联方在前</w:t>
      </w:r>
      <w:r>
        <w:rPr>
          <w:rFonts w:ascii="Times New Roman" w:hAnsi="Times New Roman" w:cs="Times New Roman" w:eastAsia="Times New Roman" w:hint="default"/>
          <w:sz w:val="18"/>
          <w:szCs w:val="18"/>
        </w:rPr>
        <w:t>5</w:t>
      </w:r>
      <w:r>
        <w:rPr>
          <w:rFonts w:ascii="宋体" w:hAnsi="宋体" w:cs="宋体" w:eastAsia="宋体" w:hint="default"/>
          <w:sz w:val="18"/>
          <w:szCs w:val="18"/>
        </w:rPr>
        <w:t>大客户中未直接或间接拥有权益。</w:t>
      </w:r>
    </w:p>
    <w:p>
      <w:pPr>
        <w:spacing w:before="38"/>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公司主要供应商情况</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93"/>
        <w:gridCol w:w="4775"/>
      </w:tblGrid>
      <w:tr>
        <w:trPr>
          <w:trHeight w:val="402" w:hRule="exact"/>
        </w:trPr>
        <w:tc>
          <w:tcPr>
            <w:tcW w:w="47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4775"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246,479,100.26</w:t>
            </w:r>
            <w:r>
              <w:rPr>
                <w:rFonts w:ascii="Times New Roman"/>
                <w:sz w:val="18"/>
              </w:rPr>
            </w:r>
          </w:p>
        </w:tc>
      </w:tr>
      <w:tr>
        <w:trPr>
          <w:trHeight w:val="402" w:hRule="exact"/>
        </w:trPr>
        <w:tc>
          <w:tcPr>
            <w:tcW w:w="47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4775"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23.72%</w:t>
            </w:r>
          </w:p>
        </w:tc>
      </w:tr>
      <w:tr>
        <w:trPr>
          <w:trHeight w:val="403" w:hRule="exact"/>
        </w:trPr>
        <w:tc>
          <w:tcPr>
            <w:tcW w:w="47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前五名供应商采购额中关联方采购额占年度采购总额比例</w:t>
            </w:r>
          </w:p>
        </w:tc>
        <w:tc>
          <w:tcPr>
            <w:tcW w:w="4775"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名供应商资料</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912"/>
        <w:gridCol w:w="3180"/>
        <w:gridCol w:w="2321"/>
        <w:gridCol w:w="3144"/>
      </w:tblGrid>
      <w:tr>
        <w:trPr>
          <w:trHeight w:val="401" w:hRule="exact"/>
        </w:trPr>
        <w:tc>
          <w:tcPr>
            <w:tcW w:w="9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318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4"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616"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56"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1</w:t>
            </w:r>
          </w:p>
        </w:tc>
        <w:tc>
          <w:tcPr>
            <w:tcW w:w="3180"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第一名</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78,946,160.99</w:t>
            </w:r>
          </w:p>
        </w:tc>
        <w:tc>
          <w:tcPr>
            <w:tcW w:w="3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7.60%</w:t>
            </w:r>
          </w:p>
        </w:tc>
      </w:tr>
      <w:tr>
        <w:trPr>
          <w:trHeight w:val="401" w:hRule="exact"/>
        </w:trPr>
        <w:tc>
          <w:tcPr>
            <w:tcW w:w="9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2</w:t>
            </w:r>
          </w:p>
        </w:tc>
        <w:tc>
          <w:tcPr>
            <w:tcW w:w="3180"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第二名</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65,652,469.90</w:t>
            </w:r>
          </w:p>
        </w:tc>
        <w:tc>
          <w:tcPr>
            <w:tcW w:w="3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6.32%</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3</w:t>
            </w:r>
          </w:p>
        </w:tc>
        <w:tc>
          <w:tcPr>
            <w:tcW w:w="3180"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第三名</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37,942,205.28</w:t>
            </w:r>
          </w:p>
        </w:tc>
        <w:tc>
          <w:tcPr>
            <w:tcW w:w="3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3.65%</w:t>
            </w:r>
          </w:p>
        </w:tc>
      </w:tr>
      <w:tr>
        <w:trPr>
          <w:trHeight w:val="401" w:hRule="exact"/>
        </w:trPr>
        <w:tc>
          <w:tcPr>
            <w:tcW w:w="9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4</w:t>
            </w:r>
          </w:p>
        </w:tc>
        <w:tc>
          <w:tcPr>
            <w:tcW w:w="3180"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第四名</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36,336,225.49</w:t>
            </w:r>
          </w:p>
        </w:tc>
        <w:tc>
          <w:tcPr>
            <w:tcW w:w="3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3.50%</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5</w:t>
            </w:r>
          </w:p>
        </w:tc>
        <w:tc>
          <w:tcPr>
            <w:tcW w:w="3180"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第五名</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27,602,038.60</w:t>
            </w:r>
          </w:p>
        </w:tc>
        <w:tc>
          <w:tcPr>
            <w:tcW w:w="3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2.66%</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18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w:t>
            </w:r>
          </w:p>
        </w:tc>
        <w:tc>
          <w:tcPr>
            <w:tcW w:w="2321"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246,479,100.26</w:t>
            </w:r>
            <w:r>
              <w:rPr>
                <w:rFonts w:ascii="Times New Roman"/>
                <w:sz w:val="18"/>
              </w:rPr>
            </w:r>
          </w:p>
        </w:tc>
        <w:tc>
          <w:tcPr>
            <w:tcW w:w="3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23.72%</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主要供应商其他情况说明</w:t>
      </w:r>
    </w:p>
    <w:p>
      <w:pPr>
        <w:pStyle w:val="BodyText"/>
        <w:spacing w:line="412" w:lineRule="auto" w:before="115"/>
        <w:ind w:right="986"/>
        <w:jc w:val="left"/>
      </w:pPr>
      <w:r>
        <w:rPr>
          <w:sz w:val="18"/>
          <w:szCs w:val="18"/>
        </w:rPr>
        <w:t>√ 适用 □</w:t>
      </w:r>
      <w:r>
        <w:rPr>
          <w:spacing w:val="3"/>
          <w:sz w:val="18"/>
          <w:szCs w:val="18"/>
        </w:rPr>
        <w:t> </w:t>
      </w:r>
      <w:r>
        <w:rPr>
          <w:sz w:val="18"/>
          <w:szCs w:val="18"/>
        </w:rPr>
        <w:t>不适用</w:t>
      </w:r>
      <w:r>
        <w:rPr>
          <w:sz w:val="18"/>
          <w:szCs w:val="18"/>
        </w:rPr>
        <w:t> </w:t>
      </w:r>
      <w:r>
        <w:rPr>
          <w:spacing w:val="-2"/>
        </w:rPr>
        <w:t>报告期内，公司前</w:t>
      </w:r>
      <w:r>
        <w:rPr>
          <w:rFonts w:ascii="宋体" w:hAnsi="宋体" w:cs="宋体" w:eastAsia="宋体" w:hint="default"/>
          <w:spacing w:val="-2"/>
        </w:rPr>
        <w:t>5</w:t>
      </w:r>
      <w:r>
        <w:rPr>
          <w:spacing w:val="-2"/>
        </w:rPr>
        <w:t>名供应商与公司不存在关联交易，公司董事、监事、高级管理人员、核心技术人员、</w:t>
      </w:r>
      <w:r>
        <w:rPr>
          <w:spacing w:val="-22"/>
        </w:rPr>
        <w:t> </w:t>
      </w:r>
      <w:r>
        <w:rPr>
          <w:spacing w:val="-22"/>
        </w:rPr>
      </w:r>
      <w:r>
        <w:rPr/>
        <w:t>持股</w:t>
      </w:r>
      <w:r>
        <w:rPr>
          <w:rFonts w:ascii="宋体" w:hAnsi="宋体" w:cs="宋体" w:eastAsia="宋体" w:hint="default"/>
        </w:rPr>
        <w:t>5%</w:t>
      </w:r>
      <w:r>
        <w:rPr/>
        <w:t>以上股东、实际控制人和其他关联方在前</w:t>
      </w:r>
      <w:r>
        <w:rPr>
          <w:rFonts w:ascii="宋体" w:hAnsi="宋体" w:cs="宋体" w:eastAsia="宋体" w:hint="default"/>
        </w:rPr>
        <w:t>5</w:t>
      </w:r>
      <w:r>
        <w:rPr/>
        <w:t>大供应商中未直接或间接拥有权益。</w:t>
      </w:r>
    </w:p>
    <w:p>
      <w:pPr>
        <w:spacing w:line="240" w:lineRule="auto" w:before="4"/>
        <w:rPr>
          <w:rFonts w:ascii="宋体" w:hAnsi="宋体" w:cs="宋体" w:eastAsia="宋体" w:hint="default"/>
          <w:sz w:val="20"/>
          <w:szCs w:val="20"/>
        </w:rPr>
      </w:pPr>
    </w:p>
    <w:p>
      <w:pPr>
        <w:pStyle w:val="Heading4"/>
        <w:spacing w:line="240" w:lineRule="auto"/>
        <w:ind w:left="153" w:right="986"/>
        <w:jc w:val="left"/>
        <w:rPr>
          <w:b w:val="0"/>
          <w:bCs w:val="0"/>
        </w:rPr>
      </w:pPr>
      <w:bookmarkStart w:name="3、费用" w:id="35"/>
      <w:bookmarkEnd w:id="35"/>
      <w:r>
        <w:rPr>
          <w:b w:val="0"/>
          <w:bCs w:val="0"/>
        </w:rPr>
      </w:r>
      <w:r>
        <w:rPr>
          <w:rFonts w:ascii="Times New Roman" w:hAnsi="Times New Roman" w:cs="Times New Roman" w:eastAsia="Times New Roman" w:hint="default"/>
        </w:rPr>
        <w:t>3</w:t>
      </w:r>
      <w:r>
        <w:rPr/>
        <w:t>、费用</w:t>
      </w:r>
      <w:r>
        <w:rPr>
          <w:b w:val="0"/>
          <w:bCs w:val="0"/>
        </w:rPr>
      </w:r>
    </w:p>
    <w:p>
      <w:pPr>
        <w:spacing w:line="240" w:lineRule="auto" w:before="2"/>
        <w:rPr>
          <w:rFonts w:ascii="宋体" w:hAnsi="宋体" w:cs="宋体" w:eastAsia="宋体" w:hint="default"/>
          <w:b/>
          <w:bCs/>
          <w:sz w:val="26"/>
          <w:szCs w:val="26"/>
        </w:rPr>
      </w:pPr>
    </w:p>
    <w:p>
      <w:pPr>
        <w:spacing w:before="0"/>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087"/>
        <w:gridCol w:w="1411"/>
        <w:gridCol w:w="1680"/>
        <w:gridCol w:w="1260"/>
        <w:gridCol w:w="4118"/>
      </w:tblGrid>
      <w:tr>
        <w:trPr>
          <w:trHeight w:val="401" w:hRule="exact"/>
        </w:trPr>
        <w:tc>
          <w:tcPr>
            <w:tcW w:w="1087"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4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8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4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66"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411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03" w:hRule="exact"/>
        </w:trPr>
        <w:tc>
          <w:tcPr>
            <w:tcW w:w="10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4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269,441,385.43</w:t>
            </w:r>
            <w:r>
              <w:rPr>
                <w:rFonts w:ascii="Times New Roman"/>
                <w:sz w:val="18"/>
              </w:rPr>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251,270,923.81</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7.23%</w:t>
            </w:r>
          </w:p>
        </w:tc>
        <w:tc>
          <w:tcPr>
            <w:tcW w:w="4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主要为公司人员增加，使得人员人工费增加所致</w:t>
            </w:r>
          </w:p>
        </w:tc>
      </w:tr>
      <w:tr>
        <w:trPr>
          <w:trHeight w:val="161" w:hRule="exact"/>
        </w:trPr>
        <w:tc>
          <w:tcPr>
            <w:tcW w:w="1087" w:type="dxa"/>
            <w:tcBorders>
              <w:top w:val="single" w:sz="4" w:space="0" w:color="000000"/>
              <w:left w:val="single" w:sz="4" w:space="0" w:color="000000"/>
              <w:bottom w:val="nil" w:sz="6" w:space="0" w:color="auto"/>
              <w:right w:val="single" w:sz="4" w:space="0" w:color="000000"/>
            </w:tcBorders>
            <w:shd w:val="clear" w:color="auto" w:fill="D4D4D4"/>
          </w:tcPr>
          <w:p>
            <w:pPr/>
          </w:p>
        </w:tc>
        <w:tc>
          <w:tcPr>
            <w:tcW w:w="1411" w:type="dxa"/>
            <w:vMerge w:val="restart"/>
            <w:tcBorders>
              <w:top w:val="single" w:sz="4" w:space="0" w:color="000000"/>
              <w:left w:val="single" w:sz="10" w:space="0" w:color="D4D4D4"/>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288,785,529.28</w:t>
            </w:r>
          </w:p>
        </w:tc>
        <w:tc>
          <w:tcPr>
            <w:tcW w:w="168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23" w:right="0"/>
              <w:jc w:val="left"/>
              <w:rPr>
                <w:rFonts w:ascii="Times New Roman" w:hAnsi="Times New Roman" w:cs="Times New Roman" w:eastAsia="Times New Roman" w:hint="default"/>
                <w:sz w:val="18"/>
                <w:szCs w:val="18"/>
              </w:rPr>
            </w:pPr>
            <w:r>
              <w:rPr>
                <w:rFonts w:ascii="Times New Roman"/>
                <w:sz w:val="18"/>
              </w:rPr>
              <w:t>230,761,354.44</w:t>
            </w:r>
          </w:p>
        </w:tc>
        <w:tc>
          <w:tcPr>
            <w:tcW w:w="126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74" w:right="0"/>
              <w:jc w:val="left"/>
              <w:rPr>
                <w:rFonts w:ascii="Times New Roman" w:hAnsi="Times New Roman" w:cs="Times New Roman" w:eastAsia="Times New Roman" w:hint="default"/>
                <w:sz w:val="18"/>
                <w:szCs w:val="18"/>
              </w:rPr>
            </w:pPr>
            <w:r>
              <w:rPr>
                <w:rFonts w:ascii="Times New Roman"/>
                <w:sz w:val="18"/>
              </w:rPr>
              <w:t>25.14%</w:t>
            </w:r>
          </w:p>
        </w:tc>
        <w:tc>
          <w:tcPr>
            <w:tcW w:w="4118" w:type="dxa"/>
            <w:vMerge w:val="restart"/>
            <w:tcBorders>
              <w:top w:val="single" w:sz="4" w:space="0" w:color="000000"/>
              <w:left w:val="single" w:sz="4" w:space="0" w:color="000000"/>
              <w:right w:val="single" w:sz="4" w:space="0" w:color="000000"/>
            </w:tcBorders>
          </w:tcPr>
          <w:p>
            <w:pPr>
              <w:pStyle w:val="TableParagraph"/>
              <w:spacing w:line="316" w:lineRule="auto" w:before="49"/>
              <w:ind w:left="23" w:right="19"/>
              <w:jc w:val="left"/>
              <w:rPr>
                <w:rFonts w:ascii="宋体" w:hAnsi="宋体" w:cs="宋体" w:eastAsia="宋体" w:hint="default"/>
                <w:sz w:val="18"/>
                <w:szCs w:val="18"/>
              </w:rPr>
            </w:pPr>
            <w:r>
              <w:rPr>
                <w:rFonts w:ascii="宋体" w:hAnsi="宋体" w:cs="宋体" w:eastAsia="宋体" w:hint="default"/>
                <w:spacing w:val="-4"/>
                <w:sz w:val="18"/>
                <w:szCs w:val="18"/>
              </w:rPr>
              <w:t>主要为公司人员增加，使得人员人工费及行政办公费</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增加以及增加办公场所租赁，租赁费增加所致</w:t>
            </w:r>
          </w:p>
        </w:tc>
      </w:tr>
      <w:tr>
        <w:trPr>
          <w:trHeight w:val="391" w:hRule="exact"/>
        </w:trPr>
        <w:tc>
          <w:tcPr>
            <w:tcW w:w="1087"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411" w:type="dxa"/>
            <w:vMerge/>
            <w:tcBorders>
              <w:left w:val="single" w:sz="10" w:space="0" w:color="D4D4D4"/>
              <w:right w:val="single" w:sz="4" w:space="0" w:color="000000"/>
            </w:tcBorders>
          </w:tcPr>
          <w:p>
            <w:pPr/>
          </w:p>
        </w:tc>
        <w:tc>
          <w:tcPr>
            <w:tcW w:w="1680"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4118" w:type="dxa"/>
            <w:vMerge/>
            <w:tcBorders>
              <w:left w:val="single" w:sz="4" w:space="0" w:color="000000"/>
              <w:right w:val="single" w:sz="4" w:space="0" w:color="000000"/>
            </w:tcBorders>
          </w:tcPr>
          <w:p>
            <w:pPr/>
          </w:p>
        </w:tc>
      </w:tr>
      <w:tr>
        <w:trPr>
          <w:trHeight w:val="161" w:hRule="exact"/>
        </w:trPr>
        <w:tc>
          <w:tcPr>
            <w:tcW w:w="1087" w:type="dxa"/>
            <w:tcBorders>
              <w:top w:val="nil" w:sz="6" w:space="0" w:color="auto"/>
              <w:left w:val="single" w:sz="4" w:space="0" w:color="000000"/>
              <w:bottom w:val="single" w:sz="4" w:space="0" w:color="000000"/>
              <w:right w:val="single" w:sz="4" w:space="0" w:color="000000"/>
            </w:tcBorders>
            <w:shd w:val="clear" w:color="auto" w:fill="D4D4D4"/>
          </w:tcPr>
          <w:p>
            <w:pPr/>
          </w:p>
        </w:tc>
        <w:tc>
          <w:tcPr>
            <w:tcW w:w="1411" w:type="dxa"/>
            <w:vMerge/>
            <w:tcBorders>
              <w:left w:val="single" w:sz="10" w:space="0" w:color="D4D4D4"/>
              <w:bottom w:val="single" w:sz="4" w:space="0" w:color="000000"/>
              <w:right w:val="single" w:sz="4" w:space="0" w:color="000000"/>
            </w:tcBorders>
          </w:tcPr>
          <w:p>
            <w:pPr/>
          </w:p>
        </w:tc>
        <w:tc>
          <w:tcPr>
            <w:tcW w:w="1680" w:type="dxa"/>
            <w:vMerge/>
            <w:tcBorders>
              <w:left w:val="single" w:sz="4" w:space="0" w:color="000000"/>
              <w:bottom w:val="single" w:sz="4" w:space="0" w:color="000000"/>
              <w:right w:val="single" w:sz="4" w:space="0" w:color="000000"/>
            </w:tcBorders>
          </w:tcPr>
          <w:p>
            <w:pPr/>
          </w:p>
        </w:tc>
        <w:tc>
          <w:tcPr>
            <w:tcW w:w="1260" w:type="dxa"/>
            <w:vMerge/>
            <w:tcBorders>
              <w:left w:val="single" w:sz="4" w:space="0" w:color="000000"/>
              <w:bottom w:val="single" w:sz="4" w:space="0" w:color="000000"/>
              <w:right w:val="single" w:sz="4" w:space="0" w:color="000000"/>
            </w:tcBorders>
          </w:tcPr>
          <w:p>
            <w:pPr/>
          </w:p>
        </w:tc>
        <w:tc>
          <w:tcPr>
            <w:tcW w:w="4118" w:type="dxa"/>
            <w:vMerge/>
            <w:tcBorders>
              <w:left w:val="single" w:sz="4" w:space="0" w:color="000000"/>
              <w:bottom w:val="single" w:sz="4" w:space="0" w:color="000000"/>
              <w:right w:val="single" w:sz="4" w:space="0" w:color="000000"/>
            </w:tcBorders>
          </w:tcPr>
          <w:p>
            <w:pPr/>
          </w:p>
        </w:tc>
      </w:tr>
      <w:tr>
        <w:trPr>
          <w:trHeight w:val="403" w:hRule="exact"/>
        </w:trPr>
        <w:tc>
          <w:tcPr>
            <w:tcW w:w="10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4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-6,012,325.69</w:t>
            </w:r>
            <w:r>
              <w:rPr>
                <w:rFonts w:ascii="Times New Roman"/>
                <w:sz w:val="18"/>
              </w:rPr>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-9,706,348.65</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-38.06%</w:t>
            </w:r>
          </w:p>
        </w:tc>
        <w:tc>
          <w:tcPr>
            <w:tcW w:w="4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货币资金平均余额减少，利息收入减少所致</w:t>
            </w:r>
          </w:p>
        </w:tc>
      </w:tr>
      <w:tr>
        <w:trPr>
          <w:trHeight w:val="403" w:hRule="exact"/>
        </w:trPr>
        <w:tc>
          <w:tcPr>
            <w:tcW w:w="10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4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293,172,950.66</w:t>
            </w:r>
            <w:r>
              <w:rPr>
                <w:rFonts w:ascii="Times New Roman"/>
                <w:sz w:val="18"/>
              </w:rPr>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239,317,777.08</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22.50%</w:t>
            </w:r>
          </w:p>
        </w:tc>
        <w:tc>
          <w:tcPr>
            <w:tcW w:w="4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主要为公司为保持市场竞争力持续的加大研发投入</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4、研发投入" w:id="36"/>
      <w:bookmarkEnd w:id="36"/>
      <w:r>
        <w:rPr>
          <w:b w:val="0"/>
          <w:bCs w:val="0"/>
        </w:rPr>
      </w:r>
      <w:r>
        <w:rPr>
          <w:rFonts w:ascii="Times New Roman" w:hAnsi="Times New Roman" w:cs="Times New Roman" w:eastAsia="Times New Roman" w:hint="default"/>
        </w:rPr>
        <w:t>4</w:t>
      </w:r>
      <w:r>
        <w:rPr/>
        <w:t>、研发投入</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pStyle w:val="BodyText"/>
        <w:spacing w:line="408" w:lineRule="auto" w:before="159"/>
        <w:ind w:right="1106" w:firstLine="525"/>
        <w:jc w:val="both"/>
      </w:pPr>
      <w:r>
        <w:rPr>
          <w:spacing w:val="-2"/>
        </w:rPr>
        <w:t>公司是知识</w:t>
      </w:r>
      <w:r>
        <w:rPr>
          <w:rFonts w:ascii="宋体" w:hAnsi="宋体" w:cs="宋体" w:eastAsia="宋体" w:hint="default"/>
          <w:spacing w:val="-2"/>
        </w:rPr>
        <w:t>/</w:t>
      </w:r>
      <w:r>
        <w:rPr>
          <w:spacing w:val="-2"/>
        </w:rPr>
        <w:t>技术密集型产业，创新能力是公司保持长久活力的源泉。公司高度重视技术创新及产品</w:t>
      </w:r>
      <w:r>
        <w:rPr>
          <w:w w:val="100"/>
        </w:rPr>
        <w:t> </w:t>
      </w:r>
      <w:r>
        <w:rPr/>
        <w:t>研发，近几年每年研发投入均占当年度总收入的</w:t>
      </w:r>
      <w:r>
        <w:rPr>
          <w:rFonts w:ascii="宋体" w:hAnsi="宋体" w:cs="宋体" w:eastAsia="宋体" w:hint="default"/>
        </w:rPr>
        <w:t>15%</w:t>
      </w:r>
      <w:r>
        <w:rPr/>
        <w:t>以上，研发技术人员占公司总人数约</w:t>
      </w:r>
      <w:r>
        <w:rPr>
          <w:rFonts w:ascii="宋体" w:hAnsi="宋体" w:cs="宋体" w:eastAsia="宋体" w:hint="default"/>
        </w:rPr>
        <w:t>70%</w:t>
      </w:r>
      <w:r>
        <w:rPr/>
        <w:t>。</w:t>
      </w:r>
      <w:r>
        <w:rPr>
          <w:spacing w:val="56"/>
        </w:rPr>
        <w:t> </w:t>
      </w:r>
      <w:r>
        <w:rPr/>
        <w:t>公司围绕</w:t>
      </w:r>
      <w:r>
        <w:rPr>
          <w:spacing w:val="-85"/>
        </w:rPr>
        <w:t> </w:t>
      </w:r>
      <w:r>
        <w:rPr>
          <w:spacing w:val="-85"/>
        </w:rPr>
      </w:r>
      <w:r>
        <w:rPr>
          <w:spacing w:val="-2"/>
        </w:rPr>
        <w:t>着电子数据取证与智能装备、大数据与智能平台、网络空间安全产品等主营业务成立了三大研究院。为了</w:t>
      </w:r>
      <w:r>
        <w:rPr>
          <w:spacing w:val="-42"/>
        </w:rPr>
        <w:t> </w:t>
      </w:r>
      <w:r>
        <w:rPr>
          <w:spacing w:val="-42"/>
        </w:rPr>
      </w:r>
      <w:r>
        <w:rPr>
          <w:spacing w:val="-2"/>
        </w:rPr>
        <w:t>更专注的进行技术创新研究，公司设立技术管理委员会，下设技术创新中心，围绕着智能取证、大数据、</w:t>
      </w:r>
      <w:r>
        <w:rPr>
          <w:spacing w:val="-21"/>
        </w:rPr>
        <w:t> </w:t>
      </w:r>
      <w:r>
        <w:rPr>
          <w:spacing w:val="-21"/>
        </w:rPr>
      </w:r>
      <w:r>
        <w:rPr/>
        <w:t>人工智能等技术方向不断探索和研究。</w:t>
      </w:r>
    </w:p>
    <w:p>
      <w:pPr>
        <w:spacing w:before="30"/>
        <w:ind w:left="152" w:right="986" w:firstLine="0"/>
        <w:jc w:val="left"/>
        <w:rPr>
          <w:rFonts w:ascii="宋体" w:hAnsi="宋体" w:cs="宋体" w:eastAsia="宋体" w:hint="default"/>
          <w:sz w:val="18"/>
          <w:szCs w:val="18"/>
        </w:rPr>
      </w:pPr>
      <w:r>
        <w:rPr>
          <w:rFonts w:ascii="宋体" w:hAnsi="宋体" w:cs="宋体" w:eastAsia="宋体" w:hint="default"/>
          <w:sz w:val="18"/>
          <w:szCs w:val="18"/>
        </w:rPr>
        <w:t>近三年公司研发投入金额及占营业收入的比例</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82"/>
        <w:gridCol w:w="1789"/>
        <w:gridCol w:w="2393"/>
        <w:gridCol w:w="2393"/>
      </w:tblGrid>
      <w:tr>
        <w:trPr>
          <w:trHeight w:val="403" w:hRule="exact"/>
        </w:trPr>
        <w:tc>
          <w:tcPr>
            <w:tcW w:w="2982"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6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1" w:hRule="exact"/>
        </w:trPr>
        <w:tc>
          <w:tcPr>
            <w:tcW w:w="298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1789"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2,292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2,103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1,622</w:t>
            </w:r>
          </w:p>
        </w:tc>
      </w:tr>
      <w:tr>
        <w:trPr>
          <w:trHeight w:val="403" w:hRule="exact"/>
        </w:trPr>
        <w:tc>
          <w:tcPr>
            <w:tcW w:w="298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1789"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69.08%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70.19%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68.09%</w:t>
            </w:r>
          </w:p>
        </w:tc>
      </w:tr>
      <w:tr>
        <w:trPr>
          <w:trHeight w:val="401" w:hRule="exact"/>
        </w:trPr>
        <w:tc>
          <w:tcPr>
            <w:tcW w:w="298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1789"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358,090,794.13</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261,769,029.11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203,473,214.25</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004"/>
        <w:gridCol w:w="1778"/>
        <w:gridCol w:w="2393"/>
        <w:gridCol w:w="2393"/>
      </w:tblGrid>
      <w:tr>
        <w:trPr>
          <w:trHeight w:val="401" w:hRule="exact"/>
        </w:trPr>
        <w:tc>
          <w:tcPr>
            <w:tcW w:w="30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z w:val="18"/>
              </w:rPr>
              <w:t>17.32%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16.35%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15.22%</w:t>
            </w:r>
          </w:p>
        </w:tc>
      </w:tr>
      <w:tr>
        <w:trPr>
          <w:trHeight w:val="403" w:hRule="exact"/>
        </w:trPr>
        <w:tc>
          <w:tcPr>
            <w:tcW w:w="30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研发支出资本化的金额（元）</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87,390,826.60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38,102,832.66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31,750,185.80</w:t>
            </w:r>
          </w:p>
        </w:tc>
      </w:tr>
      <w:tr>
        <w:trPr>
          <w:trHeight w:val="401" w:hRule="exact"/>
        </w:trPr>
        <w:tc>
          <w:tcPr>
            <w:tcW w:w="30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资本化研发支出占研发投入的比例</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z w:val="18"/>
              </w:rPr>
              <w:t>24.40%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14.56%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15.60%</w:t>
            </w:r>
          </w:p>
        </w:tc>
      </w:tr>
      <w:tr>
        <w:trPr>
          <w:trHeight w:val="403" w:hRule="exact"/>
        </w:trPr>
        <w:tc>
          <w:tcPr>
            <w:tcW w:w="30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资本化研发支出占当期净利润的比重</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30.27%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12.61%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12.10%</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研发投入总额占营业收入的比重较上年发生显著变化的原因</w:t>
      </w:r>
    </w:p>
    <w:p>
      <w:pPr>
        <w:spacing w:line="340" w:lineRule="auto" w:before="115"/>
        <w:ind w:left="152" w:right="67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研发投入资本化率大幅变动的原因及其合理性说明</w:t>
      </w:r>
    </w:p>
    <w:p>
      <w:pPr>
        <w:spacing w:before="41"/>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pStyle w:val="BodyText"/>
        <w:spacing w:line="408" w:lineRule="auto" w:before="157"/>
        <w:ind w:right="986" w:firstLine="420"/>
        <w:jc w:val="left"/>
      </w:pPr>
      <w:r>
        <w:rPr>
          <w:spacing w:val="-2"/>
        </w:rPr>
        <w:t>为增强产品竞争力，抓住市场机遇，公司建立研发准备金预算管理，为公司持续加大研发投入提供资</w:t>
      </w:r>
      <w:r>
        <w:rPr>
          <w:w w:val="100"/>
        </w:rPr>
        <w:t> </w:t>
      </w:r>
      <w:r>
        <w:rPr/>
        <w:t>金保障。</w:t>
      </w:r>
      <w:r>
        <w:rPr>
          <w:rFonts w:ascii="宋体" w:hAnsi="宋体" w:cs="宋体" w:eastAsia="宋体" w:hint="default"/>
        </w:rPr>
        <w:t>2019</w:t>
      </w:r>
      <w:r>
        <w:rPr/>
        <w:t>年，公司加强自主可控国产化产品适配研发，在取证</w:t>
      </w:r>
      <w:r>
        <w:rPr>
          <w:rFonts w:ascii="宋体" w:hAnsi="宋体" w:cs="宋体" w:eastAsia="宋体" w:hint="default"/>
        </w:rPr>
        <w:t>3.0</w:t>
      </w:r>
      <w:r>
        <w:rPr/>
        <w:t>、大数据智能化平台研发上持续加</w:t>
      </w:r>
      <w:r>
        <w:rPr>
          <w:spacing w:val="-3"/>
          <w:w w:val="100"/>
        </w:rPr>
        <w:t> </w:t>
      </w:r>
      <w:r>
        <w:rPr/>
        <w:t>大投入。</w:t>
      </w:r>
      <w:r>
        <w:rPr>
          <w:rFonts w:ascii="宋体" w:hAnsi="宋体" w:cs="宋体" w:eastAsia="宋体" w:hint="default"/>
        </w:rPr>
        <w:t>2019</w:t>
      </w:r>
      <w:r>
        <w:rPr/>
        <w:t>年公司研发投入</w:t>
      </w:r>
      <w:r>
        <w:rPr>
          <w:rFonts w:ascii="宋体" w:hAnsi="宋体" w:cs="宋体" w:eastAsia="宋体" w:hint="default"/>
        </w:rPr>
        <w:t>35,809.08</w:t>
      </w:r>
      <w:r>
        <w:rPr/>
        <w:t>万元，占营业收入比例</w:t>
      </w:r>
      <w:r>
        <w:rPr>
          <w:rFonts w:ascii="宋体" w:hAnsi="宋体" w:cs="宋体" w:eastAsia="宋体" w:hint="default"/>
        </w:rPr>
        <w:t>17.32%</w:t>
      </w:r>
      <w:r>
        <w:rPr/>
        <w:t>，较</w:t>
      </w:r>
      <w:r>
        <w:rPr>
          <w:rFonts w:ascii="宋体" w:hAnsi="宋体" w:cs="宋体" w:eastAsia="宋体" w:hint="default"/>
        </w:rPr>
        <w:t>2018</w:t>
      </w:r>
      <w:r>
        <w:rPr/>
        <w:t>年度增加</w:t>
      </w:r>
      <w:r>
        <w:rPr>
          <w:rFonts w:ascii="宋体" w:hAnsi="宋体" w:cs="宋体" w:eastAsia="宋体" w:hint="default"/>
        </w:rPr>
        <w:t>9,632.18</w:t>
      </w:r>
      <w:r>
        <w:rPr/>
        <w:t>万元。</w:t>
      </w:r>
      <w:r>
        <w:rPr>
          <w:spacing w:val="-3"/>
          <w:w w:val="100"/>
        </w:rPr>
        <w:t> </w:t>
      </w:r>
      <w:r>
        <w:rPr>
          <w:spacing w:val="-2"/>
        </w:rPr>
        <w:t>研发支出资本化金额</w:t>
      </w:r>
      <w:r>
        <w:rPr>
          <w:rFonts w:ascii="宋体" w:hAnsi="宋体" w:cs="宋体" w:eastAsia="宋体" w:hint="default"/>
          <w:spacing w:val="-2"/>
        </w:rPr>
        <w:t>8,739.08</w:t>
      </w:r>
      <w:r>
        <w:rPr>
          <w:spacing w:val="-2"/>
        </w:rPr>
        <w:t>万元，资本化率</w:t>
      </w:r>
      <w:r>
        <w:rPr>
          <w:rFonts w:ascii="宋体" w:hAnsi="宋体" w:cs="宋体" w:eastAsia="宋体" w:hint="default"/>
          <w:spacing w:val="-2"/>
        </w:rPr>
        <w:t>24.40%</w:t>
      </w:r>
      <w:r>
        <w:rPr>
          <w:spacing w:val="-2"/>
        </w:rPr>
        <w:t>。公司研发资本化项目主要为电子数据取证与智能装</w:t>
      </w:r>
      <w:r>
        <w:rPr>
          <w:spacing w:val="-32"/>
        </w:rPr>
        <w:t> </w:t>
      </w:r>
      <w:r>
        <w:rPr>
          <w:spacing w:val="-32"/>
        </w:rPr>
      </w:r>
      <w:r>
        <w:rPr>
          <w:spacing w:val="-2"/>
        </w:rPr>
        <w:t>备项目、大数据与智能平台产品项目、民生放管服项目等战略性项目的研发，研发投入是公司未来技术及</w:t>
      </w:r>
      <w:r>
        <w:rPr>
          <w:spacing w:val="-43"/>
        </w:rPr>
        <w:t> </w:t>
      </w:r>
      <w:r>
        <w:rPr>
          <w:spacing w:val="-43"/>
        </w:rPr>
      </w:r>
      <w:r>
        <w:rPr/>
        <w:t>产品保持领先市场竞争力和开拓潜在增量市场的重要保证。</w:t>
      </w:r>
    </w:p>
    <w:p>
      <w:pPr>
        <w:spacing w:line="240" w:lineRule="auto" w:before="10"/>
        <w:rPr>
          <w:rFonts w:ascii="宋体" w:hAnsi="宋体" w:cs="宋体" w:eastAsia="宋体" w:hint="default"/>
          <w:sz w:val="22"/>
          <w:szCs w:val="22"/>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上市公司从事软件与信息技术服务业务》的披露要求</w:t>
      </w:r>
    </w:p>
    <w:p>
      <w:pPr>
        <w:spacing w:before="103"/>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210"/>
        <w:gridCol w:w="1334"/>
        <w:gridCol w:w="4426"/>
        <w:gridCol w:w="1598"/>
      </w:tblGrid>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13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right="29"/>
              <w:jc w:val="right"/>
              <w:rPr>
                <w:rFonts w:ascii="宋体" w:hAnsi="宋体" w:cs="宋体" w:eastAsia="宋体" w:hint="default"/>
                <w:sz w:val="18"/>
                <w:szCs w:val="18"/>
              </w:rPr>
            </w:pPr>
            <w:r>
              <w:rPr>
                <w:rFonts w:ascii="宋体" w:hAnsi="宋体" w:cs="宋体" w:eastAsia="宋体" w:hint="default"/>
                <w:sz w:val="18"/>
                <w:szCs w:val="18"/>
              </w:rPr>
              <w:t>研发资本化金额</w:t>
            </w:r>
          </w:p>
        </w:tc>
        <w:tc>
          <w:tcPr>
            <w:tcW w:w="44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396" w:right="0"/>
              <w:jc w:val="left"/>
              <w:rPr>
                <w:rFonts w:ascii="宋体" w:hAnsi="宋体" w:cs="宋体" w:eastAsia="宋体" w:hint="default"/>
                <w:sz w:val="18"/>
                <w:szCs w:val="18"/>
              </w:rPr>
            </w:pPr>
            <w:r>
              <w:rPr>
                <w:rFonts w:ascii="宋体" w:hAnsi="宋体" w:cs="宋体" w:eastAsia="宋体" w:hint="default"/>
                <w:sz w:val="18"/>
                <w:szCs w:val="18"/>
              </w:rPr>
              <w:t>相关项目的基本情况</w:t>
            </w:r>
          </w:p>
        </w:tc>
        <w:tc>
          <w:tcPr>
            <w:tcW w:w="15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实施进度</w:t>
            </w:r>
          </w:p>
        </w:tc>
      </w:tr>
      <w:tr>
        <w:trPr>
          <w:trHeight w:val="1337"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智慧监察大数据平台</w:t>
            </w:r>
            <w:r>
              <w:rPr>
                <w:rFonts w:ascii="宋体" w:hAnsi="宋体" w:cs="宋体" w:eastAsia="宋体" w:hint="default"/>
                <w:spacing w:val="-44"/>
                <w:sz w:val="18"/>
                <w:szCs w:val="18"/>
              </w:rPr>
              <w:t> </w:t>
            </w:r>
            <w:r>
              <w:rPr>
                <w:rFonts w:ascii="宋体" w:hAnsi="宋体" w:cs="宋体" w:eastAsia="宋体" w:hint="default"/>
                <w:sz w:val="18"/>
                <w:szCs w:val="18"/>
              </w:rPr>
              <w:t>V1.0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16"/>
              <w:jc w:val="right"/>
              <w:rPr>
                <w:rFonts w:ascii="宋体" w:hAnsi="宋体" w:cs="宋体" w:eastAsia="宋体" w:hint="default"/>
                <w:sz w:val="18"/>
                <w:szCs w:val="18"/>
              </w:rPr>
            </w:pPr>
            <w:r>
              <w:rPr>
                <w:rFonts w:ascii="宋体"/>
                <w:spacing w:val="-1"/>
                <w:sz w:val="18"/>
              </w:rPr>
              <w:t>20,668,908.27</w:t>
            </w:r>
            <w:r>
              <w:rPr>
                <w:rFonts w:ascii="宋体"/>
                <w:sz w:val="18"/>
              </w:rPr>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1"/>
              <w:jc w:val="both"/>
              <w:rPr>
                <w:rFonts w:ascii="宋体" w:hAnsi="宋体" w:cs="宋体" w:eastAsia="宋体" w:hint="default"/>
                <w:sz w:val="18"/>
                <w:szCs w:val="18"/>
              </w:rPr>
            </w:pPr>
            <w:r>
              <w:rPr>
                <w:rFonts w:ascii="宋体" w:hAnsi="宋体" w:cs="宋体" w:eastAsia="宋体" w:hint="default"/>
                <w:sz w:val="18"/>
                <w:szCs w:val="18"/>
              </w:rPr>
              <w:t>通过采集和治理各种外部资源数据、电子取证数据，整 合互联网公开数据和舆情资料，并基于大数据分布式计 算、存储及人工智能的技术，集智能分析、人工调查、 全面监督为一体的综合性调查平台。</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98"/>
              <w:jc w:val="center"/>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1027"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大数据治理平台</w:t>
            </w:r>
            <w:r>
              <w:rPr>
                <w:rFonts w:ascii="宋体" w:hAnsi="宋体" w:cs="宋体" w:eastAsia="宋体" w:hint="default"/>
                <w:spacing w:val="-44"/>
                <w:sz w:val="18"/>
                <w:szCs w:val="18"/>
              </w:rPr>
              <w:t> </w:t>
            </w:r>
            <w:r>
              <w:rPr>
                <w:rFonts w:ascii="宋体" w:hAnsi="宋体" w:cs="宋体" w:eastAsia="宋体" w:hint="default"/>
                <w:sz w:val="18"/>
                <w:szCs w:val="18"/>
              </w:rPr>
              <w:t>V1.0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6"/>
              <w:jc w:val="right"/>
              <w:rPr>
                <w:rFonts w:ascii="宋体" w:hAnsi="宋体" w:cs="宋体" w:eastAsia="宋体" w:hint="default"/>
                <w:sz w:val="18"/>
                <w:szCs w:val="18"/>
              </w:rPr>
            </w:pPr>
            <w:r>
              <w:rPr>
                <w:rFonts w:ascii="宋体"/>
                <w:spacing w:val="-1"/>
                <w:sz w:val="18"/>
              </w:rPr>
              <w:t>12,707,405.66</w:t>
            </w:r>
            <w:r>
              <w:rPr>
                <w:rFonts w:ascii="宋体"/>
                <w:sz w:val="18"/>
              </w:rPr>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71"/>
              <w:jc w:val="both"/>
              <w:rPr>
                <w:rFonts w:ascii="宋体" w:hAnsi="宋体" w:cs="宋体" w:eastAsia="宋体" w:hint="default"/>
                <w:sz w:val="18"/>
                <w:szCs w:val="18"/>
              </w:rPr>
            </w:pPr>
            <w:r>
              <w:rPr>
                <w:rFonts w:ascii="宋体" w:hAnsi="宋体" w:cs="宋体" w:eastAsia="宋体" w:hint="default"/>
                <w:sz w:val="18"/>
                <w:szCs w:val="18"/>
              </w:rPr>
              <w:t>通过数据接入、处理、组织、服务、治理等多元处理方 式、并提供数据服务、为上层业务应用提供大数据服务 支撑的综合性平台。</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98"/>
              <w:jc w:val="center"/>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1025"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手机取证大师</w:t>
            </w:r>
            <w:r>
              <w:rPr>
                <w:rFonts w:ascii="宋体" w:hAnsi="宋体" w:cs="宋体" w:eastAsia="宋体" w:hint="default"/>
                <w:spacing w:val="-44"/>
                <w:sz w:val="18"/>
                <w:szCs w:val="18"/>
              </w:rPr>
              <w:t> </w:t>
            </w:r>
            <w:r>
              <w:rPr>
                <w:rFonts w:ascii="宋体" w:hAnsi="宋体" w:cs="宋体" w:eastAsia="宋体" w:hint="default"/>
                <w:sz w:val="18"/>
                <w:szCs w:val="18"/>
              </w:rPr>
              <w:t>V3.0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8"/>
              <w:jc w:val="right"/>
              <w:rPr>
                <w:rFonts w:ascii="宋体" w:hAnsi="宋体" w:cs="宋体" w:eastAsia="宋体" w:hint="default"/>
                <w:sz w:val="18"/>
                <w:szCs w:val="18"/>
              </w:rPr>
            </w:pPr>
            <w:r>
              <w:rPr>
                <w:rFonts w:ascii="宋体"/>
                <w:spacing w:val="-1"/>
                <w:sz w:val="18"/>
              </w:rPr>
              <w:t>8,617,586.77</w:t>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1"/>
              <w:jc w:val="both"/>
              <w:rPr>
                <w:rFonts w:ascii="宋体" w:hAnsi="宋体" w:cs="宋体" w:eastAsia="宋体" w:hint="default"/>
                <w:sz w:val="18"/>
                <w:szCs w:val="18"/>
              </w:rPr>
            </w:pPr>
            <w:r>
              <w:rPr>
                <w:rFonts w:ascii="宋体" w:hAnsi="宋体" w:cs="宋体" w:eastAsia="宋体" w:hint="default"/>
                <w:sz w:val="18"/>
                <w:szCs w:val="18"/>
              </w:rPr>
              <w:t>支持手机解析、数据提取、数据浏览、数据分析以及生 成报告等功能，为公检法机关手机调查取证工作提供一 站式解决方案。</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98"/>
              <w:jc w:val="center"/>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1027"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大数据应用平台</w:t>
            </w:r>
            <w:r>
              <w:rPr>
                <w:rFonts w:ascii="宋体" w:hAnsi="宋体" w:cs="宋体" w:eastAsia="宋体" w:hint="default"/>
                <w:spacing w:val="-44"/>
                <w:sz w:val="18"/>
                <w:szCs w:val="18"/>
              </w:rPr>
              <w:t> </w:t>
            </w:r>
            <w:r>
              <w:rPr>
                <w:rFonts w:ascii="宋体" w:hAnsi="宋体" w:cs="宋体" w:eastAsia="宋体" w:hint="default"/>
                <w:sz w:val="18"/>
                <w:szCs w:val="18"/>
              </w:rPr>
              <w:t>V5.0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8"/>
              <w:jc w:val="right"/>
              <w:rPr>
                <w:rFonts w:ascii="宋体" w:hAnsi="宋体" w:cs="宋体" w:eastAsia="宋体" w:hint="default"/>
                <w:sz w:val="18"/>
                <w:szCs w:val="18"/>
              </w:rPr>
            </w:pPr>
            <w:r>
              <w:rPr>
                <w:rFonts w:ascii="宋体"/>
                <w:spacing w:val="-1"/>
                <w:sz w:val="18"/>
              </w:rPr>
              <w:t>6,916,462.79</w:t>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71"/>
              <w:jc w:val="both"/>
              <w:rPr>
                <w:rFonts w:ascii="宋体" w:hAnsi="宋体" w:cs="宋体" w:eastAsia="宋体" w:hint="default"/>
                <w:sz w:val="18"/>
                <w:szCs w:val="18"/>
              </w:rPr>
            </w:pPr>
            <w:r>
              <w:rPr>
                <w:rFonts w:ascii="宋体" w:hAnsi="宋体" w:cs="宋体" w:eastAsia="宋体" w:hint="default"/>
                <w:sz w:val="18"/>
                <w:szCs w:val="18"/>
              </w:rPr>
              <w:t>基于公安大数据应用的实际需求出发，从数据采集、接 入、组织和资源服务，以及在此基础上的数据分析、可 视化应用等方面提出一整套解决方案。</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98"/>
              <w:jc w:val="center"/>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713"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移动设备查缉终端</w:t>
            </w:r>
            <w:r>
              <w:rPr>
                <w:rFonts w:ascii="宋体" w:hAnsi="宋体" w:cs="宋体" w:eastAsia="宋体" w:hint="default"/>
                <w:spacing w:val="-44"/>
                <w:sz w:val="18"/>
                <w:szCs w:val="18"/>
              </w:rPr>
              <w:t> </w:t>
            </w:r>
            <w:r>
              <w:rPr>
                <w:rFonts w:ascii="宋体" w:hAnsi="宋体" w:cs="宋体" w:eastAsia="宋体" w:hint="default"/>
                <w:sz w:val="18"/>
                <w:szCs w:val="18"/>
              </w:rPr>
              <w:t>V2.1</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8"/>
              <w:jc w:val="right"/>
              <w:rPr>
                <w:rFonts w:ascii="宋体" w:hAnsi="宋体" w:cs="宋体" w:eastAsia="宋体" w:hint="default"/>
                <w:sz w:val="18"/>
                <w:szCs w:val="18"/>
              </w:rPr>
            </w:pPr>
            <w:r>
              <w:rPr>
                <w:rFonts w:ascii="宋体"/>
                <w:spacing w:val="-1"/>
                <w:sz w:val="18"/>
              </w:rPr>
              <w:t>6,700,863.42</w:t>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51"/>
              <w:jc w:val="left"/>
              <w:rPr>
                <w:rFonts w:ascii="宋体" w:hAnsi="宋体" w:cs="宋体" w:eastAsia="宋体" w:hint="default"/>
                <w:sz w:val="18"/>
                <w:szCs w:val="18"/>
              </w:rPr>
            </w:pPr>
            <w:r>
              <w:rPr>
                <w:rFonts w:ascii="宋体" w:hAnsi="宋体" w:cs="宋体" w:eastAsia="宋体" w:hint="default"/>
                <w:sz w:val="18"/>
                <w:szCs w:val="18"/>
              </w:rPr>
              <w:t>专为基层执法部门设计开发的手持式移动设备查缉终 端。</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98"/>
              <w:jc w:val="center"/>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1027"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民生服务平台</w:t>
            </w:r>
            <w:r>
              <w:rPr>
                <w:rFonts w:ascii="宋体" w:hAnsi="宋体" w:cs="宋体" w:eastAsia="宋体" w:hint="default"/>
                <w:spacing w:val="-44"/>
                <w:sz w:val="18"/>
                <w:szCs w:val="18"/>
              </w:rPr>
              <w:t> </w:t>
            </w:r>
            <w:r>
              <w:rPr>
                <w:rFonts w:ascii="宋体" w:hAnsi="宋体" w:cs="宋体" w:eastAsia="宋体" w:hint="default"/>
                <w:sz w:val="18"/>
                <w:szCs w:val="18"/>
              </w:rPr>
              <w:t>V1.0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8"/>
              <w:jc w:val="right"/>
              <w:rPr>
                <w:rFonts w:ascii="宋体" w:hAnsi="宋体" w:cs="宋体" w:eastAsia="宋体" w:hint="default"/>
                <w:sz w:val="18"/>
                <w:szCs w:val="18"/>
              </w:rPr>
            </w:pPr>
            <w:r>
              <w:rPr>
                <w:rFonts w:ascii="宋体"/>
                <w:spacing w:val="-1"/>
                <w:sz w:val="18"/>
              </w:rPr>
              <w:t>6,495,687.45</w:t>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3"/>
              <w:jc w:val="both"/>
              <w:rPr>
                <w:rFonts w:ascii="宋体" w:hAnsi="宋体" w:cs="宋体" w:eastAsia="宋体" w:hint="default"/>
                <w:sz w:val="18"/>
                <w:szCs w:val="18"/>
              </w:rPr>
            </w:pPr>
            <w:r>
              <w:rPr>
                <w:rFonts w:ascii="宋体" w:hAnsi="宋体" w:cs="宋体" w:eastAsia="宋体" w:hint="default"/>
                <w:spacing w:val="-3"/>
                <w:sz w:val="18"/>
                <w:szCs w:val="18"/>
              </w:rPr>
              <w:t>运用微服务技术、</w:t>
            </w:r>
            <w:r>
              <w:rPr>
                <w:rFonts w:ascii="宋体" w:hAnsi="宋体" w:cs="宋体" w:eastAsia="宋体" w:hint="default"/>
                <w:spacing w:val="-3"/>
                <w:sz w:val="18"/>
                <w:szCs w:val="18"/>
              </w:rPr>
              <w:t>API</w:t>
            </w:r>
            <w:r>
              <w:rPr>
                <w:rFonts w:ascii="宋体" w:hAnsi="宋体" w:cs="宋体" w:eastAsia="宋体" w:hint="default"/>
                <w:spacing w:val="-31"/>
                <w:sz w:val="18"/>
                <w:szCs w:val="18"/>
              </w:rPr>
              <w:t> </w:t>
            </w:r>
            <w:r>
              <w:rPr>
                <w:rFonts w:ascii="宋体" w:hAnsi="宋体" w:cs="宋体" w:eastAsia="宋体" w:hint="default"/>
                <w:spacing w:val="-5"/>
                <w:sz w:val="18"/>
                <w:szCs w:val="18"/>
              </w:rPr>
              <w:t>网关技术、服务管理技术、数据治</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理技术，面向各类终端应用输出政府统一的各类服务性 平台。</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98"/>
              <w:jc w:val="center"/>
              <w:rPr>
                <w:rFonts w:ascii="宋体" w:hAnsi="宋体" w:cs="宋体" w:eastAsia="宋体" w:hint="default"/>
                <w:sz w:val="18"/>
                <w:szCs w:val="18"/>
              </w:rPr>
            </w:pPr>
            <w:r>
              <w:rPr>
                <w:rFonts w:ascii="宋体" w:hAnsi="宋体" w:cs="宋体" w:eastAsia="宋体" w:hint="default"/>
                <w:sz w:val="18"/>
                <w:szCs w:val="18"/>
              </w:rPr>
              <w:t>处于产品研发阶段</w:t>
            </w:r>
          </w:p>
        </w:tc>
      </w:tr>
    </w:tbl>
    <w:p>
      <w:pPr>
        <w:spacing w:after="0" w:line="240" w:lineRule="auto"/>
        <w:jc w:val="center"/>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455.399994pt;margin-top:235.439987pt;width:79.45pt;height:28pt;mso-position-horizontal-relative:page;mso-position-vertical-relative:page;z-index:-1349056" coordorigin="9108,4709" coordsize="1589,560">
            <v:group style="position:absolute;left:9108;top:4709;width:1589;height:156" coordorigin="9108,4709" coordsize="1589,156">
              <v:shape style="position:absolute;left:9108;top:4709;width:1589;height:156" coordorigin="9108,4709" coordsize="1589,156" path="m9108,4865l10697,4865,10697,4709,9108,4709,9108,4865xe" filled="true" fillcolor="#ffffff" stroked="false">
                <v:path arrowok="t"/>
                <v:fill type="solid"/>
              </v:shape>
            </v:group>
            <v:group style="position:absolute;left:9120;top:4865;width:2;height:392" coordorigin="9120,4865" coordsize="2,392">
              <v:shape style="position:absolute;left:9120;top:4865;width:2;height:392" coordorigin="9120,4865" coordsize="0,392" path="m9120,4865l9120,5256e" filled="false" stroked="true" strokeweight="1.2pt" strokecolor="#ffffff">
                <v:path arrowok="t"/>
              </v:shape>
            </v:group>
            <v:group style="position:absolute;left:9132;top:4865;width:1541;height:392" coordorigin="9132,4865" coordsize="1541,392">
              <v:shape style="position:absolute;left:9132;top:4865;width:1541;height:392" coordorigin="9132,4865" coordsize="1541,392" path="m9132,5256l10673,5256,10673,4865,9132,4865,9132,5256xe" filled="true" fillcolor="#ffffff" stroked="false">
                <v:path arrowok="t"/>
                <v:fill type="solid"/>
              </v:shape>
            </v:group>
            <w10:wrap type="none"/>
          </v:group>
        </w:pict>
      </w:r>
      <w:r>
        <w:rPr/>
        <w:pict>
          <v:group style="position:absolute;margin-left:455.399994pt;margin-top:373.679993pt;width:79.45pt;height:28pt;mso-position-horizontal-relative:page;mso-position-vertical-relative:page;z-index:-1349032" coordorigin="9108,7474" coordsize="1589,560">
            <v:group style="position:absolute;left:9108;top:7474;width:1589;height:156" coordorigin="9108,7474" coordsize="1589,156">
              <v:shape style="position:absolute;left:9108;top:7474;width:1589;height:156" coordorigin="9108,7474" coordsize="1589,156" path="m9108,7630l10697,7630,10697,7474,9108,7474,9108,7630xe" filled="true" fillcolor="#ffffff" stroked="false">
                <v:path arrowok="t"/>
                <v:fill type="solid"/>
              </v:shape>
            </v:group>
            <v:group style="position:absolute;left:9120;top:7630;width:2;height:392" coordorigin="9120,7630" coordsize="2,392">
              <v:shape style="position:absolute;left:9120;top:7630;width:2;height:392" coordorigin="9120,7630" coordsize="0,392" path="m9120,7630l9120,8021e" filled="false" stroked="true" strokeweight="1.2pt" strokecolor="#ffffff">
                <v:path arrowok="t"/>
              </v:shape>
            </v:group>
            <v:group style="position:absolute;left:9132;top:7630;width:1541;height:392" coordorigin="9132,7630" coordsize="1541,392">
              <v:shape style="position:absolute;left:9132;top:7630;width:1541;height:392" coordorigin="9132,7630" coordsize="1541,392" path="m9132,8021l10673,8021,10673,7630,9132,7630,9132,8021xe" filled="true" fillcolor="#ffffff" stroked="false">
                <v:path arrowok="t"/>
                <v:fill type="solid"/>
              </v:shape>
            </v:group>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210"/>
        <w:gridCol w:w="1334"/>
        <w:gridCol w:w="4426"/>
        <w:gridCol w:w="1598"/>
      </w:tblGrid>
      <w:tr>
        <w:trPr>
          <w:trHeight w:val="713"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远望综合信息分析系统</w:t>
            </w:r>
          </w:p>
          <w:p>
            <w:pPr>
              <w:pStyle w:val="TableParagraph"/>
              <w:spacing w:line="240" w:lineRule="auto" w:before="76"/>
              <w:ind w:left="24" w:right="0"/>
              <w:jc w:val="left"/>
              <w:rPr>
                <w:rFonts w:ascii="宋体" w:hAnsi="宋体" w:cs="宋体" w:eastAsia="宋体" w:hint="default"/>
                <w:sz w:val="18"/>
                <w:szCs w:val="18"/>
              </w:rPr>
            </w:pPr>
            <w:r>
              <w:rPr>
                <w:rFonts w:ascii="宋体"/>
                <w:sz w:val="18"/>
              </w:rPr>
              <w:t>V1.1</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宋体" w:hAnsi="宋体" w:cs="宋体" w:eastAsia="宋体" w:hint="default"/>
                <w:sz w:val="18"/>
                <w:szCs w:val="18"/>
              </w:rPr>
            </w:pPr>
            <w:r>
              <w:rPr>
                <w:rFonts w:ascii="宋体"/>
                <w:spacing w:val="-1"/>
                <w:sz w:val="18"/>
              </w:rPr>
              <w:t>4,035,056.56</w:t>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1"/>
              <w:jc w:val="left"/>
              <w:rPr>
                <w:rFonts w:ascii="宋体" w:hAnsi="宋体" w:cs="宋体" w:eastAsia="宋体" w:hint="default"/>
                <w:sz w:val="18"/>
                <w:szCs w:val="18"/>
              </w:rPr>
            </w:pPr>
            <w:r>
              <w:rPr>
                <w:rFonts w:ascii="宋体" w:hAnsi="宋体" w:cs="宋体" w:eastAsia="宋体" w:hint="default"/>
                <w:sz w:val="18"/>
                <w:szCs w:val="18"/>
              </w:rPr>
              <w:t>融合人脸、车辆、视频结构化等数据，建设以实际应用 需求及特色化实战应用为主的综合性分析平台。</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715"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手机取证航母系统</w:t>
            </w:r>
            <w:r>
              <w:rPr>
                <w:rFonts w:ascii="宋体" w:hAnsi="宋体" w:cs="宋体" w:eastAsia="宋体" w:hint="default"/>
                <w:spacing w:val="-44"/>
                <w:sz w:val="18"/>
                <w:szCs w:val="18"/>
              </w:rPr>
              <w:t> </w:t>
            </w:r>
            <w:r>
              <w:rPr>
                <w:rFonts w:ascii="宋体" w:hAnsi="宋体" w:cs="宋体" w:eastAsia="宋体" w:hint="default"/>
                <w:sz w:val="18"/>
                <w:szCs w:val="18"/>
              </w:rPr>
              <w:t>V1.0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8"/>
              <w:jc w:val="right"/>
              <w:rPr>
                <w:rFonts w:ascii="宋体" w:hAnsi="宋体" w:cs="宋体" w:eastAsia="宋体" w:hint="default"/>
                <w:sz w:val="18"/>
                <w:szCs w:val="18"/>
              </w:rPr>
            </w:pPr>
            <w:r>
              <w:rPr>
                <w:rFonts w:ascii="宋体"/>
                <w:spacing w:val="-1"/>
                <w:sz w:val="18"/>
              </w:rPr>
              <w:t>3,609,166.55</w:t>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71"/>
              <w:jc w:val="left"/>
              <w:rPr>
                <w:rFonts w:ascii="宋体" w:hAnsi="宋体" w:cs="宋体" w:eastAsia="宋体" w:hint="default"/>
                <w:sz w:val="18"/>
                <w:szCs w:val="18"/>
              </w:rPr>
            </w:pPr>
            <w:r>
              <w:rPr>
                <w:rFonts w:ascii="宋体" w:hAnsi="宋体" w:cs="宋体" w:eastAsia="宋体" w:hint="default"/>
                <w:sz w:val="18"/>
                <w:szCs w:val="18"/>
              </w:rPr>
              <w:t>一款支持多路手机高速并行取证，并适用于大量检材批 量取证的手机取证智能工作桌装备。</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713"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电子数据存证云</w:t>
            </w:r>
            <w:r>
              <w:rPr>
                <w:rFonts w:ascii="宋体" w:hAnsi="宋体" w:cs="宋体" w:eastAsia="宋体" w:hint="default"/>
                <w:spacing w:val="-44"/>
                <w:sz w:val="18"/>
                <w:szCs w:val="18"/>
              </w:rPr>
              <w:t> </w:t>
            </w:r>
            <w:r>
              <w:rPr>
                <w:rFonts w:ascii="宋体" w:hAnsi="宋体" w:cs="宋体" w:eastAsia="宋体" w:hint="default"/>
                <w:sz w:val="18"/>
                <w:szCs w:val="18"/>
              </w:rPr>
              <w:t>V5.0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宋体" w:hAnsi="宋体" w:cs="宋体" w:eastAsia="宋体" w:hint="default"/>
                <w:sz w:val="18"/>
                <w:szCs w:val="18"/>
              </w:rPr>
            </w:pPr>
            <w:r>
              <w:rPr>
                <w:rFonts w:ascii="宋体"/>
                <w:spacing w:val="-1"/>
                <w:sz w:val="18"/>
              </w:rPr>
              <w:t>3,037,830.43</w:t>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1"/>
              <w:jc w:val="left"/>
              <w:rPr>
                <w:rFonts w:ascii="宋体" w:hAnsi="宋体" w:cs="宋体" w:eastAsia="宋体" w:hint="default"/>
                <w:sz w:val="18"/>
                <w:szCs w:val="18"/>
              </w:rPr>
            </w:pPr>
            <w:r>
              <w:rPr>
                <w:rFonts w:ascii="宋体" w:hAnsi="宋体" w:cs="宋体" w:eastAsia="宋体" w:hint="default"/>
                <w:sz w:val="18"/>
                <w:szCs w:val="18"/>
              </w:rPr>
              <w:t>基于公司电子数据取证技术开发的电子数据取证、存证 和出证的电子证据统一管理平台。</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403"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警队政工大数据平台</w:t>
            </w:r>
            <w:r>
              <w:rPr>
                <w:rFonts w:ascii="宋体" w:hAnsi="宋体" w:cs="宋体" w:eastAsia="宋体" w:hint="default"/>
                <w:spacing w:val="-44"/>
                <w:sz w:val="18"/>
                <w:szCs w:val="18"/>
              </w:rPr>
              <w:t> </w:t>
            </w:r>
            <w:r>
              <w:rPr>
                <w:rFonts w:ascii="宋体" w:hAnsi="宋体" w:cs="宋体" w:eastAsia="宋体" w:hint="default"/>
                <w:sz w:val="18"/>
                <w:szCs w:val="18"/>
              </w:rPr>
              <w:t>V1.0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pacing w:val="-1"/>
                <w:sz w:val="18"/>
              </w:rPr>
              <w:t>2,820,601.62</w:t>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一款基于政工信息化建设的应用型综合平台。</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完结</w:t>
            </w:r>
          </w:p>
        </w:tc>
      </w:tr>
      <w:tr>
        <w:trPr>
          <w:trHeight w:val="713"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智能机器人系统</w:t>
            </w:r>
            <w:r>
              <w:rPr>
                <w:rFonts w:ascii="宋体" w:hAnsi="宋体" w:cs="宋体" w:eastAsia="宋体" w:hint="default"/>
                <w:spacing w:val="-44"/>
                <w:sz w:val="18"/>
                <w:szCs w:val="18"/>
              </w:rPr>
              <w:t> </w:t>
            </w:r>
            <w:r>
              <w:rPr>
                <w:rFonts w:ascii="宋体" w:hAnsi="宋体" w:cs="宋体" w:eastAsia="宋体" w:hint="default"/>
                <w:sz w:val="18"/>
                <w:szCs w:val="18"/>
              </w:rPr>
              <w:t>V2.0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宋体" w:hAnsi="宋体" w:cs="宋体" w:eastAsia="宋体" w:hint="default"/>
                <w:sz w:val="18"/>
                <w:szCs w:val="18"/>
              </w:rPr>
            </w:pPr>
            <w:r>
              <w:rPr>
                <w:rFonts w:ascii="宋体"/>
                <w:spacing w:val="-1"/>
                <w:sz w:val="18"/>
              </w:rPr>
              <w:t>1,591,406.53</w:t>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1"/>
              <w:jc w:val="left"/>
              <w:rPr>
                <w:rFonts w:ascii="宋体" w:hAnsi="宋体" w:cs="宋体" w:eastAsia="宋体" w:hint="default"/>
                <w:sz w:val="18"/>
                <w:szCs w:val="18"/>
              </w:rPr>
            </w:pPr>
            <w:r>
              <w:rPr>
                <w:rFonts w:ascii="宋体" w:hAnsi="宋体" w:cs="宋体" w:eastAsia="宋体" w:hint="default"/>
                <w:sz w:val="18"/>
                <w:szCs w:val="18"/>
              </w:rPr>
              <w:t>集合人脸采集、电子信息采集、语音交互、自主巡逻等 功能于一体的移动式安防设备。</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715"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94"/>
              <w:jc w:val="left"/>
              <w:rPr>
                <w:rFonts w:ascii="宋体" w:hAnsi="宋体" w:cs="宋体" w:eastAsia="宋体" w:hint="default"/>
                <w:sz w:val="18"/>
                <w:szCs w:val="18"/>
              </w:rPr>
            </w:pPr>
            <w:r>
              <w:rPr>
                <w:rFonts w:ascii="宋体" w:hAnsi="宋体" w:cs="宋体" w:eastAsia="宋体" w:hint="default"/>
                <w:sz w:val="18"/>
                <w:szCs w:val="18"/>
              </w:rPr>
              <w:t>分析大师可视化智能分析 系统</w:t>
            </w:r>
            <w:r>
              <w:rPr>
                <w:rFonts w:ascii="宋体" w:hAnsi="宋体" w:cs="宋体" w:eastAsia="宋体" w:hint="default"/>
                <w:spacing w:val="-44"/>
                <w:sz w:val="18"/>
                <w:szCs w:val="18"/>
              </w:rPr>
              <w:t> </w:t>
            </w:r>
            <w:r>
              <w:rPr>
                <w:rFonts w:ascii="宋体" w:hAnsi="宋体" w:cs="宋体" w:eastAsia="宋体" w:hint="default"/>
                <w:sz w:val="18"/>
                <w:szCs w:val="18"/>
              </w:rPr>
              <w:t>V1.0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8"/>
              <w:jc w:val="right"/>
              <w:rPr>
                <w:rFonts w:ascii="宋体" w:hAnsi="宋体" w:cs="宋体" w:eastAsia="宋体" w:hint="default"/>
                <w:sz w:val="18"/>
                <w:szCs w:val="18"/>
              </w:rPr>
            </w:pPr>
            <w:r>
              <w:rPr>
                <w:rFonts w:ascii="宋体"/>
                <w:spacing w:val="-1"/>
                <w:sz w:val="18"/>
              </w:rPr>
              <w:t>1,367,958.95</w:t>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110"/>
              <w:jc w:val="left"/>
              <w:rPr>
                <w:rFonts w:ascii="宋体" w:hAnsi="宋体" w:cs="宋体" w:eastAsia="宋体" w:hint="default"/>
                <w:sz w:val="18"/>
                <w:szCs w:val="18"/>
              </w:rPr>
            </w:pPr>
            <w:r>
              <w:rPr>
                <w:rFonts w:ascii="宋体" w:hAnsi="宋体" w:cs="宋体" w:eastAsia="宋体" w:hint="default"/>
                <w:spacing w:val="-2"/>
                <w:sz w:val="18"/>
                <w:szCs w:val="18"/>
              </w:rPr>
              <w:t>一款具备智能分析、多维分析、可视化分析等强大功能</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针对结构化数据文件进行可视化智能分析系统。</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196" w:lineRule="exact" w:before="51"/>
              <w:ind w:left="-123"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96" w:lineRule="exact"/>
              <w:ind w:left="23" w:right="0"/>
              <w:jc w:val="left"/>
              <w:rPr>
                <w:rFonts w:ascii="宋体" w:hAnsi="宋体" w:cs="宋体" w:eastAsia="宋体" w:hint="default"/>
                <w:sz w:val="18"/>
                <w:szCs w:val="18"/>
              </w:rPr>
            </w:pPr>
            <w:r>
              <w:rPr>
                <w:rFonts w:ascii="宋体" w:hAnsi="宋体" w:cs="宋体" w:eastAsia="宋体" w:hint="default"/>
                <w:sz w:val="18"/>
                <w:szCs w:val="18"/>
              </w:rPr>
              <w:t>完结</w:t>
            </w:r>
          </w:p>
        </w:tc>
      </w:tr>
      <w:tr>
        <w:trPr>
          <w:trHeight w:val="1025"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汽车取证大师</w:t>
            </w:r>
            <w:r>
              <w:rPr>
                <w:rFonts w:ascii="宋体" w:hAnsi="宋体" w:cs="宋体" w:eastAsia="宋体" w:hint="default"/>
                <w:spacing w:val="-44"/>
                <w:sz w:val="18"/>
                <w:szCs w:val="18"/>
              </w:rPr>
              <w:t> </w:t>
            </w:r>
            <w:r>
              <w:rPr>
                <w:rFonts w:ascii="宋体" w:hAnsi="宋体" w:cs="宋体" w:eastAsia="宋体" w:hint="default"/>
                <w:sz w:val="18"/>
                <w:szCs w:val="18"/>
              </w:rPr>
              <w:t>V1.0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8"/>
              <w:jc w:val="right"/>
              <w:rPr>
                <w:rFonts w:ascii="宋体" w:hAnsi="宋体" w:cs="宋体" w:eastAsia="宋体" w:hint="default"/>
                <w:sz w:val="18"/>
                <w:szCs w:val="18"/>
              </w:rPr>
            </w:pPr>
            <w:r>
              <w:rPr>
                <w:rFonts w:ascii="宋体"/>
                <w:spacing w:val="-1"/>
                <w:sz w:val="18"/>
              </w:rPr>
              <w:t>487,724.27</w:t>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1"/>
              <w:jc w:val="both"/>
              <w:rPr>
                <w:rFonts w:ascii="宋体" w:hAnsi="宋体" w:cs="宋体" w:eastAsia="宋体" w:hint="default"/>
                <w:sz w:val="18"/>
                <w:szCs w:val="18"/>
              </w:rPr>
            </w:pPr>
            <w:r>
              <w:rPr>
                <w:rFonts w:ascii="宋体" w:hAnsi="宋体" w:cs="宋体" w:eastAsia="宋体" w:hint="default"/>
                <w:sz w:val="18"/>
                <w:szCs w:val="18"/>
              </w:rPr>
              <w:t>一款运用新一代取证技术对车辆数据进行全面提取，分 析用户行为痕迹，追踪车辆足迹以及还原事故现场等全 能便携的汽车取证装备。</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完结</w:t>
            </w:r>
          </w:p>
        </w:tc>
      </w:tr>
      <w:tr>
        <w:trPr>
          <w:trHeight w:val="1027"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汽车取证大师</w:t>
            </w:r>
            <w:r>
              <w:rPr>
                <w:rFonts w:ascii="宋体" w:hAnsi="宋体" w:cs="宋体" w:eastAsia="宋体" w:hint="default"/>
                <w:spacing w:val="-44"/>
                <w:sz w:val="18"/>
                <w:szCs w:val="18"/>
              </w:rPr>
              <w:t> </w:t>
            </w:r>
            <w:r>
              <w:rPr>
                <w:rFonts w:ascii="宋体" w:hAnsi="宋体" w:cs="宋体" w:eastAsia="宋体" w:hint="default"/>
                <w:sz w:val="18"/>
                <w:szCs w:val="18"/>
              </w:rPr>
              <w:t>V2.0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8"/>
              <w:jc w:val="right"/>
              <w:rPr>
                <w:rFonts w:ascii="宋体" w:hAnsi="宋体" w:cs="宋体" w:eastAsia="宋体" w:hint="default"/>
                <w:sz w:val="18"/>
                <w:szCs w:val="18"/>
              </w:rPr>
            </w:pPr>
            <w:r>
              <w:rPr>
                <w:rFonts w:ascii="宋体"/>
                <w:spacing w:val="-1"/>
                <w:sz w:val="18"/>
              </w:rPr>
              <w:t>1,329,112.85</w:t>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71"/>
              <w:jc w:val="both"/>
              <w:rPr>
                <w:rFonts w:ascii="宋体" w:hAnsi="宋体" w:cs="宋体" w:eastAsia="宋体" w:hint="default"/>
                <w:sz w:val="18"/>
                <w:szCs w:val="18"/>
              </w:rPr>
            </w:pPr>
            <w:r>
              <w:rPr>
                <w:rFonts w:ascii="宋体" w:hAnsi="宋体" w:cs="宋体" w:eastAsia="宋体" w:hint="default"/>
                <w:sz w:val="18"/>
                <w:szCs w:val="18"/>
              </w:rPr>
              <w:t>一款支持汽车信息娱乐导航系统取证、电子控制单元取 证、大型车辆行驶系统取证、行车记录仪取证等全能便 携的汽车取证装备。</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完结</w:t>
            </w:r>
          </w:p>
        </w:tc>
      </w:tr>
      <w:tr>
        <w:trPr>
          <w:trHeight w:val="713"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互联网信息应急指挥系统</w:t>
            </w:r>
          </w:p>
          <w:p>
            <w:pPr>
              <w:pStyle w:val="TableParagraph"/>
              <w:spacing w:line="240" w:lineRule="auto" w:before="76"/>
              <w:ind w:left="24" w:right="0"/>
              <w:jc w:val="left"/>
              <w:rPr>
                <w:rFonts w:ascii="宋体" w:hAnsi="宋体" w:cs="宋体" w:eastAsia="宋体" w:hint="default"/>
                <w:sz w:val="18"/>
                <w:szCs w:val="18"/>
              </w:rPr>
            </w:pPr>
            <w:r>
              <w:rPr>
                <w:rFonts w:ascii="宋体"/>
                <w:sz w:val="18"/>
              </w:rPr>
              <w:t>V3.0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宋体" w:hAnsi="宋体" w:cs="宋体" w:eastAsia="宋体" w:hint="default"/>
                <w:sz w:val="18"/>
                <w:szCs w:val="18"/>
              </w:rPr>
            </w:pPr>
            <w:r>
              <w:rPr>
                <w:rFonts w:ascii="宋体"/>
                <w:spacing w:val="-1"/>
                <w:sz w:val="18"/>
              </w:rPr>
              <w:t>1,128,511.02</w:t>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10"/>
              <w:jc w:val="left"/>
              <w:rPr>
                <w:rFonts w:ascii="宋体" w:hAnsi="宋体" w:cs="宋体" w:eastAsia="宋体" w:hint="default"/>
                <w:sz w:val="18"/>
                <w:szCs w:val="18"/>
              </w:rPr>
            </w:pPr>
            <w:r>
              <w:rPr>
                <w:rFonts w:ascii="宋体" w:hAnsi="宋体" w:cs="宋体" w:eastAsia="宋体" w:hint="default"/>
                <w:spacing w:val="-2"/>
                <w:sz w:val="18"/>
                <w:szCs w:val="18"/>
              </w:rPr>
              <w:t>一款通过大数据技术，致力于解决海量信息发现、分析</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收集、整理等功能的行业解决方案产品。</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196" w:lineRule="exact" w:before="49"/>
              <w:ind w:left="-123"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96" w:lineRule="exact"/>
              <w:ind w:left="23" w:right="0"/>
              <w:jc w:val="left"/>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715"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智慧管理平台</w:t>
            </w:r>
            <w:r>
              <w:rPr>
                <w:rFonts w:ascii="宋体" w:hAnsi="宋体" w:cs="宋体" w:eastAsia="宋体" w:hint="default"/>
                <w:spacing w:val="-44"/>
                <w:sz w:val="18"/>
                <w:szCs w:val="18"/>
              </w:rPr>
              <w:t> </w:t>
            </w:r>
            <w:r>
              <w:rPr>
                <w:rFonts w:ascii="宋体" w:hAnsi="宋体" w:cs="宋体" w:eastAsia="宋体" w:hint="default"/>
                <w:sz w:val="18"/>
                <w:szCs w:val="18"/>
              </w:rPr>
              <w:t>V1.0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8"/>
              <w:jc w:val="right"/>
              <w:rPr>
                <w:rFonts w:ascii="宋体" w:hAnsi="宋体" w:cs="宋体" w:eastAsia="宋体" w:hint="default"/>
                <w:sz w:val="18"/>
                <w:szCs w:val="18"/>
              </w:rPr>
            </w:pPr>
            <w:r>
              <w:rPr>
                <w:rFonts w:ascii="宋体"/>
                <w:spacing w:val="-1"/>
                <w:sz w:val="18"/>
              </w:rPr>
              <w:t>1,085,988.24</w:t>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71"/>
              <w:jc w:val="left"/>
              <w:rPr>
                <w:rFonts w:ascii="宋体" w:hAnsi="宋体" w:cs="宋体" w:eastAsia="宋体" w:hint="default"/>
                <w:sz w:val="18"/>
                <w:szCs w:val="18"/>
              </w:rPr>
            </w:pPr>
            <w:r>
              <w:rPr>
                <w:rFonts w:ascii="宋体" w:hAnsi="宋体" w:cs="宋体" w:eastAsia="宋体" w:hint="default"/>
                <w:sz w:val="18"/>
                <w:szCs w:val="18"/>
              </w:rPr>
              <w:t>一款集成专业应用、构建类案模型、精准发现的智慧应 用体系为主的管理类综合平台。</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完结</w:t>
            </w:r>
          </w:p>
        </w:tc>
      </w:tr>
      <w:tr>
        <w:trPr>
          <w:trHeight w:val="713"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社交媒体网评系统 </w:t>
            </w:r>
            <w:r>
              <w:rPr>
                <w:rFonts w:ascii="宋体" w:hAnsi="宋体" w:cs="宋体" w:eastAsia="宋体" w:hint="default"/>
                <w:sz w:val="18"/>
                <w:szCs w:val="18"/>
              </w:rPr>
              <w:t>V1</w:t>
            </w:r>
            <w:r>
              <w:rPr>
                <w:rFonts w:ascii="宋体" w:hAnsi="宋体" w:cs="宋体" w:eastAsia="宋体" w:hint="default"/>
                <w:spacing w:val="-48"/>
                <w:sz w:val="18"/>
                <w:szCs w:val="18"/>
              </w:rPr>
              <w:t> </w:t>
            </w:r>
            <w:r>
              <w:rPr>
                <w:rFonts w:ascii="宋体" w:hAnsi="宋体" w:cs="宋体" w:eastAsia="宋体" w:hint="default"/>
                <w:sz w:val="18"/>
                <w:szCs w:val="18"/>
              </w:rPr>
              <w:t>.0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宋体" w:hAnsi="宋体" w:cs="宋体" w:eastAsia="宋体" w:hint="default"/>
                <w:sz w:val="18"/>
                <w:szCs w:val="18"/>
              </w:rPr>
            </w:pPr>
            <w:r>
              <w:rPr>
                <w:rFonts w:ascii="宋体"/>
                <w:spacing w:val="-1"/>
                <w:sz w:val="18"/>
              </w:rPr>
              <w:t>1,021,421.52</w:t>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58"/>
              <w:jc w:val="left"/>
              <w:rPr>
                <w:rFonts w:ascii="宋体" w:hAnsi="宋体" w:cs="宋体" w:eastAsia="宋体" w:hint="default"/>
                <w:sz w:val="18"/>
                <w:szCs w:val="18"/>
              </w:rPr>
            </w:pPr>
            <w:r>
              <w:rPr>
                <w:rFonts w:ascii="宋体" w:hAnsi="宋体" w:cs="宋体" w:eastAsia="宋体" w:hint="default"/>
                <w:sz w:val="18"/>
                <w:szCs w:val="18"/>
              </w:rPr>
              <w:t>一款贴合基层的实战需要</w:t>
            </w:r>
            <w:r>
              <w:rPr>
                <w:rFonts w:ascii="宋体" w:hAnsi="宋体" w:cs="宋体" w:eastAsia="宋体" w:hint="default"/>
                <w:sz w:val="18"/>
                <w:szCs w:val="18"/>
              </w:rPr>
              <w:t>,</w:t>
            </w:r>
            <w:r>
              <w:rPr>
                <w:rFonts w:ascii="宋体" w:hAnsi="宋体" w:cs="宋体" w:eastAsia="宋体" w:hint="default"/>
                <w:sz w:val="18"/>
                <w:szCs w:val="18"/>
              </w:rPr>
              <w:t>提升舆情治理能力的应用系 统。</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完结</w:t>
            </w:r>
          </w:p>
        </w:tc>
      </w:tr>
      <w:tr>
        <w:trPr>
          <w:trHeight w:val="1027"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信息分析实战管理平台</w:t>
            </w:r>
          </w:p>
          <w:p>
            <w:pPr>
              <w:pStyle w:val="TableParagraph"/>
              <w:spacing w:line="240" w:lineRule="auto" w:before="74"/>
              <w:ind w:left="24" w:right="0"/>
              <w:jc w:val="left"/>
              <w:rPr>
                <w:rFonts w:ascii="宋体" w:hAnsi="宋体" w:cs="宋体" w:eastAsia="宋体" w:hint="default"/>
                <w:sz w:val="18"/>
                <w:szCs w:val="18"/>
              </w:rPr>
            </w:pPr>
            <w:r>
              <w:rPr>
                <w:rFonts w:ascii="宋体"/>
                <w:sz w:val="18"/>
              </w:rPr>
              <w:t>V2.0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8"/>
              <w:jc w:val="right"/>
              <w:rPr>
                <w:rFonts w:ascii="宋体" w:hAnsi="宋体" w:cs="宋体" w:eastAsia="宋体" w:hint="default"/>
                <w:sz w:val="18"/>
                <w:szCs w:val="18"/>
              </w:rPr>
            </w:pPr>
            <w:r>
              <w:rPr>
                <w:rFonts w:ascii="宋体"/>
                <w:spacing w:val="-1"/>
                <w:sz w:val="18"/>
              </w:rPr>
              <w:t>924,127.09</w:t>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71"/>
              <w:jc w:val="both"/>
              <w:rPr>
                <w:rFonts w:ascii="宋体" w:hAnsi="宋体" w:cs="宋体" w:eastAsia="宋体" w:hint="default"/>
                <w:sz w:val="18"/>
                <w:szCs w:val="18"/>
              </w:rPr>
            </w:pPr>
            <w:r>
              <w:rPr>
                <w:rFonts w:ascii="宋体" w:hAnsi="宋体" w:cs="宋体" w:eastAsia="宋体" w:hint="default"/>
                <w:sz w:val="18"/>
                <w:szCs w:val="18"/>
              </w:rPr>
              <w:t>一个以大数据为基座，汇聚互联网数据，政务数据，第 三方数据的行业应用平台，实现对宏观态势智能感知， 线索发现，监测预警等全方面功能应用平台。</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713"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手机云勘大师系统</w:t>
            </w:r>
            <w:r>
              <w:rPr>
                <w:rFonts w:ascii="宋体" w:hAnsi="宋体" w:cs="宋体" w:eastAsia="宋体" w:hint="default"/>
                <w:spacing w:val="-44"/>
                <w:sz w:val="18"/>
                <w:szCs w:val="18"/>
              </w:rPr>
              <w:t> </w:t>
            </w:r>
            <w:r>
              <w:rPr>
                <w:rFonts w:ascii="宋体" w:hAnsi="宋体" w:cs="宋体" w:eastAsia="宋体" w:hint="default"/>
                <w:sz w:val="18"/>
                <w:szCs w:val="18"/>
              </w:rPr>
              <w:t>V2.2</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宋体" w:hAnsi="宋体" w:cs="宋体" w:eastAsia="宋体" w:hint="default"/>
                <w:sz w:val="18"/>
                <w:szCs w:val="18"/>
              </w:rPr>
            </w:pPr>
            <w:r>
              <w:rPr>
                <w:rFonts w:ascii="宋体"/>
                <w:spacing w:val="-1"/>
                <w:sz w:val="18"/>
              </w:rPr>
              <w:t>849,955.36</w:t>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1"/>
              <w:jc w:val="left"/>
              <w:rPr>
                <w:rFonts w:ascii="宋体" w:hAnsi="宋体" w:cs="宋体" w:eastAsia="宋体" w:hint="default"/>
                <w:sz w:val="18"/>
                <w:szCs w:val="18"/>
              </w:rPr>
            </w:pPr>
            <w:r>
              <w:rPr>
                <w:rFonts w:ascii="宋体" w:hAnsi="宋体" w:cs="宋体" w:eastAsia="宋体" w:hint="default"/>
                <w:sz w:val="18"/>
                <w:szCs w:val="18"/>
              </w:rPr>
              <w:t>一款能够将手机</w:t>
            </w:r>
            <w:r>
              <w:rPr>
                <w:rFonts w:ascii="宋体" w:hAnsi="宋体" w:cs="宋体" w:eastAsia="宋体" w:hint="default"/>
                <w:spacing w:val="-47"/>
                <w:sz w:val="18"/>
                <w:szCs w:val="18"/>
              </w:rPr>
              <w:t> </w:t>
            </w:r>
            <w:r>
              <w:rPr>
                <w:rFonts w:ascii="宋体" w:hAnsi="宋体" w:cs="宋体" w:eastAsia="宋体" w:hint="default"/>
                <w:sz w:val="18"/>
                <w:szCs w:val="18"/>
              </w:rPr>
              <w:t>APP</w:t>
            </w:r>
            <w:r>
              <w:rPr>
                <w:rFonts w:ascii="宋体" w:hAnsi="宋体" w:cs="宋体" w:eastAsia="宋体" w:hint="default"/>
                <w:spacing w:val="-46"/>
                <w:sz w:val="18"/>
                <w:szCs w:val="18"/>
              </w:rPr>
              <w:t> </w:t>
            </w:r>
            <w:r>
              <w:rPr>
                <w:rFonts w:ascii="宋体" w:hAnsi="宋体" w:cs="宋体" w:eastAsia="宋体" w:hint="default"/>
                <w:sz w:val="18"/>
                <w:szCs w:val="18"/>
              </w:rPr>
              <w:t>云端的数据进行解析，支持逾百种 手机应用程序解析和恢复的系统平台。</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完结</w:t>
            </w:r>
          </w:p>
        </w:tc>
      </w:tr>
      <w:tr>
        <w:trPr>
          <w:trHeight w:val="715"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电子物证快速勘查系统</w:t>
            </w:r>
          </w:p>
          <w:p>
            <w:pPr>
              <w:pStyle w:val="TableParagraph"/>
              <w:spacing w:line="240" w:lineRule="auto" w:before="74"/>
              <w:ind w:left="24" w:right="0"/>
              <w:jc w:val="left"/>
              <w:rPr>
                <w:rFonts w:ascii="宋体" w:hAnsi="宋体" w:cs="宋体" w:eastAsia="宋体" w:hint="default"/>
                <w:sz w:val="18"/>
                <w:szCs w:val="18"/>
              </w:rPr>
            </w:pPr>
            <w:r>
              <w:rPr>
                <w:rFonts w:ascii="宋体"/>
                <w:sz w:val="18"/>
              </w:rPr>
              <w:t>V1.0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8"/>
              <w:jc w:val="right"/>
              <w:rPr>
                <w:rFonts w:ascii="宋体" w:hAnsi="宋体" w:cs="宋体" w:eastAsia="宋体" w:hint="default"/>
                <w:sz w:val="18"/>
                <w:szCs w:val="18"/>
              </w:rPr>
            </w:pPr>
            <w:r>
              <w:rPr>
                <w:rFonts w:ascii="宋体"/>
                <w:spacing w:val="-1"/>
                <w:sz w:val="18"/>
              </w:rPr>
              <w:t>761,511.65</w:t>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一款用于现场电子物证的勘查的手持式快速勘查设备。</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完结</w:t>
            </w:r>
          </w:p>
        </w:tc>
      </w:tr>
      <w:tr>
        <w:trPr>
          <w:trHeight w:val="1337"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智慧警务应用平台</w:t>
            </w:r>
            <w:r>
              <w:rPr>
                <w:rFonts w:ascii="宋体" w:hAnsi="宋体" w:cs="宋体" w:eastAsia="宋体" w:hint="default"/>
                <w:spacing w:val="-44"/>
                <w:sz w:val="18"/>
                <w:szCs w:val="18"/>
              </w:rPr>
              <w:t> </w:t>
            </w:r>
            <w:r>
              <w:rPr>
                <w:rFonts w:ascii="宋体" w:hAnsi="宋体" w:cs="宋体" w:eastAsia="宋体" w:hint="default"/>
                <w:sz w:val="18"/>
                <w:szCs w:val="18"/>
              </w:rPr>
              <w:t>V1.0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right="18"/>
              <w:jc w:val="right"/>
              <w:rPr>
                <w:rFonts w:ascii="宋体" w:hAnsi="宋体" w:cs="宋体" w:eastAsia="宋体" w:hint="default"/>
                <w:sz w:val="18"/>
                <w:szCs w:val="18"/>
              </w:rPr>
            </w:pPr>
            <w:r>
              <w:rPr>
                <w:rFonts w:ascii="宋体"/>
                <w:spacing w:val="-1"/>
                <w:sz w:val="18"/>
              </w:rPr>
              <w:t>444,761.28</w:t>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1"/>
              <w:jc w:val="both"/>
              <w:rPr>
                <w:rFonts w:ascii="宋体" w:hAnsi="宋体" w:cs="宋体" w:eastAsia="宋体" w:hint="default"/>
                <w:sz w:val="18"/>
                <w:szCs w:val="18"/>
              </w:rPr>
            </w:pPr>
            <w:r>
              <w:rPr>
                <w:rFonts w:ascii="宋体" w:hAnsi="宋体" w:cs="宋体" w:eastAsia="宋体" w:hint="default"/>
                <w:sz w:val="18"/>
                <w:szCs w:val="18"/>
              </w:rPr>
              <w:t>一款基于数据的汇聚、治理、开发与管理，提供数据规 划，数据集成，数据管控等核心功能，不断挖掘数据价 值，支持大数据时代的数据资产管理和增值发展的综合 性平台。</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完结</w:t>
            </w:r>
          </w:p>
        </w:tc>
      </w:tr>
      <w:tr>
        <w:trPr>
          <w:trHeight w:val="715"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信息传输系统</w:t>
            </w:r>
            <w:r>
              <w:rPr>
                <w:rFonts w:ascii="宋体" w:hAnsi="宋体" w:cs="宋体" w:eastAsia="宋体" w:hint="default"/>
                <w:spacing w:val="-44"/>
                <w:sz w:val="18"/>
                <w:szCs w:val="18"/>
              </w:rPr>
              <w:t> </w:t>
            </w:r>
            <w:r>
              <w:rPr>
                <w:rFonts w:ascii="宋体" w:hAnsi="宋体" w:cs="宋体" w:eastAsia="宋体" w:hint="default"/>
                <w:sz w:val="18"/>
                <w:szCs w:val="18"/>
              </w:rPr>
              <w:t>V6.0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8"/>
              <w:jc w:val="right"/>
              <w:rPr>
                <w:rFonts w:ascii="宋体" w:hAnsi="宋体" w:cs="宋体" w:eastAsia="宋体" w:hint="default"/>
                <w:sz w:val="18"/>
                <w:szCs w:val="18"/>
              </w:rPr>
            </w:pPr>
            <w:r>
              <w:rPr>
                <w:rFonts w:ascii="宋体"/>
                <w:spacing w:val="-1"/>
                <w:sz w:val="18"/>
              </w:rPr>
              <w:t>438,570.36</w:t>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71"/>
              <w:jc w:val="left"/>
              <w:rPr>
                <w:rFonts w:ascii="宋体" w:hAnsi="宋体" w:cs="宋体" w:eastAsia="宋体" w:hint="default"/>
                <w:sz w:val="18"/>
                <w:szCs w:val="18"/>
              </w:rPr>
            </w:pPr>
            <w:r>
              <w:rPr>
                <w:rFonts w:ascii="宋体" w:hAnsi="宋体" w:cs="宋体" w:eastAsia="宋体" w:hint="default"/>
                <w:sz w:val="18"/>
                <w:szCs w:val="18"/>
              </w:rPr>
              <w:t>一款采用先进的模块化设计和高效的数据分发技术，实 现数据传输的产品。</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1027" w:hRule="exact"/>
        </w:trPr>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税采先锋数据采集系统</w:t>
            </w:r>
          </w:p>
          <w:p>
            <w:pPr>
              <w:pStyle w:val="TableParagraph"/>
              <w:spacing w:line="240" w:lineRule="auto" w:before="76"/>
              <w:ind w:left="24" w:right="0"/>
              <w:jc w:val="left"/>
              <w:rPr>
                <w:rFonts w:ascii="宋体" w:hAnsi="宋体" w:cs="宋体" w:eastAsia="宋体" w:hint="default"/>
                <w:sz w:val="18"/>
                <w:szCs w:val="18"/>
              </w:rPr>
            </w:pPr>
            <w:r>
              <w:rPr>
                <w:rFonts w:ascii="宋体"/>
                <w:sz w:val="18"/>
              </w:rPr>
              <w:t>V1.1</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8"/>
              <w:jc w:val="right"/>
              <w:rPr>
                <w:rFonts w:ascii="宋体" w:hAnsi="宋体" w:cs="宋体" w:eastAsia="宋体" w:hint="default"/>
                <w:sz w:val="18"/>
                <w:szCs w:val="18"/>
              </w:rPr>
            </w:pPr>
            <w:r>
              <w:rPr>
                <w:rFonts w:ascii="宋体"/>
                <w:spacing w:val="-1"/>
                <w:sz w:val="18"/>
              </w:rPr>
              <w:t>350,207.96</w:t>
            </w:r>
          </w:p>
        </w:tc>
        <w:tc>
          <w:tcPr>
            <w:tcW w:w="44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1"/>
              <w:jc w:val="both"/>
              <w:rPr>
                <w:rFonts w:ascii="宋体" w:hAnsi="宋体" w:cs="宋体" w:eastAsia="宋体" w:hint="default"/>
                <w:sz w:val="18"/>
                <w:szCs w:val="18"/>
              </w:rPr>
            </w:pPr>
            <w:r>
              <w:rPr>
                <w:rFonts w:ascii="宋体" w:hAnsi="宋体" w:cs="宋体" w:eastAsia="宋体" w:hint="default"/>
                <w:sz w:val="18"/>
                <w:szCs w:val="18"/>
              </w:rPr>
              <w:t>一款专为税务执法人员提供快速筛查及数据提取设计的 便携设备，形成一款集账务数据、电子数据采集与一身 的高效率、便携的产品。</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完结</w:t>
            </w:r>
          </w:p>
        </w:tc>
      </w:tr>
    </w:tbl>
    <w:p>
      <w:pPr>
        <w:spacing w:after="0" w:line="240"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18"/>
          <w:szCs w:val="18"/>
        </w:rPr>
      </w:pPr>
    </w:p>
    <w:p>
      <w:pPr>
        <w:pStyle w:val="BodyText"/>
        <w:spacing w:line="408" w:lineRule="auto" w:before="0"/>
        <w:ind w:left="572" w:right="986"/>
        <w:jc w:val="left"/>
      </w:pPr>
      <w:r>
        <w:rPr/>
        <w:t>公司将内部研究开发项目的支出，区分为研究阶段支出和开发阶段支出。</w:t>
      </w:r>
      <w:r>
        <w:rPr>
          <w:w w:val="100"/>
        </w:rPr>
        <w:t> </w:t>
      </w:r>
      <w:r>
        <w:rPr/>
        <w:t>研究阶段的支出，于发生时计入当期损益。</w:t>
      </w:r>
      <w:r>
        <w:rPr>
          <w:w w:val="100"/>
        </w:rPr>
        <w:t> </w:t>
      </w:r>
      <w:r>
        <w:rPr>
          <w:spacing w:val="-2"/>
        </w:rPr>
        <w:t>开发阶段的支出，同时满足下列条件的，才能予以资本化，即：完成该无形资产以使其能够使用或出</w:t>
      </w:r>
    </w:p>
    <w:p>
      <w:pPr>
        <w:pStyle w:val="BodyText"/>
        <w:spacing w:line="408" w:lineRule="auto"/>
        <w:ind w:right="1128"/>
        <w:jc w:val="both"/>
      </w:pPr>
      <w:r>
        <w:rPr>
          <w:spacing w:val="-2"/>
        </w:rPr>
        <w:t>售在技术上具有可行性；具有完成该无形资产并使用或出售的意图；无形资产产生经济利益的方式，包括</w:t>
      </w:r>
      <w:r>
        <w:rPr>
          <w:spacing w:val="-43"/>
        </w:rPr>
        <w:t> </w:t>
      </w:r>
      <w:r>
        <w:rPr>
          <w:spacing w:val="-43"/>
        </w:rPr>
      </w:r>
      <w:r>
        <w:rPr>
          <w:spacing w:val="-2"/>
        </w:rPr>
        <w:t>能够证明运用该无形资产生产的产品存在市场或无形资产自身存在市场，无形资产将在内部使用的，能够</w:t>
      </w:r>
      <w:r>
        <w:rPr>
          <w:spacing w:val="-42"/>
        </w:rPr>
        <w:t> </w:t>
      </w:r>
      <w:r>
        <w:rPr>
          <w:spacing w:val="-42"/>
        </w:rPr>
      </w:r>
      <w:r>
        <w:rPr>
          <w:spacing w:val="-2"/>
        </w:rPr>
        <w:t>证明其有用性；有足够的技术、财务资源和其他资源支持，以完成该无形资产的开发，并有能力使用或出</w:t>
      </w:r>
      <w:r>
        <w:rPr>
          <w:spacing w:val="-50"/>
        </w:rPr>
        <w:t> </w:t>
      </w:r>
      <w:r>
        <w:rPr>
          <w:spacing w:val="-50"/>
        </w:rPr>
      </w:r>
      <w:r>
        <w:rPr>
          <w:spacing w:val="-2"/>
        </w:rPr>
        <w:t>售该无形资产；归属于该无形资产开发阶段的支出能够可靠地计量。不满足上述条件的开发支出计入当期</w:t>
      </w:r>
      <w:r>
        <w:rPr>
          <w:spacing w:val="-42"/>
        </w:rPr>
        <w:t> </w:t>
      </w:r>
      <w:r>
        <w:rPr>
          <w:spacing w:val="-42"/>
        </w:rPr>
      </w:r>
      <w:r>
        <w:rPr/>
        <w:t>损益。</w:t>
      </w:r>
    </w:p>
    <w:p>
      <w:pPr>
        <w:pStyle w:val="BodyText"/>
        <w:spacing w:line="408" w:lineRule="auto"/>
        <w:ind w:right="986" w:firstLine="420"/>
        <w:jc w:val="left"/>
      </w:pPr>
      <w:r>
        <w:rPr>
          <w:spacing w:val="-2"/>
        </w:rPr>
        <w:t>公司研究开发项目在满足上述条件，通过技术可行性及经济可行性研究，形成项目立项后，进入开发</w:t>
      </w:r>
      <w:r>
        <w:rPr>
          <w:spacing w:val="-3"/>
          <w:w w:val="100"/>
        </w:rPr>
        <w:t> </w:t>
      </w:r>
      <w:r>
        <w:rPr/>
        <w:t>阶段。</w:t>
      </w:r>
    </w:p>
    <w:p>
      <w:pPr>
        <w:pStyle w:val="BodyText"/>
        <w:spacing w:line="408" w:lineRule="auto"/>
        <w:ind w:right="986" w:firstLine="420"/>
        <w:jc w:val="left"/>
      </w:pPr>
      <w:r>
        <w:rPr>
          <w:spacing w:val="-2"/>
        </w:rPr>
        <w:t>已资本化的开发阶段的支出在资产负债表上列示为开发支出，自该项目达到预定可使用状态之日转为</w:t>
      </w:r>
      <w:r>
        <w:rPr>
          <w:w w:val="100"/>
        </w:rPr>
        <w:t> </w:t>
      </w:r>
      <w:r>
        <w:rPr/>
        <w:t>无形资产。</w:t>
      </w:r>
    </w:p>
    <w:p>
      <w:pPr>
        <w:spacing w:line="240" w:lineRule="auto" w:before="8"/>
        <w:rPr>
          <w:rFonts w:ascii="宋体" w:hAnsi="宋体" w:cs="宋体" w:eastAsia="宋体" w:hint="default"/>
          <w:sz w:val="20"/>
          <w:szCs w:val="20"/>
        </w:rPr>
      </w:pPr>
    </w:p>
    <w:p>
      <w:pPr>
        <w:pStyle w:val="Heading4"/>
        <w:spacing w:line="240" w:lineRule="auto"/>
        <w:ind w:right="0"/>
        <w:jc w:val="both"/>
        <w:rPr>
          <w:b w:val="0"/>
          <w:bCs w:val="0"/>
        </w:rPr>
      </w:pPr>
      <w:bookmarkStart w:name="5、现金流" w:id="37"/>
      <w:bookmarkEnd w:id="37"/>
      <w:r>
        <w:rPr>
          <w:b w:val="0"/>
          <w:bCs w:val="0"/>
        </w:rPr>
      </w:r>
      <w:r>
        <w:rPr>
          <w:rFonts w:ascii="Times New Roman" w:hAnsi="Times New Roman" w:cs="Times New Roman" w:eastAsia="Times New Roman" w:hint="default"/>
        </w:rPr>
        <w:t>5</w:t>
      </w:r>
      <w:r>
        <w:rPr/>
        <w:t>、现金流</w:t>
      </w:r>
      <w:r>
        <w:rPr>
          <w:b w:val="0"/>
          <w:bCs w:val="0"/>
        </w:rPr>
      </w:r>
    </w:p>
    <w:p>
      <w:pPr>
        <w:spacing w:line="240" w:lineRule="auto" w:before="4"/>
        <w:rPr>
          <w:rFonts w:ascii="宋体" w:hAnsi="宋体" w:cs="宋体" w:eastAsia="宋体" w:hint="default"/>
          <w:b/>
          <w:bCs/>
          <w:sz w:val="26"/>
          <w:szCs w:val="26"/>
        </w:rPr>
      </w:pPr>
    </w:p>
    <w:p>
      <w:pPr>
        <w:spacing w:before="0"/>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756"/>
        <w:gridCol w:w="2015"/>
        <w:gridCol w:w="2393"/>
        <w:gridCol w:w="2393"/>
      </w:tblGrid>
      <w:tr>
        <w:trPr>
          <w:trHeight w:val="403" w:hRule="exact"/>
        </w:trPr>
        <w:tc>
          <w:tcPr>
            <w:tcW w:w="2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0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1" w:hRule="exact"/>
        </w:trPr>
        <w:tc>
          <w:tcPr>
            <w:tcW w:w="2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015"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2,283,599,445.39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1,598,792,096.32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42.83%</w:t>
            </w:r>
          </w:p>
        </w:tc>
      </w:tr>
      <w:tr>
        <w:trPr>
          <w:trHeight w:val="403" w:hRule="exact"/>
        </w:trPr>
        <w:tc>
          <w:tcPr>
            <w:tcW w:w="2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015"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1,887,463,526.87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1,526,942,841.65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23.61%</w:t>
            </w:r>
          </w:p>
        </w:tc>
      </w:tr>
      <w:tr>
        <w:trPr>
          <w:trHeight w:val="401" w:hRule="exact"/>
        </w:trPr>
        <w:tc>
          <w:tcPr>
            <w:tcW w:w="2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015"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396,135,918.52</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71,849,254.67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451.34%</w:t>
            </w:r>
          </w:p>
        </w:tc>
      </w:tr>
      <w:tr>
        <w:trPr>
          <w:trHeight w:val="403" w:hRule="exact"/>
        </w:trPr>
        <w:tc>
          <w:tcPr>
            <w:tcW w:w="2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015"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984,611,148.69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870,959,680.27</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13.05%</w:t>
            </w:r>
          </w:p>
        </w:tc>
      </w:tr>
      <w:tr>
        <w:trPr>
          <w:trHeight w:val="401" w:hRule="exact"/>
        </w:trPr>
        <w:tc>
          <w:tcPr>
            <w:tcW w:w="2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015"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878,361,452.84</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843,109,186.73</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4.18%</w:t>
            </w:r>
          </w:p>
        </w:tc>
      </w:tr>
      <w:tr>
        <w:trPr>
          <w:trHeight w:val="403" w:hRule="exact"/>
        </w:trPr>
        <w:tc>
          <w:tcPr>
            <w:tcW w:w="2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2015"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106,249,695.85</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27,850,493.54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281.50%</w:t>
            </w:r>
          </w:p>
        </w:tc>
      </w:tr>
      <w:tr>
        <w:trPr>
          <w:trHeight w:val="401" w:hRule="exact"/>
        </w:trPr>
        <w:tc>
          <w:tcPr>
            <w:tcW w:w="2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015"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84,141,045.00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24,511,880.00</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243.27%</w:t>
            </w:r>
          </w:p>
        </w:tc>
      </w:tr>
      <w:tr>
        <w:trPr>
          <w:trHeight w:val="403" w:hRule="exact"/>
        </w:trPr>
        <w:tc>
          <w:tcPr>
            <w:tcW w:w="2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015"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68,679,636.30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101,775,020.84</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-32.52%</w:t>
            </w:r>
          </w:p>
        </w:tc>
      </w:tr>
      <w:tr>
        <w:trPr>
          <w:trHeight w:val="401" w:hRule="exact"/>
        </w:trPr>
        <w:tc>
          <w:tcPr>
            <w:tcW w:w="2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2015"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15,461,408.70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-77,263,140.84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120.01%</w:t>
            </w:r>
          </w:p>
        </w:tc>
      </w:tr>
      <w:tr>
        <w:trPr>
          <w:trHeight w:val="403" w:hRule="exact"/>
        </w:trPr>
        <w:tc>
          <w:tcPr>
            <w:tcW w:w="2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015"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518,203,323.84</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23,128,691.86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2,140.52%</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相关数据同比发生重大变动的主要影响因素说明</w:t>
      </w:r>
    </w:p>
    <w:p>
      <w:pPr>
        <w:spacing w:before="115"/>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13"/>
          <w:szCs w:val="13"/>
        </w:rPr>
      </w:pPr>
    </w:p>
    <w:p>
      <w:pPr>
        <w:pStyle w:val="BodyText"/>
        <w:spacing w:line="408" w:lineRule="auto" w:before="0"/>
        <w:ind w:right="986" w:firstLine="419"/>
        <w:jc w:val="left"/>
      </w:pPr>
      <w:r>
        <w:rPr>
          <w:spacing w:val="-2"/>
        </w:rPr>
        <w:t>经营活动产生的现金流量净额较去年同期增加</w:t>
      </w:r>
      <w:r>
        <w:rPr>
          <w:rFonts w:ascii="宋体" w:hAnsi="宋体" w:cs="宋体" w:eastAsia="宋体" w:hint="default"/>
          <w:spacing w:val="-2"/>
        </w:rPr>
        <w:t>451.34%</w:t>
      </w:r>
      <w:r>
        <w:rPr>
          <w:spacing w:val="-2"/>
        </w:rPr>
        <w:t>，主要是由于公司加强经营管理，报告期内公</w:t>
      </w:r>
      <w:r>
        <w:rPr>
          <w:w w:val="100"/>
        </w:rPr>
        <w:t> </w:t>
      </w:r>
      <w:r>
        <w:rPr/>
        <w:t>司销售商品、提供劳务收到的现金较去年同期有所增加，以及公司扣非后盈利增加所致。</w:t>
      </w:r>
    </w:p>
    <w:p>
      <w:pPr>
        <w:pStyle w:val="BodyText"/>
        <w:spacing w:line="408" w:lineRule="auto"/>
        <w:ind w:right="986" w:firstLine="419"/>
        <w:jc w:val="left"/>
      </w:pPr>
      <w:r>
        <w:rPr>
          <w:spacing w:val="-2"/>
        </w:rPr>
        <w:t>投资活动产生的现金流量净额较去年同期增加</w:t>
      </w:r>
      <w:r>
        <w:rPr>
          <w:rFonts w:ascii="宋体" w:hAnsi="宋体" w:cs="宋体" w:eastAsia="宋体" w:hint="default"/>
          <w:spacing w:val="-2"/>
        </w:rPr>
        <w:t>281.50%</w:t>
      </w:r>
      <w:r>
        <w:rPr>
          <w:spacing w:val="-2"/>
        </w:rPr>
        <w:t>，主要是由于报告期累计定期存款收回较去年</w:t>
      </w:r>
      <w:r>
        <w:rPr>
          <w:w w:val="100"/>
        </w:rPr>
        <w:t> </w:t>
      </w:r>
      <w:r>
        <w:rPr/>
        <w:t>同期增加所致。</w:t>
      </w:r>
    </w:p>
    <w:p>
      <w:pPr>
        <w:spacing w:after="0" w:line="408"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986" w:firstLine="420"/>
        <w:jc w:val="left"/>
      </w:pPr>
      <w:r>
        <w:rPr>
          <w:spacing w:val="-2"/>
        </w:rPr>
        <w:t>筹资活动现金流量净额较去年同期增加</w:t>
      </w:r>
      <w:r>
        <w:rPr>
          <w:rFonts w:ascii="宋体" w:hAnsi="宋体" w:cs="宋体" w:eastAsia="宋体" w:hint="default"/>
          <w:spacing w:val="-2"/>
        </w:rPr>
        <w:t>9,272.45</w:t>
      </w:r>
      <w:r>
        <w:rPr>
          <w:spacing w:val="-2"/>
        </w:rPr>
        <w:t>万元，主要是由于</w:t>
      </w:r>
      <w:r>
        <w:rPr>
          <w:rFonts w:ascii="宋体" w:hAnsi="宋体" w:cs="宋体" w:eastAsia="宋体" w:hint="default"/>
          <w:spacing w:val="-2"/>
        </w:rPr>
        <w:t>2019</w:t>
      </w:r>
      <w:r>
        <w:rPr>
          <w:spacing w:val="-2"/>
        </w:rPr>
        <w:t>年公司实施新一期股权激励，</w:t>
      </w:r>
      <w:r>
        <w:rPr>
          <w:spacing w:val="-3"/>
          <w:w w:val="100"/>
        </w:rPr>
        <w:t> </w:t>
      </w:r>
      <w:r>
        <w:rPr/>
        <w:t>收到股权激励投资款所致。</w:t>
      </w:r>
    </w:p>
    <w:p>
      <w:pPr>
        <w:spacing w:line="403" w:lineRule="auto" w:before="46"/>
        <w:ind w:left="152" w:right="986" w:firstLine="420"/>
        <w:jc w:val="left"/>
        <w:rPr>
          <w:rFonts w:ascii="宋体" w:hAnsi="宋体" w:cs="宋体" w:eastAsia="宋体" w:hint="default"/>
          <w:sz w:val="18"/>
          <w:szCs w:val="18"/>
        </w:rPr>
      </w:pPr>
      <w:r>
        <w:rPr>
          <w:rFonts w:ascii="宋体" w:hAnsi="宋体" w:cs="宋体" w:eastAsia="宋体" w:hint="default"/>
          <w:sz w:val="21"/>
          <w:szCs w:val="21"/>
        </w:rPr>
        <w:t>现金及现金等价物净增加额较去年同期增加</w:t>
      </w:r>
      <w:r>
        <w:rPr>
          <w:rFonts w:ascii="宋体" w:hAnsi="宋体" w:cs="宋体" w:eastAsia="宋体" w:hint="default"/>
          <w:sz w:val="21"/>
          <w:szCs w:val="21"/>
        </w:rPr>
        <w:t>2,140.52%</w:t>
      </w:r>
      <w:r>
        <w:rPr>
          <w:rFonts w:ascii="宋体" w:hAnsi="宋体" w:cs="宋体" w:eastAsia="宋体" w:hint="default"/>
          <w:sz w:val="21"/>
          <w:szCs w:val="21"/>
        </w:rPr>
        <w:t>，主要是由于经营活动产生的现金流量净额较</w:t>
      </w:r>
      <w:r>
        <w:rPr>
          <w:rFonts w:ascii="宋体" w:hAnsi="宋体" w:cs="宋体" w:eastAsia="宋体" w:hint="default"/>
          <w:spacing w:val="-3"/>
          <w:w w:val="100"/>
          <w:sz w:val="21"/>
          <w:szCs w:val="21"/>
        </w:rPr>
        <w:t> </w:t>
      </w:r>
      <w:r>
        <w:rPr>
          <w:rFonts w:ascii="宋体" w:hAnsi="宋体" w:cs="宋体" w:eastAsia="宋体" w:hint="default"/>
          <w:spacing w:val="-2"/>
          <w:sz w:val="21"/>
          <w:szCs w:val="21"/>
        </w:rPr>
        <w:t>去年同期增加</w:t>
      </w:r>
      <w:r>
        <w:rPr>
          <w:rFonts w:ascii="宋体" w:hAnsi="宋体" w:cs="宋体" w:eastAsia="宋体" w:hint="default"/>
          <w:spacing w:val="-2"/>
          <w:sz w:val="21"/>
          <w:szCs w:val="21"/>
        </w:rPr>
        <w:t>451.34%</w:t>
      </w:r>
      <w:r>
        <w:rPr>
          <w:rFonts w:ascii="宋体" w:hAnsi="宋体" w:cs="宋体" w:eastAsia="宋体" w:hint="default"/>
          <w:spacing w:val="-2"/>
          <w:sz w:val="21"/>
          <w:szCs w:val="21"/>
        </w:rPr>
        <w:t>，投资活动产生的现金流量净额较去年同期增加</w:t>
      </w:r>
      <w:r>
        <w:rPr>
          <w:rFonts w:ascii="宋体" w:hAnsi="宋体" w:cs="宋体" w:eastAsia="宋体" w:hint="default"/>
          <w:spacing w:val="-2"/>
          <w:sz w:val="21"/>
          <w:szCs w:val="21"/>
        </w:rPr>
        <w:t>281.50%</w:t>
      </w:r>
      <w:r>
        <w:rPr>
          <w:rFonts w:ascii="宋体" w:hAnsi="宋体" w:cs="宋体" w:eastAsia="宋体" w:hint="default"/>
          <w:spacing w:val="-2"/>
          <w:sz w:val="21"/>
          <w:szCs w:val="21"/>
        </w:rPr>
        <w:t>，筹资活动产生的现金流量</w:t>
      </w:r>
      <w:r>
        <w:rPr>
          <w:rFonts w:ascii="宋体" w:hAnsi="宋体" w:cs="宋体" w:eastAsia="宋体" w:hint="default"/>
          <w:spacing w:val="-34"/>
          <w:sz w:val="21"/>
          <w:szCs w:val="21"/>
        </w:rPr>
        <w:t> </w:t>
      </w:r>
      <w:r>
        <w:rPr>
          <w:rFonts w:ascii="宋体" w:hAnsi="宋体" w:cs="宋体" w:eastAsia="宋体" w:hint="default"/>
          <w:spacing w:val="-34"/>
          <w:sz w:val="21"/>
          <w:szCs w:val="21"/>
        </w:rPr>
      </w:r>
      <w:r>
        <w:rPr>
          <w:rFonts w:ascii="宋体" w:hAnsi="宋体" w:cs="宋体" w:eastAsia="宋体" w:hint="default"/>
          <w:sz w:val="21"/>
          <w:szCs w:val="21"/>
        </w:rPr>
        <w:t>净额较去年同期增加</w:t>
      </w:r>
      <w:r>
        <w:rPr>
          <w:rFonts w:ascii="宋体" w:hAnsi="宋体" w:cs="宋体" w:eastAsia="宋体" w:hint="default"/>
          <w:sz w:val="21"/>
          <w:szCs w:val="21"/>
        </w:rPr>
        <w:t>9,272.45</w:t>
      </w:r>
      <w:r>
        <w:rPr>
          <w:rFonts w:ascii="宋体" w:hAnsi="宋体" w:cs="宋体" w:eastAsia="宋体" w:hint="default"/>
          <w:sz w:val="21"/>
          <w:szCs w:val="21"/>
        </w:rPr>
        <w:t>万元综合所致。</w:t>
      </w:r>
      <w:r>
        <w:rPr>
          <w:rFonts w:ascii="宋体" w:hAnsi="宋体" w:cs="宋体" w:eastAsia="宋体" w:hint="default"/>
          <w:w w:val="100"/>
          <w:sz w:val="21"/>
          <w:szCs w:val="21"/>
        </w:rPr>
        <w:t> </w:t>
      </w:r>
      <w:r>
        <w:rPr>
          <w:rFonts w:ascii="宋体" w:hAnsi="宋体" w:cs="宋体" w:eastAsia="宋体" w:hint="default"/>
          <w:sz w:val="18"/>
          <w:szCs w:val="18"/>
        </w:rPr>
        <w:t>报告期内公司经营活动产生的现金净流量与本年度净利润存在重大差异的原因说明</w:t>
      </w:r>
    </w:p>
    <w:p>
      <w:pPr>
        <w:spacing w:line="228" w:lineRule="exact"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13"/>
          <w:szCs w:val="13"/>
        </w:rPr>
      </w:pPr>
    </w:p>
    <w:p>
      <w:pPr>
        <w:pStyle w:val="BodyText"/>
        <w:spacing w:line="408" w:lineRule="auto" w:before="0"/>
        <w:ind w:right="986" w:firstLine="420"/>
        <w:jc w:val="left"/>
      </w:pPr>
      <w:r>
        <w:rPr>
          <w:spacing w:val="-2"/>
        </w:rPr>
        <w:t>经营活动产生的现金流量与本年度净利润存在差异的原因主要是：公司损益中扣减了非付现的减值准</w:t>
      </w:r>
      <w:r>
        <w:rPr>
          <w:w w:val="100"/>
        </w:rPr>
        <w:t> </w:t>
      </w:r>
      <w:r>
        <w:rPr/>
        <w:t>备</w:t>
      </w:r>
      <w:r>
        <w:rPr>
          <w:rFonts w:ascii="宋体" w:hAnsi="宋体" w:cs="宋体" w:eastAsia="宋体" w:hint="default"/>
        </w:rPr>
        <w:t>5,354</w:t>
      </w:r>
      <w:r>
        <w:rPr/>
        <w:t>万元及资产折旧摊销</w:t>
      </w:r>
      <w:r>
        <w:rPr>
          <w:rFonts w:ascii="宋体" w:hAnsi="宋体" w:cs="宋体" w:eastAsia="宋体" w:hint="default"/>
        </w:rPr>
        <w:t>7,463</w:t>
      </w:r>
      <w:r>
        <w:rPr/>
        <w:t>万元所致。</w:t>
      </w:r>
    </w:p>
    <w:p>
      <w:pPr>
        <w:spacing w:line="240" w:lineRule="auto" w:before="8"/>
        <w:rPr>
          <w:rFonts w:ascii="宋体" w:hAnsi="宋体" w:cs="宋体" w:eastAsia="宋体" w:hint="default"/>
          <w:sz w:val="18"/>
          <w:szCs w:val="18"/>
        </w:rPr>
      </w:pPr>
    </w:p>
    <w:p>
      <w:pPr>
        <w:pStyle w:val="Heading2"/>
        <w:spacing w:line="240" w:lineRule="auto"/>
        <w:ind w:right="986"/>
        <w:jc w:val="left"/>
        <w:rPr>
          <w:b w:val="0"/>
          <w:bCs w:val="0"/>
        </w:rPr>
      </w:pPr>
      <w:bookmarkStart w:name="三、非主营业务情况" w:id="38"/>
      <w:bookmarkEnd w:id="38"/>
      <w:r>
        <w:rPr>
          <w:b w:val="0"/>
          <w:bCs w:val="0"/>
        </w:rPr>
      </w:r>
      <w:r>
        <w:rPr/>
        <w:t>三、非主营业务情况</w:t>
      </w:r>
      <w:r>
        <w:rPr>
          <w:b w:val="0"/>
          <w:bCs w:val="0"/>
        </w:rPr>
      </w:r>
    </w:p>
    <w:p>
      <w:pPr>
        <w:spacing w:line="240" w:lineRule="auto" w:before="1"/>
        <w:rPr>
          <w:rFonts w:ascii="宋体" w:hAnsi="宋体" w:cs="宋体" w:eastAsia="宋体" w:hint="default"/>
          <w:b/>
          <w:bCs/>
          <w:sz w:val="23"/>
          <w:szCs w:val="23"/>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before="115"/>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277"/>
        <w:gridCol w:w="1274"/>
        <w:gridCol w:w="1560"/>
        <w:gridCol w:w="3118"/>
        <w:gridCol w:w="2340"/>
      </w:tblGrid>
      <w:tr>
        <w:trPr>
          <w:trHeight w:val="401" w:hRule="exact"/>
        </w:trPr>
        <w:tc>
          <w:tcPr>
            <w:tcW w:w="1277"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27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43" w:right="0"/>
              <w:jc w:val="left"/>
              <w:rPr>
                <w:rFonts w:ascii="宋体" w:hAnsi="宋体" w:cs="宋体" w:eastAsia="宋体" w:hint="default"/>
                <w:sz w:val="18"/>
                <w:szCs w:val="18"/>
              </w:rPr>
            </w:pPr>
            <w:r>
              <w:rPr>
                <w:rFonts w:ascii="宋体" w:hAnsi="宋体" w:cs="宋体" w:eastAsia="宋体" w:hint="default"/>
                <w:sz w:val="18"/>
                <w:szCs w:val="18"/>
              </w:rPr>
              <w:t>占利润总额比例</w:t>
            </w:r>
          </w:p>
        </w:tc>
        <w:tc>
          <w:tcPr>
            <w:tcW w:w="311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12" w:right="0"/>
              <w:jc w:val="left"/>
              <w:rPr>
                <w:rFonts w:ascii="宋体" w:hAnsi="宋体" w:cs="宋体" w:eastAsia="宋体" w:hint="default"/>
                <w:sz w:val="18"/>
                <w:szCs w:val="18"/>
              </w:rPr>
            </w:pPr>
            <w:r>
              <w:rPr>
                <w:rFonts w:ascii="宋体" w:hAnsi="宋体" w:cs="宋体" w:eastAsia="宋体" w:hint="default"/>
                <w:sz w:val="18"/>
                <w:szCs w:val="18"/>
              </w:rPr>
              <w:t>形成原因说明</w:t>
            </w:r>
          </w:p>
        </w:tc>
        <w:tc>
          <w:tcPr>
            <w:tcW w:w="234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46" w:right="0"/>
              <w:jc w:val="left"/>
              <w:rPr>
                <w:rFonts w:ascii="宋体" w:hAnsi="宋体" w:cs="宋体" w:eastAsia="宋体" w:hint="default"/>
                <w:sz w:val="18"/>
                <w:szCs w:val="18"/>
              </w:rPr>
            </w:pPr>
            <w:r>
              <w:rPr>
                <w:rFonts w:ascii="宋体" w:hAnsi="宋体" w:cs="宋体" w:eastAsia="宋体" w:hint="default"/>
                <w:sz w:val="18"/>
                <w:szCs w:val="18"/>
              </w:rPr>
              <w:t>是否具有可持续性</w:t>
            </w:r>
          </w:p>
        </w:tc>
      </w:tr>
      <w:tr>
        <w:trPr>
          <w:trHeight w:val="475" w:hRule="exact"/>
        </w:trPr>
        <w:tc>
          <w:tcPr>
            <w:tcW w:w="1277" w:type="dxa"/>
            <w:tcBorders>
              <w:top w:val="single" w:sz="4" w:space="0" w:color="000000"/>
              <w:left w:val="single" w:sz="4" w:space="0" w:color="000000"/>
              <w:bottom w:val="nil" w:sz="6" w:space="0" w:color="auto"/>
              <w:right w:val="single" w:sz="4" w:space="0" w:color="000000"/>
            </w:tcBorders>
            <w:shd w:val="clear" w:color="auto" w:fill="D4D4D4"/>
          </w:tcPr>
          <w:p>
            <w:pPr/>
          </w:p>
        </w:tc>
        <w:tc>
          <w:tcPr>
            <w:tcW w:w="1274" w:type="dxa"/>
            <w:vMerge w:val="restart"/>
            <w:tcBorders>
              <w:top w:val="single" w:sz="4" w:space="0" w:color="000000"/>
              <w:left w:val="single" w:sz="10" w:space="0" w:color="D4D4D4"/>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364" w:right="0"/>
              <w:jc w:val="left"/>
              <w:rPr>
                <w:rFonts w:ascii="Times New Roman" w:hAnsi="Times New Roman" w:cs="Times New Roman" w:eastAsia="Times New Roman" w:hint="default"/>
                <w:sz w:val="18"/>
                <w:szCs w:val="18"/>
              </w:rPr>
            </w:pPr>
            <w:r>
              <w:rPr>
                <w:rFonts w:ascii="Times New Roman"/>
                <w:sz w:val="18"/>
              </w:rPr>
              <w:t>-161,979.49</w:t>
            </w:r>
          </w:p>
        </w:tc>
        <w:tc>
          <w:tcPr>
            <w:tcW w:w="156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000" w:right="0"/>
              <w:jc w:val="left"/>
              <w:rPr>
                <w:rFonts w:ascii="Times New Roman" w:hAnsi="Times New Roman" w:cs="Times New Roman" w:eastAsia="Times New Roman" w:hint="default"/>
                <w:sz w:val="18"/>
                <w:szCs w:val="18"/>
              </w:rPr>
            </w:pPr>
            <w:r>
              <w:rPr>
                <w:rFonts w:ascii="Times New Roman"/>
                <w:sz w:val="18"/>
              </w:rPr>
              <w:t>-0.05%</w:t>
            </w:r>
          </w:p>
        </w:tc>
        <w:tc>
          <w:tcPr>
            <w:tcW w:w="3118" w:type="dxa"/>
            <w:vMerge w:val="restart"/>
            <w:tcBorders>
              <w:top w:val="single" w:sz="4" w:space="0" w:color="000000"/>
              <w:left w:val="single" w:sz="4" w:space="0" w:color="000000"/>
              <w:right w:val="single" w:sz="4" w:space="0" w:color="000000"/>
            </w:tcBorders>
          </w:tcPr>
          <w:p>
            <w:pPr>
              <w:pStyle w:val="TableParagraph"/>
              <w:spacing w:line="316" w:lineRule="auto" w:before="51"/>
              <w:ind w:left="23" w:right="23"/>
              <w:jc w:val="both"/>
              <w:rPr>
                <w:rFonts w:ascii="宋体" w:hAnsi="宋体" w:cs="宋体" w:eastAsia="宋体" w:hint="default"/>
                <w:sz w:val="18"/>
                <w:szCs w:val="18"/>
              </w:rPr>
            </w:pPr>
            <w:r>
              <w:rPr>
                <w:rFonts w:ascii="宋体" w:hAnsi="宋体" w:cs="宋体" w:eastAsia="宋体" w:hint="default"/>
                <w:sz w:val="18"/>
                <w:szCs w:val="18"/>
              </w:rPr>
              <w:t>对联营企业的投资收益、非同一控制下 的企业合并原有股权公允价值重新计量 产生的投资收益、处置长期股权投资产 生的投资收益等</w:t>
            </w:r>
          </w:p>
        </w:tc>
        <w:tc>
          <w:tcPr>
            <w:tcW w:w="2340" w:type="dxa"/>
            <w:vMerge w:val="restart"/>
            <w:tcBorders>
              <w:top w:val="single" w:sz="4" w:space="0" w:color="000000"/>
              <w:left w:val="single" w:sz="4" w:space="0" w:color="000000"/>
              <w:right w:val="single" w:sz="4" w:space="0" w:color="000000"/>
            </w:tcBorders>
          </w:tcPr>
          <w:p>
            <w:pPr>
              <w:pStyle w:val="TableParagraph"/>
              <w:spacing w:line="316" w:lineRule="auto" w:before="51"/>
              <w:ind w:left="23" w:right="19"/>
              <w:jc w:val="left"/>
              <w:rPr>
                <w:rFonts w:ascii="宋体" w:hAnsi="宋体" w:cs="宋体" w:eastAsia="宋体" w:hint="default"/>
                <w:sz w:val="18"/>
                <w:szCs w:val="18"/>
              </w:rPr>
            </w:pPr>
            <w:r>
              <w:rPr>
                <w:rFonts w:ascii="宋体" w:hAnsi="宋体" w:cs="宋体" w:eastAsia="宋体" w:hint="default"/>
                <w:sz w:val="18"/>
                <w:szCs w:val="18"/>
              </w:rPr>
              <w:t>联营企业的投资收益和其他 权益工具在持有期间产生的 </w:t>
            </w:r>
            <w:r>
              <w:rPr>
                <w:rFonts w:ascii="宋体" w:hAnsi="宋体" w:cs="宋体" w:eastAsia="宋体" w:hint="default"/>
                <w:spacing w:val="-5"/>
                <w:sz w:val="18"/>
                <w:szCs w:val="18"/>
              </w:rPr>
              <w:t>投资收益具有可持续性，其他</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投资收益不具有可持续性</w:t>
            </w:r>
          </w:p>
        </w:tc>
      </w:tr>
      <w:tr>
        <w:trPr>
          <w:trHeight w:val="391" w:hRule="exact"/>
        </w:trPr>
        <w:tc>
          <w:tcPr>
            <w:tcW w:w="1277"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274" w:type="dxa"/>
            <w:vMerge/>
            <w:tcBorders>
              <w:left w:val="single" w:sz="10" w:space="0" w:color="D4D4D4"/>
              <w:right w:val="single" w:sz="4" w:space="0" w:color="000000"/>
            </w:tcBorders>
          </w:tcPr>
          <w:p>
            <w:pPr/>
          </w:p>
        </w:tc>
        <w:tc>
          <w:tcPr>
            <w:tcW w:w="1560" w:type="dxa"/>
            <w:vMerge/>
            <w:tcBorders>
              <w:left w:val="single" w:sz="4" w:space="0" w:color="000000"/>
              <w:right w:val="single" w:sz="4" w:space="0" w:color="000000"/>
            </w:tcBorders>
          </w:tcPr>
          <w:p>
            <w:pPr/>
          </w:p>
        </w:tc>
        <w:tc>
          <w:tcPr>
            <w:tcW w:w="3118" w:type="dxa"/>
            <w:vMerge/>
            <w:tcBorders>
              <w:left w:val="single" w:sz="4" w:space="0" w:color="000000"/>
              <w:right w:val="single" w:sz="4" w:space="0" w:color="000000"/>
            </w:tcBorders>
          </w:tcPr>
          <w:p>
            <w:pPr/>
          </w:p>
        </w:tc>
        <w:tc>
          <w:tcPr>
            <w:tcW w:w="2340" w:type="dxa"/>
            <w:vMerge/>
            <w:tcBorders>
              <w:left w:val="single" w:sz="4" w:space="0" w:color="000000"/>
              <w:right w:val="single" w:sz="4" w:space="0" w:color="000000"/>
            </w:tcBorders>
          </w:tcPr>
          <w:p>
            <w:pPr/>
          </w:p>
        </w:tc>
      </w:tr>
      <w:tr>
        <w:trPr>
          <w:trHeight w:val="473" w:hRule="exact"/>
        </w:trPr>
        <w:tc>
          <w:tcPr>
            <w:tcW w:w="1277" w:type="dxa"/>
            <w:tcBorders>
              <w:top w:val="nil" w:sz="6" w:space="0" w:color="auto"/>
              <w:left w:val="single" w:sz="4" w:space="0" w:color="000000"/>
              <w:bottom w:val="single" w:sz="4" w:space="0" w:color="000000"/>
              <w:right w:val="single" w:sz="4" w:space="0" w:color="000000"/>
            </w:tcBorders>
            <w:shd w:val="clear" w:color="auto" w:fill="D4D4D4"/>
          </w:tcPr>
          <w:p>
            <w:pPr/>
          </w:p>
        </w:tc>
        <w:tc>
          <w:tcPr>
            <w:tcW w:w="1274" w:type="dxa"/>
            <w:vMerge/>
            <w:tcBorders>
              <w:left w:val="single" w:sz="10" w:space="0" w:color="D4D4D4"/>
              <w:bottom w:val="single" w:sz="4" w:space="0" w:color="000000"/>
              <w:right w:val="single" w:sz="4" w:space="0" w:color="000000"/>
            </w:tcBorders>
          </w:tcPr>
          <w:p>
            <w:pPr/>
          </w:p>
        </w:tc>
        <w:tc>
          <w:tcPr>
            <w:tcW w:w="1560" w:type="dxa"/>
            <w:vMerge/>
            <w:tcBorders>
              <w:left w:val="single" w:sz="4" w:space="0" w:color="000000"/>
              <w:bottom w:val="single" w:sz="4" w:space="0" w:color="000000"/>
              <w:right w:val="single" w:sz="4" w:space="0" w:color="000000"/>
            </w:tcBorders>
          </w:tcPr>
          <w:p>
            <w:pPr/>
          </w:p>
        </w:tc>
        <w:tc>
          <w:tcPr>
            <w:tcW w:w="3118" w:type="dxa"/>
            <w:vMerge/>
            <w:tcBorders>
              <w:left w:val="single" w:sz="4" w:space="0" w:color="000000"/>
              <w:bottom w:val="single" w:sz="4" w:space="0" w:color="000000"/>
              <w:right w:val="single" w:sz="4" w:space="0" w:color="000000"/>
            </w:tcBorders>
          </w:tcPr>
          <w:p>
            <w:pPr/>
          </w:p>
        </w:tc>
        <w:tc>
          <w:tcPr>
            <w:tcW w:w="2340" w:type="dxa"/>
            <w:vMerge/>
            <w:tcBorders>
              <w:left w:val="single" w:sz="4" w:space="0" w:color="000000"/>
              <w:bottom w:val="single" w:sz="4" w:space="0" w:color="000000"/>
              <w:right w:val="single" w:sz="4" w:space="0" w:color="000000"/>
            </w:tcBorders>
          </w:tcPr>
          <w:p>
            <w:pPr/>
          </w:p>
        </w:tc>
      </w:tr>
      <w:tr>
        <w:trPr>
          <w:trHeight w:val="401" w:hRule="exact"/>
        </w:trPr>
        <w:tc>
          <w:tcPr>
            <w:tcW w:w="127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资产减值</w:t>
            </w:r>
          </w:p>
        </w:tc>
        <w:tc>
          <w:tcPr>
            <w:tcW w:w="1274"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-16,568,502.07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-5.42%</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存货跌价损失和无形资产减值损失</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27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274"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470,892.43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0.15%</w:t>
            </w:r>
          </w:p>
        </w:tc>
        <w:tc>
          <w:tcPr>
            <w:tcW w:w="3118"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7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274"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2,158,315.00</w:t>
            </w:r>
            <w:r>
              <w:rPr>
                <w:rFonts w:ascii="Times New Roman"/>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0.71%</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公益性捐赠和退租损失等</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信用减值损失</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-36,963,102.86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-12.09%</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往来款项预期信用损失准备</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line="240" w:lineRule="auto" w:before="1"/>
        <w:rPr>
          <w:rFonts w:ascii="宋体" w:hAnsi="宋体" w:cs="宋体" w:eastAsia="宋体" w:hint="default"/>
          <w:sz w:val="18"/>
          <w:szCs w:val="18"/>
        </w:rPr>
      </w:pPr>
    </w:p>
    <w:p>
      <w:pPr>
        <w:pStyle w:val="Heading2"/>
        <w:spacing w:line="240" w:lineRule="auto" w:before="26"/>
        <w:ind w:right="986"/>
        <w:jc w:val="left"/>
        <w:rPr>
          <w:b w:val="0"/>
          <w:bCs w:val="0"/>
        </w:rPr>
      </w:pPr>
      <w:bookmarkStart w:name="四、资产及负债状况" w:id="39"/>
      <w:bookmarkEnd w:id="39"/>
      <w:r>
        <w:rPr>
          <w:b w:val="0"/>
          <w:bCs w:val="0"/>
        </w:rPr>
      </w:r>
      <w:r>
        <w:rPr/>
        <w:t>四、资产及负债状况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6"/>
        <w:jc w:val="left"/>
        <w:rPr>
          <w:b w:val="0"/>
          <w:bCs w:val="0"/>
        </w:rPr>
      </w:pPr>
      <w:bookmarkStart w:name="1、资产构成重大变动情况" w:id="40"/>
      <w:bookmarkEnd w:id="40"/>
      <w:r>
        <w:rPr>
          <w:b w:val="0"/>
          <w:bCs w:val="0"/>
        </w:rPr>
      </w:r>
      <w:r>
        <w:rPr>
          <w:rFonts w:ascii="Times New Roman" w:hAnsi="Times New Roman" w:cs="Times New Roman" w:eastAsia="Times New Roman" w:hint="default"/>
        </w:rPr>
        <w:t>1</w:t>
      </w:r>
      <w:r>
        <w:rPr/>
        <w:t>、资产构成重大变动情况</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61"/>
        <w:gridCol w:w="1415"/>
        <w:gridCol w:w="852"/>
        <w:gridCol w:w="1274"/>
        <w:gridCol w:w="852"/>
        <w:gridCol w:w="696"/>
        <w:gridCol w:w="2918"/>
      </w:tblGrid>
      <w:tr>
        <w:trPr>
          <w:trHeight w:val="206" w:hRule="exact"/>
        </w:trPr>
        <w:tc>
          <w:tcPr>
            <w:tcW w:w="1561" w:type="dxa"/>
            <w:vMerge w:val="restart"/>
            <w:tcBorders>
              <w:top w:val="single" w:sz="4" w:space="0" w:color="000000"/>
              <w:left w:val="single" w:sz="4" w:space="0" w:color="000000"/>
              <w:right w:val="single" w:sz="4" w:space="0" w:color="000000"/>
            </w:tcBorders>
            <w:shd w:val="clear" w:color="auto" w:fill="D4D4D4"/>
          </w:tcPr>
          <w:p>
            <w:pPr/>
          </w:p>
        </w:tc>
        <w:tc>
          <w:tcPr>
            <w:tcW w:w="2267"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left="74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126"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left="67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年初</w:t>
            </w:r>
          </w:p>
        </w:tc>
        <w:tc>
          <w:tcPr>
            <w:tcW w:w="696" w:type="dxa"/>
            <w:tcBorders>
              <w:top w:val="single" w:sz="4" w:space="0" w:color="000000"/>
              <w:left w:val="single" w:sz="4" w:space="0" w:color="000000"/>
              <w:bottom w:val="nil" w:sz="6" w:space="0" w:color="auto"/>
              <w:right w:val="single" w:sz="4" w:space="0" w:color="000000"/>
            </w:tcBorders>
            <w:shd w:val="clear" w:color="auto" w:fill="D4D4D4"/>
          </w:tcPr>
          <w:p>
            <w:pPr/>
          </w:p>
        </w:tc>
        <w:tc>
          <w:tcPr>
            <w:tcW w:w="2918" w:type="dxa"/>
            <w:vMerge w:val="restart"/>
            <w:tcBorders>
              <w:top w:val="single" w:sz="4" w:space="0" w:color="000000"/>
              <w:left w:val="single" w:sz="4" w:space="0" w:color="000000"/>
              <w:right w:val="single" w:sz="4" w:space="0" w:color="000000"/>
            </w:tcBorders>
            <w:shd w:val="clear" w:color="auto" w:fill="D4D4D4"/>
          </w:tcPr>
          <w:p>
            <w:pPr/>
          </w:p>
        </w:tc>
      </w:tr>
      <w:tr>
        <w:trPr>
          <w:trHeight w:val="175" w:hRule="exact"/>
        </w:trPr>
        <w:tc>
          <w:tcPr>
            <w:tcW w:w="1561" w:type="dxa"/>
            <w:vMerge/>
            <w:tcBorders>
              <w:left w:val="single" w:sz="4" w:space="0" w:color="000000"/>
              <w:bottom w:val="nil" w:sz="6" w:space="0" w:color="auto"/>
              <w:right w:val="single" w:sz="4" w:space="0" w:color="000000"/>
            </w:tcBorders>
            <w:shd w:val="clear" w:color="auto" w:fill="D4D4D4"/>
          </w:tcPr>
          <w:p>
            <w:pPr/>
          </w:p>
        </w:tc>
        <w:tc>
          <w:tcPr>
            <w:tcW w:w="2267" w:type="dxa"/>
            <w:gridSpan w:val="2"/>
            <w:vMerge/>
            <w:tcBorders>
              <w:left w:val="single" w:sz="4" w:space="0" w:color="000000"/>
              <w:bottom w:val="single" w:sz="4" w:space="0" w:color="000000"/>
              <w:right w:val="single" w:sz="4" w:space="0" w:color="000000"/>
            </w:tcBorders>
            <w:shd w:val="clear" w:color="auto" w:fill="D4D4D4"/>
          </w:tcPr>
          <w:p>
            <w:pPr/>
          </w:p>
        </w:tc>
        <w:tc>
          <w:tcPr>
            <w:tcW w:w="2126" w:type="dxa"/>
            <w:gridSpan w:val="2"/>
            <w:vMerge/>
            <w:tcBorders>
              <w:left w:val="single" w:sz="4" w:space="0" w:color="000000"/>
              <w:bottom w:val="single" w:sz="4" w:space="0" w:color="000000"/>
              <w:right w:val="single" w:sz="4" w:space="0" w:color="000000"/>
            </w:tcBorders>
            <w:shd w:val="clear" w:color="auto" w:fill="D4D4D4"/>
          </w:tcPr>
          <w:p>
            <w:pPr/>
          </w:p>
        </w:tc>
        <w:tc>
          <w:tcPr>
            <w:tcW w:w="696" w:type="dxa"/>
            <w:vMerge w:val="restart"/>
            <w:tcBorders>
              <w:top w:val="nil" w:sz="6" w:space="0" w:color="auto"/>
              <w:left w:val="single" w:sz="4" w:space="0" w:color="000000"/>
              <w:right w:val="single" w:sz="4" w:space="0" w:color="000000"/>
            </w:tcBorders>
            <w:shd w:val="clear" w:color="auto" w:fill="D4D4D4"/>
          </w:tcPr>
          <w:p>
            <w:pPr>
              <w:pStyle w:val="TableParagraph"/>
              <w:spacing w:line="314" w:lineRule="auto" w:before="49"/>
              <w:ind w:left="254" w:right="71" w:hanging="180"/>
              <w:jc w:val="left"/>
              <w:rPr>
                <w:rFonts w:ascii="宋体" w:hAnsi="宋体" w:cs="宋体" w:eastAsia="宋体" w:hint="default"/>
                <w:sz w:val="18"/>
                <w:szCs w:val="18"/>
              </w:rPr>
            </w:pPr>
            <w:r>
              <w:rPr>
                <w:rFonts w:ascii="宋体" w:hAnsi="宋体" w:cs="宋体" w:eastAsia="宋体" w:hint="default"/>
                <w:sz w:val="18"/>
                <w:szCs w:val="18"/>
              </w:rPr>
              <w:t>比重增 减</w:t>
            </w:r>
          </w:p>
        </w:tc>
        <w:tc>
          <w:tcPr>
            <w:tcW w:w="2918" w:type="dxa"/>
            <w:vMerge/>
            <w:tcBorders>
              <w:left w:val="single" w:sz="4" w:space="0" w:color="000000"/>
              <w:bottom w:val="nil" w:sz="6" w:space="0" w:color="auto"/>
              <w:right w:val="single" w:sz="4" w:space="0" w:color="000000"/>
            </w:tcBorders>
            <w:shd w:val="clear" w:color="auto" w:fill="D4D4D4"/>
          </w:tcPr>
          <w:p>
            <w:pPr/>
          </w:p>
        </w:tc>
      </w:tr>
      <w:tr>
        <w:trPr>
          <w:trHeight w:val="180" w:hRule="exact"/>
        </w:trPr>
        <w:tc>
          <w:tcPr>
            <w:tcW w:w="1561" w:type="dxa"/>
            <w:vMerge w:val="restart"/>
            <w:tcBorders>
              <w:top w:val="nil" w:sz="6" w:space="0" w:color="auto"/>
              <w:left w:val="single" w:sz="4" w:space="0" w:color="000000"/>
              <w:right w:val="single" w:sz="4" w:space="0" w:color="000000"/>
            </w:tcBorders>
            <w:shd w:val="clear" w:color="auto" w:fill="D4D4D4"/>
          </w:tcPr>
          <w:p>
            <w:pPr/>
          </w:p>
        </w:tc>
        <w:tc>
          <w:tcPr>
            <w:tcW w:w="1415" w:type="dxa"/>
            <w:tcBorders>
              <w:top w:val="single" w:sz="4" w:space="0" w:color="000000"/>
              <w:left w:val="single" w:sz="4" w:space="0" w:color="000000"/>
              <w:bottom w:val="nil" w:sz="6" w:space="0" w:color="auto"/>
              <w:right w:val="single" w:sz="4" w:space="0" w:color="000000"/>
            </w:tcBorders>
            <w:shd w:val="clear" w:color="auto" w:fill="D4D4D4"/>
          </w:tcPr>
          <w:p>
            <w:pPr/>
          </w:p>
        </w:tc>
        <w:tc>
          <w:tcPr>
            <w:tcW w:w="852"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68"/>
              <w:ind w:left="242" w:right="59" w:hanging="180"/>
              <w:jc w:val="left"/>
              <w:rPr>
                <w:rFonts w:ascii="宋体" w:hAnsi="宋体" w:cs="宋体" w:eastAsia="宋体" w:hint="default"/>
                <w:sz w:val="18"/>
                <w:szCs w:val="18"/>
              </w:rPr>
            </w:pPr>
            <w:r>
              <w:rPr>
                <w:rFonts w:ascii="宋体" w:hAnsi="宋体" w:cs="宋体" w:eastAsia="宋体" w:hint="default"/>
                <w:sz w:val="18"/>
                <w:szCs w:val="18"/>
              </w:rPr>
              <w:t>占总资产 比例</w:t>
            </w:r>
          </w:p>
        </w:tc>
        <w:tc>
          <w:tcPr>
            <w:tcW w:w="1274" w:type="dxa"/>
            <w:tcBorders>
              <w:top w:val="single" w:sz="4" w:space="0" w:color="000000"/>
              <w:left w:val="single" w:sz="4" w:space="0" w:color="000000"/>
              <w:bottom w:val="nil" w:sz="6" w:space="0" w:color="auto"/>
              <w:right w:val="single" w:sz="4" w:space="0" w:color="000000"/>
            </w:tcBorders>
            <w:shd w:val="clear" w:color="auto" w:fill="D4D4D4"/>
          </w:tcPr>
          <w:p>
            <w:pPr/>
          </w:p>
        </w:tc>
        <w:tc>
          <w:tcPr>
            <w:tcW w:w="852"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68"/>
              <w:ind w:left="239" w:right="60" w:hanging="180"/>
              <w:jc w:val="left"/>
              <w:rPr>
                <w:rFonts w:ascii="宋体" w:hAnsi="宋体" w:cs="宋体" w:eastAsia="宋体" w:hint="default"/>
                <w:sz w:val="18"/>
                <w:szCs w:val="18"/>
              </w:rPr>
            </w:pPr>
            <w:r>
              <w:rPr>
                <w:rFonts w:ascii="宋体" w:hAnsi="宋体" w:cs="宋体" w:eastAsia="宋体" w:hint="default"/>
                <w:sz w:val="18"/>
                <w:szCs w:val="18"/>
              </w:rPr>
              <w:t>占总资产 比例</w:t>
            </w:r>
          </w:p>
        </w:tc>
        <w:tc>
          <w:tcPr>
            <w:tcW w:w="696" w:type="dxa"/>
            <w:vMerge/>
            <w:tcBorders>
              <w:left w:val="single" w:sz="4" w:space="0" w:color="000000"/>
              <w:right w:val="single" w:sz="4" w:space="0" w:color="000000"/>
            </w:tcBorders>
            <w:shd w:val="clear" w:color="auto" w:fill="D4D4D4"/>
          </w:tcPr>
          <w:p>
            <w:pPr/>
          </w:p>
        </w:tc>
        <w:tc>
          <w:tcPr>
            <w:tcW w:w="2918"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29"/>
              <w:ind w:left="914"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192" w:hRule="exact"/>
        </w:trPr>
        <w:tc>
          <w:tcPr>
            <w:tcW w:w="1561" w:type="dxa"/>
            <w:vMerge/>
            <w:tcBorders>
              <w:left w:val="single" w:sz="4" w:space="0" w:color="000000"/>
              <w:bottom w:val="nil" w:sz="6" w:space="0" w:color="auto"/>
              <w:right w:val="single" w:sz="4" w:space="0" w:color="000000"/>
            </w:tcBorders>
            <w:shd w:val="clear" w:color="auto" w:fill="D4D4D4"/>
          </w:tcPr>
          <w:p>
            <w:pPr/>
          </w:p>
        </w:tc>
        <w:tc>
          <w:tcPr>
            <w:tcW w:w="1415"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852" w:type="dxa"/>
            <w:vMerge/>
            <w:tcBorders>
              <w:left w:val="single" w:sz="4" w:space="0" w:color="000000"/>
              <w:right w:val="single" w:sz="4" w:space="0" w:color="000000"/>
            </w:tcBorders>
            <w:shd w:val="clear" w:color="auto" w:fill="D4D4D4"/>
          </w:tcPr>
          <w:p>
            <w:pPr/>
          </w:p>
        </w:tc>
        <w:tc>
          <w:tcPr>
            <w:tcW w:w="1274"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52" w:type="dxa"/>
            <w:vMerge/>
            <w:tcBorders>
              <w:left w:val="single" w:sz="4" w:space="0" w:color="000000"/>
              <w:right w:val="single" w:sz="4" w:space="0" w:color="000000"/>
            </w:tcBorders>
            <w:shd w:val="clear" w:color="auto" w:fill="D4D4D4"/>
          </w:tcPr>
          <w:p>
            <w:pPr/>
          </w:p>
        </w:tc>
        <w:tc>
          <w:tcPr>
            <w:tcW w:w="696" w:type="dxa"/>
            <w:vMerge/>
            <w:tcBorders>
              <w:left w:val="single" w:sz="4" w:space="0" w:color="000000"/>
              <w:right w:val="single" w:sz="4" w:space="0" w:color="000000"/>
            </w:tcBorders>
            <w:shd w:val="clear" w:color="auto" w:fill="D4D4D4"/>
          </w:tcPr>
          <w:p>
            <w:pPr/>
          </w:p>
        </w:tc>
        <w:tc>
          <w:tcPr>
            <w:tcW w:w="2918" w:type="dxa"/>
            <w:vMerge/>
            <w:tcBorders>
              <w:left w:val="single" w:sz="4" w:space="0" w:color="000000"/>
              <w:bottom w:val="nil" w:sz="6" w:space="0" w:color="auto"/>
              <w:right w:val="single" w:sz="4" w:space="0" w:color="000000"/>
            </w:tcBorders>
            <w:shd w:val="clear" w:color="auto" w:fill="D4D4D4"/>
          </w:tcPr>
          <w:p>
            <w:pPr/>
          </w:p>
        </w:tc>
      </w:tr>
      <w:tr>
        <w:trPr>
          <w:trHeight w:val="179" w:hRule="exact"/>
        </w:trPr>
        <w:tc>
          <w:tcPr>
            <w:tcW w:w="1561" w:type="dxa"/>
            <w:vMerge w:val="restart"/>
            <w:tcBorders>
              <w:top w:val="nil" w:sz="6" w:space="0" w:color="auto"/>
              <w:left w:val="single" w:sz="4" w:space="0" w:color="000000"/>
              <w:right w:val="single" w:sz="4" w:space="0" w:color="000000"/>
            </w:tcBorders>
            <w:shd w:val="clear" w:color="auto" w:fill="D4D4D4"/>
          </w:tcPr>
          <w:p>
            <w:pPr/>
          </w:p>
        </w:tc>
        <w:tc>
          <w:tcPr>
            <w:tcW w:w="1415" w:type="dxa"/>
            <w:vMerge/>
            <w:tcBorders>
              <w:left w:val="single" w:sz="4" w:space="0" w:color="000000"/>
              <w:bottom w:val="nil" w:sz="6" w:space="0" w:color="auto"/>
              <w:right w:val="single" w:sz="4" w:space="0" w:color="000000"/>
            </w:tcBorders>
            <w:shd w:val="clear" w:color="auto" w:fill="D4D4D4"/>
          </w:tcPr>
          <w:p>
            <w:pPr/>
          </w:p>
        </w:tc>
        <w:tc>
          <w:tcPr>
            <w:tcW w:w="852" w:type="dxa"/>
            <w:vMerge/>
            <w:tcBorders>
              <w:left w:val="single" w:sz="4" w:space="0" w:color="000000"/>
              <w:right w:val="single" w:sz="4" w:space="0" w:color="000000"/>
            </w:tcBorders>
            <w:shd w:val="clear" w:color="auto" w:fill="D4D4D4"/>
          </w:tcPr>
          <w:p>
            <w:pPr/>
          </w:p>
        </w:tc>
        <w:tc>
          <w:tcPr>
            <w:tcW w:w="1274" w:type="dxa"/>
            <w:vMerge/>
            <w:tcBorders>
              <w:left w:val="single" w:sz="4" w:space="0" w:color="000000"/>
              <w:bottom w:val="nil" w:sz="6" w:space="0" w:color="auto"/>
              <w:right w:val="single" w:sz="4" w:space="0" w:color="000000"/>
            </w:tcBorders>
            <w:shd w:val="clear" w:color="auto" w:fill="D4D4D4"/>
          </w:tcPr>
          <w:p>
            <w:pPr/>
          </w:p>
        </w:tc>
        <w:tc>
          <w:tcPr>
            <w:tcW w:w="852" w:type="dxa"/>
            <w:vMerge/>
            <w:tcBorders>
              <w:left w:val="single" w:sz="4" w:space="0" w:color="000000"/>
              <w:right w:val="single" w:sz="4" w:space="0" w:color="000000"/>
            </w:tcBorders>
            <w:shd w:val="clear" w:color="auto" w:fill="D4D4D4"/>
          </w:tcPr>
          <w:p>
            <w:pPr/>
          </w:p>
        </w:tc>
        <w:tc>
          <w:tcPr>
            <w:tcW w:w="696" w:type="dxa"/>
            <w:vMerge/>
            <w:tcBorders>
              <w:left w:val="single" w:sz="4" w:space="0" w:color="000000"/>
              <w:bottom w:val="nil" w:sz="6" w:space="0" w:color="auto"/>
              <w:right w:val="single" w:sz="4" w:space="0" w:color="000000"/>
            </w:tcBorders>
            <w:shd w:val="clear" w:color="auto" w:fill="D4D4D4"/>
          </w:tcPr>
          <w:p>
            <w:pPr/>
          </w:p>
        </w:tc>
        <w:tc>
          <w:tcPr>
            <w:tcW w:w="2918" w:type="dxa"/>
            <w:vMerge w:val="restart"/>
            <w:tcBorders>
              <w:top w:val="nil" w:sz="6" w:space="0" w:color="auto"/>
              <w:left w:val="single" w:sz="4" w:space="0" w:color="000000"/>
              <w:right w:val="single" w:sz="4" w:space="0" w:color="000000"/>
            </w:tcBorders>
            <w:shd w:val="clear" w:color="auto" w:fill="D4D4D4"/>
          </w:tcPr>
          <w:p>
            <w:pPr/>
          </w:p>
        </w:tc>
      </w:tr>
      <w:tr>
        <w:trPr>
          <w:trHeight w:val="172" w:hRule="exact"/>
        </w:trPr>
        <w:tc>
          <w:tcPr>
            <w:tcW w:w="1561" w:type="dxa"/>
            <w:vMerge/>
            <w:tcBorders>
              <w:left w:val="single" w:sz="4" w:space="0" w:color="000000"/>
              <w:bottom w:val="single" w:sz="4" w:space="0" w:color="000000"/>
              <w:right w:val="single" w:sz="4" w:space="0" w:color="000000"/>
            </w:tcBorders>
            <w:shd w:val="clear" w:color="auto" w:fill="D4D4D4"/>
          </w:tcPr>
          <w:p>
            <w:pPr/>
          </w:p>
        </w:tc>
        <w:tc>
          <w:tcPr>
            <w:tcW w:w="1415" w:type="dxa"/>
            <w:tcBorders>
              <w:top w:val="nil" w:sz="6" w:space="0" w:color="auto"/>
              <w:left w:val="single" w:sz="4" w:space="0" w:color="000000"/>
              <w:bottom w:val="single" w:sz="4" w:space="0" w:color="000000"/>
              <w:right w:val="single" w:sz="4" w:space="0" w:color="000000"/>
            </w:tcBorders>
            <w:shd w:val="clear" w:color="auto" w:fill="D4D4D4"/>
          </w:tcPr>
          <w:p>
            <w:pPr/>
          </w:p>
        </w:tc>
        <w:tc>
          <w:tcPr>
            <w:tcW w:w="852" w:type="dxa"/>
            <w:vMerge/>
            <w:tcBorders>
              <w:left w:val="single" w:sz="4" w:space="0" w:color="000000"/>
              <w:bottom w:val="single" w:sz="4" w:space="0" w:color="000000"/>
              <w:right w:val="single" w:sz="4" w:space="0" w:color="000000"/>
            </w:tcBorders>
            <w:shd w:val="clear" w:color="auto" w:fill="D4D4D4"/>
          </w:tcPr>
          <w:p>
            <w:pPr/>
          </w:p>
        </w:tc>
        <w:tc>
          <w:tcPr>
            <w:tcW w:w="1274" w:type="dxa"/>
            <w:tcBorders>
              <w:top w:val="nil" w:sz="6" w:space="0" w:color="auto"/>
              <w:left w:val="single" w:sz="4" w:space="0" w:color="000000"/>
              <w:bottom w:val="single" w:sz="4" w:space="0" w:color="000000"/>
              <w:right w:val="single" w:sz="4" w:space="0" w:color="000000"/>
            </w:tcBorders>
            <w:shd w:val="clear" w:color="auto" w:fill="D4D4D4"/>
          </w:tcPr>
          <w:p>
            <w:pPr/>
          </w:p>
        </w:tc>
        <w:tc>
          <w:tcPr>
            <w:tcW w:w="852" w:type="dxa"/>
            <w:vMerge/>
            <w:tcBorders>
              <w:left w:val="single" w:sz="4" w:space="0" w:color="000000"/>
              <w:bottom w:val="single" w:sz="4" w:space="0" w:color="000000"/>
              <w:right w:val="single" w:sz="4" w:space="0" w:color="000000"/>
            </w:tcBorders>
            <w:shd w:val="clear" w:color="auto" w:fill="D4D4D4"/>
          </w:tcPr>
          <w:p>
            <w:pPr/>
          </w:p>
        </w:tc>
        <w:tc>
          <w:tcPr>
            <w:tcW w:w="696" w:type="dxa"/>
            <w:tcBorders>
              <w:top w:val="nil" w:sz="6" w:space="0" w:color="auto"/>
              <w:left w:val="single" w:sz="4" w:space="0" w:color="000000"/>
              <w:bottom w:val="single" w:sz="4" w:space="0" w:color="000000"/>
              <w:right w:val="single" w:sz="4" w:space="0" w:color="000000"/>
            </w:tcBorders>
            <w:shd w:val="clear" w:color="auto" w:fill="D4D4D4"/>
          </w:tcPr>
          <w:p>
            <w:pPr/>
          </w:p>
        </w:tc>
        <w:tc>
          <w:tcPr>
            <w:tcW w:w="2918" w:type="dxa"/>
            <w:vMerge/>
            <w:tcBorders>
              <w:left w:val="single" w:sz="4" w:space="0" w:color="000000"/>
              <w:bottom w:val="single" w:sz="4" w:space="0" w:color="000000"/>
              <w:right w:val="single" w:sz="4" w:space="0" w:color="000000"/>
            </w:tcBorders>
            <w:shd w:val="clear" w:color="auto" w:fill="D4D4D4"/>
          </w:tcPr>
          <w:p>
            <w:pPr/>
          </w:p>
        </w:tc>
      </w:tr>
      <w:tr>
        <w:trPr>
          <w:trHeight w:val="317" w:hRule="exact"/>
        </w:trPr>
        <w:tc>
          <w:tcPr>
            <w:tcW w:w="1561" w:type="dxa"/>
            <w:tcBorders>
              <w:top w:val="single" w:sz="4" w:space="0" w:color="000000"/>
              <w:left w:val="single" w:sz="4" w:space="0" w:color="000000"/>
              <w:bottom w:val="nil" w:sz="6" w:space="0" w:color="auto"/>
              <w:right w:val="single" w:sz="4" w:space="0" w:color="000000"/>
            </w:tcBorders>
            <w:shd w:val="clear" w:color="auto" w:fill="D4D4D4"/>
          </w:tcPr>
          <w:p>
            <w:pPr/>
          </w:p>
        </w:tc>
        <w:tc>
          <w:tcPr>
            <w:tcW w:w="1415" w:type="dxa"/>
            <w:vMerge w:val="restart"/>
            <w:tcBorders>
              <w:top w:val="single" w:sz="4" w:space="0" w:color="000000"/>
              <w:left w:val="single" w:sz="9" w:space="0" w:color="D4D4D4"/>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17" w:right="0"/>
              <w:jc w:val="left"/>
              <w:rPr>
                <w:rFonts w:ascii="Times New Roman" w:hAnsi="Times New Roman" w:cs="Times New Roman" w:eastAsia="Times New Roman" w:hint="default"/>
                <w:sz w:val="18"/>
                <w:szCs w:val="18"/>
              </w:rPr>
            </w:pPr>
            <w:r>
              <w:rPr>
                <w:rFonts w:ascii="Times New Roman"/>
                <w:sz w:val="18"/>
              </w:rPr>
              <w:t>1,165,028,886.98</w:t>
            </w:r>
          </w:p>
        </w:tc>
        <w:tc>
          <w:tcPr>
            <w:tcW w:w="85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66" w:right="0"/>
              <w:jc w:val="left"/>
              <w:rPr>
                <w:rFonts w:ascii="Times New Roman" w:hAnsi="Times New Roman" w:cs="Times New Roman" w:eastAsia="Times New Roman" w:hint="default"/>
                <w:sz w:val="18"/>
                <w:szCs w:val="18"/>
              </w:rPr>
            </w:pPr>
            <w:r>
              <w:rPr>
                <w:rFonts w:ascii="Times New Roman"/>
                <w:sz w:val="18"/>
              </w:rPr>
              <w:t>27.74%</w:t>
            </w:r>
          </w:p>
        </w:tc>
        <w:tc>
          <w:tcPr>
            <w:tcW w:w="127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935,741,411.95</w:t>
            </w:r>
          </w:p>
        </w:tc>
        <w:tc>
          <w:tcPr>
            <w:tcW w:w="85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63" w:right="0"/>
              <w:jc w:val="left"/>
              <w:rPr>
                <w:rFonts w:ascii="Times New Roman" w:hAnsi="Times New Roman" w:cs="Times New Roman" w:eastAsia="Times New Roman" w:hint="default"/>
                <w:sz w:val="18"/>
                <w:szCs w:val="18"/>
              </w:rPr>
            </w:pPr>
            <w:r>
              <w:rPr>
                <w:rFonts w:ascii="Times New Roman"/>
                <w:sz w:val="18"/>
              </w:rPr>
              <w:t>26.91%</w:t>
            </w:r>
          </w:p>
        </w:tc>
        <w:tc>
          <w:tcPr>
            <w:tcW w:w="69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99" w:right="0"/>
              <w:jc w:val="left"/>
              <w:rPr>
                <w:rFonts w:ascii="Times New Roman" w:hAnsi="Times New Roman" w:cs="Times New Roman" w:eastAsia="Times New Roman" w:hint="default"/>
                <w:sz w:val="18"/>
                <w:szCs w:val="18"/>
              </w:rPr>
            </w:pPr>
            <w:r>
              <w:rPr>
                <w:rFonts w:ascii="Times New Roman"/>
                <w:sz w:val="18"/>
              </w:rPr>
              <w:t>0.83%</w:t>
            </w:r>
          </w:p>
        </w:tc>
        <w:tc>
          <w:tcPr>
            <w:tcW w:w="2918" w:type="dxa"/>
            <w:vMerge w:val="restart"/>
            <w:tcBorders>
              <w:top w:val="single" w:sz="4" w:space="0" w:color="000000"/>
              <w:left w:val="single" w:sz="4" w:space="0" w:color="000000"/>
              <w:right w:val="single" w:sz="4" w:space="0" w:color="000000"/>
            </w:tcBorders>
          </w:tcPr>
          <w:p>
            <w:pPr>
              <w:pStyle w:val="TableParagraph"/>
              <w:spacing w:line="316" w:lineRule="auto" w:before="49"/>
              <w:ind w:left="23" w:right="182"/>
              <w:jc w:val="both"/>
              <w:rPr>
                <w:rFonts w:ascii="宋体" w:hAnsi="宋体" w:cs="宋体" w:eastAsia="宋体" w:hint="default"/>
                <w:sz w:val="18"/>
                <w:szCs w:val="18"/>
              </w:rPr>
            </w:pPr>
            <w:r>
              <w:rPr>
                <w:rFonts w:ascii="宋体" w:hAnsi="宋体" w:cs="宋体" w:eastAsia="宋体" w:hint="default"/>
                <w:sz w:val="18"/>
                <w:szCs w:val="18"/>
              </w:rPr>
              <w:t>货币资金变动主要是由于公司本期 销售收款增加及利用银行票据支付 款项增加所致</w:t>
            </w:r>
          </w:p>
        </w:tc>
      </w:tr>
      <w:tr>
        <w:trPr>
          <w:trHeight w:val="391" w:hRule="exact"/>
        </w:trPr>
        <w:tc>
          <w:tcPr>
            <w:tcW w:w="156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415" w:type="dxa"/>
            <w:vMerge/>
            <w:tcBorders>
              <w:left w:val="single" w:sz="9" w:space="0" w:color="D4D4D4"/>
              <w:right w:val="single" w:sz="4" w:space="0" w:color="000000"/>
            </w:tcBorders>
          </w:tcPr>
          <w:p>
            <w:pPr/>
          </w:p>
        </w:tc>
        <w:tc>
          <w:tcPr>
            <w:tcW w:w="852" w:type="dxa"/>
            <w:vMerge/>
            <w:tcBorders>
              <w:left w:val="single" w:sz="4" w:space="0" w:color="000000"/>
              <w:right w:val="single" w:sz="4" w:space="0" w:color="000000"/>
            </w:tcBorders>
          </w:tcPr>
          <w:p>
            <w:pPr/>
          </w:p>
        </w:tc>
        <w:tc>
          <w:tcPr>
            <w:tcW w:w="1274"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696"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317" w:hRule="exact"/>
        </w:trPr>
        <w:tc>
          <w:tcPr>
            <w:tcW w:w="1561" w:type="dxa"/>
            <w:tcBorders>
              <w:top w:val="nil" w:sz="6" w:space="0" w:color="auto"/>
              <w:left w:val="single" w:sz="4" w:space="0" w:color="000000"/>
              <w:bottom w:val="single" w:sz="4" w:space="0" w:color="000000"/>
              <w:right w:val="single" w:sz="4" w:space="0" w:color="000000"/>
            </w:tcBorders>
            <w:shd w:val="clear" w:color="auto" w:fill="D4D4D4"/>
          </w:tcPr>
          <w:p>
            <w:pPr/>
          </w:p>
        </w:tc>
        <w:tc>
          <w:tcPr>
            <w:tcW w:w="1415" w:type="dxa"/>
            <w:vMerge/>
            <w:tcBorders>
              <w:left w:val="single" w:sz="9" w:space="0" w:color="D4D4D4"/>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1274"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696"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560"/>
        <w:gridCol w:w="1416"/>
        <w:gridCol w:w="852"/>
        <w:gridCol w:w="1274"/>
        <w:gridCol w:w="852"/>
        <w:gridCol w:w="696"/>
        <w:gridCol w:w="2918"/>
      </w:tblGrid>
      <w:tr>
        <w:trPr>
          <w:trHeight w:val="1025" w:hRule="exact"/>
        </w:trPr>
        <w:tc>
          <w:tcPr>
            <w:tcW w:w="15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796,779,217.13</w:t>
            </w:r>
            <w:r>
              <w:rPr>
                <w:rFonts w:ascii="Times New Roman"/>
                <w:sz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18.97%</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625,000,672.55</w:t>
            </w:r>
            <w:r>
              <w:rPr>
                <w:rFonts w:ascii="Times New Roman"/>
                <w:sz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17.97%</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1.00%</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82"/>
              <w:jc w:val="both"/>
              <w:rPr>
                <w:rFonts w:ascii="宋体" w:hAnsi="宋体" w:cs="宋体" w:eastAsia="宋体" w:hint="default"/>
                <w:sz w:val="18"/>
                <w:szCs w:val="18"/>
              </w:rPr>
            </w:pPr>
            <w:r>
              <w:rPr>
                <w:rFonts w:ascii="宋体" w:hAnsi="宋体" w:cs="宋体" w:eastAsia="宋体" w:hint="default"/>
                <w:sz w:val="18"/>
                <w:szCs w:val="18"/>
              </w:rPr>
              <w:t>应收账款变动主要是由于本期公司 营业收入增加及大金额项目比重增 加，收款时间相对较长所致。</w:t>
            </w:r>
          </w:p>
        </w:tc>
      </w:tr>
      <w:tr>
        <w:trPr>
          <w:trHeight w:val="1027" w:hRule="exact"/>
        </w:trPr>
        <w:tc>
          <w:tcPr>
            <w:tcW w:w="15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436,676,432.39</w:t>
            </w:r>
            <w:r>
              <w:rPr>
                <w:rFonts w:ascii="Times New Roman"/>
                <w:sz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10.40%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360,520,395.81</w:t>
            </w:r>
            <w:r>
              <w:rPr>
                <w:rFonts w:ascii="Times New Roman"/>
                <w:sz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10.37%</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0.03%</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9"/>
              <w:jc w:val="left"/>
              <w:rPr>
                <w:rFonts w:ascii="宋体" w:hAnsi="宋体" w:cs="宋体" w:eastAsia="宋体" w:hint="default"/>
                <w:sz w:val="18"/>
                <w:szCs w:val="18"/>
              </w:rPr>
            </w:pPr>
            <w:r>
              <w:rPr>
                <w:rFonts w:ascii="宋体" w:hAnsi="宋体" w:cs="宋体" w:eastAsia="宋体" w:hint="default"/>
                <w:spacing w:val="-2"/>
                <w:sz w:val="18"/>
                <w:szCs w:val="18"/>
              </w:rPr>
              <w:t>存货比重变化不大，金额增加主要是</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由于项目备货及发出商品尚未验收 金额增加所致</w:t>
            </w:r>
          </w:p>
        </w:tc>
      </w:tr>
      <w:tr>
        <w:trPr>
          <w:trHeight w:val="401" w:hRule="exact"/>
        </w:trPr>
        <w:tc>
          <w:tcPr>
            <w:tcW w:w="15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275,683.98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295,290.17</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0.01%</w:t>
            </w:r>
          </w:p>
        </w:tc>
        <w:tc>
          <w:tcPr>
            <w:tcW w:w="696" w:type="dxa"/>
            <w:tcBorders>
              <w:top w:val="single" w:sz="4" w:space="0" w:color="000000"/>
              <w:left w:val="single" w:sz="4" w:space="0" w:color="000000"/>
              <w:bottom w:val="single" w:sz="4" w:space="0" w:color="000000"/>
              <w:right w:val="single" w:sz="4" w:space="0" w:color="000000"/>
            </w:tcBorders>
          </w:tcPr>
          <w:p>
            <w:pP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5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20,661,440.39</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0.49%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14,759,392.18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0.42%</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0.07%</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1"/>
              <w:ind w:left="23" w:right="135"/>
              <w:jc w:val="both"/>
              <w:rPr>
                <w:rFonts w:ascii="宋体" w:hAnsi="宋体" w:cs="宋体" w:eastAsia="宋体" w:hint="default"/>
                <w:sz w:val="18"/>
                <w:szCs w:val="18"/>
              </w:rPr>
            </w:pPr>
            <w:r>
              <w:rPr>
                <w:rFonts w:ascii="宋体" w:hAnsi="宋体" w:cs="宋体" w:eastAsia="宋体" w:hint="default"/>
                <w:sz w:val="18"/>
                <w:szCs w:val="18"/>
              </w:rPr>
              <w:t>长期股权投资变动主要是由于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年支付安徽华图和厦门本思信息的 参股投资款所致</w:t>
            </w:r>
          </w:p>
        </w:tc>
      </w:tr>
      <w:tr>
        <w:trPr>
          <w:trHeight w:val="1025" w:hRule="exact"/>
        </w:trPr>
        <w:tc>
          <w:tcPr>
            <w:tcW w:w="15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387,910,370.69</w:t>
            </w:r>
            <w:r>
              <w:rPr>
                <w:rFonts w:ascii="Times New Roman"/>
                <w:sz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9.24%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269,979,915.61</w:t>
            </w:r>
            <w:r>
              <w:rPr>
                <w:rFonts w:ascii="Times New Roman"/>
                <w:sz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7.76%</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1.48%</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82"/>
              <w:jc w:val="both"/>
              <w:rPr>
                <w:rFonts w:ascii="宋体" w:hAnsi="宋体" w:cs="宋体" w:eastAsia="宋体" w:hint="default"/>
                <w:sz w:val="18"/>
                <w:szCs w:val="18"/>
              </w:rPr>
            </w:pPr>
            <w:r>
              <w:rPr>
                <w:rFonts w:ascii="宋体" w:hAnsi="宋体" w:cs="宋体" w:eastAsia="宋体" w:hint="default"/>
                <w:sz w:val="18"/>
                <w:szCs w:val="18"/>
              </w:rPr>
              <w:t>固定资产变动主要是由于公司人才 房交房转固及子公司江苏税软购买 办公用房所致</w:t>
            </w:r>
          </w:p>
        </w:tc>
      </w:tr>
      <w:tr>
        <w:trPr>
          <w:trHeight w:val="715" w:hRule="exact"/>
        </w:trPr>
        <w:tc>
          <w:tcPr>
            <w:tcW w:w="15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2,473,291.71</w:t>
            </w:r>
            <w:r>
              <w:rPr>
                <w:rFonts w:ascii="Times New Roman"/>
                <w:sz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0.06%</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1,415,526.94</w:t>
            </w:r>
            <w:r>
              <w:rPr>
                <w:rFonts w:ascii="Times New Roman"/>
                <w:sz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0.04%</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0.02%</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182"/>
              <w:jc w:val="left"/>
              <w:rPr>
                <w:rFonts w:ascii="宋体" w:hAnsi="宋体" w:cs="宋体" w:eastAsia="宋体" w:hint="default"/>
                <w:sz w:val="18"/>
                <w:szCs w:val="18"/>
              </w:rPr>
            </w:pPr>
            <w:r>
              <w:rPr>
                <w:rFonts w:ascii="宋体" w:hAnsi="宋体" w:cs="宋体" w:eastAsia="宋体" w:hint="default"/>
                <w:sz w:val="18"/>
                <w:szCs w:val="18"/>
              </w:rPr>
              <w:t>在建工程变化主要是由于公司办公 室装修增加所致</w:t>
            </w:r>
          </w:p>
        </w:tc>
      </w:tr>
      <w:tr>
        <w:trPr>
          <w:trHeight w:val="401" w:hRule="exact"/>
        </w:trPr>
        <w:tc>
          <w:tcPr>
            <w:tcW w:w="15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15,461,984.57</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0.37%</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17,023,952.45</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0.49%</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-0.12%</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383,528,353.61</w:t>
            </w:r>
            <w:r>
              <w:rPr>
                <w:rFonts w:ascii="Times New Roman"/>
                <w:sz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9.13%</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274,611,755.56</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7.90%</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1.23%</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82"/>
              <w:jc w:val="both"/>
              <w:rPr>
                <w:rFonts w:ascii="宋体" w:hAnsi="宋体" w:cs="宋体" w:eastAsia="宋体" w:hint="default"/>
                <w:sz w:val="18"/>
                <w:szCs w:val="18"/>
              </w:rPr>
            </w:pPr>
            <w:r>
              <w:rPr>
                <w:rFonts w:ascii="宋体" w:hAnsi="宋体" w:cs="宋体" w:eastAsia="宋体" w:hint="default"/>
                <w:sz w:val="18"/>
                <w:szCs w:val="18"/>
              </w:rPr>
              <w:t>其他权益工具投资变动主要是由于 公司参股公司中新赛克股价上涨所 致</w:t>
            </w:r>
          </w:p>
        </w:tc>
      </w:tr>
      <w:tr>
        <w:trPr>
          <w:trHeight w:val="1025"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63,074,689.62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1.50%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53,958,244.97</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1.55%</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-0.05%</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9"/>
              <w:jc w:val="left"/>
              <w:rPr>
                <w:rFonts w:ascii="宋体" w:hAnsi="宋体" w:cs="宋体" w:eastAsia="宋体" w:hint="default"/>
                <w:sz w:val="18"/>
                <w:szCs w:val="18"/>
              </w:rPr>
            </w:pPr>
            <w:r>
              <w:rPr>
                <w:rFonts w:ascii="宋体" w:hAnsi="宋体" w:cs="宋体" w:eastAsia="宋体" w:hint="default"/>
                <w:spacing w:val="-2"/>
                <w:sz w:val="18"/>
                <w:szCs w:val="18"/>
              </w:rPr>
              <w:t>无形资产比重变化不大，金额增加主</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要是由于公司部分开发支出达到预 定可使用状态转为无形资产所致</w:t>
            </w:r>
          </w:p>
        </w:tc>
      </w:tr>
      <w:tr>
        <w:trPr>
          <w:trHeight w:val="1027"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84,954,299.51</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2.02%</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29,428,986.40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0.85%</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1.17%</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82"/>
              <w:jc w:val="both"/>
              <w:rPr>
                <w:rFonts w:ascii="宋体" w:hAnsi="宋体" w:cs="宋体" w:eastAsia="宋体" w:hint="default"/>
                <w:sz w:val="18"/>
                <w:szCs w:val="18"/>
              </w:rPr>
            </w:pPr>
            <w:r>
              <w:rPr>
                <w:rFonts w:ascii="宋体" w:hAnsi="宋体" w:cs="宋体" w:eastAsia="宋体" w:hint="default"/>
                <w:sz w:val="18"/>
                <w:szCs w:val="18"/>
              </w:rPr>
              <w:t>开发支出变动主要是由于公司开发 支出尚未达到预定可使用状态项目 增加所致</w:t>
            </w:r>
          </w:p>
        </w:tc>
      </w:tr>
      <w:tr>
        <w:trPr>
          <w:trHeight w:val="1027"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50,231,805.84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1.20%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128,505,056.03</w:t>
            </w:r>
            <w:r>
              <w:rPr>
                <w:rFonts w:ascii="Times New Roman"/>
                <w:sz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3.70%</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-2.50%</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9"/>
              <w:jc w:val="left"/>
              <w:rPr>
                <w:rFonts w:ascii="宋体" w:hAnsi="宋体" w:cs="宋体" w:eastAsia="宋体" w:hint="default"/>
                <w:sz w:val="18"/>
                <w:szCs w:val="18"/>
              </w:rPr>
            </w:pPr>
            <w:r>
              <w:rPr>
                <w:rFonts w:ascii="宋体" w:hAnsi="宋体" w:cs="宋体" w:eastAsia="宋体" w:hint="default"/>
                <w:sz w:val="18"/>
                <w:szCs w:val="18"/>
              </w:rPr>
              <w:t>其他非流动资产变动主要是由于公 </w:t>
            </w:r>
            <w:r>
              <w:rPr>
                <w:rFonts w:ascii="宋体" w:hAnsi="宋体" w:cs="宋体" w:eastAsia="宋体" w:hint="default"/>
                <w:spacing w:val="-2"/>
                <w:sz w:val="18"/>
                <w:szCs w:val="18"/>
              </w:rPr>
              <w:t>司人才房交房转固，从其他非流动资</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产转至固定资产所致。</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2、以公允价值计量的资产和负债" w:id="41"/>
      <w:bookmarkEnd w:id="41"/>
      <w:r>
        <w:rPr>
          <w:b w:val="0"/>
          <w:bCs w:val="0"/>
        </w:rPr>
      </w:r>
      <w:r>
        <w:rPr>
          <w:rFonts w:ascii="Times New Roman" w:hAnsi="Times New Roman" w:cs="Times New Roman" w:eastAsia="Times New Roman" w:hint="default"/>
        </w:rPr>
        <w:t>2</w:t>
      </w:r>
      <w:r>
        <w:rPr/>
        <w:t>、以公允价值计量的资产和负债</w:t>
      </w:r>
      <w:r>
        <w:rPr>
          <w:b w:val="0"/>
          <w:bCs w:val="0"/>
        </w:rPr>
      </w:r>
    </w:p>
    <w:p>
      <w:pPr>
        <w:spacing w:line="240" w:lineRule="auto" w:before="10"/>
        <w:rPr>
          <w:rFonts w:ascii="宋体" w:hAnsi="宋体" w:cs="宋体" w:eastAsia="宋体" w:hint="default"/>
          <w:b/>
          <w:bCs/>
          <w:sz w:val="22"/>
          <w:szCs w:val="22"/>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before="117"/>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147"/>
        <w:gridCol w:w="1372"/>
        <w:gridCol w:w="1105"/>
        <w:gridCol w:w="1440"/>
        <w:gridCol w:w="960"/>
        <w:gridCol w:w="1064"/>
        <w:gridCol w:w="736"/>
        <w:gridCol w:w="515"/>
        <w:gridCol w:w="1217"/>
      </w:tblGrid>
      <w:tr>
        <w:trPr>
          <w:trHeight w:val="161" w:hRule="exact"/>
        </w:trPr>
        <w:tc>
          <w:tcPr>
            <w:tcW w:w="1147" w:type="dxa"/>
            <w:tcBorders>
              <w:top w:val="single" w:sz="4" w:space="0" w:color="000000"/>
              <w:left w:val="single" w:sz="4" w:space="0" w:color="000000"/>
              <w:bottom w:val="nil" w:sz="6" w:space="0" w:color="auto"/>
              <w:right w:val="single" w:sz="4" w:space="0" w:color="000000"/>
            </w:tcBorders>
            <w:shd w:val="clear" w:color="auto" w:fill="D4D4D4"/>
          </w:tcPr>
          <w:p>
            <w:pPr/>
          </w:p>
        </w:tc>
        <w:tc>
          <w:tcPr>
            <w:tcW w:w="1372" w:type="dxa"/>
            <w:tcBorders>
              <w:top w:val="single" w:sz="4" w:space="0" w:color="000000"/>
              <w:left w:val="single" w:sz="4" w:space="0" w:color="000000"/>
              <w:bottom w:val="nil" w:sz="6" w:space="0" w:color="auto"/>
              <w:right w:val="single" w:sz="4" w:space="0" w:color="000000"/>
            </w:tcBorders>
            <w:shd w:val="clear" w:color="auto" w:fill="D4D4D4"/>
          </w:tcPr>
          <w:p>
            <w:pPr/>
          </w:p>
        </w:tc>
        <w:tc>
          <w:tcPr>
            <w:tcW w:w="1105" w:type="dxa"/>
            <w:vMerge w:val="restart"/>
            <w:tcBorders>
              <w:top w:val="single" w:sz="4" w:space="0" w:color="000000"/>
              <w:left w:val="single" w:sz="4" w:space="0" w:color="000000"/>
              <w:right w:val="single" w:sz="4" w:space="0" w:color="000000"/>
            </w:tcBorders>
            <w:shd w:val="clear" w:color="auto" w:fill="D4D4D4"/>
          </w:tcPr>
          <w:p>
            <w:pPr>
              <w:pStyle w:val="TableParagraph"/>
              <w:spacing w:line="314" w:lineRule="auto" w:before="49"/>
              <w:ind w:left="94" w:right="98"/>
              <w:jc w:val="left"/>
              <w:rPr>
                <w:rFonts w:ascii="宋体" w:hAnsi="宋体" w:cs="宋体" w:eastAsia="宋体" w:hint="default"/>
                <w:sz w:val="18"/>
                <w:szCs w:val="18"/>
              </w:rPr>
            </w:pPr>
            <w:r>
              <w:rPr>
                <w:rFonts w:ascii="宋体" w:hAnsi="宋体" w:cs="宋体" w:eastAsia="宋体" w:hint="default"/>
                <w:sz w:val="18"/>
                <w:szCs w:val="18"/>
              </w:rPr>
              <w:t>本期公允价 值变动损益</w:t>
            </w:r>
          </w:p>
        </w:tc>
        <w:tc>
          <w:tcPr>
            <w:tcW w:w="1440" w:type="dxa"/>
            <w:vMerge w:val="restart"/>
            <w:tcBorders>
              <w:top w:val="single" w:sz="4" w:space="0" w:color="000000"/>
              <w:left w:val="single" w:sz="4" w:space="0" w:color="000000"/>
              <w:right w:val="single" w:sz="4" w:space="0" w:color="000000"/>
            </w:tcBorders>
            <w:shd w:val="clear" w:color="auto" w:fill="D4D4D4"/>
          </w:tcPr>
          <w:p>
            <w:pPr>
              <w:pStyle w:val="TableParagraph"/>
              <w:spacing w:line="314" w:lineRule="auto" w:before="49"/>
              <w:ind w:left="175" w:right="83" w:hanging="89"/>
              <w:jc w:val="left"/>
              <w:rPr>
                <w:rFonts w:ascii="宋体" w:hAnsi="宋体" w:cs="宋体" w:eastAsia="宋体" w:hint="default"/>
                <w:sz w:val="18"/>
                <w:szCs w:val="18"/>
              </w:rPr>
            </w:pPr>
            <w:r>
              <w:rPr>
                <w:rFonts w:ascii="宋体" w:hAnsi="宋体" w:cs="宋体" w:eastAsia="宋体" w:hint="default"/>
                <w:sz w:val="18"/>
                <w:szCs w:val="18"/>
              </w:rPr>
              <w:t>计入权益的累计 公允价值变动</w:t>
            </w:r>
          </w:p>
        </w:tc>
        <w:tc>
          <w:tcPr>
            <w:tcW w:w="960" w:type="dxa"/>
            <w:vMerge w:val="restart"/>
            <w:tcBorders>
              <w:top w:val="single" w:sz="4" w:space="0" w:color="000000"/>
              <w:left w:val="single" w:sz="4" w:space="0" w:color="000000"/>
              <w:right w:val="single" w:sz="4" w:space="0" w:color="000000"/>
            </w:tcBorders>
            <w:shd w:val="clear" w:color="auto" w:fill="D4D4D4"/>
          </w:tcPr>
          <w:p>
            <w:pPr>
              <w:pStyle w:val="TableParagraph"/>
              <w:spacing w:line="314" w:lineRule="auto" w:before="49"/>
              <w:ind w:left="295" w:right="23" w:hanging="269"/>
              <w:jc w:val="left"/>
              <w:rPr>
                <w:rFonts w:ascii="宋体" w:hAnsi="宋体" w:cs="宋体" w:eastAsia="宋体" w:hint="default"/>
                <w:sz w:val="18"/>
                <w:szCs w:val="18"/>
              </w:rPr>
            </w:pPr>
            <w:r>
              <w:rPr>
                <w:rFonts w:ascii="宋体" w:hAnsi="宋体" w:cs="宋体" w:eastAsia="宋体" w:hint="default"/>
                <w:sz w:val="18"/>
                <w:szCs w:val="18"/>
              </w:rPr>
              <w:t>本期计提的 减值</w:t>
            </w:r>
          </w:p>
        </w:tc>
        <w:tc>
          <w:tcPr>
            <w:tcW w:w="1064" w:type="dxa"/>
            <w:vMerge w:val="restart"/>
            <w:tcBorders>
              <w:top w:val="single" w:sz="4" w:space="0" w:color="000000"/>
              <w:left w:val="single" w:sz="4" w:space="0" w:color="000000"/>
              <w:right w:val="single" w:sz="4" w:space="0" w:color="000000"/>
            </w:tcBorders>
            <w:shd w:val="clear" w:color="auto" w:fill="D4D4D4"/>
          </w:tcPr>
          <w:p>
            <w:pPr>
              <w:pStyle w:val="TableParagraph"/>
              <w:spacing w:line="314" w:lineRule="auto" w:before="49"/>
              <w:ind w:left="436" w:right="75" w:hanging="360"/>
              <w:jc w:val="left"/>
              <w:rPr>
                <w:rFonts w:ascii="宋体" w:hAnsi="宋体" w:cs="宋体" w:eastAsia="宋体" w:hint="default"/>
                <w:sz w:val="18"/>
                <w:szCs w:val="18"/>
              </w:rPr>
            </w:pPr>
            <w:r>
              <w:rPr>
                <w:rFonts w:ascii="宋体" w:hAnsi="宋体" w:cs="宋体" w:eastAsia="宋体" w:hint="default"/>
                <w:sz w:val="18"/>
                <w:szCs w:val="18"/>
              </w:rPr>
              <w:t>本期购买金 额</w:t>
            </w:r>
          </w:p>
        </w:tc>
        <w:tc>
          <w:tcPr>
            <w:tcW w:w="736" w:type="dxa"/>
            <w:vMerge w:val="restart"/>
            <w:tcBorders>
              <w:top w:val="single" w:sz="4" w:space="0" w:color="000000"/>
              <w:left w:val="single" w:sz="4" w:space="0" w:color="000000"/>
              <w:right w:val="single" w:sz="4" w:space="0" w:color="000000"/>
            </w:tcBorders>
            <w:shd w:val="clear" w:color="auto" w:fill="D4D4D4"/>
          </w:tcPr>
          <w:p>
            <w:pPr>
              <w:pStyle w:val="TableParagraph"/>
              <w:spacing w:line="314" w:lineRule="auto" w:before="49"/>
              <w:ind w:left="92" w:right="91"/>
              <w:jc w:val="left"/>
              <w:rPr>
                <w:rFonts w:ascii="宋体" w:hAnsi="宋体" w:cs="宋体" w:eastAsia="宋体" w:hint="default"/>
                <w:sz w:val="18"/>
                <w:szCs w:val="18"/>
              </w:rPr>
            </w:pPr>
            <w:r>
              <w:rPr>
                <w:rFonts w:ascii="宋体" w:hAnsi="宋体" w:cs="宋体" w:eastAsia="宋体" w:hint="default"/>
                <w:sz w:val="18"/>
                <w:szCs w:val="18"/>
              </w:rPr>
              <w:t>本期出 售金额</w:t>
            </w:r>
          </w:p>
        </w:tc>
        <w:tc>
          <w:tcPr>
            <w:tcW w:w="515" w:type="dxa"/>
            <w:vMerge w:val="restart"/>
            <w:tcBorders>
              <w:top w:val="single" w:sz="4" w:space="0" w:color="000000"/>
              <w:left w:val="single" w:sz="4" w:space="0" w:color="000000"/>
              <w:right w:val="single" w:sz="4" w:space="0" w:color="000000"/>
            </w:tcBorders>
            <w:shd w:val="clear" w:color="auto" w:fill="D4D4D4"/>
          </w:tcPr>
          <w:p>
            <w:pPr>
              <w:pStyle w:val="TableParagraph"/>
              <w:spacing w:line="314" w:lineRule="auto" w:before="49"/>
              <w:ind w:left="76" w:right="68"/>
              <w:jc w:val="left"/>
              <w:rPr>
                <w:rFonts w:ascii="宋体" w:hAnsi="宋体" w:cs="宋体" w:eastAsia="宋体" w:hint="default"/>
                <w:sz w:val="18"/>
                <w:szCs w:val="18"/>
              </w:rPr>
            </w:pPr>
            <w:r>
              <w:rPr>
                <w:rFonts w:ascii="宋体" w:hAnsi="宋体" w:cs="宋体" w:eastAsia="宋体" w:hint="default"/>
                <w:sz w:val="18"/>
                <w:szCs w:val="18"/>
              </w:rPr>
              <w:t>其他 变动</w:t>
            </w:r>
          </w:p>
        </w:tc>
        <w:tc>
          <w:tcPr>
            <w:tcW w:w="1217" w:type="dxa"/>
            <w:tcBorders>
              <w:top w:val="single" w:sz="4" w:space="0" w:color="000000"/>
              <w:left w:val="single" w:sz="4" w:space="0" w:color="000000"/>
              <w:bottom w:val="nil" w:sz="6" w:space="0" w:color="auto"/>
              <w:right w:val="single" w:sz="4" w:space="0" w:color="000000"/>
            </w:tcBorders>
            <w:shd w:val="clear" w:color="auto" w:fill="D4D4D4"/>
          </w:tcPr>
          <w:p>
            <w:pPr/>
          </w:p>
        </w:tc>
      </w:tr>
      <w:tr>
        <w:trPr>
          <w:trHeight w:val="391" w:hRule="exact"/>
        </w:trPr>
        <w:tc>
          <w:tcPr>
            <w:tcW w:w="1147"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right="7"/>
              <w:jc w:val="center"/>
              <w:rPr>
                <w:rFonts w:ascii="宋体" w:hAnsi="宋体" w:cs="宋体" w:eastAsia="宋体" w:hint="default"/>
                <w:sz w:val="18"/>
                <w:szCs w:val="18"/>
              </w:rPr>
            </w:pPr>
            <w:r>
              <w:rPr>
                <w:rFonts w:ascii="宋体" w:hAnsi="宋体" w:cs="宋体" w:eastAsia="宋体" w:hint="default"/>
                <w:sz w:val="18"/>
                <w:szCs w:val="18"/>
              </w:rPr>
              <w:t>项目</w:t>
            </w:r>
          </w:p>
        </w:tc>
        <w:tc>
          <w:tcPr>
            <w:tcW w:w="1372"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期初数</w:t>
            </w:r>
          </w:p>
        </w:tc>
        <w:tc>
          <w:tcPr>
            <w:tcW w:w="1105" w:type="dxa"/>
            <w:vMerge/>
            <w:tcBorders>
              <w:left w:val="single" w:sz="4" w:space="0" w:color="000000"/>
              <w:right w:val="single" w:sz="4" w:space="0" w:color="000000"/>
            </w:tcBorders>
            <w:shd w:val="clear" w:color="auto" w:fill="D4D4D4"/>
          </w:tcPr>
          <w:p>
            <w:pPr/>
          </w:p>
        </w:tc>
        <w:tc>
          <w:tcPr>
            <w:tcW w:w="1440" w:type="dxa"/>
            <w:vMerge/>
            <w:tcBorders>
              <w:left w:val="single" w:sz="4" w:space="0" w:color="000000"/>
              <w:right w:val="single" w:sz="4" w:space="0" w:color="000000"/>
            </w:tcBorders>
            <w:shd w:val="clear" w:color="auto" w:fill="D4D4D4"/>
          </w:tcPr>
          <w:p>
            <w:pPr/>
          </w:p>
        </w:tc>
        <w:tc>
          <w:tcPr>
            <w:tcW w:w="960" w:type="dxa"/>
            <w:vMerge/>
            <w:tcBorders>
              <w:left w:val="single" w:sz="4" w:space="0" w:color="000000"/>
              <w:right w:val="single" w:sz="4" w:space="0" w:color="000000"/>
            </w:tcBorders>
            <w:shd w:val="clear" w:color="auto" w:fill="D4D4D4"/>
          </w:tcPr>
          <w:p>
            <w:pPr/>
          </w:p>
        </w:tc>
        <w:tc>
          <w:tcPr>
            <w:tcW w:w="1064" w:type="dxa"/>
            <w:vMerge/>
            <w:tcBorders>
              <w:left w:val="single" w:sz="4" w:space="0" w:color="000000"/>
              <w:right w:val="single" w:sz="4" w:space="0" w:color="000000"/>
            </w:tcBorders>
            <w:shd w:val="clear" w:color="auto" w:fill="D4D4D4"/>
          </w:tcPr>
          <w:p>
            <w:pPr/>
          </w:p>
        </w:tc>
        <w:tc>
          <w:tcPr>
            <w:tcW w:w="736" w:type="dxa"/>
            <w:vMerge/>
            <w:tcBorders>
              <w:left w:val="single" w:sz="4" w:space="0" w:color="000000"/>
              <w:right w:val="single" w:sz="4" w:space="0" w:color="000000"/>
            </w:tcBorders>
            <w:shd w:val="clear" w:color="auto" w:fill="D4D4D4"/>
          </w:tcPr>
          <w:p>
            <w:pPr/>
          </w:p>
        </w:tc>
        <w:tc>
          <w:tcPr>
            <w:tcW w:w="515" w:type="dxa"/>
            <w:vMerge/>
            <w:tcBorders>
              <w:left w:val="single" w:sz="4" w:space="0" w:color="000000"/>
              <w:right w:val="single" w:sz="4" w:space="0" w:color="000000"/>
            </w:tcBorders>
            <w:shd w:val="clear" w:color="auto" w:fill="D4D4D4"/>
          </w:tcPr>
          <w:p>
            <w:pPr/>
          </w:p>
        </w:tc>
        <w:tc>
          <w:tcPr>
            <w:tcW w:w="1217"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336"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166" w:hRule="exact"/>
        </w:trPr>
        <w:tc>
          <w:tcPr>
            <w:tcW w:w="1147" w:type="dxa"/>
            <w:tcBorders>
              <w:top w:val="nil" w:sz="6" w:space="0" w:color="auto"/>
              <w:left w:val="single" w:sz="4" w:space="0" w:color="000000"/>
              <w:bottom w:val="single" w:sz="4" w:space="0" w:color="000000"/>
              <w:right w:val="single" w:sz="4" w:space="0" w:color="000000"/>
            </w:tcBorders>
            <w:shd w:val="clear" w:color="auto" w:fill="D4D4D4"/>
          </w:tcPr>
          <w:p>
            <w:pPr/>
          </w:p>
        </w:tc>
        <w:tc>
          <w:tcPr>
            <w:tcW w:w="1372" w:type="dxa"/>
            <w:tcBorders>
              <w:top w:val="nil" w:sz="6" w:space="0" w:color="auto"/>
              <w:left w:val="single" w:sz="4" w:space="0" w:color="000000"/>
              <w:bottom w:val="single" w:sz="4" w:space="0" w:color="000000"/>
              <w:right w:val="single" w:sz="4" w:space="0" w:color="000000"/>
            </w:tcBorders>
            <w:shd w:val="clear" w:color="auto" w:fill="D4D4D4"/>
          </w:tcPr>
          <w:p>
            <w:pPr/>
          </w:p>
        </w:tc>
        <w:tc>
          <w:tcPr>
            <w:tcW w:w="1105" w:type="dxa"/>
            <w:vMerge/>
            <w:tcBorders>
              <w:left w:val="single" w:sz="4" w:space="0" w:color="000000"/>
              <w:bottom w:val="single" w:sz="4" w:space="0" w:color="000000"/>
              <w:right w:val="single" w:sz="4" w:space="0" w:color="000000"/>
            </w:tcBorders>
            <w:shd w:val="clear" w:color="auto" w:fill="D4D4D4"/>
          </w:tcPr>
          <w:p>
            <w:pPr/>
          </w:p>
        </w:tc>
        <w:tc>
          <w:tcPr>
            <w:tcW w:w="1440" w:type="dxa"/>
            <w:vMerge/>
            <w:tcBorders>
              <w:left w:val="single" w:sz="4" w:space="0" w:color="000000"/>
              <w:bottom w:val="single" w:sz="4" w:space="0" w:color="000000"/>
              <w:right w:val="single" w:sz="4" w:space="0" w:color="000000"/>
            </w:tcBorders>
            <w:shd w:val="clear" w:color="auto" w:fill="D4D4D4"/>
          </w:tcPr>
          <w:p>
            <w:pPr/>
          </w:p>
        </w:tc>
        <w:tc>
          <w:tcPr>
            <w:tcW w:w="960" w:type="dxa"/>
            <w:vMerge/>
            <w:tcBorders>
              <w:left w:val="single" w:sz="4" w:space="0" w:color="000000"/>
              <w:bottom w:val="single" w:sz="4" w:space="0" w:color="000000"/>
              <w:right w:val="single" w:sz="4" w:space="0" w:color="000000"/>
            </w:tcBorders>
            <w:shd w:val="clear" w:color="auto" w:fill="D4D4D4"/>
          </w:tcPr>
          <w:p>
            <w:pPr/>
          </w:p>
        </w:tc>
        <w:tc>
          <w:tcPr>
            <w:tcW w:w="1064" w:type="dxa"/>
            <w:vMerge/>
            <w:tcBorders>
              <w:left w:val="single" w:sz="4" w:space="0" w:color="000000"/>
              <w:bottom w:val="single" w:sz="4" w:space="0" w:color="000000"/>
              <w:right w:val="single" w:sz="4" w:space="0" w:color="000000"/>
            </w:tcBorders>
            <w:shd w:val="clear" w:color="auto" w:fill="D4D4D4"/>
          </w:tcPr>
          <w:p>
            <w:pPr/>
          </w:p>
        </w:tc>
        <w:tc>
          <w:tcPr>
            <w:tcW w:w="736" w:type="dxa"/>
            <w:vMerge/>
            <w:tcBorders>
              <w:left w:val="single" w:sz="4" w:space="0" w:color="000000"/>
              <w:bottom w:val="single" w:sz="4" w:space="0" w:color="000000"/>
              <w:right w:val="single" w:sz="4" w:space="0" w:color="000000"/>
            </w:tcBorders>
            <w:shd w:val="clear" w:color="auto" w:fill="D4D4D4"/>
          </w:tcPr>
          <w:p>
            <w:pPr/>
          </w:p>
        </w:tc>
        <w:tc>
          <w:tcPr>
            <w:tcW w:w="515" w:type="dxa"/>
            <w:vMerge/>
            <w:tcBorders>
              <w:left w:val="single" w:sz="4" w:space="0" w:color="000000"/>
              <w:bottom w:val="single" w:sz="4" w:space="0" w:color="000000"/>
              <w:right w:val="single" w:sz="4" w:space="0" w:color="000000"/>
            </w:tcBorders>
            <w:shd w:val="clear" w:color="auto" w:fill="D4D4D4"/>
          </w:tcPr>
          <w:p>
            <w:pPr/>
          </w:p>
        </w:tc>
        <w:tc>
          <w:tcPr>
            <w:tcW w:w="1217" w:type="dxa"/>
            <w:tcBorders>
              <w:top w:val="nil" w:sz="6" w:space="0" w:color="auto"/>
              <w:left w:val="single" w:sz="4" w:space="0" w:color="000000"/>
              <w:bottom w:val="single" w:sz="4" w:space="0" w:color="000000"/>
              <w:right w:val="single" w:sz="4" w:space="0" w:color="000000"/>
            </w:tcBorders>
            <w:shd w:val="clear" w:color="auto" w:fill="D4D4D4"/>
          </w:tcPr>
          <w:p>
            <w:pPr/>
          </w:p>
        </w:tc>
      </w:tr>
      <w:tr>
        <w:trPr>
          <w:trHeight w:val="396" w:hRule="exact"/>
        </w:trPr>
        <w:tc>
          <w:tcPr>
            <w:tcW w:w="9557" w:type="dxa"/>
            <w:gridSpan w:val="9"/>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4"/>
              <w:ind w:left="12" w:right="0"/>
              <w:jc w:val="left"/>
              <w:rPr>
                <w:rFonts w:ascii="宋体" w:hAnsi="宋体" w:cs="宋体" w:eastAsia="宋体" w:hint="default"/>
                <w:sz w:val="18"/>
                <w:szCs w:val="18"/>
              </w:rPr>
            </w:pPr>
            <w:r>
              <w:rPr>
                <w:rFonts w:ascii="宋体" w:hAnsi="宋体" w:cs="宋体" w:eastAsia="宋体" w:hint="default"/>
                <w:sz w:val="18"/>
                <w:szCs w:val="18"/>
              </w:rPr>
              <w:t>金融资产</w:t>
            </w:r>
          </w:p>
        </w:tc>
      </w:tr>
      <w:tr>
        <w:trPr>
          <w:trHeight w:val="715" w:hRule="exact"/>
        </w:trPr>
        <w:tc>
          <w:tcPr>
            <w:tcW w:w="11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97" w:lineRule="auto" w:before="51"/>
              <w:ind w:left="12" w:right="86"/>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其他权益工 具投资</w:t>
            </w:r>
          </w:p>
        </w:tc>
        <w:tc>
          <w:tcPr>
            <w:tcW w:w="137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left="58" w:right="0"/>
              <w:jc w:val="center"/>
              <w:rPr>
                <w:rFonts w:ascii="Arial" w:hAnsi="Arial" w:cs="Arial" w:eastAsia="Arial" w:hint="default"/>
                <w:sz w:val="18"/>
                <w:szCs w:val="18"/>
              </w:rPr>
            </w:pPr>
            <w:r>
              <w:rPr>
                <w:rFonts w:ascii="Arial"/>
                <w:sz w:val="18"/>
              </w:rPr>
              <w:t>274,611,755.56</w:t>
            </w:r>
          </w:p>
        </w:tc>
        <w:tc>
          <w:tcPr>
            <w:tcW w:w="1105"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83" w:right="0"/>
              <w:jc w:val="left"/>
              <w:rPr>
                <w:rFonts w:ascii="Times New Roman" w:hAnsi="Times New Roman" w:cs="Times New Roman" w:eastAsia="Times New Roman" w:hint="default"/>
                <w:sz w:val="18"/>
                <w:szCs w:val="18"/>
              </w:rPr>
            </w:pPr>
            <w:r>
              <w:rPr>
                <w:rFonts w:ascii="Times New Roman"/>
                <w:sz w:val="18"/>
              </w:rPr>
              <w:t>108,916,598.05</w:t>
            </w:r>
          </w:p>
        </w:tc>
        <w:tc>
          <w:tcPr>
            <w:tcW w:w="960"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515"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Arial" w:hAnsi="Arial" w:cs="Arial" w:eastAsia="Arial" w:hint="default"/>
                <w:sz w:val="18"/>
                <w:szCs w:val="18"/>
              </w:rPr>
            </w:pPr>
            <w:r>
              <w:rPr>
                <w:rFonts w:ascii="Arial"/>
                <w:spacing w:val="-1"/>
                <w:sz w:val="18"/>
              </w:rPr>
              <w:t>383,528,353.6</w:t>
            </w:r>
          </w:p>
          <w:p>
            <w:pPr>
              <w:pStyle w:val="TableParagraph"/>
              <w:spacing w:line="240" w:lineRule="auto" w:before="102"/>
              <w:ind w:right="20"/>
              <w:jc w:val="right"/>
              <w:rPr>
                <w:rFonts w:ascii="Arial" w:hAnsi="Arial" w:cs="Arial" w:eastAsia="Arial" w:hint="default"/>
                <w:sz w:val="18"/>
                <w:szCs w:val="18"/>
              </w:rPr>
            </w:pPr>
            <w:r>
              <w:rPr>
                <w:rFonts w:ascii="Arial"/>
                <w:w w:val="99"/>
                <w:sz w:val="18"/>
              </w:rPr>
              <w:t>1</w:t>
            </w:r>
            <w:r>
              <w:rPr>
                <w:rFonts w:ascii="Arial"/>
                <w:sz w:val="18"/>
              </w:rPr>
            </w:r>
          </w:p>
        </w:tc>
      </w:tr>
      <w:tr>
        <w:trPr>
          <w:trHeight w:val="161" w:hRule="exact"/>
        </w:trPr>
        <w:tc>
          <w:tcPr>
            <w:tcW w:w="1147" w:type="dxa"/>
            <w:tcBorders>
              <w:top w:val="single" w:sz="4" w:space="0" w:color="000000"/>
              <w:left w:val="single" w:sz="4" w:space="0" w:color="000000"/>
              <w:bottom w:val="nil" w:sz="6" w:space="0" w:color="auto"/>
              <w:right w:val="single" w:sz="4" w:space="0" w:color="000000"/>
            </w:tcBorders>
            <w:shd w:val="clear" w:color="auto" w:fill="D4D4D4"/>
          </w:tcPr>
          <w:p>
            <w:pPr/>
          </w:p>
        </w:tc>
        <w:tc>
          <w:tcPr>
            <w:tcW w:w="1372" w:type="dxa"/>
            <w:vMerge w:val="restart"/>
            <w:tcBorders>
              <w:top w:val="single" w:sz="4" w:space="0" w:color="000000"/>
              <w:left w:val="single" w:sz="10" w:space="0" w:color="D4D4D4"/>
              <w:right w:val="single" w:sz="4" w:space="0" w:color="000000"/>
            </w:tcBorders>
          </w:tcPr>
          <w:p>
            <w:pPr>
              <w:pStyle w:val="TableParagraph"/>
              <w:spacing w:line="240" w:lineRule="auto" w:before="90"/>
              <w:ind w:left="86" w:right="0"/>
              <w:jc w:val="left"/>
              <w:rPr>
                <w:rFonts w:ascii="Arial" w:hAnsi="Arial" w:cs="Arial" w:eastAsia="Arial" w:hint="default"/>
                <w:sz w:val="18"/>
                <w:szCs w:val="18"/>
              </w:rPr>
            </w:pPr>
            <w:r>
              <w:rPr>
                <w:rFonts w:ascii="Arial"/>
                <w:sz w:val="18"/>
              </w:rPr>
              <w:t>274,611,755.56</w:t>
            </w:r>
          </w:p>
        </w:tc>
        <w:tc>
          <w:tcPr>
            <w:tcW w:w="1105" w:type="dxa"/>
            <w:vMerge w:val="restart"/>
            <w:tcBorders>
              <w:top w:val="single" w:sz="4" w:space="0" w:color="000000"/>
              <w:left w:val="single" w:sz="4" w:space="0" w:color="000000"/>
              <w:right w:val="single" w:sz="4" w:space="0" w:color="000000"/>
            </w:tcBorders>
          </w:tcPr>
          <w:p>
            <w:pPr/>
          </w:p>
        </w:tc>
        <w:tc>
          <w:tcPr>
            <w:tcW w:w="1440" w:type="dxa"/>
            <w:vMerge w:val="restart"/>
            <w:tcBorders>
              <w:top w:val="single" w:sz="4" w:space="0" w:color="000000"/>
              <w:left w:val="single" w:sz="4" w:space="0" w:color="000000"/>
              <w:right w:val="single" w:sz="4" w:space="0" w:color="000000"/>
            </w:tcBorders>
          </w:tcPr>
          <w:p>
            <w:pPr>
              <w:pStyle w:val="TableParagraph"/>
              <w:spacing w:line="240" w:lineRule="auto" w:before="91"/>
              <w:ind w:left="283" w:right="0"/>
              <w:jc w:val="left"/>
              <w:rPr>
                <w:rFonts w:ascii="Times New Roman" w:hAnsi="Times New Roman" w:cs="Times New Roman" w:eastAsia="Times New Roman" w:hint="default"/>
                <w:sz w:val="18"/>
                <w:szCs w:val="18"/>
              </w:rPr>
            </w:pPr>
            <w:r>
              <w:rPr>
                <w:rFonts w:ascii="Times New Roman"/>
                <w:sz w:val="18"/>
              </w:rPr>
              <w:t>108,916,598.05</w:t>
            </w:r>
          </w:p>
        </w:tc>
        <w:tc>
          <w:tcPr>
            <w:tcW w:w="960" w:type="dxa"/>
            <w:vMerge w:val="restart"/>
            <w:tcBorders>
              <w:top w:val="single" w:sz="4" w:space="0" w:color="000000"/>
              <w:left w:val="single" w:sz="4" w:space="0" w:color="000000"/>
              <w:right w:val="single" w:sz="4" w:space="0" w:color="000000"/>
            </w:tcBorders>
          </w:tcPr>
          <w:p>
            <w:pPr/>
          </w:p>
        </w:tc>
        <w:tc>
          <w:tcPr>
            <w:tcW w:w="1064" w:type="dxa"/>
            <w:vMerge w:val="restart"/>
            <w:tcBorders>
              <w:top w:val="single" w:sz="4" w:space="0" w:color="000000"/>
              <w:left w:val="single" w:sz="4" w:space="0" w:color="000000"/>
              <w:right w:val="single" w:sz="4" w:space="0" w:color="000000"/>
            </w:tcBorders>
          </w:tcPr>
          <w:p>
            <w:pPr/>
          </w:p>
        </w:tc>
        <w:tc>
          <w:tcPr>
            <w:tcW w:w="736" w:type="dxa"/>
            <w:vMerge w:val="restart"/>
            <w:tcBorders>
              <w:top w:val="single" w:sz="4" w:space="0" w:color="000000"/>
              <w:left w:val="single" w:sz="4" w:space="0" w:color="000000"/>
              <w:right w:val="single" w:sz="4" w:space="0" w:color="000000"/>
            </w:tcBorders>
          </w:tcPr>
          <w:p>
            <w:pPr/>
          </w:p>
        </w:tc>
        <w:tc>
          <w:tcPr>
            <w:tcW w:w="515" w:type="dxa"/>
            <w:vMerge w:val="restart"/>
            <w:tcBorders>
              <w:top w:val="single" w:sz="4" w:space="0" w:color="000000"/>
              <w:left w:val="single" w:sz="4" w:space="0" w:color="000000"/>
              <w:right w:val="single" w:sz="4" w:space="0" w:color="000000"/>
            </w:tcBorders>
          </w:tcPr>
          <w:p>
            <w:pPr/>
          </w:p>
        </w:tc>
        <w:tc>
          <w:tcPr>
            <w:tcW w:w="1217" w:type="dxa"/>
            <w:vMerge w:val="restart"/>
            <w:tcBorders>
              <w:top w:val="single" w:sz="4" w:space="0" w:color="000000"/>
              <w:left w:val="single" w:sz="4" w:space="0" w:color="000000"/>
              <w:right w:val="single" w:sz="4" w:space="0" w:color="000000"/>
            </w:tcBorders>
          </w:tcPr>
          <w:p>
            <w:pPr>
              <w:pStyle w:val="TableParagraph"/>
              <w:spacing w:line="240" w:lineRule="auto" w:before="90"/>
              <w:ind w:right="17"/>
              <w:jc w:val="right"/>
              <w:rPr>
                <w:rFonts w:ascii="Arial" w:hAnsi="Arial" w:cs="Arial" w:eastAsia="Arial" w:hint="default"/>
                <w:sz w:val="18"/>
                <w:szCs w:val="18"/>
              </w:rPr>
            </w:pPr>
            <w:r>
              <w:rPr>
                <w:rFonts w:ascii="Arial"/>
                <w:spacing w:val="-1"/>
                <w:sz w:val="18"/>
              </w:rPr>
              <w:t>383,528,353.6</w:t>
            </w:r>
          </w:p>
          <w:p>
            <w:pPr>
              <w:pStyle w:val="TableParagraph"/>
              <w:spacing w:line="240" w:lineRule="auto" w:before="105"/>
              <w:ind w:right="20"/>
              <w:jc w:val="right"/>
              <w:rPr>
                <w:rFonts w:ascii="Arial" w:hAnsi="Arial" w:cs="Arial" w:eastAsia="Arial" w:hint="default"/>
                <w:sz w:val="18"/>
                <w:szCs w:val="18"/>
              </w:rPr>
            </w:pPr>
            <w:r>
              <w:rPr>
                <w:rFonts w:ascii="Arial"/>
                <w:w w:val="99"/>
                <w:sz w:val="18"/>
              </w:rPr>
              <w:t>1</w:t>
            </w:r>
            <w:r>
              <w:rPr>
                <w:rFonts w:ascii="Arial"/>
                <w:sz w:val="18"/>
              </w:rPr>
            </w:r>
          </w:p>
        </w:tc>
      </w:tr>
      <w:tr>
        <w:trPr>
          <w:trHeight w:val="391" w:hRule="exact"/>
        </w:trPr>
        <w:tc>
          <w:tcPr>
            <w:tcW w:w="1147"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right="31"/>
              <w:jc w:val="center"/>
              <w:rPr>
                <w:rFonts w:ascii="宋体" w:hAnsi="宋体" w:cs="宋体" w:eastAsia="宋体" w:hint="default"/>
                <w:sz w:val="18"/>
                <w:szCs w:val="18"/>
              </w:rPr>
            </w:pPr>
            <w:r>
              <w:rPr>
                <w:rFonts w:ascii="宋体" w:hAnsi="宋体" w:cs="宋体" w:eastAsia="宋体" w:hint="default"/>
                <w:sz w:val="18"/>
                <w:szCs w:val="18"/>
              </w:rPr>
              <w:t>金融资产小计</w:t>
            </w:r>
          </w:p>
        </w:tc>
        <w:tc>
          <w:tcPr>
            <w:tcW w:w="1372" w:type="dxa"/>
            <w:vMerge/>
            <w:tcBorders>
              <w:left w:val="single" w:sz="10" w:space="0" w:color="D4D4D4"/>
              <w:right w:val="single" w:sz="4" w:space="0" w:color="000000"/>
            </w:tcBorders>
          </w:tcPr>
          <w:p>
            <w:pPr/>
          </w:p>
        </w:tc>
        <w:tc>
          <w:tcPr>
            <w:tcW w:w="1105" w:type="dxa"/>
            <w:vMerge/>
            <w:tcBorders>
              <w:left w:val="single" w:sz="4" w:space="0" w:color="000000"/>
              <w:right w:val="single" w:sz="4" w:space="0" w:color="000000"/>
            </w:tcBorders>
          </w:tcPr>
          <w:p>
            <w:pPr/>
          </w:p>
        </w:tc>
        <w:tc>
          <w:tcPr>
            <w:tcW w:w="1440" w:type="dxa"/>
            <w:vMerge/>
            <w:tcBorders>
              <w:left w:val="single" w:sz="4" w:space="0" w:color="000000"/>
              <w:right w:val="single" w:sz="4" w:space="0" w:color="000000"/>
            </w:tcBorders>
          </w:tcPr>
          <w:p>
            <w:pPr/>
          </w:p>
        </w:tc>
        <w:tc>
          <w:tcPr>
            <w:tcW w:w="960"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515" w:type="dxa"/>
            <w:vMerge/>
            <w:tcBorders>
              <w:left w:val="single" w:sz="4" w:space="0" w:color="000000"/>
              <w:right w:val="single" w:sz="4" w:space="0" w:color="000000"/>
            </w:tcBorders>
          </w:tcPr>
          <w:p>
            <w:pPr/>
          </w:p>
        </w:tc>
        <w:tc>
          <w:tcPr>
            <w:tcW w:w="1217" w:type="dxa"/>
            <w:vMerge/>
            <w:tcBorders>
              <w:left w:val="single" w:sz="4" w:space="0" w:color="000000"/>
              <w:right w:val="single" w:sz="4" w:space="0" w:color="000000"/>
            </w:tcBorders>
          </w:tcPr>
          <w:p>
            <w:pPr/>
          </w:p>
        </w:tc>
      </w:tr>
      <w:tr>
        <w:trPr>
          <w:trHeight w:val="163" w:hRule="exact"/>
        </w:trPr>
        <w:tc>
          <w:tcPr>
            <w:tcW w:w="1147" w:type="dxa"/>
            <w:tcBorders>
              <w:top w:val="nil" w:sz="6" w:space="0" w:color="auto"/>
              <w:left w:val="single" w:sz="4" w:space="0" w:color="000000"/>
              <w:bottom w:val="single" w:sz="4" w:space="0" w:color="000000"/>
              <w:right w:val="single" w:sz="4" w:space="0" w:color="000000"/>
            </w:tcBorders>
            <w:shd w:val="clear" w:color="auto" w:fill="D4D4D4"/>
          </w:tcPr>
          <w:p>
            <w:pPr/>
          </w:p>
        </w:tc>
        <w:tc>
          <w:tcPr>
            <w:tcW w:w="1372" w:type="dxa"/>
            <w:vMerge/>
            <w:tcBorders>
              <w:left w:val="single" w:sz="10" w:space="0" w:color="D4D4D4"/>
              <w:bottom w:val="single" w:sz="4" w:space="0" w:color="000000"/>
              <w:right w:val="single" w:sz="4" w:space="0" w:color="000000"/>
            </w:tcBorders>
          </w:tcPr>
          <w:p>
            <w:pPr/>
          </w:p>
        </w:tc>
        <w:tc>
          <w:tcPr>
            <w:tcW w:w="1105" w:type="dxa"/>
            <w:vMerge/>
            <w:tcBorders>
              <w:left w:val="single" w:sz="4" w:space="0" w:color="000000"/>
              <w:bottom w:val="single" w:sz="4" w:space="0" w:color="000000"/>
              <w:right w:val="single" w:sz="4" w:space="0" w:color="000000"/>
            </w:tcBorders>
          </w:tcPr>
          <w:p>
            <w:pPr/>
          </w:p>
        </w:tc>
        <w:tc>
          <w:tcPr>
            <w:tcW w:w="1440" w:type="dxa"/>
            <w:vMerge/>
            <w:tcBorders>
              <w:left w:val="single" w:sz="4" w:space="0" w:color="000000"/>
              <w:bottom w:val="single" w:sz="4" w:space="0" w:color="000000"/>
              <w:right w:val="single" w:sz="4" w:space="0" w:color="000000"/>
            </w:tcBorders>
          </w:tcPr>
          <w:p>
            <w:pPr/>
          </w:p>
        </w:tc>
        <w:tc>
          <w:tcPr>
            <w:tcW w:w="960" w:type="dxa"/>
            <w:vMerge/>
            <w:tcBorders>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736" w:type="dxa"/>
            <w:vMerge/>
            <w:tcBorders>
              <w:left w:val="single" w:sz="4" w:space="0" w:color="000000"/>
              <w:bottom w:val="single" w:sz="4" w:space="0" w:color="000000"/>
              <w:right w:val="single" w:sz="4" w:space="0" w:color="000000"/>
            </w:tcBorders>
          </w:tcPr>
          <w:p>
            <w:pPr/>
          </w:p>
        </w:tc>
        <w:tc>
          <w:tcPr>
            <w:tcW w:w="515" w:type="dxa"/>
            <w:vMerge/>
            <w:tcBorders>
              <w:left w:val="single" w:sz="4" w:space="0" w:color="000000"/>
              <w:bottom w:val="single" w:sz="4" w:space="0" w:color="000000"/>
              <w:right w:val="single" w:sz="4" w:space="0" w:color="000000"/>
            </w:tcBorders>
          </w:tcPr>
          <w:p>
            <w:pPr/>
          </w:p>
        </w:tc>
        <w:tc>
          <w:tcPr>
            <w:tcW w:w="1217"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158"/>
        <w:gridCol w:w="1366"/>
        <w:gridCol w:w="1111"/>
        <w:gridCol w:w="1440"/>
        <w:gridCol w:w="960"/>
        <w:gridCol w:w="1063"/>
        <w:gridCol w:w="737"/>
        <w:gridCol w:w="521"/>
        <w:gridCol w:w="1212"/>
      </w:tblGrid>
      <w:tr>
        <w:trPr>
          <w:trHeight w:val="713" w:hRule="exact"/>
        </w:trPr>
        <w:tc>
          <w:tcPr>
            <w:tcW w:w="11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上述合计</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9"/>
              <w:jc w:val="right"/>
              <w:rPr>
                <w:rFonts w:ascii="Arial" w:hAnsi="Arial" w:cs="Arial" w:eastAsia="Arial" w:hint="default"/>
                <w:sz w:val="18"/>
                <w:szCs w:val="18"/>
              </w:rPr>
            </w:pPr>
            <w:r>
              <w:rPr>
                <w:rFonts w:ascii="Arial"/>
                <w:spacing w:val="-2"/>
                <w:sz w:val="18"/>
              </w:rPr>
              <w:t>274,611,755.56</w:t>
            </w:r>
          </w:p>
        </w:tc>
        <w:tc>
          <w:tcPr>
            <w:tcW w:w="1111"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108,916,598.05</w:t>
            </w:r>
            <w:r>
              <w:rPr>
                <w:rFonts w:ascii="Times New Roman"/>
                <w:sz w:val="18"/>
              </w:rPr>
            </w:r>
          </w:p>
        </w:tc>
        <w:tc>
          <w:tcPr>
            <w:tcW w:w="960"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521"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7"/>
              <w:jc w:val="right"/>
              <w:rPr>
                <w:rFonts w:ascii="Arial" w:hAnsi="Arial" w:cs="Arial" w:eastAsia="Arial" w:hint="default"/>
                <w:sz w:val="18"/>
                <w:szCs w:val="18"/>
              </w:rPr>
            </w:pPr>
            <w:r>
              <w:rPr>
                <w:rFonts w:ascii="Arial"/>
                <w:spacing w:val="-1"/>
                <w:sz w:val="18"/>
              </w:rPr>
              <w:t>383,528,353.6</w:t>
            </w:r>
          </w:p>
          <w:p>
            <w:pPr>
              <w:pStyle w:val="TableParagraph"/>
              <w:spacing w:line="240" w:lineRule="auto" w:before="105"/>
              <w:ind w:right="20"/>
              <w:jc w:val="right"/>
              <w:rPr>
                <w:rFonts w:ascii="Arial" w:hAnsi="Arial" w:cs="Arial" w:eastAsia="Arial" w:hint="default"/>
                <w:sz w:val="18"/>
                <w:szCs w:val="18"/>
              </w:rPr>
            </w:pPr>
            <w:r>
              <w:rPr>
                <w:rFonts w:ascii="Arial"/>
                <w:w w:val="99"/>
                <w:sz w:val="18"/>
              </w:rPr>
              <w:t>1</w:t>
            </w:r>
            <w:r>
              <w:rPr>
                <w:rFonts w:ascii="Arial"/>
                <w:sz w:val="18"/>
              </w:rPr>
            </w:r>
          </w:p>
        </w:tc>
      </w:tr>
      <w:tr>
        <w:trPr>
          <w:trHeight w:val="403" w:hRule="exact"/>
        </w:trPr>
        <w:tc>
          <w:tcPr>
            <w:tcW w:w="11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0.00</w:t>
            </w:r>
            <w:r>
              <w:rPr>
                <w:rFonts w:ascii="Times New Roman"/>
                <w:sz w:val="18"/>
              </w:rPr>
            </w:r>
          </w:p>
        </w:tc>
        <w:tc>
          <w:tcPr>
            <w:tcW w:w="1111"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r>
              <w:rPr>
                <w:rFonts w:ascii="Times New Roman"/>
                <w:sz w:val="18"/>
              </w:rPr>
            </w:r>
          </w:p>
        </w:tc>
        <w:tc>
          <w:tcPr>
            <w:tcW w:w="960"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521"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r>
              <w:rPr>
                <w:rFonts w:ascii="Times New Roman"/>
                <w:sz w:val="18"/>
              </w:rPr>
            </w:r>
          </w:p>
        </w:tc>
      </w:tr>
    </w:tbl>
    <w:p>
      <w:pPr>
        <w:spacing w:line="357" w:lineRule="auto" w:before="49"/>
        <w:ind w:left="152" w:right="6794" w:firstLine="0"/>
        <w:jc w:val="left"/>
        <w:rPr>
          <w:rFonts w:ascii="宋体" w:hAnsi="宋体" w:cs="宋体" w:eastAsia="宋体" w:hint="default"/>
          <w:sz w:val="18"/>
          <w:szCs w:val="18"/>
        </w:rPr>
      </w:pPr>
      <w:r>
        <w:rPr>
          <w:rFonts w:ascii="宋体" w:hAnsi="宋体" w:cs="宋体" w:eastAsia="宋体" w:hint="default"/>
          <w:sz w:val="18"/>
          <w:szCs w:val="18"/>
        </w:rPr>
        <w:t>其他变动的内容 报告期内公司主要资产计量属性是否发生重大变化</w:t>
      </w:r>
    </w:p>
    <w:p>
      <w:pPr>
        <w:spacing w:before="29"/>
        <w:ind w:left="152" w:right="986" w:firstLine="0"/>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3"/>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3、截至报告期末的资产权利受限情况" w:id="42"/>
      <w:bookmarkEnd w:id="42"/>
      <w:r>
        <w:rPr>
          <w:b w:val="0"/>
          <w:bCs w:val="0"/>
        </w:rPr>
      </w:r>
      <w:r>
        <w:rPr>
          <w:rFonts w:ascii="Times New Roman" w:hAnsi="Times New Roman" w:cs="Times New Roman" w:eastAsia="Times New Roman" w:hint="default"/>
        </w:rPr>
        <w:t>3</w:t>
      </w:r>
      <w:r>
        <w:rPr/>
        <w:t>、截至报告期末的资产权利受限情况</w:t>
      </w:r>
      <w:r>
        <w:rPr>
          <w:b w:val="0"/>
          <w:bCs w:val="0"/>
        </w:rPr>
      </w:r>
    </w:p>
    <w:p>
      <w:pPr>
        <w:spacing w:line="240" w:lineRule="auto" w:before="8"/>
        <w:rPr>
          <w:rFonts w:ascii="宋体" w:hAnsi="宋体" w:cs="宋体" w:eastAsia="宋体" w:hint="default"/>
          <w:b/>
          <w:bCs/>
          <w:sz w:val="30"/>
          <w:szCs w:val="30"/>
        </w:rPr>
      </w:pPr>
    </w:p>
    <w:p>
      <w:pPr>
        <w:pStyle w:val="BodyText"/>
        <w:spacing w:line="240" w:lineRule="auto" w:before="0"/>
        <w:ind w:left="769" w:right="986"/>
        <w:jc w:val="left"/>
      </w:pPr>
      <w:r>
        <w:rPr>
          <w:rFonts w:ascii="宋体" w:hAnsi="宋体" w:cs="宋体" w:eastAsia="宋体" w:hint="default"/>
        </w:rPr>
        <w:t>1</w:t>
      </w:r>
      <w:r>
        <w:rPr/>
        <w:t>、其他货币资金期末余额中</w:t>
      </w:r>
      <w:r>
        <w:rPr>
          <w:rFonts w:ascii="宋体" w:hAnsi="宋体" w:cs="宋体" w:eastAsia="宋体" w:hint="default"/>
        </w:rPr>
        <w:t>10,358,262.74</w:t>
      </w:r>
      <w:r>
        <w:rPr/>
        <w:t>元作为保函保证金。</w:t>
      </w:r>
    </w:p>
    <w:p>
      <w:pPr>
        <w:spacing w:line="240" w:lineRule="auto" w:before="10"/>
        <w:rPr>
          <w:rFonts w:ascii="宋体" w:hAnsi="宋体" w:cs="宋体" w:eastAsia="宋体" w:hint="default"/>
          <w:sz w:val="14"/>
          <w:szCs w:val="14"/>
        </w:rPr>
      </w:pPr>
    </w:p>
    <w:p>
      <w:pPr>
        <w:pStyle w:val="BodyText"/>
        <w:spacing w:line="240" w:lineRule="auto" w:before="0"/>
        <w:ind w:left="769" w:right="986"/>
        <w:jc w:val="left"/>
      </w:pPr>
      <w:r>
        <w:rPr>
          <w:rFonts w:ascii="宋体" w:hAnsi="宋体" w:cs="宋体" w:eastAsia="宋体" w:hint="default"/>
        </w:rPr>
        <w:t>2</w:t>
      </w:r>
      <w:r>
        <w:rPr/>
        <w:t>、</w:t>
      </w:r>
      <w:r>
        <w:rPr>
          <w:rFonts w:ascii="宋体" w:hAnsi="宋体" w:cs="宋体" w:eastAsia="宋体" w:hint="default"/>
        </w:rPr>
        <w:t>2018</w:t>
      </w:r>
      <w:r>
        <w:rPr/>
        <w:t>年</w:t>
      </w:r>
      <w:r>
        <w:rPr>
          <w:rFonts w:ascii="宋体" w:hAnsi="宋体" w:cs="宋体" w:eastAsia="宋体" w:hint="default"/>
        </w:rPr>
        <w:t>11</w:t>
      </w:r>
      <w:r>
        <w:rPr/>
        <w:t>月，本集团与中国农业银行股份有限公司厦门思明支行签订了借款合同，借款金额</w:t>
      </w:r>
    </w:p>
    <w:p>
      <w:pPr>
        <w:spacing w:line="240" w:lineRule="auto" w:before="10"/>
        <w:rPr>
          <w:rFonts w:ascii="宋体" w:hAnsi="宋体" w:cs="宋体" w:eastAsia="宋体" w:hint="default"/>
          <w:sz w:val="14"/>
          <w:szCs w:val="14"/>
        </w:rPr>
      </w:pPr>
    </w:p>
    <w:p>
      <w:pPr>
        <w:pStyle w:val="BodyText"/>
        <w:spacing w:line="240" w:lineRule="auto" w:before="0"/>
        <w:ind w:left="349" w:right="986"/>
        <w:jc w:val="left"/>
      </w:pPr>
      <w:r>
        <w:rPr>
          <w:rFonts w:ascii="宋体" w:hAnsi="宋体" w:cs="宋体" w:eastAsia="宋体" w:hint="default"/>
          <w:spacing w:val="-4"/>
        </w:rPr>
        <w:t>18,631,080.00</w:t>
      </w:r>
      <w:r>
        <w:rPr>
          <w:spacing w:val="-4"/>
        </w:rPr>
        <w:t>元，以本集团</w:t>
      </w:r>
      <w:r>
        <w:rPr>
          <w:rFonts w:ascii="宋体" w:hAnsi="宋体" w:cs="宋体" w:eastAsia="宋体" w:hint="default"/>
          <w:spacing w:val="-4"/>
        </w:rPr>
        <w:t>1,900</w:t>
      </w:r>
      <w:r>
        <w:rPr>
          <w:spacing w:val="-4"/>
        </w:rPr>
        <w:t>万元的定期存款为质押物，借款目的用于购置西安办公楼。借款期限：</w:t>
      </w:r>
      <w:r>
        <w:rPr/>
      </w:r>
    </w:p>
    <w:p>
      <w:pPr>
        <w:spacing w:line="240" w:lineRule="auto" w:before="10"/>
        <w:rPr>
          <w:rFonts w:ascii="宋体" w:hAnsi="宋体" w:cs="宋体" w:eastAsia="宋体" w:hint="default"/>
          <w:sz w:val="14"/>
          <w:szCs w:val="14"/>
        </w:rPr>
      </w:pPr>
    </w:p>
    <w:p>
      <w:pPr>
        <w:pStyle w:val="BodyText"/>
        <w:spacing w:line="240" w:lineRule="auto" w:before="0"/>
        <w:ind w:left="349" w:right="986"/>
        <w:jc w:val="left"/>
      </w:pPr>
      <w:r>
        <w:rPr>
          <w:rFonts w:ascii="宋体" w:hAnsi="宋体" w:cs="宋体" w:eastAsia="宋体" w:hint="default"/>
        </w:rPr>
        <w:t>10</w:t>
      </w:r>
      <w:r>
        <w:rPr/>
        <w:t>年，还款方式：按月等额本息还款。</w:t>
      </w:r>
    </w:p>
    <w:p>
      <w:pPr>
        <w:spacing w:line="240" w:lineRule="auto" w:before="10"/>
        <w:rPr>
          <w:rFonts w:ascii="宋体" w:hAnsi="宋体" w:cs="宋体" w:eastAsia="宋体" w:hint="default"/>
          <w:sz w:val="14"/>
          <w:szCs w:val="14"/>
        </w:rPr>
      </w:pPr>
    </w:p>
    <w:p>
      <w:pPr>
        <w:pStyle w:val="BodyText"/>
        <w:spacing w:line="408" w:lineRule="auto" w:before="0"/>
        <w:ind w:left="349" w:right="1133" w:firstLine="420"/>
        <w:jc w:val="left"/>
      </w:pPr>
      <w:r>
        <w:rPr>
          <w:rFonts w:ascii="宋体" w:hAnsi="宋体" w:cs="宋体" w:eastAsia="宋体" w:hint="default"/>
          <w:spacing w:val="-2"/>
        </w:rPr>
        <w:t>2019</w:t>
      </w:r>
      <w:r>
        <w:rPr>
          <w:spacing w:val="-2"/>
        </w:rPr>
        <w:t>年</w:t>
      </w:r>
      <w:r>
        <w:rPr>
          <w:rFonts w:ascii="宋体" w:hAnsi="宋体" w:cs="宋体" w:eastAsia="宋体" w:hint="default"/>
          <w:spacing w:val="-2"/>
        </w:rPr>
        <w:t>11</w:t>
      </w:r>
      <w:r>
        <w:rPr>
          <w:spacing w:val="-2"/>
        </w:rPr>
        <w:t>月，原定期存单到期，本集团与中国农业银行股份有限公司厦门思明支行于</w:t>
      </w:r>
      <w:r>
        <w:rPr>
          <w:rFonts w:ascii="宋体" w:hAnsi="宋体" w:cs="宋体" w:eastAsia="宋体" w:hint="default"/>
          <w:spacing w:val="-2"/>
        </w:rPr>
        <w:t>2019</w:t>
      </w:r>
      <w:r>
        <w:rPr>
          <w:spacing w:val="-2"/>
        </w:rPr>
        <w:t>年</w:t>
      </w:r>
      <w:r>
        <w:rPr>
          <w:rFonts w:ascii="宋体" w:hAnsi="宋体" w:cs="宋体" w:eastAsia="宋体" w:hint="default"/>
          <w:spacing w:val="-2"/>
        </w:rPr>
        <w:t>11</w:t>
      </w:r>
      <w:r>
        <w:rPr>
          <w:spacing w:val="-2"/>
        </w:rPr>
        <w:t>月</w:t>
      </w:r>
      <w:r>
        <w:rPr>
          <w:rFonts w:ascii="宋体" w:hAnsi="宋体" w:cs="宋体" w:eastAsia="宋体" w:hint="default"/>
          <w:spacing w:val="-2"/>
        </w:rPr>
        <w:t>29</w:t>
      </w:r>
      <w:r>
        <w:rPr>
          <w:rFonts w:ascii="宋体" w:hAnsi="宋体" w:cs="宋体" w:eastAsia="宋体" w:hint="default"/>
          <w:w w:val="100"/>
        </w:rPr>
        <w:t> </w:t>
      </w:r>
      <w:r>
        <w:rPr/>
        <w:t>日签订了编号为“83100420180002372”的权利质押合同，本集团以编号为“02</w:t>
      </w:r>
      <w:r>
        <w:rPr>
          <w:rFonts w:ascii="宋体" w:hAnsi="宋体" w:cs="宋体" w:eastAsia="宋体" w:hint="default"/>
        </w:rPr>
        <w:t>-</w:t>
      </w:r>
      <w:r>
        <w:rPr/>
        <w:t>000231413”的定期存</w:t>
      </w:r>
      <w:r>
        <w:rPr>
          <w:w w:val="100"/>
        </w:rPr>
        <w:t> </w:t>
      </w:r>
      <w:r>
        <w:rPr/>
        <w:t>单</w:t>
      </w:r>
      <w:r>
        <w:rPr>
          <w:rFonts w:ascii="宋体" w:hAnsi="宋体" w:cs="宋体" w:eastAsia="宋体" w:hint="default"/>
        </w:rPr>
        <w:t>1,900</w:t>
      </w:r>
      <w:r>
        <w:rPr/>
        <w:t>万元作为质押物。</w:t>
      </w:r>
    </w:p>
    <w:p>
      <w:pPr>
        <w:spacing w:line="240" w:lineRule="auto" w:before="8"/>
        <w:rPr>
          <w:rFonts w:ascii="宋体" w:hAnsi="宋体" w:cs="宋体" w:eastAsia="宋体" w:hint="default"/>
          <w:sz w:val="18"/>
          <w:szCs w:val="18"/>
        </w:rPr>
      </w:pPr>
    </w:p>
    <w:p>
      <w:pPr>
        <w:pStyle w:val="Heading2"/>
        <w:spacing w:line="240" w:lineRule="auto"/>
        <w:ind w:right="986"/>
        <w:jc w:val="left"/>
        <w:rPr>
          <w:b w:val="0"/>
          <w:bCs w:val="0"/>
        </w:rPr>
      </w:pPr>
      <w:bookmarkStart w:name="五、投资状况分析" w:id="43"/>
      <w:bookmarkEnd w:id="43"/>
      <w:r>
        <w:rPr>
          <w:b w:val="0"/>
          <w:bCs w:val="0"/>
        </w:rPr>
      </w:r>
      <w:r>
        <w:rPr/>
        <w:t>五、投资状况分析</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986"/>
        <w:jc w:val="left"/>
        <w:rPr>
          <w:b w:val="0"/>
          <w:bCs w:val="0"/>
        </w:rPr>
      </w:pPr>
      <w:bookmarkStart w:name="1、总体情况" w:id="44"/>
      <w:bookmarkEnd w:id="44"/>
      <w:r>
        <w:rPr>
          <w:b w:val="0"/>
          <w:bCs w:val="0"/>
        </w:rPr>
      </w:r>
      <w:r>
        <w:rPr>
          <w:rFonts w:ascii="Times New Roman" w:hAnsi="Times New Roman" w:cs="Times New Roman" w:eastAsia="Times New Roman" w:hint="default"/>
        </w:rPr>
        <w:t>1</w:t>
      </w:r>
      <w:r>
        <w:rPr/>
        <w:t>、总体情况</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780"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691"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63,854,625.40</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32" w:right="0"/>
              <w:jc w:val="left"/>
              <w:rPr>
                <w:rFonts w:ascii="Times New Roman" w:hAnsi="Times New Roman" w:cs="Times New Roman" w:eastAsia="Times New Roman" w:hint="default"/>
                <w:sz w:val="18"/>
                <w:szCs w:val="18"/>
              </w:rPr>
            </w:pPr>
            <w:r>
              <w:rPr>
                <w:rFonts w:ascii="Times New Roman"/>
                <w:sz w:val="18"/>
              </w:rPr>
              <w:t>138,491,842.41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-53.89%</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2、报告期内获取的重大的股权投资情况" w:id="45"/>
      <w:bookmarkEnd w:id="45"/>
      <w:r>
        <w:rPr>
          <w:b w:val="0"/>
          <w:bCs w:val="0"/>
        </w:rPr>
      </w:r>
      <w:r>
        <w:rPr>
          <w:rFonts w:ascii="Times New Roman" w:hAnsi="Times New Roman" w:cs="Times New Roman" w:eastAsia="Times New Roman" w:hint="default"/>
        </w:rPr>
        <w:t>2</w:t>
      </w:r>
      <w:r>
        <w:rPr/>
        <w:t>、报告期内获取的重大的股权投资情况</w:t>
      </w:r>
      <w:r>
        <w:rPr>
          <w:b w:val="0"/>
          <w:bCs w:val="0"/>
        </w:rPr>
      </w:r>
    </w:p>
    <w:p>
      <w:pPr>
        <w:spacing w:line="240" w:lineRule="auto" w:before="10"/>
        <w:rPr>
          <w:rFonts w:ascii="宋体" w:hAnsi="宋体" w:cs="宋体" w:eastAsia="宋体" w:hint="default"/>
          <w:b/>
          <w:bCs/>
          <w:sz w:val="22"/>
          <w:szCs w:val="22"/>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before="117"/>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3"/>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692"/>
        <w:gridCol w:w="694"/>
        <w:gridCol w:w="662"/>
        <w:gridCol w:w="662"/>
        <w:gridCol w:w="660"/>
        <w:gridCol w:w="662"/>
        <w:gridCol w:w="658"/>
        <w:gridCol w:w="655"/>
        <w:gridCol w:w="660"/>
        <w:gridCol w:w="629"/>
        <w:gridCol w:w="739"/>
        <w:gridCol w:w="732"/>
        <w:gridCol w:w="734"/>
        <w:gridCol w:w="722"/>
      </w:tblGrid>
      <w:tr>
        <w:trPr>
          <w:trHeight w:val="1026" w:hRule="exact"/>
        </w:trPr>
        <w:tc>
          <w:tcPr>
            <w:tcW w:w="6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0"/>
              <w:ind w:left="70" w:right="71"/>
              <w:jc w:val="center"/>
              <w:rPr>
                <w:rFonts w:ascii="宋体" w:hAnsi="宋体" w:cs="宋体" w:eastAsia="宋体" w:hint="default"/>
                <w:sz w:val="18"/>
                <w:szCs w:val="18"/>
              </w:rPr>
            </w:pPr>
            <w:r>
              <w:rPr>
                <w:rFonts w:ascii="宋体" w:hAnsi="宋体" w:cs="宋体" w:eastAsia="宋体" w:hint="default"/>
                <w:sz w:val="18"/>
                <w:szCs w:val="18"/>
              </w:rPr>
              <w:t>被投资 公司名 称</w:t>
            </w:r>
          </w:p>
        </w:tc>
        <w:tc>
          <w:tcPr>
            <w:tcW w:w="6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251" w:right="71" w:hanging="180"/>
              <w:jc w:val="left"/>
              <w:rPr>
                <w:rFonts w:ascii="宋体" w:hAnsi="宋体" w:cs="宋体" w:eastAsia="宋体" w:hint="default"/>
                <w:sz w:val="18"/>
                <w:szCs w:val="18"/>
              </w:rPr>
            </w:pPr>
            <w:r>
              <w:rPr>
                <w:rFonts w:ascii="宋体" w:hAnsi="宋体" w:cs="宋体" w:eastAsia="宋体" w:hint="default"/>
                <w:sz w:val="18"/>
                <w:szCs w:val="18"/>
              </w:rPr>
              <w:t>主要业 务</w:t>
            </w:r>
          </w:p>
        </w:tc>
        <w:tc>
          <w:tcPr>
            <w:tcW w:w="66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237" w:right="53" w:hanging="180"/>
              <w:jc w:val="left"/>
              <w:rPr>
                <w:rFonts w:ascii="宋体" w:hAnsi="宋体" w:cs="宋体" w:eastAsia="宋体" w:hint="default"/>
                <w:sz w:val="18"/>
                <w:szCs w:val="18"/>
              </w:rPr>
            </w:pPr>
            <w:r>
              <w:rPr>
                <w:rFonts w:ascii="宋体" w:hAnsi="宋体" w:cs="宋体" w:eastAsia="宋体" w:hint="default"/>
                <w:sz w:val="18"/>
                <w:szCs w:val="18"/>
              </w:rPr>
              <w:t>投资方 式</w:t>
            </w:r>
          </w:p>
        </w:tc>
        <w:tc>
          <w:tcPr>
            <w:tcW w:w="66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237" w:right="53" w:hanging="180"/>
              <w:jc w:val="left"/>
              <w:rPr>
                <w:rFonts w:ascii="宋体" w:hAnsi="宋体" w:cs="宋体" w:eastAsia="宋体" w:hint="default"/>
                <w:sz w:val="18"/>
                <w:szCs w:val="18"/>
              </w:rPr>
            </w:pPr>
            <w:r>
              <w:rPr>
                <w:rFonts w:ascii="宋体" w:hAnsi="宋体" w:cs="宋体" w:eastAsia="宋体" w:hint="default"/>
                <w:sz w:val="18"/>
                <w:szCs w:val="18"/>
              </w:rPr>
              <w:t>投资金 额</w:t>
            </w:r>
          </w:p>
        </w:tc>
        <w:tc>
          <w:tcPr>
            <w:tcW w:w="6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237" w:right="50" w:hanging="180"/>
              <w:jc w:val="left"/>
              <w:rPr>
                <w:rFonts w:ascii="宋体" w:hAnsi="宋体" w:cs="宋体" w:eastAsia="宋体" w:hint="default"/>
                <w:sz w:val="18"/>
                <w:szCs w:val="18"/>
              </w:rPr>
            </w:pPr>
            <w:r>
              <w:rPr>
                <w:rFonts w:ascii="宋体" w:hAnsi="宋体" w:cs="宋体" w:eastAsia="宋体" w:hint="default"/>
                <w:sz w:val="18"/>
                <w:szCs w:val="18"/>
              </w:rPr>
              <w:t>持股比 例</w:t>
            </w:r>
          </w:p>
        </w:tc>
        <w:tc>
          <w:tcPr>
            <w:tcW w:w="66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239" w:right="50" w:hanging="180"/>
              <w:jc w:val="left"/>
              <w:rPr>
                <w:rFonts w:ascii="宋体" w:hAnsi="宋体" w:cs="宋体" w:eastAsia="宋体" w:hint="default"/>
                <w:sz w:val="18"/>
                <w:szCs w:val="18"/>
              </w:rPr>
            </w:pPr>
            <w:r>
              <w:rPr>
                <w:rFonts w:ascii="宋体" w:hAnsi="宋体" w:cs="宋体" w:eastAsia="宋体" w:hint="default"/>
                <w:sz w:val="18"/>
                <w:szCs w:val="18"/>
              </w:rPr>
              <w:t>资金来 源</w:t>
            </w:r>
          </w:p>
        </w:tc>
        <w:tc>
          <w:tcPr>
            <w:tcW w:w="6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55" w:right="0"/>
              <w:jc w:val="left"/>
              <w:rPr>
                <w:rFonts w:ascii="宋体" w:hAnsi="宋体" w:cs="宋体" w:eastAsia="宋体" w:hint="default"/>
                <w:sz w:val="18"/>
                <w:szCs w:val="18"/>
              </w:rPr>
            </w:pPr>
            <w:r>
              <w:rPr>
                <w:rFonts w:ascii="宋体" w:hAnsi="宋体" w:cs="宋体" w:eastAsia="宋体" w:hint="default"/>
                <w:sz w:val="18"/>
                <w:szCs w:val="18"/>
              </w:rPr>
              <w:t>合作方</w:t>
            </w:r>
          </w:p>
        </w:tc>
        <w:tc>
          <w:tcPr>
            <w:tcW w:w="65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235" w:right="48" w:hanging="180"/>
              <w:jc w:val="left"/>
              <w:rPr>
                <w:rFonts w:ascii="宋体" w:hAnsi="宋体" w:cs="宋体" w:eastAsia="宋体" w:hint="default"/>
                <w:sz w:val="18"/>
                <w:szCs w:val="18"/>
              </w:rPr>
            </w:pPr>
            <w:r>
              <w:rPr>
                <w:rFonts w:ascii="宋体" w:hAnsi="宋体" w:cs="宋体" w:eastAsia="宋体" w:hint="default"/>
                <w:sz w:val="18"/>
                <w:szCs w:val="18"/>
              </w:rPr>
              <w:t>投资期 限</w:t>
            </w:r>
          </w:p>
        </w:tc>
        <w:tc>
          <w:tcPr>
            <w:tcW w:w="6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235" w:right="53" w:hanging="180"/>
              <w:jc w:val="left"/>
              <w:rPr>
                <w:rFonts w:ascii="宋体" w:hAnsi="宋体" w:cs="宋体" w:eastAsia="宋体" w:hint="default"/>
                <w:sz w:val="18"/>
                <w:szCs w:val="18"/>
              </w:rPr>
            </w:pPr>
            <w:r>
              <w:rPr>
                <w:rFonts w:ascii="宋体" w:hAnsi="宋体" w:cs="宋体" w:eastAsia="宋体" w:hint="default"/>
                <w:sz w:val="18"/>
                <w:szCs w:val="18"/>
              </w:rPr>
              <w:t>产品类 型</w:t>
            </w:r>
          </w:p>
        </w:tc>
        <w:tc>
          <w:tcPr>
            <w:tcW w:w="62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220" w:right="36" w:hanging="180"/>
              <w:jc w:val="left"/>
              <w:rPr>
                <w:rFonts w:ascii="宋体" w:hAnsi="宋体" w:cs="宋体" w:eastAsia="宋体" w:hint="default"/>
                <w:sz w:val="18"/>
                <w:szCs w:val="18"/>
              </w:rPr>
            </w:pPr>
            <w:r>
              <w:rPr>
                <w:rFonts w:ascii="宋体" w:hAnsi="宋体" w:cs="宋体" w:eastAsia="宋体" w:hint="default"/>
                <w:sz w:val="18"/>
                <w:szCs w:val="18"/>
              </w:rPr>
              <w:t>预计收 益</w:t>
            </w:r>
          </w:p>
        </w:tc>
        <w:tc>
          <w:tcPr>
            <w:tcW w:w="73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95" w:right="91"/>
              <w:jc w:val="left"/>
              <w:rPr>
                <w:rFonts w:ascii="宋体" w:hAnsi="宋体" w:cs="宋体" w:eastAsia="宋体" w:hint="default"/>
                <w:sz w:val="18"/>
                <w:szCs w:val="18"/>
              </w:rPr>
            </w:pPr>
            <w:r>
              <w:rPr>
                <w:rFonts w:ascii="宋体" w:hAnsi="宋体" w:cs="宋体" w:eastAsia="宋体" w:hint="default"/>
                <w:sz w:val="18"/>
                <w:szCs w:val="18"/>
              </w:rPr>
              <w:t>本期投 资盈亏</w:t>
            </w:r>
          </w:p>
        </w:tc>
        <w:tc>
          <w:tcPr>
            <w:tcW w:w="73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271" w:right="89" w:hanging="180"/>
              <w:jc w:val="left"/>
              <w:rPr>
                <w:rFonts w:ascii="宋体" w:hAnsi="宋体" w:cs="宋体" w:eastAsia="宋体" w:hint="default"/>
                <w:sz w:val="18"/>
                <w:szCs w:val="18"/>
              </w:rPr>
            </w:pPr>
            <w:r>
              <w:rPr>
                <w:rFonts w:ascii="宋体" w:hAnsi="宋体" w:cs="宋体" w:eastAsia="宋体" w:hint="default"/>
                <w:sz w:val="18"/>
                <w:szCs w:val="18"/>
              </w:rPr>
              <w:t>是否涉 诉</w:t>
            </w:r>
          </w:p>
        </w:tc>
        <w:tc>
          <w:tcPr>
            <w:tcW w:w="7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0"/>
              <w:ind w:left="91" w:right="91"/>
              <w:jc w:val="both"/>
              <w:rPr>
                <w:rFonts w:ascii="宋体" w:hAnsi="宋体" w:cs="宋体" w:eastAsia="宋体" w:hint="default"/>
                <w:sz w:val="18"/>
                <w:szCs w:val="18"/>
              </w:rPr>
            </w:pPr>
            <w:r>
              <w:rPr>
                <w:rFonts w:ascii="宋体" w:hAnsi="宋体" w:cs="宋体" w:eastAsia="宋体" w:hint="default"/>
                <w:sz w:val="18"/>
                <w:szCs w:val="18"/>
              </w:rPr>
              <w:t>披露日 期（如 有）</w:t>
            </w:r>
          </w:p>
        </w:tc>
        <w:tc>
          <w:tcPr>
            <w:tcW w:w="72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0"/>
              <w:ind w:left="86" w:right="84"/>
              <w:jc w:val="both"/>
              <w:rPr>
                <w:rFonts w:ascii="宋体" w:hAnsi="宋体" w:cs="宋体" w:eastAsia="宋体" w:hint="default"/>
                <w:sz w:val="18"/>
                <w:szCs w:val="18"/>
              </w:rPr>
            </w:pPr>
            <w:r>
              <w:rPr>
                <w:rFonts w:ascii="宋体" w:hAnsi="宋体" w:cs="宋体" w:eastAsia="宋体" w:hint="default"/>
                <w:sz w:val="18"/>
                <w:szCs w:val="18"/>
              </w:rPr>
              <w:t>披露索 引（如 有）</w:t>
            </w:r>
          </w:p>
        </w:tc>
      </w:tr>
    </w:tbl>
    <w:p>
      <w:pPr>
        <w:spacing w:after="0" w:line="316" w:lineRule="auto"/>
        <w:jc w:val="both"/>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694"/>
        <w:gridCol w:w="694"/>
        <w:gridCol w:w="662"/>
        <w:gridCol w:w="662"/>
        <w:gridCol w:w="660"/>
        <w:gridCol w:w="662"/>
        <w:gridCol w:w="658"/>
        <w:gridCol w:w="655"/>
        <w:gridCol w:w="660"/>
        <w:gridCol w:w="629"/>
        <w:gridCol w:w="739"/>
        <w:gridCol w:w="732"/>
        <w:gridCol w:w="734"/>
        <w:gridCol w:w="722"/>
      </w:tblGrid>
      <w:tr>
        <w:trPr>
          <w:trHeight w:val="2273" w:hRule="exact"/>
        </w:trPr>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316" w:lineRule="auto"/>
              <w:ind w:left="24" w:right="119"/>
              <w:jc w:val="both"/>
              <w:rPr>
                <w:rFonts w:ascii="宋体" w:hAnsi="宋体" w:cs="宋体" w:eastAsia="宋体" w:hint="default"/>
                <w:sz w:val="18"/>
                <w:szCs w:val="18"/>
              </w:rPr>
            </w:pPr>
            <w:r>
              <w:rPr>
                <w:rFonts w:ascii="宋体" w:hAnsi="宋体" w:cs="宋体" w:eastAsia="宋体" w:hint="default"/>
                <w:sz w:val="18"/>
                <w:szCs w:val="18"/>
              </w:rPr>
              <w:t>北京美 亚京安 科技有 限公司</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316" w:lineRule="auto"/>
              <w:ind w:left="24" w:right="119"/>
              <w:jc w:val="both"/>
              <w:rPr>
                <w:rFonts w:ascii="宋体" w:hAnsi="宋体" w:cs="宋体" w:eastAsia="宋体" w:hint="default"/>
                <w:sz w:val="18"/>
                <w:szCs w:val="18"/>
              </w:rPr>
            </w:pPr>
            <w:r>
              <w:rPr>
                <w:rFonts w:ascii="宋体" w:hAnsi="宋体" w:cs="宋体" w:eastAsia="宋体" w:hint="default"/>
                <w:sz w:val="18"/>
                <w:szCs w:val="18"/>
              </w:rPr>
              <w:t>网络与 信息安 全开发</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23" w:right="0"/>
              <w:jc w:val="left"/>
              <w:rPr>
                <w:rFonts w:ascii="宋体" w:hAnsi="宋体" w:cs="宋体" w:eastAsia="宋体" w:hint="default"/>
                <w:sz w:val="18"/>
                <w:szCs w:val="18"/>
              </w:rPr>
            </w:pPr>
            <w:r>
              <w:rPr>
                <w:rFonts w:ascii="宋体" w:hAnsi="宋体" w:cs="宋体" w:eastAsia="宋体" w:hint="default"/>
                <w:sz w:val="18"/>
                <w:szCs w:val="18"/>
              </w:rPr>
              <w:t>新设</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70" w:right="0"/>
              <w:jc w:val="center"/>
              <w:rPr>
                <w:rFonts w:ascii="Times New Roman" w:hAnsi="Times New Roman" w:cs="Times New Roman" w:eastAsia="Times New Roman" w:hint="default"/>
                <w:sz w:val="18"/>
                <w:szCs w:val="18"/>
              </w:rPr>
            </w:pPr>
            <w:r>
              <w:rPr>
                <w:rFonts w:ascii="Times New Roman"/>
                <w:sz w:val="18"/>
              </w:rPr>
              <w:t>2,000,0</w:t>
            </w:r>
          </w:p>
          <w:p>
            <w:pPr>
              <w:pStyle w:val="TableParagraph"/>
              <w:spacing w:line="240" w:lineRule="auto" w:before="105"/>
              <w:ind w:left="206" w:right="0"/>
              <w:jc w:val="center"/>
              <w:rPr>
                <w:rFonts w:ascii="Times New Roman" w:hAnsi="Times New Roman" w:cs="Times New Roman" w:eastAsia="Times New Roman" w:hint="default"/>
                <w:sz w:val="18"/>
                <w:szCs w:val="18"/>
              </w:rPr>
            </w:pPr>
            <w:r>
              <w:rPr>
                <w:rFonts w:ascii="Times New Roman"/>
                <w:sz w:val="18"/>
              </w:rPr>
              <w:t>00.00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100.00</w:t>
            </w:r>
            <w:r>
              <w:rPr>
                <w:rFonts w:ascii="Times New Roman"/>
                <w:sz w:val="18"/>
              </w:rPr>
            </w:r>
          </w:p>
          <w:p>
            <w:pPr>
              <w:pStyle w:val="TableParagraph"/>
              <w:spacing w:line="240" w:lineRule="auto" w:before="105"/>
              <w:ind w:right="1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6" w:lineRule="auto"/>
              <w:ind w:left="26" w:right="84"/>
              <w:jc w:val="left"/>
              <w:rPr>
                <w:rFonts w:ascii="宋体" w:hAnsi="宋体" w:cs="宋体" w:eastAsia="宋体" w:hint="default"/>
                <w:sz w:val="18"/>
                <w:szCs w:val="18"/>
              </w:rPr>
            </w:pPr>
            <w:r>
              <w:rPr>
                <w:rFonts w:ascii="宋体" w:hAnsi="宋体" w:cs="宋体" w:eastAsia="宋体" w:hint="default"/>
                <w:sz w:val="18"/>
                <w:szCs w:val="18"/>
              </w:rPr>
              <w:t>自有资 金</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23" w:right="0"/>
              <w:jc w:val="left"/>
              <w:rPr>
                <w:rFonts w:ascii="宋体" w:hAnsi="宋体" w:cs="宋体" w:eastAsia="宋体" w:hint="default"/>
                <w:sz w:val="18"/>
                <w:szCs w:val="18"/>
              </w:rPr>
            </w:pPr>
            <w:r>
              <w:rPr>
                <w:rFonts w:ascii="宋体" w:hAnsi="宋体" w:cs="宋体" w:eastAsia="宋体" w:hint="default"/>
                <w:sz w:val="18"/>
                <w:szCs w:val="18"/>
              </w:rPr>
              <w:t>独资</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26"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316" w:lineRule="auto"/>
              <w:ind w:left="23" w:right="84"/>
              <w:jc w:val="both"/>
              <w:rPr>
                <w:rFonts w:ascii="宋体" w:hAnsi="宋体" w:cs="宋体" w:eastAsia="宋体" w:hint="default"/>
                <w:sz w:val="18"/>
                <w:szCs w:val="18"/>
              </w:rPr>
            </w:pPr>
            <w:r>
              <w:rPr>
                <w:rFonts w:ascii="宋体" w:hAnsi="宋体" w:cs="宋体" w:eastAsia="宋体" w:hint="default"/>
                <w:sz w:val="18"/>
                <w:szCs w:val="18"/>
              </w:rPr>
              <w:t>网络与 信息安 全开发</w:t>
            </w:r>
          </w:p>
        </w:tc>
        <w:tc>
          <w:tcPr>
            <w:tcW w:w="629"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6,104.11</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3" w:right="45"/>
              <w:jc w:val="left"/>
              <w:rPr>
                <w:rFonts w:ascii="Times New Roman" w:hAnsi="Times New Roman" w:cs="Times New Roman" w:eastAsia="Times New Roman" w:hint="default"/>
                <w:sz w:val="18"/>
                <w:szCs w:val="18"/>
              </w:rPr>
            </w:pPr>
            <w:r>
              <w:rPr>
                <w:rFonts w:ascii="Times New Roman"/>
                <w:spacing w:val="-2"/>
                <w:sz w:val="18"/>
              </w:rPr>
              <w:t>www.cni</w:t>
            </w:r>
            <w:r>
              <w:rPr>
                <w:rFonts w:ascii="Times New Roman"/>
                <w:sz w:val="18"/>
              </w:rPr>
              <w:t> nfo.c om.cn</w:t>
            </w:r>
          </w:p>
          <w:p>
            <w:pPr>
              <w:pStyle w:val="TableParagraph"/>
              <w:spacing w:line="197" w:lineRule="exact"/>
              <w:ind w:left="23" w:right="0"/>
              <w:jc w:val="left"/>
              <w:rPr>
                <w:rFonts w:ascii="宋体" w:hAnsi="宋体" w:cs="宋体" w:eastAsia="宋体" w:hint="default"/>
                <w:sz w:val="18"/>
                <w:szCs w:val="18"/>
              </w:rPr>
            </w:pPr>
            <w:r>
              <w:rPr>
                <w:rFonts w:ascii="宋体" w:hAnsi="宋体" w:cs="宋体" w:eastAsia="宋体" w:hint="default"/>
                <w:sz w:val="18"/>
                <w:szCs w:val="18"/>
              </w:rPr>
              <w:t>（公告</w:t>
            </w:r>
          </w:p>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编</w:t>
            </w:r>
            <w:r>
              <w:rPr>
                <w:rFonts w:ascii="宋体" w:hAnsi="宋体" w:cs="宋体" w:eastAsia="宋体" w:hint="default"/>
                <w:spacing w:val="1"/>
                <w:sz w:val="18"/>
                <w:szCs w:val="18"/>
              </w:rPr>
              <w:t> </w:t>
            </w:r>
            <w:r>
              <w:rPr>
                <w:rFonts w:ascii="宋体" w:hAnsi="宋体" w:cs="宋体" w:eastAsia="宋体" w:hint="default"/>
                <w:sz w:val="18"/>
                <w:szCs w:val="18"/>
              </w:rPr>
              <w:t>号</w:t>
            </w:r>
          </w:p>
          <w:p>
            <w:pPr>
              <w:pStyle w:val="TableParagraph"/>
              <w:spacing w:line="240" w:lineRule="auto" w:before="118"/>
              <w:ind w:left="23" w:right="0"/>
              <w:jc w:val="left"/>
              <w:rPr>
                <w:rFonts w:ascii="Times New Roman" w:hAnsi="Times New Roman" w:cs="Times New Roman" w:eastAsia="Times New Roman" w:hint="default"/>
                <w:sz w:val="18"/>
                <w:szCs w:val="18"/>
              </w:rPr>
            </w:pPr>
            <w:r>
              <w:rPr>
                <w:rFonts w:ascii="Times New Roman"/>
                <w:sz w:val="18"/>
              </w:rPr>
              <w:t>2018-63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w:t>
            </w:r>
          </w:p>
        </w:tc>
      </w:tr>
      <w:tr>
        <w:trPr>
          <w:trHeight w:val="1963" w:hRule="exact"/>
        </w:trPr>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4" w:right="119"/>
              <w:jc w:val="both"/>
              <w:rPr>
                <w:rFonts w:ascii="宋体" w:hAnsi="宋体" w:cs="宋体" w:eastAsia="宋体" w:hint="default"/>
                <w:sz w:val="18"/>
                <w:szCs w:val="18"/>
              </w:rPr>
            </w:pPr>
            <w:r>
              <w:rPr>
                <w:rFonts w:ascii="宋体" w:hAnsi="宋体" w:cs="宋体" w:eastAsia="宋体" w:hint="default"/>
                <w:sz w:val="18"/>
                <w:szCs w:val="18"/>
              </w:rPr>
              <w:t>福建美 亚榕安 科技有 限公司</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4" w:right="119"/>
              <w:jc w:val="both"/>
              <w:rPr>
                <w:rFonts w:ascii="宋体" w:hAnsi="宋体" w:cs="宋体" w:eastAsia="宋体" w:hint="default"/>
                <w:sz w:val="18"/>
                <w:szCs w:val="18"/>
              </w:rPr>
            </w:pPr>
            <w:r>
              <w:rPr>
                <w:rFonts w:ascii="宋体" w:hAnsi="宋体" w:cs="宋体" w:eastAsia="宋体" w:hint="default"/>
                <w:sz w:val="18"/>
                <w:szCs w:val="18"/>
              </w:rPr>
              <w:t>网络与 信息安 全开发</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新设</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12,000,</w:t>
            </w:r>
          </w:p>
          <w:p>
            <w:pPr>
              <w:pStyle w:val="TableParagraph"/>
              <w:spacing w:line="240" w:lineRule="auto" w:before="102"/>
              <w:ind w:left="136" w:right="0"/>
              <w:jc w:val="left"/>
              <w:rPr>
                <w:rFonts w:ascii="Times New Roman" w:hAnsi="Times New Roman" w:cs="Times New Roman" w:eastAsia="Times New Roman" w:hint="default"/>
                <w:sz w:val="18"/>
                <w:szCs w:val="18"/>
              </w:rPr>
            </w:pPr>
            <w:r>
              <w:rPr>
                <w:rFonts w:ascii="Times New Roman"/>
                <w:sz w:val="18"/>
              </w:rPr>
              <w:t>000.00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100.00</w:t>
            </w:r>
            <w:r>
              <w:rPr>
                <w:rFonts w:ascii="Times New Roman"/>
                <w:sz w:val="18"/>
              </w:rPr>
            </w:r>
          </w:p>
          <w:p>
            <w:pPr>
              <w:pStyle w:val="TableParagraph"/>
              <w:spacing w:line="240" w:lineRule="auto" w:before="102"/>
              <w:ind w:right="1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4" w:lineRule="auto"/>
              <w:ind w:left="26" w:right="84"/>
              <w:jc w:val="left"/>
              <w:rPr>
                <w:rFonts w:ascii="宋体" w:hAnsi="宋体" w:cs="宋体" w:eastAsia="宋体" w:hint="default"/>
                <w:sz w:val="18"/>
                <w:szCs w:val="18"/>
              </w:rPr>
            </w:pPr>
            <w:r>
              <w:rPr>
                <w:rFonts w:ascii="宋体" w:hAnsi="宋体" w:cs="宋体" w:eastAsia="宋体" w:hint="default"/>
                <w:sz w:val="18"/>
                <w:szCs w:val="18"/>
              </w:rPr>
              <w:t>自有资 金</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独资</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3" w:right="84"/>
              <w:jc w:val="both"/>
              <w:rPr>
                <w:rFonts w:ascii="宋体" w:hAnsi="宋体" w:cs="宋体" w:eastAsia="宋体" w:hint="default"/>
                <w:sz w:val="18"/>
                <w:szCs w:val="18"/>
              </w:rPr>
            </w:pPr>
            <w:r>
              <w:rPr>
                <w:rFonts w:ascii="宋体" w:hAnsi="宋体" w:cs="宋体" w:eastAsia="宋体" w:hint="default"/>
                <w:sz w:val="18"/>
                <w:szCs w:val="18"/>
              </w:rPr>
              <w:t>网络与 信息安 全开发</w:t>
            </w:r>
          </w:p>
        </w:tc>
        <w:tc>
          <w:tcPr>
            <w:tcW w:w="629"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805,702.</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21</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336" w:lineRule="auto" w:before="93"/>
              <w:ind w:left="23" w:right="19"/>
              <w:jc w:val="both"/>
              <w:rPr>
                <w:rFonts w:ascii="宋体" w:hAnsi="宋体" w:cs="宋体" w:eastAsia="宋体" w:hint="default"/>
                <w:sz w:val="18"/>
                <w:szCs w:val="18"/>
              </w:rPr>
            </w:pPr>
            <w:r>
              <w:rPr>
                <w:rFonts w:ascii="Times New Roman" w:hAnsi="Times New Roman" w:cs="Times New Roman" w:eastAsia="Times New Roman" w:hint="default"/>
                <w:sz w:val="18"/>
                <w:szCs w:val="18"/>
              </w:rPr>
              <w:t>www.cni nfo.com. </w:t>
            </w:r>
            <w:r>
              <w:rPr>
                <w:rFonts w:ascii="Times New Roman" w:hAnsi="Times New Roman" w:cs="Times New Roman" w:eastAsia="Times New Roman" w:hint="default"/>
                <w:spacing w:val="-9"/>
                <w:sz w:val="18"/>
                <w:szCs w:val="18"/>
              </w:rPr>
              <w:t>cn</w:t>
            </w:r>
            <w:r>
              <w:rPr>
                <w:rFonts w:ascii="宋体" w:hAnsi="宋体" w:cs="宋体" w:eastAsia="宋体" w:hint="default"/>
                <w:spacing w:val="-9"/>
                <w:sz w:val="18"/>
                <w:szCs w:val="18"/>
              </w:rPr>
              <w:t>（公告</w:t>
            </w:r>
          </w:p>
          <w:p>
            <w:pPr>
              <w:pStyle w:val="TableParagraph"/>
              <w:spacing w:line="219" w:lineRule="exact"/>
              <w:ind w:left="23" w:right="0"/>
              <w:jc w:val="both"/>
              <w:rPr>
                <w:rFonts w:ascii="宋体" w:hAnsi="宋体" w:cs="宋体" w:eastAsia="宋体" w:hint="default"/>
                <w:sz w:val="18"/>
                <w:szCs w:val="18"/>
              </w:rPr>
            </w:pPr>
            <w:r>
              <w:rPr>
                <w:rFonts w:ascii="宋体" w:hAnsi="宋体" w:cs="宋体" w:eastAsia="宋体" w:hint="default"/>
                <w:sz w:val="18"/>
                <w:szCs w:val="18"/>
              </w:rPr>
              <w:t>编号：</w:t>
            </w:r>
          </w:p>
          <w:p>
            <w:pPr>
              <w:pStyle w:val="TableParagraph"/>
              <w:spacing w:line="240" w:lineRule="auto" w:before="118"/>
              <w:ind w:left="23" w:right="0"/>
              <w:jc w:val="both"/>
              <w:rPr>
                <w:rFonts w:ascii="Times New Roman" w:hAnsi="Times New Roman" w:cs="Times New Roman" w:eastAsia="Times New Roman" w:hint="default"/>
                <w:sz w:val="18"/>
                <w:szCs w:val="18"/>
              </w:rPr>
            </w:pPr>
            <w:r>
              <w:rPr>
                <w:rFonts w:ascii="Times New Roman"/>
                <w:sz w:val="18"/>
              </w:rPr>
              <w:t>2018-71</w:t>
            </w:r>
          </w:p>
          <w:p>
            <w:pPr>
              <w:pStyle w:val="TableParagraph"/>
              <w:spacing w:line="240" w:lineRule="auto" w:before="63"/>
              <w:ind w:left="23" w:right="0"/>
              <w:jc w:val="both"/>
              <w:rPr>
                <w:rFonts w:ascii="宋体" w:hAnsi="宋体" w:cs="宋体" w:eastAsia="宋体" w:hint="default"/>
                <w:sz w:val="18"/>
                <w:szCs w:val="18"/>
              </w:rPr>
            </w:pPr>
            <w:r>
              <w:rPr>
                <w:rFonts w:ascii="宋体" w:hAnsi="宋体" w:cs="宋体" w:eastAsia="宋体" w:hint="default"/>
                <w:sz w:val="18"/>
                <w:szCs w:val="18"/>
              </w:rPr>
              <w:t>）</w:t>
            </w:r>
          </w:p>
        </w:tc>
      </w:tr>
      <w:tr>
        <w:trPr>
          <w:trHeight w:val="1961" w:hRule="exact"/>
        </w:trPr>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4" w:right="119"/>
              <w:jc w:val="both"/>
              <w:rPr>
                <w:rFonts w:ascii="宋体" w:hAnsi="宋体" w:cs="宋体" w:eastAsia="宋体" w:hint="default"/>
                <w:sz w:val="18"/>
                <w:szCs w:val="18"/>
              </w:rPr>
            </w:pPr>
            <w:r>
              <w:rPr>
                <w:rFonts w:ascii="宋体" w:hAnsi="宋体" w:cs="宋体" w:eastAsia="宋体" w:hint="default"/>
                <w:sz w:val="18"/>
                <w:szCs w:val="18"/>
              </w:rPr>
              <w:t>云南美 亚信安 信息技 术有限 公司</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316" w:lineRule="auto"/>
              <w:ind w:left="24" w:right="119"/>
              <w:jc w:val="both"/>
              <w:rPr>
                <w:rFonts w:ascii="宋体" w:hAnsi="宋体" w:cs="宋体" w:eastAsia="宋体" w:hint="default"/>
                <w:sz w:val="18"/>
                <w:szCs w:val="18"/>
              </w:rPr>
            </w:pPr>
            <w:r>
              <w:rPr>
                <w:rFonts w:ascii="宋体" w:hAnsi="宋体" w:cs="宋体" w:eastAsia="宋体" w:hint="default"/>
                <w:sz w:val="18"/>
                <w:szCs w:val="18"/>
              </w:rPr>
              <w:t>网络与 信息安 全开发</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新设</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500,000</w:t>
            </w:r>
          </w:p>
          <w:p>
            <w:pPr>
              <w:pStyle w:val="TableParagraph"/>
              <w:spacing w:line="240" w:lineRule="auto" w:before="105"/>
              <w:ind w:left="405" w:right="0"/>
              <w:jc w:val="left"/>
              <w:rPr>
                <w:rFonts w:ascii="Times New Roman" w:hAnsi="Times New Roman" w:cs="Times New Roman" w:eastAsia="Times New Roman" w:hint="default"/>
                <w:sz w:val="18"/>
                <w:szCs w:val="18"/>
              </w:rPr>
            </w:pPr>
            <w:r>
              <w:rPr>
                <w:rFonts w:ascii="Times New Roman"/>
                <w:sz w:val="18"/>
              </w:rPr>
              <w:t>.00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100.00</w:t>
            </w:r>
            <w:r>
              <w:rPr>
                <w:rFonts w:ascii="Times New Roman"/>
                <w:sz w:val="18"/>
              </w:rPr>
            </w:r>
          </w:p>
          <w:p>
            <w:pPr>
              <w:pStyle w:val="TableParagraph"/>
              <w:spacing w:line="240" w:lineRule="auto" w:before="105"/>
              <w:ind w:right="1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316" w:lineRule="auto"/>
              <w:ind w:left="26" w:right="84"/>
              <w:jc w:val="left"/>
              <w:rPr>
                <w:rFonts w:ascii="宋体" w:hAnsi="宋体" w:cs="宋体" w:eastAsia="宋体" w:hint="default"/>
                <w:sz w:val="18"/>
                <w:szCs w:val="18"/>
              </w:rPr>
            </w:pPr>
            <w:r>
              <w:rPr>
                <w:rFonts w:ascii="宋体" w:hAnsi="宋体" w:cs="宋体" w:eastAsia="宋体" w:hint="default"/>
                <w:sz w:val="18"/>
                <w:szCs w:val="18"/>
              </w:rPr>
              <w:t>自有资 金</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独资</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316" w:lineRule="auto"/>
              <w:ind w:left="23" w:right="84"/>
              <w:jc w:val="both"/>
              <w:rPr>
                <w:rFonts w:ascii="宋体" w:hAnsi="宋体" w:cs="宋体" w:eastAsia="宋体" w:hint="default"/>
                <w:sz w:val="18"/>
                <w:szCs w:val="18"/>
              </w:rPr>
            </w:pPr>
            <w:r>
              <w:rPr>
                <w:rFonts w:ascii="宋体" w:hAnsi="宋体" w:cs="宋体" w:eastAsia="宋体" w:hint="default"/>
                <w:sz w:val="18"/>
                <w:szCs w:val="18"/>
              </w:rPr>
              <w:t>网络与 信息安 全开发</w:t>
            </w:r>
          </w:p>
        </w:tc>
        <w:tc>
          <w:tcPr>
            <w:tcW w:w="629"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6,670.81</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14</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9"/>
              <w:ind w:left="23" w:right="19"/>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www.cni nfo.com. </w:t>
            </w:r>
            <w:r>
              <w:rPr>
                <w:rFonts w:ascii="Times New Roman" w:hAnsi="Times New Roman" w:cs="Times New Roman" w:eastAsia="Times New Roman" w:hint="default"/>
                <w:spacing w:val="-9"/>
                <w:sz w:val="18"/>
                <w:szCs w:val="18"/>
              </w:rPr>
              <w:t>cn</w:t>
            </w:r>
            <w:r>
              <w:rPr>
                <w:rFonts w:ascii="宋体" w:hAnsi="宋体" w:cs="宋体" w:eastAsia="宋体" w:hint="default"/>
                <w:spacing w:val="-9"/>
                <w:sz w:val="18"/>
                <w:szCs w:val="18"/>
              </w:rPr>
              <w:t>（公告</w:t>
            </w:r>
            <w:r>
              <w:rPr>
                <w:rFonts w:ascii="宋体" w:hAnsi="宋体" w:cs="宋体" w:eastAsia="宋体" w:hint="default"/>
                <w:spacing w:val="-88"/>
                <w:sz w:val="18"/>
                <w:szCs w:val="18"/>
              </w:rPr>
              <w:t> </w:t>
            </w:r>
            <w:r>
              <w:rPr>
                <w:rFonts w:ascii="宋体" w:hAnsi="宋体" w:cs="宋体" w:eastAsia="宋体" w:hint="default"/>
                <w:sz w:val="18"/>
                <w:szCs w:val="18"/>
              </w:rPr>
              <w:t>编号： </w:t>
            </w:r>
            <w:r>
              <w:rPr>
                <w:rFonts w:ascii="Times New Roman" w:hAnsi="Times New Roman" w:cs="Times New Roman" w:eastAsia="Times New Roman" w:hint="default"/>
                <w:sz w:val="18"/>
                <w:szCs w:val="18"/>
              </w:rPr>
              <w:t>2019-04</w:t>
            </w:r>
          </w:p>
          <w:p>
            <w:pPr>
              <w:pStyle w:val="TableParagraph"/>
              <w:spacing w:line="240" w:lineRule="auto" w:before="39"/>
              <w:ind w:left="23" w:right="0"/>
              <w:jc w:val="left"/>
              <w:rPr>
                <w:rFonts w:ascii="宋体" w:hAnsi="宋体" w:cs="宋体" w:eastAsia="宋体" w:hint="default"/>
                <w:sz w:val="18"/>
                <w:szCs w:val="18"/>
              </w:rPr>
            </w:pPr>
            <w:r>
              <w:rPr>
                <w:rFonts w:ascii="宋体" w:hAnsi="宋体" w:cs="宋体" w:eastAsia="宋体" w:hint="default"/>
                <w:sz w:val="18"/>
                <w:szCs w:val="18"/>
              </w:rPr>
              <w:t>）</w:t>
            </w:r>
          </w:p>
        </w:tc>
      </w:tr>
      <w:tr>
        <w:trPr>
          <w:trHeight w:val="3211" w:hRule="exact"/>
        </w:trPr>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24" w:right="119"/>
              <w:jc w:val="both"/>
              <w:rPr>
                <w:rFonts w:ascii="宋体" w:hAnsi="宋体" w:cs="宋体" w:eastAsia="宋体" w:hint="default"/>
                <w:sz w:val="18"/>
                <w:szCs w:val="18"/>
              </w:rPr>
            </w:pPr>
            <w:r>
              <w:rPr>
                <w:rFonts w:ascii="宋体" w:hAnsi="宋体" w:cs="宋体" w:eastAsia="宋体" w:hint="default"/>
                <w:sz w:val="18"/>
                <w:szCs w:val="18"/>
              </w:rPr>
              <w:t>厦门美 亚亿安 信息科 技有限 公司</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8"/>
              <w:ind w:left="24" w:right="119"/>
              <w:jc w:val="both"/>
              <w:rPr>
                <w:rFonts w:ascii="宋体" w:hAnsi="宋体" w:cs="宋体" w:eastAsia="宋体" w:hint="default"/>
                <w:sz w:val="18"/>
                <w:szCs w:val="18"/>
              </w:rPr>
            </w:pPr>
            <w:r>
              <w:rPr>
                <w:rFonts w:ascii="宋体" w:hAnsi="宋体" w:cs="宋体" w:eastAsia="宋体" w:hint="default"/>
                <w:sz w:val="18"/>
                <w:szCs w:val="18"/>
              </w:rPr>
              <w:t>网络与 信息安 全开发</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新设</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6"/>
                <w:szCs w:val="26"/>
              </w:rPr>
            </w:pPr>
          </w:p>
          <w:p>
            <w:pPr>
              <w:pStyle w:val="TableParagraph"/>
              <w:spacing w:line="240" w:lineRule="auto"/>
              <w:ind w:left="70" w:right="0"/>
              <w:jc w:val="center"/>
              <w:rPr>
                <w:rFonts w:ascii="Times New Roman" w:hAnsi="Times New Roman" w:cs="Times New Roman" w:eastAsia="Times New Roman" w:hint="default"/>
                <w:sz w:val="18"/>
                <w:szCs w:val="18"/>
              </w:rPr>
            </w:pPr>
            <w:r>
              <w:rPr>
                <w:rFonts w:ascii="Times New Roman"/>
                <w:sz w:val="18"/>
              </w:rPr>
              <w:t>2,750,0</w:t>
            </w:r>
          </w:p>
          <w:p>
            <w:pPr>
              <w:pStyle w:val="TableParagraph"/>
              <w:spacing w:line="240" w:lineRule="auto" w:before="102"/>
              <w:ind w:left="206" w:right="0"/>
              <w:jc w:val="center"/>
              <w:rPr>
                <w:rFonts w:ascii="Times New Roman" w:hAnsi="Times New Roman" w:cs="Times New Roman" w:eastAsia="Times New Roman" w:hint="default"/>
                <w:sz w:val="18"/>
                <w:szCs w:val="18"/>
              </w:rPr>
            </w:pPr>
            <w:r>
              <w:rPr>
                <w:rFonts w:ascii="Times New Roman"/>
                <w:sz w:val="18"/>
              </w:rPr>
              <w:t>00.00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z w:val="18"/>
              </w:rPr>
              <w:t>55.00%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314" w:lineRule="auto"/>
              <w:ind w:left="26" w:right="84"/>
              <w:jc w:val="left"/>
              <w:rPr>
                <w:rFonts w:ascii="宋体" w:hAnsi="宋体" w:cs="宋体" w:eastAsia="宋体" w:hint="default"/>
                <w:sz w:val="18"/>
                <w:szCs w:val="18"/>
              </w:rPr>
            </w:pPr>
            <w:r>
              <w:rPr>
                <w:rFonts w:ascii="宋体" w:hAnsi="宋体" w:cs="宋体" w:eastAsia="宋体" w:hint="default"/>
                <w:sz w:val="18"/>
                <w:szCs w:val="18"/>
              </w:rPr>
              <w:t>自有资 金</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6" w:lineRule="auto"/>
              <w:ind w:left="23" w:right="83"/>
              <w:jc w:val="both"/>
              <w:rPr>
                <w:rFonts w:ascii="宋体" w:hAnsi="宋体" w:cs="宋体" w:eastAsia="宋体" w:hint="default"/>
                <w:sz w:val="18"/>
                <w:szCs w:val="18"/>
              </w:rPr>
            </w:pPr>
            <w:r>
              <w:rPr>
                <w:rFonts w:ascii="宋体" w:hAnsi="宋体" w:cs="宋体" w:eastAsia="宋体" w:hint="default"/>
                <w:sz w:val="18"/>
                <w:szCs w:val="18"/>
              </w:rPr>
              <w:t>厦门环 亚众智 科技合 伙企业</w:t>
            </w:r>
          </w:p>
          <w:p>
            <w:pPr>
              <w:pStyle w:val="TableParagraph"/>
              <w:spacing w:line="316" w:lineRule="auto" w:before="19"/>
              <w:ind w:left="23" w:right="83"/>
              <w:jc w:val="both"/>
              <w:rPr>
                <w:rFonts w:ascii="宋体" w:hAnsi="宋体" w:cs="宋体" w:eastAsia="宋体" w:hint="default"/>
                <w:sz w:val="18"/>
                <w:szCs w:val="18"/>
              </w:rPr>
            </w:pPr>
            <w:r>
              <w:rPr>
                <w:rFonts w:ascii="宋体" w:hAnsi="宋体" w:cs="宋体" w:eastAsia="宋体" w:hint="default"/>
                <w:sz w:val="18"/>
                <w:szCs w:val="18"/>
              </w:rPr>
              <w:t>（有限 合伙）</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8"/>
              <w:ind w:left="23" w:right="84"/>
              <w:jc w:val="both"/>
              <w:rPr>
                <w:rFonts w:ascii="宋体" w:hAnsi="宋体" w:cs="宋体" w:eastAsia="宋体" w:hint="default"/>
                <w:sz w:val="18"/>
                <w:szCs w:val="18"/>
              </w:rPr>
            </w:pPr>
            <w:r>
              <w:rPr>
                <w:rFonts w:ascii="宋体" w:hAnsi="宋体" w:cs="宋体" w:eastAsia="宋体" w:hint="default"/>
                <w:sz w:val="18"/>
                <w:szCs w:val="18"/>
              </w:rPr>
              <w:t>网络与 信息安 全开发</w:t>
            </w:r>
          </w:p>
        </w:tc>
        <w:tc>
          <w:tcPr>
            <w:tcW w:w="629"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6"/>
                <w:szCs w:val="26"/>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2,381,47</w:t>
            </w:r>
          </w:p>
          <w:p>
            <w:pPr>
              <w:pStyle w:val="TableParagraph"/>
              <w:spacing w:line="240" w:lineRule="auto" w:before="102"/>
              <w:ind w:left="393" w:right="0"/>
              <w:jc w:val="left"/>
              <w:rPr>
                <w:rFonts w:ascii="Times New Roman" w:hAnsi="Times New Roman" w:cs="Times New Roman" w:eastAsia="Times New Roman" w:hint="default"/>
                <w:sz w:val="18"/>
                <w:szCs w:val="18"/>
              </w:rPr>
            </w:pPr>
            <w:r>
              <w:rPr>
                <w:rFonts w:ascii="Times New Roman"/>
                <w:sz w:val="18"/>
              </w:rPr>
              <w:t>0.72</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4"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93"/>
              <w:ind w:left="23" w:right="20"/>
              <w:jc w:val="left"/>
              <w:rPr>
                <w:rFonts w:ascii="Times New Roman" w:hAnsi="Times New Roman" w:cs="Times New Roman" w:eastAsia="Times New Roman" w:hint="default"/>
                <w:sz w:val="18"/>
                <w:szCs w:val="18"/>
              </w:rPr>
            </w:pPr>
            <w:r>
              <w:rPr>
                <w:rFonts w:ascii="Times New Roman"/>
                <w:spacing w:val="-2"/>
                <w:sz w:val="18"/>
              </w:rPr>
              <w:t>ww.cninf</w:t>
            </w:r>
            <w:r>
              <w:rPr>
                <w:rFonts w:ascii="Times New Roman"/>
                <w:spacing w:val="-41"/>
                <w:sz w:val="18"/>
              </w:rPr>
              <w:t> </w:t>
            </w:r>
            <w:r>
              <w:rPr>
                <w:rFonts w:ascii="Times New Roman"/>
                <w:spacing w:val="-41"/>
                <w:sz w:val="18"/>
              </w:rPr>
            </w:r>
            <w:r>
              <w:rPr>
                <w:rFonts w:ascii="Times New Roman"/>
                <w:sz w:val="18"/>
              </w:rPr>
              <w:t>o.c</w:t>
            </w:r>
            <w:r>
              <w:rPr>
                <w:rFonts w:ascii="Times New Roman"/>
                <w:sz w:val="18"/>
              </w:rPr>
              <w:t> om.cn</w:t>
            </w:r>
          </w:p>
          <w:p>
            <w:pPr>
              <w:pStyle w:val="TableParagraph"/>
              <w:spacing w:line="212" w:lineRule="exact"/>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2018</w:t>
            </w:r>
          </w:p>
          <w:p>
            <w:pPr>
              <w:pStyle w:val="TableParagraph"/>
              <w:spacing w:line="316" w:lineRule="auto" w:before="63"/>
              <w:ind w:left="23" w:right="55"/>
              <w:jc w:val="left"/>
              <w:rPr>
                <w:rFonts w:ascii="宋体" w:hAnsi="宋体" w:cs="宋体" w:eastAsia="宋体" w:hint="default"/>
                <w:sz w:val="18"/>
                <w:szCs w:val="18"/>
              </w:rPr>
            </w:pPr>
            <w:r>
              <w:rPr>
                <w:rFonts w:ascii="宋体" w:hAnsi="宋体" w:cs="宋体" w:eastAsia="宋体" w:hint="default"/>
                <w:sz w:val="18"/>
                <w:szCs w:val="18"/>
              </w:rPr>
              <w:t>年年度 报</w:t>
            </w:r>
            <w:r>
              <w:rPr>
                <w:rFonts w:ascii="宋体" w:hAnsi="宋体" w:cs="宋体" w:eastAsia="宋体" w:hint="default"/>
                <w:spacing w:val="1"/>
                <w:sz w:val="18"/>
                <w:szCs w:val="18"/>
              </w:rPr>
              <w:t> </w:t>
            </w:r>
            <w:r>
              <w:rPr>
                <w:rFonts w:ascii="宋体" w:hAnsi="宋体" w:cs="宋体" w:eastAsia="宋体" w:hint="default"/>
                <w:sz w:val="18"/>
                <w:szCs w:val="18"/>
              </w:rPr>
              <w:t>告》</w:t>
            </w:r>
          </w:p>
          <w:p>
            <w:pPr>
              <w:pStyle w:val="TableParagraph"/>
              <w:spacing w:line="338" w:lineRule="auto" w:before="19"/>
              <w:ind w:left="23" w:right="84"/>
              <w:jc w:val="left"/>
              <w:rPr>
                <w:rFonts w:ascii="Times New Roman" w:hAnsi="Times New Roman" w:cs="Times New Roman" w:eastAsia="Times New Roman" w:hint="default"/>
                <w:sz w:val="18"/>
                <w:szCs w:val="18"/>
              </w:rPr>
            </w:pPr>
            <w:r>
              <w:rPr>
                <w:rFonts w:ascii="宋体" w:hAnsi="宋体" w:cs="宋体" w:eastAsia="宋体" w:hint="default"/>
                <w:sz w:val="18"/>
                <w:szCs w:val="18"/>
              </w:rPr>
              <w:t>（公告 编</w:t>
            </w:r>
            <w:r>
              <w:rPr>
                <w:rFonts w:ascii="宋体" w:hAnsi="宋体" w:cs="宋体" w:eastAsia="宋体" w:hint="default"/>
                <w:spacing w:val="1"/>
                <w:sz w:val="18"/>
                <w:szCs w:val="18"/>
              </w:rPr>
              <w:t> </w:t>
            </w:r>
            <w:r>
              <w:rPr>
                <w:rFonts w:ascii="宋体" w:hAnsi="宋体" w:cs="宋体" w:eastAsia="宋体" w:hint="default"/>
                <w:sz w:val="18"/>
                <w:szCs w:val="18"/>
              </w:rPr>
              <w:t>号</w:t>
            </w:r>
            <w:r>
              <w:rPr>
                <w:rFonts w:ascii="宋体" w:hAnsi="宋体" w:cs="宋体" w:eastAsia="宋体" w:hint="default"/>
                <w:sz w:val="18"/>
                <w:szCs w:val="18"/>
              </w:rPr>
              <w:t> </w:t>
            </w:r>
            <w:r>
              <w:rPr>
                <w:rFonts w:ascii="Times New Roman" w:hAnsi="Times New Roman" w:cs="Times New Roman" w:eastAsia="Times New Roman" w:hint="default"/>
                <w:sz w:val="18"/>
                <w:szCs w:val="18"/>
              </w:rPr>
              <w:t>2019-15</w:t>
            </w:r>
          </w:p>
          <w:p>
            <w:pPr>
              <w:pStyle w:val="TableParagraph"/>
              <w:spacing w:line="217" w:lineRule="exact"/>
              <w:ind w:left="23" w:right="0"/>
              <w:jc w:val="left"/>
              <w:rPr>
                <w:rFonts w:ascii="宋体" w:hAnsi="宋体" w:cs="宋体" w:eastAsia="宋体" w:hint="default"/>
                <w:sz w:val="18"/>
                <w:szCs w:val="18"/>
              </w:rPr>
            </w:pPr>
            <w:r>
              <w:rPr>
                <w:rFonts w:ascii="宋体" w:hAnsi="宋体" w:cs="宋体" w:eastAsia="宋体" w:hint="default"/>
                <w:sz w:val="18"/>
                <w:szCs w:val="18"/>
              </w:rPr>
              <w:t>）</w:t>
            </w:r>
          </w:p>
        </w:tc>
      </w:tr>
      <w:tr>
        <w:trPr>
          <w:trHeight w:val="2273" w:hRule="exact"/>
        </w:trPr>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316" w:lineRule="auto"/>
              <w:ind w:left="24" w:right="119"/>
              <w:jc w:val="both"/>
              <w:rPr>
                <w:rFonts w:ascii="宋体" w:hAnsi="宋体" w:cs="宋体" w:eastAsia="宋体" w:hint="default"/>
                <w:sz w:val="18"/>
                <w:szCs w:val="18"/>
              </w:rPr>
            </w:pPr>
            <w:r>
              <w:rPr>
                <w:rFonts w:ascii="宋体" w:hAnsi="宋体" w:cs="宋体" w:eastAsia="宋体" w:hint="default"/>
                <w:sz w:val="18"/>
                <w:szCs w:val="18"/>
              </w:rPr>
              <w:t>安徽华 图信息 科技有 限公司</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4" w:right="119"/>
              <w:jc w:val="both"/>
              <w:rPr>
                <w:rFonts w:ascii="宋体" w:hAnsi="宋体" w:cs="宋体" w:eastAsia="宋体" w:hint="default"/>
                <w:sz w:val="18"/>
                <w:szCs w:val="18"/>
              </w:rPr>
            </w:pPr>
            <w:r>
              <w:rPr>
                <w:rFonts w:ascii="宋体" w:hAnsi="宋体" w:cs="宋体" w:eastAsia="宋体" w:hint="default"/>
                <w:sz w:val="18"/>
                <w:szCs w:val="18"/>
              </w:rPr>
              <w:t>智慧司 法等领 域的信 息化建 设与服 务</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23" w:right="0"/>
              <w:jc w:val="left"/>
              <w:rPr>
                <w:rFonts w:ascii="宋体" w:hAnsi="宋体" w:cs="宋体" w:eastAsia="宋体" w:hint="default"/>
                <w:sz w:val="18"/>
                <w:szCs w:val="18"/>
              </w:rPr>
            </w:pPr>
            <w:r>
              <w:rPr>
                <w:rFonts w:ascii="宋体" w:hAnsi="宋体" w:cs="宋体" w:eastAsia="宋体" w:hint="default"/>
                <w:sz w:val="18"/>
                <w:szCs w:val="18"/>
              </w:rPr>
              <w:t>增资</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70" w:right="0"/>
              <w:jc w:val="center"/>
              <w:rPr>
                <w:rFonts w:ascii="Times New Roman" w:hAnsi="Times New Roman" w:cs="Times New Roman" w:eastAsia="Times New Roman" w:hint="default"/>
                <w:sz w:val="18"/>
                <w:szCs w:val="18"/>
              </w:rPr>
            </w:pPr>
            <w:r>
              <w:rPr>
                <w:rFonts w:ascii="Times New Roman"/>
                <w:sz w:val="18"/>
              </w:rPr>
              <w:t>4,000,0</w:t>
            </w:r>
          </w:p>
          <w:p>
            <w:pPr>
              <w:pStyle w:val="TableParagraph"/>
              <w:spacing w:line="240" w:lineRule="auto" w:before="105"/>
              <w:ind w:left="206" w:right="0"/>
              <w:jc w:val="center"/>
              <w:rPr>
                <w:rFonts w:ascii="Times New Roman" w:hAnsi="Times New Roman" w:cs="Times New Roman" w:eastAsia="Times New Roman" w:hint="default"/>
                <w:sz w:val="18"/>
                <w:szCs w:val="18"/>
              </w:rPr>
            </w:pPr>
            <w:r>
              <w:rPr>
                <w:rFonts w:ascii="Times New Roman"/>
                <w:sz w:val="18"/>
              </w:rPr>
              <w:t>00.00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z w:val="18"/>
              </w:rPr>
              <w:t>20.00%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6" w:lineRule="auto"/>
              <w:ind w:left="26" w:right="84"/>
              <w:jc w:val="left"/>
              <w:rPr>
                <w:rFonts w:ascii="宋体" w:hAnsi="宋体" w:cs="宋体" w:eastAsia="宋体" w:hint="default"/>
                <w:sz w:val="18"/>
                <w:szCs w:val="18"/>
              </w:rPr>
            </w:pPr>
            <w:r>
              <w:rPr>
                <w:rFonts w:ascii="宋体" w:hAnsi="宋体" w:cs="宋体" w:eastAsia="宋体" w:hint="default"/>
                <w:sz w:val="18"/>
                <w:szCs w:val="18"/>
              </w:rPr>
              <w:t>自有资 金</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23" w:right="0"/>
              <w:jc w:val="left"/>
              <w:rPr>
                <w:rFonts w:ascii="宋体" w:hAnsi="宋体" w:cs="宋体" w:eastAsia="宋体" w:hint="default"/>
                <w:sz w:val="18"/>
                <w:szCs w:val="18"/>
              </w:rPr>
            </w:pPr>
            <w:r>
              <w:rPr>
                <w:rFonts w:ascii="宋体" w:hAnsi="宋体" w:cs="宋体" w:eastAsia="宋体" w:hint="default"/>
                <w:sz w:val="18"/>
                <w:szCs w:val="18"/>
              </w:rPr>
              <w:t>朱少武</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26"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84"/>
              <w:jc w:val="both"/>
              <w:rPr>
                <w:rFonts w:ascii="宋体" w:hAnsi="宋体" w:cs="宋体" w:eastAsia="宋体" w:hint="default"/>
                <w:sz w:val="18"/>
                <w:szCs w:val="18"/>
              </w:rPr>
            </w:pPr>
            <w:r>
              <w:rPr>
                <w:rFonts w:ascii="宋体" w:hAnsi="宋体" w:cs="宋体" w:eastAsia="宋体" w:hint="default"/>
                <w:sz w:val="18"/>
                <w:szCs w:val="18"/>
              </w:rPr>
              <w:t>智慧司 法等领 域的信 息化建 设与服 务</w:t>
            </w:r>
          </w:p>
        </w:tc>
        <w:tc>
          <w:tcPr>
            <w:tcW w:w="629"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206,766.</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36</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4"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3" w:right="20"/>
              <w:jc w:val="left"/>
              <w:rPr>
                <w:rFonts w:ascii="Times New Roman" w:hAnsi="Times New Roman" w:cs="Times New Roman" w:eastAsia="Times New Roman" w:hint="default"/>
                <w:sz w:val="18"/>
                <w:szCs w:val="18"/>
              </w:rPr>
            </w:pPr>
            <w:r>
              <w:rPr>
                <w:rFonts w:ascii="Times New Roman"/>
                <w:spacing w:val="-2"/>
                <w:sz w:val="18"/>
              </w:rPr>
              <w:t>ww.cninf</w:t>
            </w:r>
            <w:r>
              <w:rPr>
                <w:rFonts w:ascii="Times New Roman"/>
                <w:spacing w:val="-41"/>
                <w:sz w:val="18"/>
              </w:rPr>
              <w:t> </w:t>
            </w:r>
            <w:r>
              <w:rPr>
                <w:rFonts w:ascii="Times New Roman"/>
                <w:spacing w:val="-41"/>
                <w:sz w:val="18"/>
              </w:rPr>
            </w:r>
            <w:r>
              <w:rPr>
                <w:rFonts w:ascii="Times New Roman"/>
                <w:sz w:val="18"/>
              </w:rPr>
              <w:t>o.c</w:t>
            </w:r>
            <w:r>
              <w:rPr>
                <w:rFonts w:ascii="Times New Roman"/>
                <w:sz w:val="18"/>
              </w:rPr>
              <w:t> om.cn</w:t>
            </w:r>
          </w:p>
          <w:p>
            <w:pPr>
              <w:pStyle w:val="TableParagraph"/>
              <w:spacing w:line="197" w:lineRule="exact"/>
              <w:ind w:left="23" w:right="0"/>
              <w:jc w:val="left"/>
              <w:rPr>
                <w:rFonts w:ascii="宋体" w:hAnsi="宋体" w:cs="宋体" w:eastAsia="宋体" w:hint="default"/>
                <w:sz w:val="18"/>
                <w:szCs w:val="18"/>
              </w:rPr>
            </w:pPr>
            <w:r>
              <w:rPr>
                <w:rFonts w:ascii="宋体" w:hAnsi="宋体" w:cs="宋体" w:eastAsia="宋体" w:hint="default"/>
                <w:sz w:val="18"/>
                <w:szCs w:val="18"/>
              </w:rPr>
              <w:t>（公告</w:t>
            </w:r>
          </w:p>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编</w:t>
            </w:r>
            <w:r>
              <w:rPr>
                <w:rFonts w:ascii="宋体" w:hAnsi="宋体" w:cs="宋体" w:eastAsia="宋体" w:hint="default"/>
                <w:spacing w:val="1"/>
                <w:sz w:val="18"/>
                <w:szCs w:val="18"/>
              </w:rPr>
              <w:t> </w:t>
            </w:r>
            <w:r>
              <w:rPr>
                <w:rFonts w:ascii="宋体" w:hAnsi="宋体" w:cs="宋体" w:eastAsia="宋体" w:hint="default"/>
                <w:sz w:val="18"/>
                <w:szCs w:val="18"/>
              </w:rPr>
              <w:t>号</w:t>
            </w:r>
          </w:p>
          <w:p>
            <w:pPr>
              <w:pStyle w:val="TableParagraph"/>
              <w:spacing w:line="240" w:lineRule="auto" w:before="118"/>
              <w:ind w:left="23" w:right="0"/>
              <w:jc w:val="left"/>
              <w:rPr>
                <w:rFonts w:ascii="Times New Roman" w:hAnsi="Times New Roman" w:cs="Times New Roman" w:eastAsia="Times New Roman" w:hint="default"/>
                <w:sz w:val="18"/>
                <w:szCs w:val="18"/>
              </w:rPr>
            </w:pPr>
            <w:r>
              <w:rPr>
                <w:rFonts w:ascii="Times New Roman"/>
                <w:sz w:val="18"/>
              </w:rPr>
              <w:t>2019-15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w:t>
            </w:r>
          </w:p>
        </w:tc>
      </w:tr>
      <w:tr>
        <w:trPr>
          <w:trHeight w:val="1651" w:hRule="exact"/>
        </w:trPr>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19"/>
              <w:jc w:val="both"/>
              <w:rPr>
                <w:rFonts w:ascii="宋体" w:hAnsi="宋体" w:cs="宋体" w:eastAsia="宋体" w:hint="default"/>
                <w:sz w:val="18"/>
                <w:szCs w:val="18"/>
              </w:rPr>
            </w:pPr>
            <w:r>
              <w:rPr>
                <w:rFonts w:ascii="宋体" w:hAnsi="宋体" w:cs="宋体" w:eastAsia="宋体" w:hint="default"/>
                <w:sz w:val="18"/>
                <w:szCs w:val="18"/>
              </w:rPr>
              <w:t>沈阳城 市公共 安全科 技有限 公司</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4" w:right="119"/>
              <w:jc w:val="both"/>
              <w:rPr>
                <w:rFonts w:ascii="宋体" w:hAnsi="宋体" w:cs="宋体" w:eastAsia="宋体" w:hint="default"/>
                <w:sz w:val="18"/>
                <w:szCs w:val="18"/>
              </w:rPr>
            </w:pPr>
            <w:r>
              <w:rPr>
                <w:rFonts w:ascii="宋体" w:hAnsi="宋体" w:cs="宋体" w:eastAsia="宋体" w:hint="default"/>
                <w:sz w:val="18"/>
                <w:szCs w:val="18"/>
              </w:rPr>
              <w:t>城市公 共安全 政务大 数据</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增资</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left="70" w:right="0"/>
              <w:jc w:val="center"/>
              <w:rPr>
                <w:rFonts w:ascii="Times New Roman" w:hAnsi="Times New Roman" w:cs="Times New Roman" w:eastAsia="Times New Roman" w:hint="default"/>
                <w:sz w:val="18"/>
                <w:szCs w:val="18"/>
              </w:rPr>
            </w:pPr>
            <w:r>
              <w:rPr>
                <w:rFonts w:ascii="Times New Roman"/>
                <w:sz w:val="18"/>
              </w:rPr>
              <w:t>1,169,4</w:t>
            </w:r>
          </w:p>
          <w:p>
            <w:pPr>
              <w:pStyle w:val="TableParagraph"/>
              <w:spacing w:line="240" w:lineRule="auto" w:before="102"/>
              <w:ind w:left="206" w:right="0"/>
              <w:jc w:val="center"/>
              <w:rPr>
                <w:rFonts w:ascii="Times New Roman" w:hAnsi="Times New Roman" w:cs="Times New Roman" w:eastAsia="Times New Roman" w:hint="default"/>
                <w:sz w:val="18"/>
                <w:szCs w:val="18"/>
              </w:rPr>
            </w:pPr>
            <w:r>
              <w:rPr>
                <w:rFonts w:ascii="Times New Roman"/>
                <w:sz w:val="18"/>
              </w:rPr>
              <w:t>00.00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z w:val="18"/>
              </w:rPr>
              <w:t>23.39%</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05"/>
              <w:ind w:left="26" w:right="84"/>
              <w:jc w:val="left"/>
              <w:rPr>
                <w:rFonts w:ascii="宋体" w:hAnsi="宋体" w:cs="宋体" w:eastAsia="宋体" w:hint="default"/>
                <w:sz w:val="18"/>
                <w:szCs w:val="18"/>
              </w:rPr>
            </w:pPr>
            <w:r>
              <w:rPr>
                <w:rFonts w:ascii="宋体" w:hAnsi="宋体" w:cs="宋体" w:eastAsia="宋体" w:hint="default"/>
                <w:sz w:val="18"/>
                <w:szCs w:val="18"/>
              </w:rPr>
              <w:t>自有资 金</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肖直原</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3" w:right="84"/>
              <w:jc w:val="both"/>
              <w:rPr>
                <w:rFonts w:ascii="宋体" w:hAnsi="宋体" w:cs="宋体" w:eastAsia="宋体" w:hint="default"/>
                <w:sz w:val="18"/>
                <w:szCs w:val="18"/>
              </w:rPr>
            </w:pPr>
            <w:r>
              <w:rPr>
                <w:rFonts w:ascii="宋体" w:hAnsi="宋体" w:cs="宋体" w:eastAsia="宋体" w:hint="default"/>
                <w:sz w:val="18"/>
                <w:szCs w:val="18"/>
              </w:rPr>
              <w:t>城市公 共安全 政务大 数据</w:t>
            </w:r>
          </w:p>
        </w:tc>
        <w:tc>
          <w:tcPr>
            <w:tcW w:w="629"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left="62" w:right="0"/>
              <w:jc w:val="left"/>
              <w:rPr>
                <w:rFonts w:ascii="Times New Roman" w:hAnsi="Times New Roman" w:cs="Times New Roman" w:eastAsia="Times New Roman" w:hint="default"/>
                <w:sz w:val="18"/>
                <w:szCs w:val="18"/>
              </w:rPr>
            </w:pPr>
            <w:r>
              <w:rPr>
                <w:rFonts w:ascii="Times New Roman"/>
                <w:sz w:val="18"/>
              </w:rPr>
              <w:t>-454,163</w:t>
            </w:r>
          </w:p>
          <w:p>
            <w:pPr>
              <w:pStyle w:val="TableParagraph"/>
              <w:spacing w:line="240" w:lineRule="auto" w:before="102"/>
              <w:ind w:left="482" w:right="0"/>
              <w:jc w:val="left"/>
              <w:rPr>
                <w:rFonts w:ascii="Times New Roman" w:hAnsi="Times New Roman" w:cs="Times New Roman" w:eastAsia="Times New Roman" w:hint="default"/>
                <w:sz w:val="18"/>
                <w:szCs w:val="18"/>
              </w:rPr>
            </w:pPr>
            <w:r>
              <w:rPr>
                <w:rFonts w:ascii="Times New Roman"/>
                <w:sz w:val="18"/>
              </w:rPr>
              <w:t>.37</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4"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694"/>
        <w:gridCol w:w="694"/>
        <w:gridCol w:w="662"/>
        <w:gridCol w:w="662"/>
        <w:gridCol w:w="660"/>
        <w:gridCol w:w="662"/>
        <w:gridCol w:w="658"/>
        <w:gridCol w:w="655"/>
        <w:gridCol w:w="660"/>
        <w:gridCol w:w="629"/>
        <w:gridCol w:w="739"/>
        <w:gridCol w:w="732"/>
        <w:gridCol w:w="734"/>
        <w:gridCol w:w="722"/>
      </w:tblGrid>
      <w:tr>
        <w:trPr>
          <w:trHeight w:val="2273" w:hRule="exact"/>
        </w:trPr>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59"/>
              <w:jc w:val="both"/>
              <w:rPr>
                <w:rFonts w:ascii="Times New Roman" w:hAnsi="Times New Roman" w:cs="Times New Roman" w:eastAsia="Times New Roman" w:hint="default"/>
                <w:sz w:val="18"/>
                <w:szCs w:val="18"/>
              </w:rPr>
            </w:pPr>
            <w:r>
              <w:rPr>
                <w:rFonts w:ascii="宋体" w:hAnsi="宋体" w:cs="宋体" w:eastAsia="宋体" w:hint="default"/>
                <w:sz w:val="18"/>
                <w:szCs w:val="18"/>
              </w:rPr>
              <w:t>厦门市 柏科晔 济投资 管理合 伙企业 </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 伙</w:t>
            </w:r>
            <w:r>
              <w:rPr>
                <w:rFonts w:ascii="Times New Roman" w:hAnsi="Times New Roman" w:cs="Times New Roman" w:eastAsia="Times New Roman" w:hint="default"/>
                <w:sz w:val="18"/>
                <w:szCs w:val="18"/>
              </w:rPr>
              <w: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6" w:lineRule="auto"/>
              <w:ind w:left="24" w:right="119"/>
              <w:jc w:val="left"/>
              <w:rPr>
                <w:rFonts w:ascii="宋体" w:hAnsi="宋体" w:cs="宋体" w:eastAsia="宋体" w:hint="default"/>
                <w:sz w:val="18"/>
                <w:szCs w:val="18"/>
              </w:rPr>
            </w:pPr>
            <w:r>
              <w:rPr>
                <w:rFonts w:ascii="宋体" w:hAnsi="宋体" w:cs="宋体" w:eastAsia="宋体" w:hint="default"/>
                <w:sz w:val="18"/>
                <w:szCs w:val="18"/>
              </w:rPr>
              <w:t>投资管 理</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23" w:right="0"/>
              <w:jc w:val="left"/>
              <w:rPr>
                <w:rFonts w:ascii="宋体" w:hAnsi="宋体" w:cs="宋体" w:eastAsia="宋体" w:hint="default"/>
                <w:sz w:val="18"/>
                <w:szCs w:val="18"/>
              </w:rPr>
            </w:pPr>
            <w:r>
              <w:rPr>
                <w:rFonts w:ascii="宋体" w:hAnsi="宋体" w:cs="宋体" w:eastAsia="宋体" w:hint="default"/>
                <w:sz w:val="18"/>
                <w:szCs w:val="18"/>
              </w:rPr>
              <w:t>新设</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70" w:right="0"/>
              <w:jc w:val="center"/>
              <w:rPr>
                <w:rFonts w:ascii="Times New Roman" w:hAnsi="Times New Roman" w:cs="Times New Roman" w:eastAsia="Times New Roman" w:hint="default"/>
                <w:sz w:val="18"/>
                <w:szCs w:val="18"/>
              </w:rPr>
            </w:pPr>
            <w:r>
              <w:rPr>
                <w:rFonts w:ascii="Times New Roman"/>
                <w:sz w:val="18"/>
              </w:rPr>
              <w:t>2,000,0</w:t>
            </w:r>
          </w:p>
          <w:p>
            <w:pPr>
              <w:pStyle w:val="TableParagraph"/>
              <w:spacing w:line="240" w:lineRule="auto" w:before="105"/>
              <w:ind w:left="206" w:right="0"/>
              <w:jc w:val="center"/>
              <w:rPr>
                <w:rFonts w:ascii="Times New Roman" w:hAnsi="Times New Roman" w:cs="Times New Roman" w:eastAsia="Times New Roman" w:hint="default"/>
                <w:sz w:val="18"/>
                <w:szCs w:val="18"/>
              </w:rPr>
            </w:pPr>
            <w:r>
              <w:rPr>
                <w:rFonts w:ascii="Times New Roman"/>
                <w:sz w:val="18"/>
              </w:rPr>
              <w:t>00.00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20.00%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6" w:lineRule="auto"/>
              <w:ind w:left="26" w:right="84"/>
              <w:jc w:val="left"/>
              <w:rPr>
                <w:rFonts w:ascii="宋体" w:hAnsi="宋体" w:cs="宋体" w:eastAsia="宋体" w:hint="default"/>
                <w:sz w:val="18"/>
                <w:szCs w:val="18"/>
              </w:rPr>
            </w:pPr>
            <w:r>
              <w:rPr>
                <w:rFonts w:ascii="宋体" w:hAnsi="宋体" w:cs="宋体" w:eastAsia="宋体" w:hint="default"/>
                <w:sz w:val="18"/>
                <w:szCs w:val="18"/>
              </w:rPr>
              <w:t>自有资 金</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83"/>
              <w:jc w:val="both"/>
              <w:rPr>
                <w:rFonts w:ascii="宋体" w:hAnsi="宋体" w:cs="宋体" w:eastAsia="宋体" w:hint="default"/>
                <w:sz w:val="18"/>
                <w:szCs w:val="18"/>
              </w:rPr>
            </w:pPr>
            <w:r>
              <w:rPr>
                <w:rFonts w:ascii="宋体" w:hAnsi="宋体" w:cs="宋体" w:eastAsia="宋体" w:hint="default"/>
                <w:sz w:val="18"/>
                <w:szCs w:val="18"/>
              </w:rPr>
              <w:t>厦门市 百英信 烨投资 有限公 司、国 投智能 等</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26"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6" w:lineRule="auto"/>
              <w:ind w:left="23" w:right="84"/>
              <w:jc w:val="left"/>
              <w:rPr>
                <w:rFonts w:ascii="宋体" w:hAnsi="宋体" w:cs="宋体" w:eastAsia="宋体" w:hint="default"/>
                <w:sz w:val="18"/>
                <w:szCs w:val="18"/>
              </w:rPr>
            </w:pPr>
            <w:r>
              <w:rPr>
                <w:rFonts w:ascii="宋体" w:hAnsi="宋体" w:cs="宋体" w:eastAsia="宋体" w:hint="default"/>
                <w:sz w:val="18"/>
                <w:szCs w:val="18"/>
              </w:rPr>
              <w:t>投资管 理</w:t>
            </w:r>
          </w:p>
        </w:tc>
        <w:tc>
          <w:tcPr>
            <w:tcW w:w="629"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4"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2" w:lineRule="exact"/>
              <w:ind w:left="23" w:right="19"/>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www.cni nfo.com. </w:t>
            </w:r>
            <w:r>
              <w:rPr>
                <w:rFonts w:ascii="Times New Roman" w:hAnsi="Times New Roman" w:cs="Times New Roman" w:eastAsia="Times New Roman" w:hint="default"/>
                <w:spacing w:val="-9"/>
                <w:sz w:val="18"/>
                <w:szCs w:val="18"/>
              </w:rPr>
              <w:t>cn</w:t>
            </w:r>
            <w:r>
              <w:rPr>
                <w:rFonts w:ascii="宋体" w:hAnsi="宋体" w:cs="宋体" w:eastAsia="宋体" w:hint="default"/>
                <w:spacing w:val="-9"/>
                <w:sz w:val="18"/>
                <w:szCs w:val="18"/>
              </w:rPr>
              <w:t>（公告</w:t>
            </w:r>
            <w:r>
              <w:rPr>
                <w:rFonts w:ascii="宋体" w:hAnsi="宋体" w:cs="宋体" w:eastAsia="宋体" w:hint="default"/>
                <w:spacing w:val="-88"/>
                <w:sz w:val="18"/>
                <w:szCs w:val="18"/>
              </w:rPr>
              <w:t> </w:t>
            </w:r>
            <w:r>
              <w:rPr>
                <w:rFonts w:ascii="宋体" w:hAnsi="宋体" w:cs="宋体" w:eastAsia="宋体" w:hint="default"/>
                <w:sz w:val="18"/>
                <w:szCs w:val="18"/>
              </w:rPr>
              <w:t>编号： </w:t>
            </w:r>
            <w:r>
              <w:rPr>
                <w:rFonts w:ascii="Times New Roman" w:hAnsi="Times New Roman" w:cs="Times New Roman" w:eastAsia="Times New Roman" w:hint="default"/>
                <w:sz w:val="18"/>
                <w:szCs w:val="18"/>
              </w:rPr>
              <w:t>2019-80</w:t>
            </w:r>
          </w:p>
          <w:p>
            <w:pPr>
              <w:pStyle w:val="TableParagraph"/>
              <w:spacing w:line="240" w:lineRule="auto" w:before="39"/>
              <w:ind w:left="23" w:right="0"/>
              <w:jc w:val="left"/>
              <w:rPr>
                <w:rFonts w:ascii="宋体" w:hAnsi="宋体" w:cs="宋体" w:eastAsia="宋体" w:hint="default"/>
                <w:sz w:val="18"/>
                <w:szCs w:val="18"/>
              </w:rPr>
            </w:pPr>
            <w:r>
              <w:rPr>
                <w:rFonts w:ascii="宋体" w:hAnsi="宋体" w:cs="宋体" w:eastAsia="宋体" w:hint="default"/>
                <w:sz w:val="18"/>
                <w:szCs w:val="18"/>
              </w:rPr>
              <w:t>）</w:t>
            </w:r>
          </w:p>
        </w:tc>
      </w:tr>
      <w:tr>
        <w:trPr>
          <w:trHeight w:val="1339" w:hRule="exact"/>
        </w:trPr>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19"/>
              <w:jc w:val="both"/>
              <w:rPr>
                <w:rFonts w:ascii="宋体" w:hAnsi="宋体" w:cs="宋体" w:eastAsia="宋体" w:hint="default"/>
                <w:sz w:val="18"/>
                <w:szCs w:val="18"/>
              </w:rPr>
            </w:pPr>
            <w:r>
              <w:rPr>
                <w:rFonts w:ascii="宋体" w:hAnsi="宋体" w:cs="宋体" w:eastAsia="宋体" w:hint="default"/>
                <w:sz w:val="18"/>
                <w:szCs w:val="18"/>
              </w:rPr>
              <w:t>厦门本 思信息 服务有 限公司</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56"/>
              <w:ind w:left="24" w:right="119"/>
              <w:jc w:val="left"/>
              <w:rPr>
                <w:rFonts w:ascii="宋体" w:hAnsi="宋体" w:cs="宋体" w:eastAsia="宋体" w:hint="default"/>
                <w:sz w:val="18"/>
                <w:szCs w:val="18"/>
              </w:rPr>
            </w:pPr>
            <w:r>
              <w:rPr>
                <w:rFonts w:ascii="宋体" w:hAnsi="宋体" w:cs="宋体" w:eastAsia="宋体" w:hint="default"/>
                <w:sz w:val="18"/>
                <w:szCs w:val="18"/>
              </w:rPr>
              <w:t>人工智 能</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新设</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70" w:right="0"/>
              <w:jc w:val="center"/>
              <w:rPr>
                <w:rFonts w:ascii="Times New Roman" w:hAnsi="Times New Roman" w:cs="Times New Roman" w:eastAsia="Times New Roman" w:hint="default"/>
                <w:sz w:val="18"/>
                <w:szCs w:val="18"/>
              </w:rPr>
            </w:pPr>
            <w:r>
              <w:rPr>
                <w:rFonts w:ascii="Times New Roman"/>
                <w:sz w:val="18"/>
              </w:rPr>
              <w:t>1,225,0</w:t>
            </w:r>
          </w:p>
          <w:p>
            <w:pPr>
              <w:pStyle w:val="TableParagraph"/>
              <w:spacing w:line="240" w:lineRule="auto" w:before="102"/>
              <w:ind w:left="206" w:right="0"/>
              <w:jc w:val="center"/>
              <w:rPr>
                <w:rFonts w:ascii="Times New Roman" w:hAnsi="Times New Roman" w:cs="Times New Roman" w:eastAsia="Times New Roman" w:hint="default"/>
                <w:sz w:val="18"/>
                <w:szCs w:val="18"/>
              </w:rPr>
            </w:pPr>
            <w:r>
              <w:rPr>
                <w:rFonts w:ascii="Times New Roman"/>
                <w:sz w:val="18"/>
              </w:rPr>
              <w:t>00.00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left="62" w:right="0"/>
              <w:jc w:val="center"/>
              <w:rPr>
                <w:rFonts w:ascii="Times New Roman" w:hAnsi="Times New Roman" w:cs="Times New Roman" w:eastAsia="Times New Roman" w:hint="default"/>
                <w:sz w:val="18"/>
                <w:szCs w:val="18"/>
              </w:rPr>
            </w:pPr>
            <w:r>
              <w:rPr>
                <w:rFonts w:ascii="Times New Roman"/>
                <w:sz w:val="18"/>
              </w:rPr>
              <w:t>24.50%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56"/>
              <w:ind w:left="26" w:right="84"/>
              <w:jc w:val="left"/>
              <w:rPr>
                <w:rFonts w:ascii="宋体" w:hAnsi="宋体" w:cs="宋体" w:eastAsia="宋体" w:hint="default"/>
                <w:sz w:val="18"/>
                <w:szCs w:val="18"/>
              </w:rPr>
            </w:pPr>
            <w:r>
              <w:rPr>
                <w:rFonts w:ascii="宋体" w:hAnsi="宋体" w:cs="宋体" w:eastAsia="宋体" w:hint="default"/>
                <w:sz w:val="18"/>
                <w:szCs w:val="18"/>
              </w:rPr>
              <w:t>自有资 金</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right="59"/>
              <w:jc w:val="center"/>
              <w:rPr>
                <w:rFonts w:ascii="宋体" w:hAnsi="宋体" w:cs="宋体" w:eastAsia="宋体" w:hint="default"/>
                <w:sz w:val="18"/>
                <w:szCs w:val="18"/>
              </w:rPr>
            </w:pPr>
            <w:r>
              <w:rPr>
                <w:rFonts w:ascii="宋体" w:hAnsi="宋体" w:cs="宋体" w:eastAsia="宋体" w:hint="default"/>
                <w:sz w:val="18"/>
                <w:szCs w:val="18"/>
              </w:rPr>
              <w:t>贺祥龙</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6"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56"/>
              <w:ind w:left="23" w:right="84"/>
              <w:jc w:val="left"/>
              <w:rPr>
                <w:rFonts w:ascii="宋体" w:hAnsi="宋体" w:cs="宋体" w:eastAsia="宋体" w:hint="default"/>
                <w:sz w:val="18"/>
                <w:szCs w:val="18"/>
              </w:rPr>
            </w:pPr>
            <w:r>
              <w:rPr>
                <w:rFonts w:ascii="宋体" w:hAnsi="宋体" w:cs="宋体" w:eastAsia="宋体" w:hint="default"/>
                <w:sz w:val="18"/>
                <w:szCs w:val="18"/>
              </w:rPr>
              <w:t>人工智 能</w:t>
            </w:r>
          </w:p>
        </w:tc>
        <w:tc>
          <w:tcPr>
            <w:tcW w:w="629"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-56,940.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05</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4"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6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4" w:right="119"/>
              <w:jc w:val="both"/>
              <w:rPr>
                <w:rFonts w:ascii="宋体" w:hAnsi="宋体" w:cs="宋体" w:eastAsia="宋体" w:hint="default"/>
                <w:sz w:val="18"/>
                <w:szCs w:val="18"/>
              </w:rPr>
            </w:pPr>
            <w:r>
              <w:rPr>
                <w:rFonts w:ascii="宋体" w:hAnsi="宋体" w:cs="宋体" w:eastAsia="宋体" w:hint="default"/>
                <w:sz w:val="18"/>
                <w:szCs w:val="18"/>
              </w:rPr>
              <w:t>陕西美 亚秦安 信息科 技有限 公司</w:t>
            </w:r>
          </w:p>
        </w:tc>
        <w:tc>
          <w:tcPr>
            <w:tcW w:w="6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71" w:right="71"/>
              <w:jc w:val="both"/>
              <w:rPr>
                <w:rFonts w:ascii="宋体" w:hAnsi="宋体" w:cs="宋体" w:eastAsia="宋体" w:hint="default"/>
                <w:sz w:val="18"/>
                <w:szCs w:val="18"/>
              </w:rPr>
            </w:pPr>
            <w:r>
              <w:rPr>
                <w:rFonts w:ascii="宋体" w:hAnsi="宋体" w:cs="宋体" w:eastAsia="宋体" w:hint="default"/>
                <w:sz w:val="18"/>
                <w:szCs w:val="18"/>
              </w:rPr>
              <w:t>网络与 信息安 全开发</w:t>
            </w:r>
          </w:p>
        </w:tc>
        <w:tc>
          <w:tcPr>
            <w:tcW w:w="66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146" w:right="0"/>
              <w:jc w:val="left"/>
              <w:rPr>
                <w:rFonts w:ascii="宋体" w:hAnsi="宋体" w:cs="宋体" w:eastAsia="宋体" w:hint="default"/>
                <w:sz w:val="18"/>
                <w:szCs w:val="18"/>
              </w:rPr>
            </w:pPr>
            <w:r>
              <w:rPr>
                <w:rFonts w:ascii="宋体" w:hAnsi="宋体" w:cs="宋体" w:eastAsia="宋体" w:hint="default"/>
                <w:sz w:val="18"/>
                <w:szCs w:val="18"/>
              </w:rPr>
              <w:t>新设</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45" w:right="0"/>
              <w:jc w:val="left"/>
              <w:rPr>
                <w:rFonts w:ascii="Times New Roman" w:hAnsi="Times New Roman" w:cs="Times New Roman" w:eastAsia="Times New Roman" w:hint="default"/>
                <w:sz w:val="18"/>
                <w:szCs w:val="18"/>
              </w:rPr>
            </w:pPr>
            <w:r>
              <w:rPr>
                <w:rFonts w:ascii="Times New Roman"/>
                <w:sz w:val="18"/>
              </w:rPr>
              <w:t>1000,00</w:t>
            </w:r>
          </w:p>
          <w:p>
            <w:pPr>
              <w:pStyle w:val="TableParagraph"/>
              <w:spacing w:line="240" w:lineRule="auto" w:before="105"/>
              <w:ind w:left="316" w:right="0"/>
              <w:jc w:val="left"/>
              <w:rPr>
                <w:rFonts w:ascii="Times New Roman" w:hAnsi="Times New Roman" w:cs="Times New Roman" w:eastAsia="Times New Roman" w:hint="default"/>
                <w:sz w:val="18"/>
                <w:szCs w:val="18"/>
              </w:rPr>
            </w:pPr>
            <w:r>
              <w:rPr>
                <w:rFonts w:ascii="Times New Roman"/>
                <w:sz w:val="18"/>
              </w:rPr>
              <w:t>0.00</w:t>
            </w:r>
          </w:p>
        </w:tc>
        <w:tc>
          <w:tcPr>
            <w:tcW w:w="6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2" w:right="0"/>
              <w:jc w:val="center"/>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3"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6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316" w:lineRule="auto"/>
              <w:ind w:left="239" w:right="50" w:hanging="180"/>
              <w:jc w:val="left"/>
              <w:rPr>
                <w:rFonts w:ascii="宋体" w:hAnsi="宋体" w:cs="宋体" w:eastAsia="宋体" w:hint="default"/>
                <w:sz w:val="18"/>
                <w:szCs w:val="18"/>
              </w:rPr>
            </w:pPr>
            <w:r>
              <w:rPr>
                <w:rFonts w:ascii="宋体" w:hAnsi="宋体" w:cs="宋体" w:eastAsia="宋体" w:hint="default"/>
                <w:sz w:val="18"/>
                <w:szCs w:val="18"/>
              </w:rPr>
              <w:t>自有资 金</w:t>
            </w:r>
          </w:p>
        </w:tc>
        <w:tc>
          <w:tcPr>
            <w:tcW w:w="6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独资</w:t>
            </w:r>
          </w:p>
        </w:tc>
        <w:tc>
          <w:tcPr>
            <w:tcW w:w="65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146"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55" w:right="53"/>
              <w:jc w:val="both"/>
              <w:rPr>
                <w:rFonts w:ascii="宋体" w:hAnsi="宋体" w:cs="宋体" w:eastAsia="宋体" w:hint="default"/>
                <w:sz w:val="18"/>
                <w:szCs w:val="18"/>
              </w:rPr>
            </w:pPr>
            <w:r>
              <w:rPr>
                <w:rFonts w:ascii="宋体" w:hAnsi="宋体" w:cs="宋体" w:eastAsia="宋体" w:hint="default"/>
                <w:sz w:val="18"/>
                <w:szCs w:val="18"/>
              </w:rPr>
              <w:t>网络与 信息安 全开发</w:t>
            </w:r>
          </w:p>
        </w:tc>
        <w:tc>
          <w:tcPr>
            <w:tcW w:w="629"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z w:val="18"/>
              </w:rPr>
              <w:t>68,366.0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73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269"/>
              <w:jc w:val="right"/>
              <w:rPr>
                <w:rFonts w:ascii="宋体" w:hAnsi="宋体" w:cs="宋体" w:eastAsia="宋体" w:hint="default"/>
                <w:sz w:val="18"/>
                <w:szCs w:val="18"/>
              </w:rPr>
            </w:pPr>
            <w:r>
              <w:rPr>
                <w:rFonts w:ascii="宋体" w:hAnsi="宋体" w:cs="宋体" w:eastAsia="宋体" w:hint="default"/>
                <w:sz w:val="18"/>
                <w:szCs w:val="18"/>
              </w:rPr>
              <w:t>否</w:t>
            </w:r>
          </w:p>
        </w:tc>
        <w:tc>
          <w:tcPr>
            <w:tcW w:w="734"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22"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714" w:hRule="exact"/>
        </w:trPr>
        <w:tc>
          <w:tcPr>
            <w:tcW w:w="6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6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66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1" w:right="0"/>
              <w:jc w:val="left"/>
              <w:rPr>
                <w:rFonts w:ascii="Times New Roman" w:hAnsi="Times New Roman" w:cs="Times New Roman" w:eastAsia="Times New Roman" w:hint="default"/>
                <w:sz w:val="18"/>
                <w:szCs w:val="18"/>
              </w:rPr>
            </w:pPr>
            <w:r>
              <w:rPr>
                <w:rFonts w:ascii="Times New Roman"/>
                <w:sz w:val="18"/>
              </w:rPr>
              <w:t>26,644,</w:t>
            </w:r>
          </w:p>
          <w:p>
            <w:pPr>
              <w:pStyle w:val="TableParagraph"/>
              <w:spacing w:line="240" w:lineRule="auto" w:before="102"/>
              <w:ind w:left="136" w:right="0"/>
              <w:jc w:val="left"/>
              <w:rPr>
                <w:rFonts w:ascii="Times New Roman" w:hAnsi="Times New Roman" w:cs="Times New Roman" w:eastAsia="Times New Roman" w:hint="default"/>
                <w:sz w:val="18"/>
                <w:szCs w:val="18"/>
              </w:rPr>
            </w:pPr>
            <w:r>
              <w:rPr>
                <w:rFonts w:ascii="Times New Roman"/>
                <w:sz w:val="18"/>
              </w:rPr>
              <w:t>400.00</w:t>
            </w:r>
          </w:p>
        </w:tc>
        <w:tc>
          <w:tcPr>
            <w:tcW w:w="6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66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w:t>
            </w:r>
          </w:p>
        </w:tc>
        <w:tc>
          <w:tcPr>
            <w:tcW w:w="6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65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w:t>
            </w:r>
          </w:p>
        </w:tc>
        <w:tc>
          <w:tcPr>
            <w:tcW w:w="6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283" w:right="0"/>
              <w:jc w:val="left"/>
              <w:rPr>
                <w:rFonts w:ascii="Times New Roman" w:hAnsi="Times New Roman" w:cs="Times New Roman" w:eastAsia="Times New Roman" w:hint="default"/>
                <w:sz w:val="18"/>
                <w:szCs w:val="18"/>
              </w:rPr>
            </w:pPr>
            <w:r>
              <w:rPr>
                <w:rFonts w:ascii="Times New Roman"/>
                <w:sz w:val="18"/>
              </w:rPr>
              <w:t>0.00</w:t>
            </w: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6" w:right="0"/>
              <w:jc w:val="left"/>
              <w:rPr>
                <w:rFonts w:ascii="Times New Roman" w:hAnsi="Times New Roman" w:cs="Times New Roman" w:eastAsia="Times New Roman" w:hint="default"/>
                <w:sz w:val="18"/>
                <w:szCs w:val="18"/>
              </w:rPr>
            </w:pPr>
            <w:r>
              <w:rPr>
                <w:rFonts w:ascii="Times New Roman"/>
                <w:sz w:val="18"/>
              </w:rPr>
              <w:t>2,963,97</w:t>
            </w:r>
          </w:p>
          <w:p>
            <w:pPr>
              <w:pStyle w:val="TableParagraph"/>
              <w:spacing w:line="240" w:lineRule="auto" w:before="102"/>
              <w:ind w:left="393" w:right="0"/>
              <w:jc w:val="left"/>
              <w:rPr>
                <w:rFonts w:ascii="Times New Roman" w:hAnsi="Times New Roman" w:cs="Times New Roman" w:eastAsia="Times New Roman" w:hint="default"/>
                <w:sz w:val="18"/>
                <w:szCs w:val="18"/>
              </w:rPr>
            </w:pPr>
            <w:r>
              <w:rPr>
                <w:rFonts w:ascii="Times New Roman"/>
                <w:sz w:val="18"/>
              </w:rPr>
              <w:t>6.85</w:t>
            </w:r>
          </w:p>
        </w:tc>
        <w:tc>
          <w:tcPr>
            <w:tcW w:w="73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298"/>
              <w:jc w:val="right"/>
              <w:rPr>
                <w:rFonts w:ascii="Times New Roman" w:hAnsi="Times New Roman" w:cs="Times New Roman" w:eastAsia="Times New Roman" w:hint="default"/>
                <w:sz w:val="18"/>
                <w:szCs w:val="18"/>
              </w:rPr>
            </w:pPr>
            <w:r>
              <w:rPr>
                <w:rFonts w:ascii="Times New Roman"/>
                <w:sz w:val="18"/>
              </w:rPr>
              <w:t>--</w:t>
            </w:r>
          </w:p>
        </w:tc>
        <w:tc>
          <w:tcPr>
            <w:tcW w:w="7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2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64"/>
        <w:ind w:left="572" w:right="986"/>
        <w:jc w:val="left"/>
      </w:pPr>
      <w:r>
        <w:rPr>
          <w:rFonts w:ascii="宋体" w:hAnsi="宋体" w:cs="宋体" w:eastAsia="宋体" w:hint="default"/>
        </w:rPr>
        <w:t>1</w:t>
      </w:r>
      <w:r>
        <w:rPr/>
        <w:t>）设立美亚信安</w:t>
      </w:r>
    </w:p>
    <w:p>
      <w:pPr>
        <w:spacing w:line="240" w:lineRule="auto" w:before="10"/>
        <w:rPr>
          <w:rFonts w:ascii="宋体" w:hAnsi="宋体" w:cs="宋体" w:eastAsia="宋体" w:hint="default"/>
          <w:sz w:val="14"/>
          <w:szCs w:val="14"/>
        </w:rPr>
      </w:pPr>
    </w:p>
    <w:p>
      <w:pPr>
        <w:pStyle w:val="BodyText"/>
        <w:spacing w:line="408" w:lineRule="auto" w:before="0"/>
        <w:ind w:left="153" w:right="986" w:firstLine="419"/>
        <w:jc w:val="left"/>
      </w:pPr>
      <w:r>
        <w:rPr>
          <w:rFonts w:ascii="宋体" w:hAnsi="宋体" w:cs="宋体" w:eastAsia="宋体" w:hint="default"/>
          <w:spacing w:val="-2"/>
        </w:rPr>
        <w:t>2019</w:t>
      </w:r>
      <w:r>
        <w:rPr>
          <w:spacing w:val="-2"/>
        </w:rPr>
        <w:t>年</w:t>
      </w:r>
      <w:r>
        <w:rPr>
          <w:rFonts w:ascii="宋体" w:hAnsi="宋体" w:cs="宋体" w:eastAsia="宋体" w:hint="default"/>
          <w:spacing w:val="-2"/>
        </w:rPr>
        <w:t>1</w:t>
      </w:r>
      <w:r>
        <w:rPr>
          <w:spacing w:val="-2"/>
        </w:rPr>
        <w:t>月</w:t>
      </w:r>
      <w:r>
        <w:rPr>
          <w:rFonts w:ascii="宋体" w:hAnsi="宋体" w:cs="宋体" w:eastAsia="宋体" w:hint="default"/>
          <w:spacing w:val="-2"/>
        </w:rPr>
        <w:t>10</w:t>
      </w:r>
      <w:r>
        <w:rPr>
          <w:spacing w:val="-2"/>
        </w:rPr>
        <w:t>日，本公司独资设立美亚信安，注册资本为</w:t>
      </w:r>
      <w:r>
        <w:rPr>
          <w:rFonts w:ascii="宋体" w:hAnsi="宋体" w:cs="宋体" w:eastAsia="宋体" w:hint="default"/>
          <w:spacing w:val="-2"/>
        </w:rPr>
        <w:t>1,000.00</w:t>
      </w:r>
      <w:r>
        <w:rPr>
          <w:spacing w:val="-2"/>
        </w:rPr>
        <w:t>万元。截止</w:t>
      </w:r>
      <w:r>
        <w:rPr>
          <w:rFonts w:ascii="宋体" w:hAnsi="宋体" w:cs="宋体" w:eastAsia="宋体" w:hint="default"/>
          <w:spacing w:val="-2"/>
        </w:rPr>
        <w:t>2019</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w:t>
      </w:r>
      <w:r>
        <w:rPr>
          <w:rFonts w:ascii="宋体" w:hAnsi="宋体" w:cs="宋体" w:eastAsia="宋体" w:hint="default"/>
          <w:spacing w:val="-2"/>
        </w:rPr>
        <w:t>,</w:t>
      </w:r>
      <w:r>
        <w:rPr>
          <w:spacing w:val="-2"/>
        </w:rPr>
        <w:t>公司已</w:t>
      </w:r>
      <w:r>
        <w:rPr>
          <w:spacing w:val="-3"/>
          <w:w w:val="100"/>
        </w:rPr>
        <w:t> </w:t>
      </w:r>
      <w:r>
        <w:rPr/>
        <w:t>出资</w:t>
      </w:r>
      <w:r>
        <w:rPr>
          <w:rFonts w:ascii="宋体" w:hAnsi="宋体" w:cs="宋体" w:eastAsia="宋体" w:hint="default"/>
        </w:rPr>
        <w:t>50</w:t>
      </w:r>
      <w:r>
        <w:rPr/>
        <w:t>万元。</w:t>
      </w:r>
    </w:p>
    <w:p>
      <w:pPr>
        <w:pStyle w:val="BodyText"/>
        <w:spacing w:line="240" w:lineRule="auto"/>
        <w:ind w:left="573" w:right="986"/>
        <w:jc w:val="left"/>
      </w:pPr>
      <w:r>
        <w:rPr>
          <w:rFonts w:ascii="宋体" w:hAnsi="宋体" w:cs="宋体" w:eastAsia="宋体" w:hint="default"/>
        </w:rPr>
        <w:t>2</w:t>
      </w:r>
      <w:r>
        <w:rPr/>
        <w:t>）设立美亚秦安</w:t>
      </w:r>
    </w:p>
    <w:p>
      <w:pPr>
        <w:spacing w:line="240" w:lineRule="auto" w:before="10"/>
        <w:rPr>
          <w:rFonts w:ascii="宋体" w:hAnsi="宋体" w:cs="宋体" w:eastAsia="宋体" w:hint="default"/>
          <w:sz w:val="14"/>
          <w:szCs w:val="14"/>
        </w:rPr>
      </w:pPr>
    </w:p>
    <w:p>
      <w:pPr>
        <w:pStyle w:val="BodyText"/>
        <w:spacing w:line="408" w:lineRule="auto" w:before="0"/>
        <w:ind w:right="986" w:firstLine="420"/>
        <w:jc w:val="left"/>
      </w:pPr>
      <w:r>
        <w:rPr>
          <w:rFonts w:ascii="宋体" w:hAnsi="宋体" w:cs="宋体" w:eastAsia="宋体" w:hint="default"/>
        </w:rPr>
        <w:t>2019</w:t>
      </w:r>
      <w:r>
        <w:rPr/>
        <w:t>年</w:t>
      </w:r>
      <w:r>
        <w:rPr>
          <w:rFonts w:ascii="宋体" w:hAnsi="宋体" w:cs="宋体" w:eastAsia="宋体" w:hint="default"/>
        </w:rPr>
        <w:t>6</w:t>
      </w:r>
      <w:r>
        <w:rPr/>
        <w:t>月</w:t>
      </w:r>
      <w:r>
        <w:rPr>
          <w:rFonts w:ascii="宋体" w:hAnsi="宋体" w:cs="宋体" w:eastAsia="宋体" w:hint="default"/>
        </w:rPr>
        <w:t>13</w:t>
      </w:r>
      <w:r>
        <w:rPr/>
        <w:t>日，本公司独资设立美亚秦安，注册资本为</w:t>
      </w:r>
      <w:r>
        <w:rPr>
          <w:rFonts w:ascii="宋体" w:hAnsi="宋体" w:cs="宋体" w:eastAsia="宋体" w:hint="default"/>
        </w:rPr>
        <w:t>1,000.00</w:t>
      </w:r>
      <w:r>
        <w:rPr/>
        <w:t>万元。截止</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31</w:t>
      </w:r>
      <w:r>
        <w:rPr/>
        <w:t>日</w:t>
      </w:r>
      <w:r>
        <w:rPr>
          <w:rFonts w:ascii="宋体" w:hAnsi="宋体" w:cs="宋体" w:eastAsia="宋体" w:hint="default"/>
        </w:rPr>
        <w:t>,</w:t>
      </w:r>
      <w:r>
        <w:rPr>
          <w:rFonts w:ascii="宋体" w:hAnsi="宋体" w:cs="宋体" w:eastAsia="宋体" w:hint="default"/>
          <w:spacing w:val="69"/>
        </w:rPr>
        <w:t> </w:t>
      </w:r>
      <w:r>
        <w:rPr/>
        <w:t>公司</w:t>
      </w:r>
      <w:r>
        <w:rPr>
          <w:spacing w:val="2"/>
          <w:w w:val="100"/>
        </w:rPr>
        <w:t> </w:t>
      </w:r>
      <w:r>
        <w:rPr/>
        <w:t>已出资</w:t>
      </w:r>
      <w:r>
        <w:rPr>
          <w:rFonts w:ascii="宋体" w:hAnsi="宋体" w:cs="宋体" w:eastAsia="宋体" w:hint="default"/>
        </w:rPr>
        <w:t>100</w:t>
      </w:r>
      <w:r>
        <w:rPr/>
        <w:t>万元。</w:t>
      </w:r>
    </w:p>
    <w:p>
      <w:pPr>
        <w:pStyle w:val="BodyText"/>
        <w:spacing w:line="240" w:lineRule="auto"/>
        <w:ind w:left="572" w:right="986"/>
        <w:jc w:val="left"/>
      </w:pPr>
      <w:r>
        <w:rPr>
          <w:rFonts w:ascii="宋体" w:hAnsi="宋体" w:cs="宋体" w:eastAsia="宋体" w:hint="default"/>
        </w:rPr>
        <w:t>3</w:t>
      </w:r>
      <w:r>
        <w:rPr/>
        <w:t>）设立美亚川安</w:t>
      </w:r>
    </w:p>
    <w:p>
      <w:pPr>
        <w:spacing w:line="240" w:lineRule="auto" w:before="10"/>
        <w:rPr>
          <w:rFonts w:ascii="宋体" w:hAnsi="宋体" w:cs="宋体" w:eastAsia="宋体" w:hint="default"/>
          <w:sz w:val="14"/>
          <w:szCs w:val="14"/>
        </w:rPr>
      </w:pPr>
    </w:p>
    <w:p>
      <w:pPr>
        <w:pStyle w:val="BodyText"/>
        <w:spacing w:line="408" w:lineRule="auto" w:before="0"/>
        <w:ind w:right="986" w:firstLine="420"/>
        <w:jc w:val="left"/>
      </w:pPr>
      <w:r>
        <w:rPr>
          <w:rFonts w:ascii="宋体" w:hAnsi="宋体" w:cs="宋体" w:eastAsia="宋体" w:hint="default"/>
        </w:rPr>
        <w:t>2019</w:t>
      </w:r>
      <w:r>
        <w:rPr/>
        <w:t>年</w:t>
      </w:r>
      <w:r>
        <w:rPr>
          <w:rFonts w:ascii="宋体" w:hAnsi="宋体" w:cs="宋体" w:eastAsia="宋体" w:hint="default"/>
        </w:rPr>
        <w:t>10</w:t>
      </w:r>
      <w:r>
        <w:rPr/>
        <w:t>月</w:t>
      </w:r>
      <w:r>
        <w:rPr>
          <w:rFonts w:ascii="宋体" w:hAnsi="宋体" w:cs="宋体" w:eastAsia="宋体" w:hint="default"/>
        </w:rPr>
        <w:t>12</w:t>
      </w:r>
      <w:r>
        <w:rPr/>
        <w:t>日，本公司独资设立美亚川安，注册资本为</w:t>
      </w:r>
      <w:r>
        <w:rPr>
          <w:rFonts w:ascii="宋体" w:hAnsi="宋体" w:cs="宋体" w:eastAsia="宋体" w:hint="default"/>
        </w:rPr>
        <w:t>800.00</w:t>
      </w:r>
      <w:r>
        <w:rPr/>
        <w:t>万元。截止</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31</w:t>
      </w:r>
      <w:r>
        <w:rPr/>
        <w:t>日</w:t>
      </w:r>
      <w:r>
        <w:rPr>
          <w:rFonts w:ascii="宋体" w:hAnsi="宋体" w:cs="宋体" w:eastAsia="宋体" w:hint="default"/>
        </w:rPr>
        <w:t>,</w:t>
      </w:r>
      <w:r>
        <w:rPr/>
        <w:t>公司尚</w:t>
      </w:r>
      <w:r>
        <w:rPr>
          <w:w w:val="100"/>
        </w:rPr>
        <w:t> </w:t>
      </w:r>
      <w:r>
        <w:rPr/>
        <w:t>未出资。</w:t>
      </w:r>
    </w:p>
    <w:p>
      <w:pPr>
        <w:pStyle w:val="BodyText"/>
        <w:spacing w:line="240" w:lineRule="auto"/>
        <w:ind w:left="572" w:right="986"/>
        <w:jc w:val="left"/>
      </w:pPr>
      <w:r>
        <w:rPr>
          <w:rFonts w:ascii="宋体" w:hAnsi="宋体" w:cs="宋体" w:eastAsia="宋体" w:hint="default"/>
        </w:rPr>
        <w:t>4</w:t>
      </w:r>
      <w:r>
        <w:rPr/>
        <w:t>）设立美亚陇安</w:t>
      </w:r>
    </w:p>
    <w:p>
      <w:pPr>
        <w:spacing w:line="240" w:lineRule="auto" w:before="10"/>
        <w:rPr>
          <w:rFonts w:ascii="宋体" w:hAnsi="宋体" w:cs="宋体" w:eastAsia="宋体" w:hint="default"/>
          <w:sz w:val="14"/>
          <w:szCs w:val="14"/>
        </w:rPr>
      </w:pPr>
    </w:p>
    <w:p>
      <w:pPr>
        <w:pStyle w:val="BodyText"/>
        <w:spacing w:line="408" w:lineRule="auto" w:before="0"/>
        <w:ind w:right="986" w:firstLine="420"/>
        <w:jc w:val="left"/>
      </w:pPr>
      <w:r>
        <w:rPr>
          <w:rFonts w:ascii="宋体" w:hAnsi="宋体" w:cs="宋体" w:eastAsia="宋体" w:hint="default"/>
        </w:rPr>
        <w:t>2019</w:t>
      </w:r>
      <w:r>
        <w:rPr/>
        <w:t>年</w:t>
      </w:r>
      <w:r>
        <w:rPr>
          <w:rFonts w:ascii="宋体" w:hAnsi="宋体" w:cs="宋体" w:eastAsia="宋体" w:hint="default"/>
        </w:rPr>
        <w:t>10</w:t>
      </w:r>
      <w:r>
        <w:rPr/>
        <w:t>月</w:t>
      </w:r>
      <w:r>
        <w:rPr>
          <w:rFonts w:ascii="宋体" w:hAnsi="宋体" w:cs="宋体" w:eastAsia="宋体" w:hint="default"/>
        </w:rPr>
        <w:t>29</w:t>
      </w:r>
      <w:r>
        <w:rPr/>
        <w:t>日，本公司独资设立美亚陇安，注册资本为</w:t>
      </w:r>
      <w:r>
        <w:rPr>
          <w:rFonts w:ascii="宋体" w:hAnsi="宋体" w:cs="宋体" w:eastAsia="宋体" w:hint="default"/>
        </w:rPr>
        <w:t>1,000.00</w:t>
      </w:r>
      <w:r>
        <w:rPr/>
        <w:t>万元。截止</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31</w:t>
      </w:r>
      <w:r>
        <w:rPr/>
        <w:t>日</w:t>
      </w:r>
      <w:r>
        <w:rPr>
          <w:rFonts w:ascii="宋体" w:hAnsi="宋体" w:cs="宋体" w:eastAsia="宋体" w:hint="default"/>
        </w:rPr>
        <w:t>,</w:t>
      </w:r>
      <w:r>
        <w:rPr/>
        <w:t>公司</w:t>
      </w:r>
      <w:r>
        <w:rPr>
          <w:w w:val="100"/>
        </w:rPr>
        <w:t> </w:t>
      </w:r>
      <w:r>
        <w:rPr/>
        <w:t>尚未出资。</w:t>
      </w:r>
    </w:p>
    <w:p>
      <w:pPr>
        <w:pStyle w:val="BodyText"/>
        <w:spacing w:line="240" w:lineRule="auto"/>
        <w:ind w:left="571" w:right="986"/>
        <w:jc w:val="left"/>
      </w:pPr>
      <w:r>
        <w:rPr>
          <w:rFonts w:ascii="宋体" w:hAnsi="宋体" w:cs="宋体" w:eastAsia="宋体" w:hint="default"/>
        </w:rPr>
        <w:t>5</w:t>
      </w:r>
      <w:r>
        <w:rPr/>
        <w:t>）参股合资设立柏科烨济</w:t>
      </w:r>
    </w:p>
    <w:p>
      <w:pPr>
        <w:spacing w:line="240" w:lineRule="auto" w:before="10"/>
        <w:rPr>
          <w:rFonts w:ascii="宋体" w:hAnsi="宋体" w:cs="宋体" w:eastAsia="宋体" w:hint="default"/>
          <w:sz w:val="14"/>
          <w:szCs w:val="14"/>
        </w:rPr>
      </w:pPr>
    </w:p>
    <w:p>
      <w:pPr>
        <w:pStyle w:val="BodyText"/>
        <w:spacing w:line="240" w:lineRule="auto" w:before="0"/>
        <w:ind w:left="571" w:right="986"/>
        <w:jc w:val="left"/>
      </w:pPr>
      <w:r>
        <w:rPr>
          <w:rFonts w:ascii="宋体" w:hAnsi="宋体" w:cs="宋体" w:eastAsia="宋体" w:hint="default"/>
        </w:rPr>
        <w:t>2019</w:t>
      </w:r>
      <w:r>
        <w:rPr/>
        <w:t>年</w:t>
      </w:r>
      <w:r>
        <w:rPr>
          <w:rFonts w:ascii="宋体" w:hAnsi="宋体" w:cs="宋体" w:eastAsia="宋体" w:hint="default"/>
        </w:rPr>
        <w:t>11</w:t>
      </w:r>
      <w:r>
        <w:rPr/>
        <w:t>月</w:t>
      </w:r>
      <w:r>
        <w:rPr>
          <w:rFonts w:ascii="宋体" w:hAnsi="宋体" w:cs="宋体" w:eastAsia="宋体" w:hint="default"/>
        </w:rPr>
        <w:t>5</w:t>
      </w:r>
      <w:r>
        <w:rPr/>
        <w:t>日，本公司参股合资设立柏科烨济，注册资本为</w:t>
      </w:r>
      <w:r>
        <w:rPr>
          <w:rFonts w:ascii="宋体" w:hAnsi="宋体" w:cs="宋体" w:eastAsia="宋体" w:hint="default"/>
        </w:rPr>
        <w:t>1,000.00</w:t>
      </w:r>
      <w:r>
        <w:rPr/>
        <w:t>万元。公司持有份额</w:t>
      </w:r>
      <w:r>
        <w:rPr>
          <w:rFonts w:ascii="宋体" w:hAnsi="宋体" w:cs="宋体" w:eastAsia="宋体" w:hint="default"/>
        </w:rPr>
        <w:t>20%</w:t>
      </w:r>
      <w:r>
        <w:rPr/>
        <w:t>，截止</w:t>
      </w:r>
    </w:p>
    <w:p>
      <w:pPr>
        <w:spacing w:line="240" w:lineRule="auto" w:before="10"/>
        <w:rPr>
          <w:rFonts w:ascii="宋体" w:hAnsi="宋体" w:cs="宋体" w:eastAsia="宋体" w:hint="default"/>
          <w:sz w:val="14"/>
          <w:szCs w:val="14"/>
        </w:rPr>
      </w:pPr>
    </w:p>
    <w:p>
      <w:pPr>
        <w:pStyle w:val="BodyText"/>
        <w:spacing w:line="240" w:lineRule="auto" w:before="0"/>
        <w:ind w:right="986"/>
        <w:jc w:val="left"/>
      </w:pP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31</w:t>
      </w:r>
      <w:r>
        <w:rPr/>
        <w:t>日</w:t>
      </w:r>
      <w:r>
        <w:rPr>
          <w:rFonts w:ascii="宋体" w:hAnsi="宋体" w:cs="宋体" w:eastAsia="宋体" w:hint="default"/>
        </w:rPr>
        <w:t>,</w:t>
      </w:r>
      <w:r>
        <w:rPr/>
        <w:t>公司已出资</w:t>
      </w:r>
      <w:r>
        <w:rPr>
          <w:rFonts w:ascii="宋体" w:hAnsi="宋体" w:cs="宋体" w:eastAsia="宋体" w:hint="default"/>
        </w:rPr>
        <w:t>200.00</w:t>
      </w:r>
      <w:r>
        <w:rPr/>
        <w:t>万元。</w:t>
      </w:r>
    </w:p>
    <w:p>
      <w:pPr>
        <w:spacing w:line="240" w:lineRule="auto" w:before="10"/>
        <w:rPr>
          <w:rFonts w:ascii="宋体" w:hAnsi="宋体" w:cs="宋体" w:eastAsia="宋体" w:hint="default"/>
          <w:sz w:val="14"/>
          <w:szCs w:val="14"/>
        </w:rPr>
      </w:pPr>
    </w:p>
    <w:p>
      <w:pPr>
        <w:pStyle w:val="BodyText"/>
        <w:spacing w:line="240" w:lineRule="auto" w:before="0"/>
        <w:ind w:left="572" w:right="986"/>
        <w:jc w:val="left"/>
      </w:pPr>
      <w:r>
        <w:rPr>
          <w:rFonts w:ascii="宋体" w:hAnsi="宋体" w:cs="宋体" w:eastAsia="宋体" w:hint="default"/>
        </w:rPr>
        <w:t>6</w:t>
      </w:r>
      <w:r>
        <w:rPr/>
        <w:t>）参股合资本思信息</w:t>
      </w:r>
    </w:p>
    <w:p>
      <w:pPr>
        <w:spacing w:line="240" w:lineRule="auto" w:before="10"/>
        <w:rPr>
          <w:rFonts w:ascii="宋体" w:hAnsi="宋体" w:cs="宋体" w:eastAsia="宋体" w:hint="default"/>
          <w:sz w:val="14"/>
          <w:szCs w:val="14"/>
        </w:rPr>
      </w:pPr>
    </w:p>
    <w:p>
      <w:pPr>
        <w:pStyle w:val="BodyText"/>
        <w:spacing w:line="240" w:lineRule="auto" w:before="0"/>
        <w:ind w:left="572" w:right="986"/>
        <w:jc w:val="left"/>
      </w:pPr>
      <w:r>
        <w:rPr>
          <w:rFonts w:ascii="宋体" w:hAnsi="宋体" w:cs="宋体" w:eastAsia="宋体" w:hint="default"/>
        </w:rPr>
        <w:t>2019</w:t>
      </w:r>
      <w:r>
        <w:rPr/>
        <w:t>年</w:t>
      </w:r>
      <w:r>
        <w:rPr>
          <w:rFonts w:ascii="宋体" w:hAnsi="宋体" w:cs="宋体" w:eastAsia="宋体" w:hint="default"/>
        </w:rPr>
        <w:t>8</w:t>
      </w:r>
      <w:r>
        <w:rPr/>
        <w:t>月</w:t>
      </w:r>
      <w:r>
        <w:rPr>
          <w:rFonts w:ascii="宋体" w:hAnsi="宋体" w:cs="宋体" w:eastAsia="宋体" w:hint="default"/>
        </w:rPr>
        <w:t>27</w:t>
      </w:r>
      <w:r>
        <w:rPr/>
        <w:t>日，本公司参股合资设立本思信息，注册资本</w:t>
      </w:r>
      <w:r>
        <w:rPr>
          <w:rFonts w:ascii="宋体" w:hAnsi="宋体" w:cs="宋体" w:eastAsia="宋体" w:hint="default"/>
        </w:rPr>
        <w:t>1,000.00</w:t>
      </w:r>
      <w:r>
        <w:rPr/>
        <w:t>万元，公司持股比例</w:t>
      </w:r>
      <w:r>
        <w:rPr>
          <w:rFonts w:ascii="宋体" w:hAnsi="宋体" w:cs="宋体" w:eastAsia="宋体" w:hint="default"/>
        </w:rPr>
        <w:t>24.50%</w:t>
      </w:r>
      <w:r>
        <w:rPr/>
        <w:t>，截</w:t>
      </w:r>
    </w:p>
    <w:p>
      <w:pPr>
        <w:spacing w:after="0" w:line="240"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240" w:lineRule="auto" w:before="175"/>
        <w:ind w:right="986"/>
        <w:jc w:val="left"/>
      </w:pPr>
      <w:r>
        <w:rPr/>
        <w:t>止</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31</w:t>
      </w:r>
      <w:r>
        <w:rPr/>
        <w:t>日</w:t>
      </w:r>
      <w:r>
        <w:rPr>
          <w:rFonts w:ascii="宋体" w:hAnsi="宋体" w:cs="宋体" w:eastAsia="宋体" w:hint="default"/>
        </w:rPr>
        <w:t>,</w:t>
      </w:r>
      <w:r>
        <w:rPr/>
        <w:t>公司已出资</w:t>
      </w:r>
      <w:r>
        <w:rPr>
          <w:rFonts w:ascii="宋体" w:hAnsi="宋体" w:cs="宋体" w:eastAsia="宋体" w:hint="default"/>
        </w:rPr>
        <w:t>122.5</w:t>
      </w:r>
      <w:r>
        <w:rPr/>
        <w:t>万元。</w:t>
      </w:r>
    </w:p>
    <w:p>
      <w:pPr>
        <w:spacing w:line="240" w:lineRule="auto" w:before="10"/>
        <w:rPr>
          <w:rFonts w:ascii="宋体" w:hAnsi="宋体" w:cs="宋体" w:eastAsia="宋体" w:hint="default"/>
          <w:sz w:val="14"/>
          <w:szCs w:val="14"/>
        </w:rPr>
      </w:pPr>
    </w:p>
    <w:p>
      <w:pPr>
        <w:pStyle w:val="BodyText"/>
        <w:spacing w:line="408" w:lineRule="auto" w:before="0"/>
        <w:ind w:right="986" w:firstLine="420"/>
        <w:jc w:val="left"/>
      </w:pPr>
      <w:r>
        <w:rPr>
          <w:rFonts w:ascii="宋体" w:hAnsi="宋体" w:cs="宋体" w:eastAsia="宋体" w:hint="default"/>
          <w:spacing w:val="-2"/>
        </w:rPr>
        <w:t>7</w:t>
      </w:r>
      <w:r>
        <w:rPr>
          <w:spacing w:val="-2"/>
        </w:rPr>
        <w:t>）公司前期注册或投资参股的公司，本期公司共出资</w:t>
      </w:r>
      <w:r>
        <w:rPr>
          <w:rFonts w:ascii="宋体" w:hAnsi="宋体" w:cs="宋体" w:eastAsia="宋体" w:hint="default"/>
          <w:spacing w:val="-2"/>
        </w:rPr>
        <w:t>2,191.94</w:t>
      </w:r>
      <w:r>
        <w:rPr>
          <w:spacing w:val="-2"/>
        </w:rPr>
        <w:t>万元。其中：美亚榕安</w:t>
      </w:r>
      <w:r>
        <w:rPr>
          <w:rFonts w:ascii="宋体" w:hAnsi="宋体" w:cs="宋体" w:eastAsia="宋体" w:hint="default"/>
          <w:spacing w:val="-2"/>
        </w:rPr>
        <w:t>1,200.00</w:t>
      </w:r>
      <w:r>
        <w:rPr>
          <w:spacing w:val="-2"/>
        </w:rPr>
        <w:t>万元，</w:t>
      </w:r>
      <w:r>
        <w:rPr>
          <w:w w:val="100"/>
        </w:rPr>
        <w:t> </w:t>
      </w:r>
      <w:r>
        <w:rPr/>
        <w:t>美亚京安</w:t>
      </w:r>
      <w:r>
        <w:rPr>
          <w:rFonts w:ascii="宋体" w:hAnsi="宋体" w:cs="宋体" w:eastAsia="宋体" w:hint="default"/>
        </w:rPr>
        <w:t>200.00</w:t>
      </w:r>
      <w:r>
        <w:rPr/>
        <w:t>万元，美亚亿安</w:t>
      </w:r>
      <w:r>
        <w:rPr>
          <w:rFonts w:ascii="宋体" w:hAnsi="宋体" w:cs="宋体" w:eastAsia="宋体" w:hint="default"/>
        </w:rPr>
        <w:t>275.00</w:t>
      </w:r>
      <w:r>
        <w:rPr/>
        <w:t>万元，安徽华图</w:t>
      </w:r>
      <w:r>
        <w:rPr>
          <w:rFonts w:ascii="宋体" w:hAnsi="宋体" w:cs="宋体" w:eastAsia="宋体" w:hint="default"/>
        </w:rPr>
        <w:t>400.00</w:t>
      </w:r>
      <w:r>
        <w:rPr/>
        <w:t>万元，沈阳城市公共安全</w:t>
      </w:r>
      <w:r>
        <w:rPr>
          <w:rFonts w:ascii="宋体" w:hAnsi="宋体" w:cs="宋体" w:eastAsia="宋体" w:hint="default"/>
        </w:rPr>
        <w:t>116.94</w:t>
      </w:r>
      <w:r>
        <w:rPr/>
        <w:t>万元。</w:t>
      </w:r>
    </w:p>
    <w:p>
      <w:pPr>
        <w:spacing w:line="240" w:lineRule="auto" w:before="8"/>
        <w:rPr>
          <w:rFonts w:ascii="宋体" w:hAnsi="宋体" w:cs="宋体" w:eastAsia="宋体" w:hint="default"/>
          <w:sz w:val="20"/>
          <w:szCs w:val="20"/>
        </w:rPr>
      </w:pPr>
    </w:p>
    <w:p>
      <w:pPr>
        <w:pStyle w:val="Heading4"/>
        <w:spacing w:line="240" w:lineRule="auto"/>
        <w:ind w:right="986"/>
        <w:jc w:val="left"/>
        <w:rPr>
          <w:b w:val="0"/>
          <w:bCs w:val="0"/>
        </w:rPr>
      </w:pPr>
      <w:bookmarkStart w:name="3、报告期内正在进行的重大的非股权投资情况" w:id="46"/>
      <w:bookmarkEnd w:id="46"/>
      <w:r>
        <w:rPr>
          <w:b w:val="0"/>
          <w:bCs w:val="0"/>
        </w:rPr>
      </w: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4、以公允价值计量的金融资产" w:id="47"/>
      <w:bookmarkEnd w:id="47"/>
      <w:r>
        <w:rPr>
          <w:b w:val="0"/>
          <w:bCs w:val="0"/>
        </w:rPr>
      </w:r>
      <w:r>
        <w:rPr>
          <w:rFonts w:ascii="Times New Roman" w:hAnsi="Times New Roman" w:cs="Times New Roman" w:eastAsia="Times New Roman" w:hint="default"/>
        </w:rPr>
        <w:t>4</w:t>
      </w:r>
      <w:r>
        <w:rPr/>
        <w:t>、以公允价值计量的金融资产</w:t>
      </w:r>
      <w:r>
        <w:rPr>
          <w:b w:val="0"/>
          <w:bCs w:val="0"/>
        </w:rPr>
      </w:r>
    </w:p>
    <w:p>
      <w:pPr>
        <w:spacing w:line="240" w:lineRule="auto" w:before="12"/>
        <w:rPr>
          <w:rFonts w:ascii="宋体" w:hAnsi="宋体" w:cs="宋体" w:eastAsia="宋体" w:hint="default"/>
          <w:b/>
          <w:bCs/>
          <w:sz w:val="22"/>
          <w:szCs w:val="22"/>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before="117"/>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559"/>
        <w:gridCol w:w="1217"/>
        <w:gridCol w:w="1080"/>
        <w:gridCol w:w="1380"/>
        <w:gridCol w:w="943"/>
        <w:gridCol w:w="917"/>
        <w:gridCol w:w="1229"/>
        <w:gridCol w:w="1351"/>
        <w:gridCol w:w="893"/>
      </w:tblGrid>
      <w:tr>
        <w:trPr>
          <w:trHeight w:val="714" w:hRule="exact"/>
        </w:trPr>
        <w:tc>
          <w:tcPr>
            <w:tcW w:w="55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0"/>
              <w:ind w:left="96" w:right="91"/>
              <w:jc w:val="left"/>
              <w:rPr>
                <w:rFonts w:ascii="宋体" w:hAnsi="宋体" w:cs="宋体" w:eastAsia="宋体" w:hint="default"/>
                <w:sz w:val="18"/>
                <w:szCs w:val="18"/>
              </w:rPr>
            </w:pPr>
            <w:r>
              <w:rPr>
                <w:rFonts w:ascii="宋体" w:hAnsi="宋体" w:cs="宋体" w:eastAsia="宋体" w:hint="default"/>
                <w:sz w:val="18"/>
                <w:szCs w:val="18"/>
              </w:rPr>
              <w:t>资产 类别</w:t>
            </w:r>
          </w:p>
        </w:tc>
        <w:tc>
          <w:tcPr>
            <w:tcW w:w="121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62" w:right="0"/>
              <w:jc w:val="left"/>
              <w:rPr>
                <w:rFonts w:ascii="宋体" w:hAnsi="宋体" w:cs="宋体" w:eastAsia="宋体" w:hint="default"/>
                <w:sz w:val="18"/>
                <w:szCs w:val="18"/>
              </w:rPr>
            </w:pPr>
            <w:r>
              <w:rPr>
                <w:rFonts w:ascii="宋体" w:hAnsi="宋体" w:cs="宋体" w:eastAsia="宋体" w:hint="default"/>
                <w:sz w:val="18"/>
                <w:szCs w:val="18"/>
              </w:rPr>
              <w:t>初始投资成本</w:t>
            </w:r>
          </w:p>
        </w:tc>
        <w:tc>
          <w:tcPr>
            <w:tcW w:w="108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0"/>
              <w:ind w:left="86" w:right="83"/>
              <w:jc w:val="left"/>
              <w:rPr>
                <w:rFonts w:ascii="宋体" w:hAnsi="宋体" w:cs="宋体" w:eastAsia="宋体" w:hint="default"/>
                <w:sz w:val="18"/>
                <w:szCs w:val="18"/>
              </w:rPr>
            </w:pPr>
            <w:r>
              <w:rPr>
                <w:rFonts w:ascii="宋体" w:hAnsi="宋体" w:cs="宋体" w:eastAsia="宋体" w:hint="default"/>
                <w:sz w:val="18"/>
                <w:szCs w:val="18"/>
              </w:rPr>
              <w:t>本期公允价 值变动损益</w:t>
            </w:r>
          </w:p>
        </w:tc>
        <w:tc>
          <w:tcPr>
            <w:tcW w:w="138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0"/>
              <w:ind w:left="146" w:right="53" w:hanging="92"/>
              <w:jc w:val="left"/>
              <w:rPr>
                <w:rFonts w:ascii="宋体" w:hAnsi="宋体" w:cs="宋体" w:eastAsia="宋体" w:hint="default"/>
                <w:sz w:val="18"/>
                <w:szCs w:val="18"/>
              </w:rPr>
            </w:pPr>
            <w:r>
              <w:rPr>
                <w:rFonts w:ascii="宋体" w:hAnsi="宋体" w:cs="宋体" w:eastAsia="宋体" w:hint="default"/>
                <w:sz w:val="18"/>
                <w:szCs w:val="18"/>
              </w:rPr>
              <w:t>计入权益的累计 公允价值变动</w:t>
            </w:r>
          </w:p>
        </w:tc>
        <w:tc>
          <w:tcPr>
            <w:tcW w:w="94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0"/>
              <w:ind w:left="107" w:right="103"/>
              <w:jc w:val="left"/>
              <w:rPr>
                <w:rFonts w:ascii="宋体" w:hAnsi="宋体" w:cs="宋体" w:eastAsia="宋体" w:hint="default"/>
                <w:sz w:val="18"/>
                <w:szCs w:val="18"/>
              </w:rPr>
            </w:pPr>
            <w:r>
              <w:rPr>
                <w:rFonts w:ascii="宋体" w:hAnsi="宋体" w:cs="宋体" w:eastAsia="宋体" w:hint="default"/>
                <w:sz w:val="18"/>
                <w:szCs w:val="18"/>
              </w:rPr>
              <w:t>报告期内 购入金额</w:t>
            </w:r>
          </w:p>
        </w:tc>
        <w:tc>
          <w:tcPr>
            <w:tcW w:w="91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0"/>
              <w:ind w:left="93" w:right="91"/>
              <w:jc w:val="left"/>
              <w:rPr>
                <w:rFonts w:ascii="宋体" w:hAnsi="宋体" w:cs="宋体" w:eastAsia="宋体" w:hint="default"/>
                <w:sz w:val="18"/>
                <w:szCs w:val="18"/>
              </w:rPr>
            </w:pPr>
            <w:r>
              <w:rPr>
                <w:rFonts w:ascii="宋体" w:hAnsi="宋体" w:cs="宋体" w:eastAsia="宋体" w:hint="default"/>
                <w:sz w:val="18"/>
                <w:szCs w:val="18"/>
              </w:rPr>
              <w:t>报告期内 售出金额</w:t>
            </w:r>
          </w:p>
        </w:tc>
        <w:tc>
          <w:tcPr>
            <w:tcW w:w="122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67"/>
              <w:jc w:val="right"/>
              <w:rPr>
                <w:rFonts w:ascii="宋体" w:hAnsi="宋体" w:cs="宋体" w:eastAsia="宋体" w:hint="default"/>
                <w:sz w:val="18"/>
                <w:szCs w:val="18"/>
              </w:rPr>
            </w:pPr>
            <w:r>
              <w:rPr>
                <w:rFonts w:ascii="宋体" w:hAnsi="宋体" w:cs="宋体" w:eastAsia="宋体" w:hint="default"/>
                <w:sz w:val="18"/>
                <w:szCs w:val="18"/>
              </w:rPr>
              <w:t>累计投资收益</w:t>
            </w:r>
          </w:p>
        </w:tc>
        <w:tc>
          <w:tcPr>
            <w:tcW w:w="13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09" w:right="0"/>
              <w:jc w:val="left"/>
              <w:rPr>
                <w:rFonts w:ascii="宋体" w:hAnsi="宋体" w:cs="宋体" w:eastAsia="宋体" w:hint="default"/>
                <w:sz w:val="18"/>
                <w:szCs w:val="18"/>
              </w:rPr>
            </w:pPr>
            <w:r>
              <w:rPr>
                <w:rFonts w:ascii="宋体" w:hAnsi="宋体" w:cs="宋体" w:eastAsia="宋体" w:hint="default"/>
                <w:sz w:val="18"/>
                <w:szCs w:val="18"/>
              </w:rPr>
              <w:t>期末金额</w:t>
            </w:r>
          </w:p>
        </w:tc>
        <w:tc>
          <w:tcPr>
            <w:tcW w:w="8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资金来源</w:t>
            </w:r>
          </w:p>
        </w:tc>
      </w:tr>
      <w:tr>
        <w:trPr>
          <w:trHeight w:val="713" w:hRule="exact"/>
        </w:trPr>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63"/>
              <w:jc w:val="left"/>
              <w:rPr>
                <w:rFonts w:ascii="宋体" w:hAnsi="宋体" w:cs="宋体" w:eastAsia="宋体" w:hint="default"/>
                <w:sz w:val="18"/>
                <w:szCs w:val="18"/>
              </w:rPr>
            </w:pPr>
            <w:r>
              <w:rPr>
                <w:rFonts w:ascii="宋体" w:hAnsi="宋体" w:cs="宋体" w:eastAsia="宋体" w:hint="default"/>
                <w:sz w:val="18"/>
                <w:szCs w:val="18"/>
              </w:rPr>
              <w:t>股权 投资</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94,622,476.31</w:t>
            </w:r>
          </w:p>
        </w:tc>
        <w:tc>
          <w:tcPr>
            <w:tcW w:w="1080" w:type="dxa"/>
            <w:tcBorders>
              <w:top w:val="single" w:sz="4" w:space="0" w:color="000000"/>
              <w:left w:val="single" w:sz="4" w:space="0" w:color="000000"/>
              <w:bottom w:val="single" w:sz="4" w:space="0" w:color="000000"/>
              <w:right w:val="single" w:sz="4" w:space="0" w:color="000000"/>
            </w:tcBorders>
          </w:tcPr>
          <w:p>
            <w:pP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108,916,598.05</w:t>
            </w:r>
            <w:r>
              <w:rPr>
                <w:rFonts w:ascii="Times New Roman"/>
                <w:sz w:val="18"/>
              </w:rPr>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r>
              <w:rPr>
                <w:rFonts w:ascii="Times New Roman"/>
                <w:sz w:val="18"/>
              </w:rPr>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0.00</w:t>
            </w:r>
            <w:r>
              <w:rPr>
                <w:rFonts w:ascii="Times New Roman"/>
                <w:sz w:val="18"/>
              </w:rPr>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1,438,319.35</w:t>
            </w:r>
            <w:r>
              <w:rPr>
                <w:rFonts w:ascii="Times New Roman"/>
                <w:sz w:val="18"/>
              </w:rPr>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0"/>
              <w:jc w:val="right"/>
              <w:rPr>
                <w:rFonts w:ascii="Arial" w:hAnsi="Arial" w:cs="Arial" w:eastAsia="Arial" w:hint="default"/>
                <w:sz w:val="18"/>
                <w:szCs w:val="18"/>
              </w:rPr>
            </w:pPr>
            <w:r>
              <w:rPr>
                <w:rFonts w:ascii="Arial"/>
                <w:spacing w:val="-1"/>
                <w:sz w:val="18"/>
              </w:rPr>
              <w:t>383,528,353.61</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37"/>
              <w:jc w:val="left"/>
              <w:rPr>
                <w:rFonts w:ascii="宋体" w:hAnsi="宋体" w:cs="宋体" w:eastAsia="宋体" w:hint="default"/>
                <w:sz w:val="18"/>
                <w:szCs w:val="18"/>
              </w:rPr>
            </w:pPr>
            <w:r>
              <w:rPr>
                <w:rFonts w:ascii="宋体" w:hAnsi="宋体" w:cs="宋体" w:eastAsia="宋体" w:hint="default"/>
                <w:sz w:val="18"/>
                <w:szCs w:val="18"/>
              </w:rPr>
              <w:t>超募及自 有资金</w:t>
            </w:r>
          </w:p>
        </w:tc>
      </w:tr>
      <w:tr>
        <w:trPr>
          <w:trHeight w:val="403" w:hRule="exact"/>
        </w:trPr>
        <w:tc>
          <w:tcPr>
            <w:tcW w:w="55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94,622,476.31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r>
              <w:rPr>
                <w:rFonts w:ascii="Times New Roman"/>
                <w:sz w:val="18"/>
              </w:rPr>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108,916,598.05</w:t>
            </w:r>
            <w:r>
              <w:rPr>
                <w:rFonts w:ascii="Times New Roman"/>
                <w:sz w:val="18"/>
              </w:rPr>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r>
              <w:rPr>
                <w:rFonts w:ascii="Times New Roman"/>
                <w:sz w:val="18"/>
              </w:rPr>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0.00</w:t>
            </w:r>
            <w:r>
              <w:rPr>
                <w:rFonts w:ascii="Times New Roman"/>
                <w:sz w:val="18"/>
              </w:rPr>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1,438,319.35</w:t>
            </w:r>
            <w:r>
              <w:rPr>
                <w:rFonts w:ascii="Times New Roman"/>
                <w:sz w:val="18"/>
              </w:rPr>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383,528,353.61</w:t>
            </w:r>
            <w:r>
              <w:rPr>
                <w:rFonts w:ascii="Times New Roman"/>
                <w:sz w:val="18"/>
              </w:rPr>
            </w:r>
          </w:p>
        </w:tc>
        <w:tc>
          <w:tcPr>
            <w:tcW w:w="8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r>
    </w:tbl>
    <w:p>
      <w:pPr>
        <w:spacing w:before="87"/>
        <w:ind w:left="572" w:right="986" w:firstLine="0"/>
        <w:jc w:val="left"/>
        <w:rPr>
          <w:rFonts w:ascii="宋体" w:hAnsi="宋体" w:cs="宋体" w:eastAsia="宋体" w:hint="default"/>
          <w:sz w:val="18"/>
          <w:szCs w:val="18"/>
        </w:rPr>
      </w:pPr>
      <w:r>
        <w:rPr>
          <w:rFonts w:ascii="宋体" w:hAnsi="宋体" w:cs="宋体" w:eastAsia="宋体" w:hint="default"/>
          <w:sz w:val="18"/>
          <w:szCs w:val="18"/>
        </w:rPr>
        <w:t>公司以公允价值计量的金融资产主要为股权投资。</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5"/>
          <w:szCs w:val="15"/>
        </w:rPr>
      </w:pPr>
    </w:p>
    <w:p>
      <w:pPr>
        <w:pStyle w:val="Heading4"/>
        <w:spacing w:line="240" w:lineRule="auto"/>
        <w:ind w:right="986"/>
        <w:jc w:val="left"/>
        <w:rPr>
          <w:b w:val="0"/>
          <w:bCs w:val="0"/>
        </w:rPr>
      </w:pPr>
      <w:bookmarkStart w:name="5、募集资金使用情况" w:id="48"/>
      <w:bookmarkEnd w:id="48"/>
      <w:r>
        <w:rPr>
          <w:b w:val="0"/>
          <w:bCs w:val="0"/>
        </w:rPr>
      </w:r>
      <w:r>
        <w:rPr>
          <w:rFonts w:ascii="Times New Roman" w:hAnsi="Times New Roman" w:cs="Times New Roman" w:eastAsia="Times New Roman" w:hint="default"/>
        </w:rPr>
        <w:t>5</w:t>
      </w:r>
      <w:r>
        <w:rPr/>
        <w:t>、募集资金使用情况</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1）募集资金总体使用情况" w:id="49"/>
      <w:bookmarkEnd w:id="49"/>
      <w:r>
        <w:rPr>
          <w:b w:val="0"/>
          <w:bCs w:val="0"/>
        </w:rPr>
      </w:r>
      <w:r>
        <w:rPr/>
        <w:t>（</w:t>
      </w:r>
      <w:r>
        <w:rPr>
          <w:rFonts w:ascii="Times New Roman" w:hAnsi="Times New Roman" w:cs="Times New Roman" w:eastAsia="Times New Roman" w:hint="default"/>
        </w:rPr>
        <w:t>1</w:t>
      </w:r>
      <w:r>
        <w:rPr/>
        <w:t>）募集资金总体使用情况</w:t>
      </w:r>
      <w:r>
        <w:rPr>
          <w:b w:val="0"/>
          <w:bCs w:val="0"/>
        </w:rPr>
      </w:r>
    </w:p>
    <w:p>
      <w:pPr>
        <w:spacing w:line="240" w:lineRule="auto" w:before="12"/>
        <w:rPr>
          <w:rFonts w:ascii="宋体" w:hAnsi="宋体" w:cs="宋体" w:eastAsia="宋体" w:hint="default"/>
          <w:b/>
          <w:bCs/>
          <w:sz w:val="22"/>
          <w:szCs w:val="22"/>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before="117"/>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679"/>
        <w:gridCol w:w="811"/>
        <w:gridCol w:w="706"/>
        <w:gridCol w:w="840"/>
        <w:gridCol w:w="914"/>
        <w:gridCol w:w="989"/>
        <w:gridCol w:w="857"/>
        <w:gridCol w:w="989"/>
        <w:gridCol w:w="811"/>
        <w:gridCol w:w="1099"/>
        <w:gridCol w:w="869"/>
      </w:tblGrid>
      <w:tr>
        <w:trPr>
          <w:trHeight w:val="1338" w:hRule="exact"/>
        </w:trPr>
        <w:tc>
          <w:tcPr>
            <w:tcW w:w="6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6"/>
              <w:ind w:left="244" w:right="62" w:hanging="180"/>
              <w:jc w:val="left"/>
              <w:rPr>
                <w:rFonts w:ascii="宋体" w:hAnsi="宋体" w:cs="宋体" w:eastAsia="宋体" w:hint="default"/>
                <w:sz w:val="18"/>
                <w:szCs w:val="18"/>
              </w:rPr>
            </w:pPr>
            <w:r>
              <w:rPr>
                <w:rFonts w:ascii="宋体" w:hAnsi="宋体" w:cs="宋体" w:eastAsia="宋体" w:hint="default"/>
                <w:sz w:val="18"/>
                <w:szCs w:val="18"/>
              </w:rPr>
              <w:t>募集年 份</w:t>
            </w:r>
          </w:p>
        </w:tc>
        <w:tc>
          <w:tcPr>
            <w:tcW w:w="8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募集方式</w:t>
            </w:r>
          </w:p>
        </w:tc>
        <w:tc>
          <w:tcPr>
            <w:tcW w:w="70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6"/>
              <w:ind w:left="76" w:right="77"/>
              <w:jc w:val="left"/>
              <w:rPr>
                <w:rFonts w:ascii="宋体" w:hAnsi="宋体" w:cs="宋体" w:eastAsia="宋体" w:hint="default"/>
                <w:sz w:val="18"/>
                <w:szCs w:val="18"/>
              </w:rPr>
            </w:pPr>
            <w:r>
              <w:rPr>
                <w:rFonts w:ascii="宋体" w:hAnsi="宋体" w:cs="宋体" w:eastAsia="宋体" w:hint="default"/>
                <w:sz w:val="18"/>
                <w:szCs w:val="18"/>
              </w:rPr>
              <w:t>募集资 金总额</w:t>
            </w:r>
          </w:p>
        </w:tc>
        <w:tc>
          <w:tcPr>
            <w:tcW w:w="84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55" w:right="53"/>
              <w:jc w:val="both"/>
              <w:rPr>
                <w:rFonts w:ascii="宋体" w:hAnsi="宋体" w:cs="宋体" w:eastAsia="宋体" w:hint="default"/>
                <w:sz w:val="18"/>
                <w:szCs w:val="18"/>
              </w:rPr>
            </w:pPr>
            <w:r>
              <w:rPr>
                <w:rFonts w:ascii="宋体" w:hAnsi="宋体" w:cs="宋体" w:eastAsia="宋体" w:hint="default"/>
                <w:sz w:val="18"/>
                <w:szCs w:val="18"/>
              </w:rPr>
              <w:t>本期已使 用募集资 金总额</w:t>
            </w:r>
          </w:p>
        </w:tc>
        <w:tc>
          <w:tcPr>
            <w:tcW w:w="91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93" w:right="89"/>
              <w:jc w:val="both"/>
              <w:rPr>
                <w:rFonts w:ascii="宋体" w:hAnsi="宋体" w:cs="宋体" w:eastAsia="宋体" w:hint="default"/>
                <w:sz w:val="18"/>
                <w:szCs w:val="18"/>
              </w:rPr>
            </w:pPr>
            <w:r>
              <w:rPr>
                <w:rFonts w:ascii="宋体" w:hAnsi="宋体" w:cs="宋体" w:eastAsia="宋体" w:hint="default"/>
                <w:sz w:val="18"/>
                <w:szCs w:val="18"/>
              </w:rPr>
              <w:t>已累计使 用募集资 金总额</w:t>
            </w:r>
          </w:p>
        </w:tc>
        <w:tc>
          <w:tcPr>
            <w:tcW w:w="9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40" w:right="36"/>
              <w:jc w:val="both"/>
              <w:rPr>
                <w:rFonts w:ascii="宋体" w:hAnsi="宋体" w:cs="宋体" w:eastAsia="宋体" w:hint="default"/>
                <w:sz w:val="18"/>
                <w:szCs w:val="18"/>
              </w:rPr>
            </w:pPr>
            <w:r>
              <w:rPr>
                <w:rFonts w:ascii="宋体" w:hAnsi="宋体" w:cs="宋体" w:eastAsia="宋体" w:hint="default"/>
                <w:sz w:val="18"/>
                <w:szCs w:val="18"/>
              </w:rPr>
              <w:t>报告期内变 更用途的募 集资金总额</w:t>
            </w:r>
          </w:p>
        </w:tc>
        <w:tc>
          <w:tcPr>
            <w:tcW w:w="85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0"/>
              <w:ind w:left="62" w:right="62"/>
              <w:jc w:val="center"/>
              <w:rPr>
                <w:rFonts w:ascii="宋体" w:hAnsi="宋体" w:cs="宋体" w:eastAsia="宋体" w:hint="default"/>
                <w:sz w:val="18"/>
                <w:szCs w:val="18"/>
              </w:rPr>
            </w:pPr>
            <w:r>
              <w:rPr>
                <w:rFonts w:ascii="宋体" w:hAnsi="宋体" w:cs="宋体" w:eastAsia="宋体" w:hint="default"/>
                <w:sz w:val="18"/>
                <w:szCs w:val="18"/>
              </w:rPr>
              <w:t>累计变更 用途的募 集资金总 额</w:t>
            </w:r>
          </w:p>
        </w:tc>
        <w:tc>
          <w:tcPr>
            <w:tcW w:w="9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40" w:right="36"/>
              <w:jc w:val="both"/>
              <w:rPr>
                <w:rFonts w:ascii="宋体" w:hAnsi="宋体" w:cs="宋体" w:eastAsia="宋体" w:hint="default"/>
                <w:sz w:val="18"/>
                <w:szCs w:val="18"/>
              </w:rPr>
            </w:pPr>
            <w:r>
              <w:rPr>
                <w:rFonts w:ascii="宋体" w:hAnsi="宋体" w:cs="宋体" w:eastAsia="宋体" w:hint="default"/>
                <w:sz w:val="18"/>
                <w:szCs w:val="18"/>
              </w:rPr>
              <w:t>累计变更用 途的募集资 金总额比例</w:t>
            </w:r>
          </w:p>
        </w:tc>
        <w:tc>
          <w:tcPr>
            <w:tcW w:w="8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40" w:right="38"/>
              <w:jc w:val="center"/>
              <w:rPr>
                <w:rFonts w:ascii="宋体" w:hAnsi="宋体" w:cs="宋体" w:eastAsia="宋体" w:hint="default"/>
                <w:sz w:val="18"/>
                <w:szCs w:val="18"/>
              </w:rPr>
            </w:pPr>
            <w:r>
              <w:rPr>
                <w:rFonts w:ascii="宋体" w:hAnsi="宋体" w:cs="宋体" w:eastAsia="宋体" w:hint="default"/>
                <w:sz w:val="18"/>
                <w:szCs w:val="18"/>
              </w:rPr>
              <w:t>尚未使用 募集资金 总额</w:t>
            </w:r>
          </w:p>
        </w:tc>
        <w:tc>
          <w:tcPr>
            <w:tcW w:w="109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96" w:right="91"/>
              <w:jc w:val="center"/>
              <w:rPr>
                <w:rFonts w:ascii="宋体" w:hAnsi="宋体" w:cs="宋体" w:eastAsia="宋体" w:hint="default"/>
                <w:sz w:val="18"/>
                <w:szCs w:val="18"/>
              </w:rPr>
            </w:pPr>
            <w:r>
              <w:rPr>
                <w:rFonts w:ascii="宋体" w:hAnsi="宋体" w:cs="宋体" w:eastAsia="宋体" w:hint="default"/>
                <w:sz w:val="18"/>
                <w:szCs w:val="18"/>
              </w:rPr>
              <w:t>尚未使用募 集资金用途 及去向</w:t>
            </w:r>
          </w:p>
        </w:tc>
        <w:tc>
          <w:tcPr>
            <w:tcW w:w="8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69" w:right="67"/>
              <w:jc w:val="both"/>
              <w:rPr>
                <w:rFonts w:ascii="宋体" w:hAnsi="宋体" w:cs="宋体" w:eastAsia="宋体" w:hint="default"/>
                <w:sz w:val="18"/>
                <w:szCs w:val="18"/>
              </w:rPr>
            </w:pPr>
            <w:r>
              <w:rPr>
                <w:rFonts w:ascii="宋体" w:hAnsi="宋体" w:cs="宋体" w:eastAsia="宋体" w:hint="default"/>
                <w:sz w:val="18"/>
                <w:szCs w:val="18"/>
              </w:rPr>
              <w:t>闲置两年 以上募集 资金金额</w:t>
            </w:r>
          </w:p>
        </w:tc>
      </w:tr>
      <w:tr>
        <w:trPr>
          <w:trHeight w:val="1961" w:hRule="exact"/>
        </w:trPr>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316" w:lineRule="auto"/>
              <w:ind w:left="24" w:right="55"/>
              <w:jc w:val="left"/>
              <w:rPr>
                <w:rFonts w:ascii="宋体" w:hAnsi="宋体" w:cs="宋体" w:eastAsia="宋体" w:hint="default"/>
                <w:sz w:val="18"/>
                <w:szCs w:val="18"/>
              </w:rPr>
            </w:pPr>
            <w:r>
              <w:rPr>
                <w:rFonts w:ascii="宋体" w:hAnsi="宋体" w:cs="宋体" w:eastAsia="宋体" w:hint="default"/>
                <w:sz w:val="18"/>
                <w:szCs w:val="18"/>
              </w:rPr>
              <w:t>公开发行 股份</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50,140.6</w:t>
            </w:r>
          </w:p>
        </w:tc>
        <w:tc>
          <w:tcPr>
            <w:tcW w:w="840" w:type="dxa"/>
            <w:tcBorders>
              <w:top w:val="single" w:sz="4" w:space="0" w:color="000000"/>
              <w:left w:val="single" w:sz="4" w:space="0" w:color="000000"/>
              <w:bottom w:val="single" w:sz="4" w:space="0" w:color="000000"/>
              <w:right w:val="single" w:sz="4" w:space="0" w:color="000000"/>
            </w:tcBorders>
          </w:tcPr>
          <w:p>
            <w:pP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49,640.74</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0.00%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499.86</w:t>
            </w:r>
            <w:r>
              <w:rPr>
                <w:rFonts w:ascii="Times New Roman"/>
                <w:sz w:val="18"/>
              </w:rPr>
            </w:r>
          </w:p>
        </w:tc>
        <w:tc>
          <w:tcPr>
            <w:tcW w:w="1099" w:type="dxa"/>
            <w:tcBorders>
              <w:top w:val="single" w:sz="4" w:space="0" w:color="000000"/>
              <w:left w:val="single" w:sz="4" w:space="0" w:color="000000"/>
              <w:bottom w:val="single" w:sz="4" w:space="0" w:color="000000"/>
              <w:right w:val="single" w:sz="10" w:space="0" w:color="FFFFFF"/>
            </w:tcBorders>
          </w:tcPr>
          <w:p>
            <w:pPr>
              <w:pStyle w:val="TableParagraph"/>
              <w:spacing w:line="316" w:lineRule="auto" w:before="49"/>
              <w:ind w:left="23" w:right="-22"/>
              <w:jc w:val="left"/>
              <w:rPr>
                <w:rFonts w:ascii="宋体" w:hAnsi="宋体" w:cs="宋体" w:eastAsia="宋体" w:hint="default"/>
                <w:sz w:val="18"/>
                <w:szCs w:val="18"/>
              </w:rPr>
            </w:pPr>
            <w:r>
              <w:rPr>
                <w:rFonts w:ascii="宋体" w:hAnsi="宋体" w:cs="宋体" w:eastAsia="宋体" w:hint="default"/>
                <w:sz w:val="18"/>
                <w:szCs w:val="18"/>
              </w:rPr>
              <w:t>尚未使用的 募集资金存 储于专户中， 将用于支付 的研发大楼 相关税费</w:t>
            </w:r>
          </w:p>
        </w:tc>
        <w:tc>
          <w:tcPr>
            <w:tcW w:w="869" w:type="dxa"/>
            <w:tcBorders>
              <w:top w:val="single" w:sz="4" w:space="0" w:color="000000"/>
              <w:left w:val="single" w:sz="10" w:space="0" w:color="FFFFFF"/>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499.86</w:t>
            </w:r>
            <w:r>
              <w:rPr>
                <w:rFonts w:ascii="Times New Roman"/>
                <w:sz w:val="18"/>
              </w:rPr>
            </w:r>
          </w:p>
        </w:tc>
      </w:tr>
      <w:tr>
        <w:trPr>
          <w:trHeight w:val="403" w:hRule="exact"/>
        </w:trPr>
        <w:tc>
          <w:tcPr>
            <w:tcW w:w="6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706"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3"/>
              <w:ind w:left="34" w:right="0"/>
              <w:jc w:val="left"/>
              <w:rPr>
                <w:rFonts w:ascii="Times New Roman" w:hAnsi="Times New Roman" w:cs="Times New Roman" w:eastAsia="Times New Roman" w:hint="default"/>
                <w:sz w:val="18"/>
                <w:szCs w:val="18"/>
              </w:rPr>
            </w:pPr>
            <w:r>
              <w:rPr>
                <w:rFonts w:ascii="Times New Roman"/>
                <w:sz w:val="18"/>
              </w:rPr>
              <w:t>50,140.6</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49,640.74</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0.00%</w:t>
            </w:r>
          </w:p>
        </w:tc>
        <w:tc>
          <w:tcPr>
            <w:tcW w:w="811" w:type="dxa"/>
            <w:tcBorders>
              <w:top w:val="single" w:sz="4" w:space="0" w:color="000000"/>
              <w:left w:val="single" w:sz="4" w:space="0" w:color="000000"/>
              <w:bottom w:val="single" w:sz="4" w:space="0" w:color="000000"/>
              <w:right w:val="single" w:sz="10" w:space="0" w:color="D4D4D4"/>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499.86</w:t>
            </w:r>
            <w:r>
              <w:rPr>
                <w:rFonts w:ascii="Times New Roman"/>
                <w:sz w:val="18"/>
              </w:rPr>
            </w:r>
          </w:p>
        </w:tc>
        <w:tc>
          <w:tcPr>
            <w:tcW w:w="109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499.86</w:t>
            </w:r>
            <w:r>
              <w:rPr>
                <w:rFonts w:ascii="Times New Roman"/>
                <w:sz w:val="18"/>
              </w:rPr>
            </w:r>
          </w:p>
        </w:tc>
      </w:tr>
      <w:tr>
        <w:trPr>
          <w:trHeight w:val="402" w:hRule="exact"/>
        </w:trPr>
        <w:tc>
          <w:tcPr>
            <w:tcW w:w="9564" w:type="dxa"/>
            <w:gridSpan w:val="11"/>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募集资金总体使用情况说明</w:t>
            </w:r>
          </w:p>
        </w:tc>
      </w:tr>
    </w:tbl>
    <w:p>
      <w:pPr>
        <w:spacing w:after="0" w:line="240" w:lineRule="auto"/>
        <w:jc w:val="center"/>
        <w:rPr>
          <w:rFonts w:ascii="宋体" w:hAnsi="宋体" w:cs="宋体" w:eastAsia="宋体" w:hint="default"/>
          <w:sz w:val="18"/>
          <w:szCs w:val="18"/>
        </w:rPr>
        <w:sectPr>
          <w:pgSz w:w="11910" w:h="16840"/>
          <w:pgMar w:header="745" w:footer="982" w:top="1060" w:bottom="1180" w:left="980" w:right="0"/>
        </w:sectPr>
      </w:pPr>
    </w:p>
    <w:p>
      <w:pPr>
        <w:spacing w:line="240" w:lineRule="auto" w:before="11"/>
        <w:rPr>
          <w:rFonts w:ascii="宋体" w:hAnsi="宋体" w:cs="宋体" w:eastAsia="宋体" w:hint="default"/>
          <w:sz w:val="28"/>
          <w:szCs w:val="28"/>
        </w:rPr>
      </w:pPr>
    </w:p>
    <w:p>
      <w:pPr>
        <w:spacing w:line="715" w:lineRule="exact"/>
        <w:ind w:left="152" w:right="0" w:firstLine="0"/>
        <w:rPr>
          <w:rFonts w:ascii="宋体" w:hAnsi="宋体" w:cs="宋体" w:eastAsia="宋体" w:hint="default"/>
          <w:sz w:val="20"/>
          <w:szCs w:val="20"/>
        </w:rPr>
      </w:pPr>
      <w:r>
        <w:rPr>
          <w:rFonts w:ascii="宋体" w:hAnsi="宋体" w:cs="宋体" w:eastAsia="宋体" w:hint="default"/>
          <w:position w:val="-13"/>
          <w:sz w:val="20"/>
          <w:szCs w:val="20"/>
        </w:rPr>
        <w:pict>
          <v:shape style="width:478.2pt;height:35.8pt;mso-position-horizontal-relative:char;mso-position-vertical-relative:line" type="#_x0000_t202" filled="false" stroked="true" strokeweight=".48pt" strokecolor="#000000">
            <w10:anchorlock/>
            <v:textbox inset="0,0,0,0">
              <w:txbxContent>
                <w:p>
                  <w:pPr>
                    <w:spacing w:line="316" w:lineRule="auto" w:before="49"/>
                    <w:ind w:left="23" w:right="19" w:firstLine="0"/>
                    <w:jc w:val="left"/>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50"/>
                      <w:sz w:val="18"/>
                      <w:szCs w:val="18"/>
                    </w:rPr>
                    <w:t> </w:t>
                  </w:r>
                  <w:r>
                    <w:rPr>
                      <w:rFonts w:ascii="宋体" w:hAnsi="宋体" w:cs="宋体" w:eastAsia="宋体" w:hint="default"/>
                      <w:sz w:val="18"/>
                      <w:szCs w:val="18"/>
                    </w:rPr>
                    <w:t>2019</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12</w:t>
                  </w:r>
                  <w:r>
                    <w:rPr>
                      <w:rFonts w:ascii="宋体" w:hAnsi="宋体" w:cs="宋体" w:eastAsia="宋体" w:hint="default"/>
                      <w:spacing w:val="-49"/>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宋体" w:hAnsi="宋体" w:cs="宋体" w:eastAsia="宋体" w:hint="default"/>
                      <w:sz w:val="18"/>
                      <w:szCs w:val="18"/>
                    </w:rPr>
                    <w:t>31</w:t>
                  </w:r>
                  <w:r>
                    <w:rPr>
                      <w:rFonts w:ascii="宋体" w:hAnsi="宋体" w:cs="宋体" w:eastAsia="宋体" w:hint="default"/>
                      <w:spacing w:val="-49"/>
                      <w:sz w:val="18"/>
                      <w:szCs w:val="18"/>
                    </w:rPr>
                    <w:t> </w:t>
                  </w:r>
                  <w:r>
                    <w:rPr>
                      <w:rFonts w:ascii="宋体" w:hAnsi="宋体" w:cs="宋体" w:eastAsia="宋体" w:hint="default"/>
                      <w:sz w:val="18"/>
                      <w:szCs w:val="18"/>
                    </w:rPr>
                    <w:t>日，公司募集资金累计直接投入募投项目</w:t>
                  </w:r>
                  <w:r>
                    <w:rPr>
                      <w:rFonts w:ascii="宋体" w:hAnsi="宋体" w:cs="宋体" w:eastAsia="宋体" w:hint="default"/>
                      <w:spacing w:val="-50"/>
                      <w:sz w:val="18"/>
                      <w:szCs w:val="18"/>
                    </w:rPr>
                    <w:t> </w:t>
                  </w:r>
                  <w:r>
                    <w:rPr>
                      <w:rFonts w:ascii="宋体" w:hAnsi="宋体" w:cs="宋体" w:eastAsia="宋体" w:hint="default"/>
                      <w:sz w:val="18"/>
                      <w:szCs w:val="18"/>
                    </w:rPr>
                    <w:t>49,640.74</w:t>
                  </w:r>
                  <w:r>
                    <w:rPr>
                      <w:rFonts w:ascii="宋体" w:hAnsi="宋体" w:cs="宋体" w:eastAsia="宋体" w:hint="default"/>
                      <w:spacing w:val="-48"/>
                      <w:sz w:val="18"/>
                      <w:szCs w:val="18"/>
                    </w:rPr>
                    <w:t> </w:t>
                  </w:r>
                  <w:r>
                    <w:rPr>
                      <w:rFonts w:ascii="宋体" w:hAnsi="宋体" w:cs="宋体" w:eastAsia="宋体" w:hint="default"/>
                      <w:sz w:val="18"/>
                      <w:szCs w:val="18"/>
                    </w:rPr>
                    <w:t>万元，尚未使用的金额为</w:t>
                  </w:r>
                  <w:r>
                    <w:rPr>
                      <w:rFonts w:ascii="宋体" w:hAnsi="宋体" w:cs="宋体" w:eastAsia="宋体" w:hint="default"/>
                      <w:spacing w:val="-50"/>
                      <w:sz w:val="18"/>
                      <w:szCs w:val="18"/>
                    </w:rPr>
                    <w:t> </w:t>
                  </w:r>
                  <w:r>
                    <w:rPr>
                      <w:rFonts w:ascii="宋体" w:hAnsi="宋体" w:cs="宋体" w:eastAsia="宋体" w:hint="default"/>
                      <w:sz w:val="18"/>
                      <w:szCs w:val="18"/>
                    </w:rPr>
                    <w:t>499.86</w:t>
                  </w:r>
                  <w:r>
                    <w:rPr>
                      <w:rFonts w:ascii="宋体" w:hAnsi="宋体" w:cs="宋体" w:eastAsia="宋体" w:hint="default"/>
                      <w:spacing w:val="-49"/>
                      <w:sz w:val="18"/>
                      <w:szCs w:val="18"/>
                    </w:rPr>
                    <w:t> </w:t>
                  </w:r>
                  <w:r>
                    <w:rPr>
                      <w:rFonts w:ascii="宋体" w:hAnsi="宋体" w:cs="宋体" w:eastAsia="宋体" w:hint="default"/>
                      <w:sz w:val="18"/>
                      <w:szCs w:val="18"/>
                    </w:rPr>
                    <w:t>万元，尚未使 用的募集资金存储于专户中，将用于支付的研发大楼相关税费。</w:t>
                  </w:r>
                </w:p>
              </w:txbxContent>
            </v:textbox>
          </v:shape>
        </w:pict>
      </w:r>
      <w:r>
        <w:rPr>
          <w:rFonts w:ascii="宋体" w:hAnsi="宋体" w:cs="宋体" w:eastAsia="宋体" w:hint="default"/>
          <w:position w:val="-13"/>
          <w:sz w:val="20"/>
          <w:szCs w:val="20"/>
        </w:rPr>
      </w:r>
    </w:p>
    <w:p>
      <w:pPr>
        <w:spacing w:line="240" w:lineRule="auto" w:before="8"/>
        <w:rPr>
          <w:rFonts w:ascii="宋体" w:hAnsi="宋体" w:cs="宋体" w:eastAsia="宋体" w:hint="default"/>
          <w:sz w:val="19"/>
          <w:szCs w:val="19"/>
        </w:rPr>
      </w:pPr>
    </w:p>
    <w:p>
      <w:pPr>
        <w:pStyle w:val="Heading4"/>
        <w:spacing w:line="240" w:lineRule="auto" w:before="36"/>
        <w:ind w:right="986"/>
        <w:jc w:val="left"/>
        <w:rPr>
          <w:b w:val="0"/>
          <w:bCs w:val="0"/>
        </w:rPr>
      </w:pPr>
      <w:bookmarkStart w:name="（2）募集资金承诺项目情况" w:id="50"/>
      <w:bookmarkEnd w:id="50"/>
      <w:r>
        <w:rPr>
          <w:b w:val="0"/>
          <w:bCs w:val="0"/>
        </w:rPr>
      </w:r>
      <w:r>
        <w:rPr/>
        <w:t>（</w:t>
      </w:r>
      <w:r>
        <w:rPr>
          <w:rFonts w:ascii="Times New Roman" w:hAnsi="Times New Roman" w:cs="Times New Roman" w:eastAsia="Times New Roman" w:hint="default"/>
        </w:rPr>
        <w:t>2</w:t>
      </w:r>
      <w:r>
        <w:rPr/>
        <w:t>）募集资金承诺项目情况</w:t>
      </w:r>
      <w:r>
        <w:rPr>
          <w:b w:val="0"/>
          <w:bCs w:val="0"/>
        </w:rPr>
      </w:r>
    </w:p>
    <w:p>
      <w:pPr>
        <w:spacing w:line="240" w:lineRule="auto" w:before="10"/>
        <w:rPr>
          <w:rFonts w:ascii="宋体" w:hAnsi="宋体" w:cs="宋体" w:eastAsia="宋体" w:hint="default"/>
          <w:b/>
          <w:bCs/>
          <w:sz w:val="22"/>
          <w:szCs w:val="22"/>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before="117"/>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1056"/>
        <w:gridCol w:w="660"/>
        <w:gridCol w:w="900"/>
        <w:gridCol w:w="794"/>
        <w:gridCol w:w="706"/>
        <w:gridCol w:w="869"/>
        <w:gridCol w:w="778"/>
        <w:gridCol w:w="828"/>
        <w:gridCol w:w="811"/>
        <w:gridCol w:w="883"/>
        <w:gridCol w:w="557"/>
        <w:gridCol w:w="727"/>
      </w:tblGrid>
      <w:tr>
        <w:trPr>
          <w:trHeight w:val="2585"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65" w:right="158"/>
              <w:jc w:val="center"/>
              <w:rPr>
                <w:rFonts w:ascii="宋体" w:hAnsi="宋体" w:cs="宋体" w:eastAsia="宋体" w:hint="default"/>
                <w:sz w:val="18"/>
                <w:szCs w:val="18"/>
              </w:rPr>
            </w:pPr>
            <w:r>
              <w:rPr>
                <w:rFonts w:ascii="宋体" w:hAnsi="宋体" w:cs="宋体" w:eastAsia="宋体" w:hint="default"/>
                <w:sz w:val="18"/>
                <w:szCs w:val="18"/>
              </w:rPr>
              <w:t>承诺投资 项目和超 募资金投 向</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8"/>
              <w:ind w:left="115" w:right="113" w:firstLine="28"/>
              <w:jc w:val="both"/>
              <w:rPr>
                <w:rFonts w:ascii="Times New Roman" w:hAnsi="Times New Roman" w:cs="Times New Roman" w:eastAsia="Times New Roman" w:hint="default"/>
                <w:sz w:val="18"/>
                <w:szCs w:val="18"/>
              </w:rPr>
            </w:pPr>
            <w:r>
              <w:rPr>
                <w:rFonts w:ascii="宋体" w:hAnsi="宋体" w:cs="宋体" w:eastAsia="宋体" w:hint="default"/>
                <w:sz w:val="18"/>
                <w:szCs w:val="18"/>
              </w:rPr>
              <w:t>是否 已变 更项 目</w:t>
            </w:r>
            <w:r>
              <w:rPr>
                <w:rFonts w:ascii="Times New Roman" w:hAnsi="Times New Roman" w:cs="Times New Roman" w:eastAsia="Times New Roman" w:hint="default"/>
                <w:sz w:val="18"/>
                <w:szCs w:val="18"/>
              </w:rPr>
              <w:t>(</w:t>
            </w:r>
            <w:r>
              <w:rPr>
                <w:rFonts w:ascii="宋体" w:hAnsi="宋体" w:cs="宋体" w:eastAsia="宋体" w:hint="default"/>
                <w:sz w:val="18"/>
                <w:szCs w:val="18"/>
              </w:rPr>
              <w:t>含 部分 变更</w:t>
            </w:r>
            <w:r>
              <w:rPr>
                <w:rFonts w:ascii="Times New Roman" w:hAnsi="Times New Roman" w:cs="Times New Roman" w:eastAsia="Times New Roman" w:hint="default"/>
                <w:sz w:val="18"/>
                <w:szCs w:val="18"/>
              </w:rPr>
              <w:t>)</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8"/>
              <w:ind w:left="175" w:right="173"/>
              <w:jc w:val="center"/>
              <w:rPr>
                <w:rFonts w:ascii="宋体" w:hAnsi="宋体" w:cs="宋体" w:eastAsia="宋体" w:hint="default"/>
                <w:sz w:val="18"/>
                <w:szCs w:val="18"/>
              </w:rPr>
            </w:pPr>
            <w:r>
              <w:rPr>
                <w:rFonts w:ascii="宋体" w:hAnsi="宋体" w:cs="宋体" w:eastAsia="宋体" w:hint="default"/>
                <w:sz w:val="18"/>
                <w:szCs w:val="18"/>
              </w:rPr>
              <w:t>募集资 金承诺 投资总 额</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8"/>
              <w:ind w:left="122" w:right="120"/>
              <w:jc w:val="both"/>
              <w:rPr>
                <w:rFonts w:ascii="Times New Roman" w:hAnsi="Times New Roman" w:cs="Times New Roman" w:eastAsia="Times New Roman" w:hint="default"/>
                <w:sz w:val="18"/>
                <w:szCs w:val="18"/>
              </w:rPr>
            </w:pPr>
            <w:r>
              <w:rPr>
                <w:rFonts w:ascii="宋体" w:hAnsi="宋体" w:cs="宋体" w:eastAsia="宋体" w:hint="default"/>
                <w:sz w:val="18"/>
                <w:szCs w:val="18"/>
              </w:rPr>
              <w:t>调整后 投资总 额</w:t>
            </w:r>
            <w:r>
              <w:rPr>
                <w:rFonts w:ascii="Times New Roman" w:hAnsi="Times New Roman" w:cs="Times New Roman" w:eastAsia="Times New Roman" w:hint="default"/>
                <w:sz w:val="18"/>
                <w:szCs w:val="18"/>
              </w:rPr>
              <w:t>(1)</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8"/>
              <w:ind w:left="168" w:right="165"/>
              <w:jc w:val="both"/>
              <w:rPr>
                <w:rFonts w:ascii="宋体" w:hAnsi="宋体" w:cs="宋体" w:eastAsia="宋体" w:hint="default"/>
                <w:sz w:val="18"/>
                <w:szCs w:val="18"/>
              </w:rPr>
            </w:pPr>
            <w:r>
              <w:rPr>
                <w:rFonts w:ascii="宋体" w:hAnsi="宋体" w:cs="宋体" w:eastAsia="宋体" w:hint="default"/>
                <w:sz w:val="18"/>
                <w:szCs w:val="18"/>
              </w:rPr>
              <w:t>本报 告期 投入 金额</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8"/>
              <w:ind w:left="158" w:right="158"/>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 末累计 投入金 额</w:t>
            </w:r>
            <w:r>
              <w:rPr>
                <w:rFonts w:ascii="Times New Roman" w:hAnsi="Times New Roman" w:cs="Times New Roman" w:eastAsia="Times New Roman" w:hint="default"/>
                <w:sz w:val="18"/>
                <w:szCs w:val="18"/>
              </w:rPr>
              <w:t>(2)</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324" w:lineRule="auto" w:before="48"/>
              <w:ind w:left="115" w:right="110"/>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 末投资 进度 </w:t>
            </w:r>
            <w:r>
              <w:rPr>
                <w:rFonts w:ascii="Times New Roman" w:hAnsi="Times New Roman" w:cs="Times New Roman" w:eastAsia="Times New Roman" w:hint="default"/>
                <w:sz w:val="18"/>
                <w:szCs w:val="18"/>
              </w:rPr>
              <w:t>(3)</w:t>
            </w:r>
            <w:r>
              <w:rPr>
                <w:rFonts w:ascii="宋体" w:hAnsi="宋体" w:cs="宋体" w:eastAsia="宋体" w:hint="default"/>
                <w:sz w:val="18"/>
                <w:szCs w:val="18"/>
              </w:rPr>
              <w:t>＝ </w:t>
            </w:r>
            <w:r>
              <w:rPr>
                <w:rFonts w:ascii="Times New Roman" w:hAnsi="Times New Roman" w:cs="Times New Roman" w:eastAsia="Times New Roman" w:hint="default"/>
                <w:sz w:val="18"/>
                <w:szCs w:val="18"/>
              </w:rPr>
              <w:t>(2)/(1)</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8"/>
              <w:ind w:left="141" w:right="134"/>
              <w:jc w:val="center"/>
              <w:rPr>
                <w:rFonts w:ascii="宋体" w:hAnsi="宋体" w:cs="宋体" w:eastAsia="宋体" w:hint="default"/>
                <w:sz w:val="18"/>
                <w:szCs w:val="18"/>
              </w:rPr>
            </w:pPr>
            <w:r>
              <w:rPr>
                <w:rFonts w:ascii="宋体" w:hAnsi="宋体" w:cs="宋体" w:eastAsia="宋体" w:hint="default"/>
                <w:sz w:val="18"/>
                <w:szCs w:val="18"/>
              </w:rPr>
              <w:t>项目达 到预定 可使用 状态日 期</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7"/>
              <w:ind w:left="129" w:right="129"/>
              <w:jc w:val="both"/>
              <w:rPr>
                <w:rFonts w:ascii="宋体" w:hAnsi="宋体" w:cs="宋体" w:eastAsia="宋体" w:hint="default"/>
                <w:sz w:val="18"/>
                <w:szCs w:val="18"/>
              </w:rPr>
            </w:pPr>
            <w:r>
              <w:rPr>
                <w:rFonts w:ascii="宋体" w:hAnsi="宋体" w:cs="宋体" w:eastAsia="宋体" w:hint="default"/>
                <w:sz w:val="18"/>
                <w:szCs w:val="18"/>
              </w:rPr>
              <w:t>本报告 期实现 的效益</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7"/>
              <w:ind w:left="168" w:right="163"/>
              <w:jc w:val="center"/>
              <w:rPr>
                <w:rFonts w:ascii="宋体" w:hAnsi="宋体" w:cs="宋体" w:eastAsia="宋体" w:hint="default"/>
                <w:sz w:val="18"/>
                <w:szCs w:val="18"/>
              </w:rPr>
            </w:pPr>
            <w:r>
              <w:rPr>
                <w:rFonts w:ascii="宋体" w:hAnsi="宋体" w:cs="宋体" w:eastAsia="宋体" w:hint="default"/>
                <w:sz w:val="18"/>
                <w:szCs w:val="18"/>
              </w:rPr>
              <w:t>截止报 告期末 累计实 现的效 益</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7"/>
              <w:ind w:left="184" w:right="180"/>
              <w:jc w:val="both"/>
              <w:rPr>
                <w:rFonts w:ascii="宋体" w:hAnsi="宋体" w:cs="宋体" w:eastAsia="宋体" w:hint="default"/>
                <w:sz w:val="18"/>
                <w:szCs w:val="18"/>
              </w:rPr>
            </w:pPr>
            <w:r>
              <w:rPr>
                <w:rFonts w:ascii="宋体" w:hAnsi="宋体" w:cs="宋体" w:eastAsia="宋体" w:hint="default"/>
                <w:sz w:val="18"/>
                <w:szCs w:val="18"/>
              </w:rPr>
              <w:t>是 否 达 到 预 计 效 益</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7"/>
              <w:ind w:left="180" w:right="175"/>
              <w:jc w:val="both"/>
              <w:rPr>
                <w:rFonts w:ascii="宋体" w:hAnsi="宋体" w:cs="宋体" w:eastAsia="宋体" w:hint="default"/>
                <w:sz w:val="18"/>
                <w:szCs w:val="18"/>
              </w:rPr>
            </w:pPr>
            <w:r>
              <w:rPr>
                <w:rFonts w:ascii="宋体" w:hAnsi="宋体" w:cs="宋体" w:eastAsia="宋体" w:hint="default"/>
                <w:sz w:val="18"/>
                <w:szCs w:val="18"/>
              </w:rPr>
              <w:t>项目 可行 性是 否发 生重 大变 化</w:t>
            </w:r>
          </w:p>
        </w:tc>
      </w:tr>
      <w:tr>
        <w:trPr>
          <w:trHeight w:val="403" w:hRule="exact"/>
        </w:trPr>
        <w:tc>
          <w:tcPr>
            <w:tcW w:w="9569"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1025"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18"/>
              <w:jc w:val="both"/>
              <w:rPr>
                <w:rFonts w:ascii="宋体" w:hAnsi="宋体" w:cs="宋体" w:eastAsia="宋体" w:hint="default"/>
                <w:sz w:val="18"/>
                <w:szCs w:val="18"/>
              </w:rPr>
            </w:pPr>
            <w:r>
              <w:rPr>
                <w:rFonts w:ascii="宋体" w:hAnsi="宋体" w:cs="宋体" w:eastAsia="宋体" w:hint="default"/>
                <w:sz w:val="18"/>
                <w:szCs w:val="18"/>
              </w:rPr>
              <w:t>电子数据 取证产品 项目</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6,993.29</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6,939.6</w:t>
            </w:r>
          </w:p>
          <w:p>
            <w:pPr>
              <w:pStyle w:val="TableParagraph"/>
              <w:spacing w:line="240" w:lineRule="auto" w:before="102"/>
              <w:ind w:right="102"/>
              <w:jc w:val="right"/>
              <w:rPr>
                <w:rFonts w:ascii="Times New Roman" w:hAnsi="Times New Roman" w:cs="Times New Roman" w:eastAsia="Times New Roman" w:hint="default"/>
                <w:sz w:val="18"/>
                <w:szCs w:val="18"/>
              </w:rPr>
            </w:pPr>
            <w:r>
              <w:rPr>
                <w:rFonts w:ascii="Times New Roman"/>
                <w:sz w:val="18"/>
              </w:rPr>
              <w:t>2</w:t>
            </w:r>
          </w:p>
        </w:tc>
        <w:tc>
          <w:tcPr>
            <w:tcW w:w="706"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6,939.62</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100.00</w:t>
            </w:r>
            <w:r>
              <w:rPr>
                <w:rFonts w:ascii="Times New Roman"/>
                <w:sz w:val="18"/>
              </w:rPr>
            </w:r>
          </w:p>
          <w:p>
            <w:pPr>
              <w:pStyle w:val="TableParagraph"/>
              <w:spacing w:line="240" w:lineRule="auto" w:before="102"/>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0"/>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31</w:t>
            </w:r>
          </w:p>
          <w:p>
            <w:pPr>
              <w:pStyle w:val="TableParagraph"/>
              <w:spacing w:line="240" w:lineRule="auto" w:before="62"/>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3" w:right="0"/>
              <w:jc w:val="left"/>
              <w:rPr>
                <w:rFonts w:ascii="Times New Roman" w:hAnsi="Times New Roman" w:cs="Times New Roman" w:eastAsia="Times New Roman" w:hint="default"/>
                <w:sz w:val="18"/>
                <w:szCs w:val="18"/>
              </w:rPr>
            </w:pPr>
            <w:r>
              <w:rPr>
                <w:rFonts w:ascii="Times New Roman"/>
                <w:sz w:val="18"/>
              </w:rPr>
              <w:t>11,383.</w:t>
            </w:r>
          </w:p>
          <w:p>
            <w:pPr>
              <w:pStyle w:val="TableParagraph"/>
              <w:spacing w:line="240" w:lineRule="auto" w:before="102"/>
              <w:ind w:left="516" w:right="0"/>
              <w:jc w:val="left"/>
              <w:rPr>
                <w:rFonts w:ascii="Times New Roman" w:hAnsi="Times New Roman" w:cs="Times New Roman" w:eastAsia="Times New Roman" w:hint="default"/>
                <w:sz w:val="18"/>
                <w:szCs w:val="18"/>
              </w:rPr>
            </w:pPr>
            <w:r>
              <w:rPr>
                <w:rFonts w:ascii="Times New Roman"/>
                <w:sz w:val="18"/>
              </w:rPr>
              <w:t>95</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7"/>
              <w:jc w:val="right"/>
              <w:rPr>
                <w:rFonts w:ascii="Times New Roman" w:hAnsi="Times New Roman" w:cs="Times New Roman" w:eastAsia="Times New Roman" w:hint="default"/>
                <w:sz w:val="18"/>
                <w:szCs w:val="18"/>
              </w:rPr>
            </w:pPr>
            <w:r>
              <w:rPr>
                <w:rFonts w:ascii="Times New Roman"/>
                <w:sz w:val="18"/>
              </w:rPr>
              <w:t>58,179.7</w:t>
            </w:r>
          </w:p>
          <w:p>
            <w:pPr>
              <w:pStyle w:val="TableParagraph"/>
              <w:spacing w:line="240" w:lineRule="auto" w:before="102"/>
              <w:ind w:right="99"/>
              <w:jc w:val="right"/>
              <w:rPr>
                <w:rFonts w:ascii="Times New Roman" w:hAnsi="Times New Roman" w:cs="Times New Roman" w:eastAsia="Times New Roman" w:hint="default"/>
                <w:sz w:val="18"/>
                <w:szCs w:val="18"/>
              </w:rPr>
            </w:pPr>
            <w:r>
              <w:rPr>
                <w:rFonts w:ascii="Times New Roman"/>
                <w:sz w:val="18"/>
              </w:rPr>
              <w:t>8</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59"/>
              <w:jc w:val="right"/>
              <w:rPr>
                <w:rFonts w:ascii="宋体" w:hAnsi="宋体" w:cs="宋体" w:eastAsia="宋体" w:hint="default"/>
                <w:sz w:val="18"/>
                <w:szCs w:val="18"/>
              </w:rPr>
            </w:pPr>
            <w:r>
              <w:rPr>
                <w:rFonts w:ascii="宋体" w:hAnsi="宋体" w:cs="宋体" w:eastAsia="宋体" w:hint="default"/>
                <w:sz w:val="18"/>
                <w:szCs w:val="18"/>
              </w:rPr>
              <w:t>是</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7"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18"/>
              <w:jc w:val="both"/>
              <w:rPr>
                <w:rFonts w:ascii="宋体" w:hAnsi="宋体" w:cs="宋体" w:eastAsia="宋体" w:hint="default"/>
                <w:sz w:val="18"/>
                <w:szCs w:val="18"/>
              </w:rPr>
            </w:pPr>
            <w:r>
              <w:rPr>
                <w:rFonts w:ascii="宋体" w:hAnsi="宋体" w:cs="宋体" w:eastAsia="宋体" w:hint="default"/>
                <w:sz w:val="18"/>
                <w:szCs w:val="18"/>
              </w:rPr>
              <w:t>网络信息 安全产品 项目</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6,291.62</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6,258.7</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5</w:t>
            </w:r>
          </w:p>
        </w:tc>
        <w:tc>
          <w:tcPr>
            <w:tcW w:w="706"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6,258.75</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100.00</w:t>
            </w:r>
            <w:r>
              <w:rPr>
                <w:rFonts w:ascii="Times New Roman"/>
                <w:sz w:val="18"/>
              </w:rPr>
            </w:r>
          </w:p>
          <w:p>
            <w:pPr>
              <w:pStyle w:val="TableParagraph"/>
              <w:spacing w:line="240" w:lineRule="auto" w:before="105"/>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2"/>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31</w:t>
            </w:r>
          </w:p>
          <w:p>
            <w:pPr>
              <w:pStyle w:val="TableParagraph"/>
              <w:spacing w:line="240" w:lineRule="auto" w:before="62"/>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3"/>
              <w:jc w:val="right"/>
              <w:rPr>
                <w:rFonts w:ascii="Times New Roman" w:hAnsi="Times New Roman" w:cs="Times New Roman" w:eastAsia="Times New Roman" w:hint="default"/>
                <w:sz w:val="18"/>
                <w:szCs w:val="18"/>
              </w:rPr>
            </w:pPr>
            <w:r>
              <w:rPr>
                <w:rFonts w:ascii="Times New Roman"/>
                <w:spacing w:val="-1"/>
                <w:sz w:val="18"/>
              </w:rPr>
              <w:t>192.21</w:t>
            </w:r>
            <w:r>
              <w:rPr>
                <w:rFonts w:ascii="Times New Roman"/>
                <w:sz w:val="18"/>
              </w:rPr>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5"/>
              <w:jc w:val="right"/>
              <w:rPr>
                <w:rFonts w:ascii="Times New Roman" w:hAnsi="Times New Roman" w:cs="Times New Roman" w:eastAsia="Times New Roman" w:hint="default"/>
                <w:sz w:val="18"/>
                <w:szCs w:val="18"/>
              </w:rPr>
            </w:pPr>
            <w:r>
              <w:rPr>
                <w:rFonts w:ascii="Times New Roman"/>
                <w:sz w:val="18"/>
              </w:rPr>
              <w:t>6,036.46</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59"/>
              <w:jc w:val="right"/>
              <w:rPr>
                <w:rFonts w:ascii="宋体" w:hAnsi="宋体" w:cs="宋体" w:eastAsia="宋体" w:hint="default"/>
                <w:sz w:val="18"/>
                <w:szCs w:val="18"/>
              </w:rPr>
            </w:pPr>
            <w:r>
              <w:rPr>
                <w:rFonts w:ascii="宋体" w:hAnsi="宋体" w:cs="宋体" w:eastAsia="宋体" w:hint="default"/>
                <w:sz w:val="18"/>
                <w:szCs w:val="18"/>
              </w:rPr>
              <w:t>否</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649"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18"/>
              <w:jc w:val="both"/>
              <w:rPr>
                <w:rFonts w:ascii="宋体" w:hAnsi="宋体" w:cs="宋体" w:eastAsia="宋体" w:hint="default"/>
                <w:sz w:val="18"/>
                <w:szCs w:val="18"/>
              </w:rPr>
            </w:pPr>
            <w:r>
              <w:rPr>
                <w:rFonts w:ascii="宋体" w:hAnsi="宋体" w:cs="宋体" w:eastAsia="宋体" w:hint="default"/>
                <w:sz w:val="18"/>
                <w:szCs w:val="18"/>
              </w:rPr>
              <w:t>电子数据 鉴定及知 识产权保 护服务等 项目</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3,459.95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3,399.4</w:t>
            </w:r>
          </w:p>
          <w:p>
            <w:pPr>
              <w:pStyle w:val="TableParagraph"/>
              <w:spacing w:line="240" w:lineRule="auto" w:before="102"/>
              <w:ind w:right="102"/>
              <w:jc w:val="right"/>
              <w:rPr>
                <w:rFonts w:ascii="Times New Roman" w:hAnsi="Times New Roman" w:cs="Times New Roman" w:eastAsia="Times New Roman" w:hint="default"/>
                <w:sz w:val="18"/>
                <w:szCs w:val="18"/>
              </w:rPr>
            </w:pPr>
            <w:r>
              <w:rPr>
                <w:rFonts w:ascii="Times New Roman"/>
                <w:sz w:val="18"/>
              </w:rPr>
              <w:t>3</w:t>
            </w:r>
          </w:p>
        </w:tc>
        <w:tc>
          <w:tcPr>
            <w:tcW w:w="706"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3,399.43</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100.00</w:t>
            </w:r>
            <w:r>
              <w:rPr>
                <w:rFonts w:ascii="Times New Roman"/>
                <w:sz w:val="18"/>
              </w:rPr>
            </w:r>
          </w:p>
          <w:p>
            <w:pPr>
              <w:pStyle w:val="TableParagraph"/>
              <w:spacing w:line="240" w:lineRule="auto" w:before="102"/>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0"/>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31</w:t>
            </w:r>
          </w:p>
          <w:p>
            <w:pPr>
              <w:pStyle w:val="TableParagraph"/>
              <w:spacing w:line="240" w:lineRule="auto" w:before="62"/>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2,599.7</w:t>
            </w:r>
          </w:p>
          <w:p>
            <w:pPr>
              <w:pStyle w:val="TableParagraph"/>
              <w:spacing w:line="240" w:lineRule="auto" w:before="102"/>
              <w:ind w:right="104"/>
              <w:jc w:val="right"/>
              <w:rPr>
                <w:rFonts w:ascii="Times New Roman" w:hAnsi="Times New Roman" w:cs="Times New Roman" w:eastAsia="Times New Roman" w:hint="default"/>
                <w:sz w:val="18"/>
                <w:szCs w:val="18"/>
              </w:rPr>
            </w:pPr>
            <w:r>
              <w:rPr>
                <w:rFonts w:ascii="Times New Roman"/>
                <w:sz w:val="18"/>
              </w:rPr>
              <w:t>2</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7"/>
              <w:jc w:val="right"/>
              <w:rPr>
                <w:rFonts w:ascii="Times New Roman" w:hAnsi="Times New Roman" w:cs="Times New Roman" w:eastAsia="Times New Roman" w:hint="default"/>
                <w:sz w:val="18"/>
                <w:szCs w:val="18"/>
              </w:rPr>
            </w:pPr>
            <w:r>
              <w:rPr>
                <w:rFonts w:ascii="Times New Roman"/>
                <w:sz w:val="18"/>
              </w:rPr>
              <w:t>14,905.0</w:t>
            </w:r>
          </w:p>
          <w:p>
            <w:pPr>
              <w:pStyle w:val="TableParagraph"/>
              <w:spacing w:line="240" w:lineRule="auto" w:before="102"/>
              <w:ind w:right="99"/>
              <w:jc w:val="right"/>
              <w:rPr>
                <w:rFonts w:ascii="Times New Roman" w:hAnsi="Times New Roman" w:cs="Times New Roman" w:eastAsia="Times New Roman" w:hint="default"/>
                <w:sz w:val="18"/>
                <w:szCs w:val="18"/>
              </w:rPr>
            </w:pPr>
            <w:r>
              <w:rPr>
                <w:rFonts w:ascii="Times New Roman"/>
                <w:sz w:val="18"/>
              </w:rPr>
              <w:t>5</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59"/>
              <w:jc w:val="right"/>
              <w:rPr>
                <w:rFonts w:ascii="宋体" w:hAnsi="宋体" w:cs="宋体" w:eastAsia="宋体" w:hint="default"/>
                <w:sz w:val="18"/>
                <w:szCs w:val="18"/>
              </w:rPr>
            </w:pPr>
            <w:r>
              <w:rPr>
                <w:rFonts w:ascii="宋体" w:hAnsi="宋体" w:cs="宋体" w:eastAsia="宋体" w:hint="default"/>
                <w:sz w:val="18"/>
                <w:szCs w:val="18"/>
              </w:rPr>
              <w:t>是</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339"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18"/>
              <w:jc w:val="both"/>
              <w:rPr>
                <w:rFonts w:ascii="宋体" w:hAnsi="宋体" w:cs="宋体" w:eastAsia="宋体" w:hint="default"/>
                <w:sz w:val="18"/>
                <w:szCs w:val="18"/>
              </w:rPr>
            </w:pPr>
            <w:r>
              <w:rPr>
                <w:rFonts w:ascii="宋体" w:hAnsi="宋体" w:cs="宋体" w:eastAsia="宋体" w:hint="default"/>
                <w:sz w:val="18"/>
                <w:szCs w:val="18"/>
              </w:rPr>
              <w:t>节余募集 资金永久 补充流动 资金</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900"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5" w:right="0"/>
              <w:jc w:val="left"/>
              <w:rPr>
                <w:rFonts w:ascii="Times New Roman" w:hAnsi="Times New Roman" w:cs="Times New Roman" w:eastAsia="Times New Roman" w:hint="default"/>
                <w:sz w:val="18"/>
                <w:szCs w:val="18"/>
              </w:rPr>
            </w:pPr>
            <w:r>
              <w:rPr>
                <w:rFonts w:ascii="Times New Roman"/>
                <w:sz w:val="18"/>
              </w:rPr>
              <w:t>86.54</w:t>
            </w:r>
          </w:p>
        </w:tc>
        <w:tc>
          <w:tcPr>
            <w:tcW w:w="706"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86.54</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100.00</w:t>
            </w:r>
            <w:r>
              <w:rPr>
                <w:rFonts w:ascii="Times New Roman"/>
                <w:sz w:val="18"/>
              </w:rPr>
            </w:r>
          </w:p>
          <w:p>
            <w:pPr>
              <w:pStyle w:val="TableParagraph"/>
              <w:spacing w:line="240" w:lineRule="auto" w:before="105"/>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8" w:type="dxa"/>
            <w:tcBorders>
              <w:top w:val="single" w:sz="4" w:space="0" w:color="000000"/>
              <w:left w:val="single" w:sz="4" w:space="0" w:color="000000"/>
              <w:bottom w:val="single" w:sz="4" w:space="0" w:color="000000"/>
              <w:right w:val="single" w:sz="4" w:space="0" w:color="000000"/>
            </w:tcBorders>
          </w:tcPr>
          <w:p>
            <w:pPr/>
          </w:p>
        </w:tc>
        <w:tc>
          <w:tcPr>
            <w:tcW w:w="811"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59"/>
              <w:jc w:val="right"/>
              <w:rPr>
                <w:rFonts w:ascii="宋体" w:hAnsi="宋体" w:cs="宋体" w:eastAsia="宋体" w:hint="default"/>
                <w:sz w:val="18"/>
                <w:szCs w:val="18"/>
              </w:rPr>
            </w:pPr>
            <w:r>
              <w:rPr>
                <w:rFonts w:ascii="宋体" w:hAnsi="宋体" w:cs="宋体" w:eastAsia="宋体" w:hint="default"/>
                <w:sz w:val="18"/>
                <w:szCs w:val="18"/>
              </w:rPr>
              <w:t>否</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105" w:right="218"/>
              <w:jc w:val="left"/>
              <w:rPr>
                <w:rFonts w:ascii="宋体" w:hAnsi="宋体" w:cs="宋体" w:eastAsia="宋体" w:hint="default"/>
                <w:sz w:val="18"/>
                <w:szCs w:val="18"/>
              </w:rPr>
            </w:pPr>
            <w:r>
              <w:rPr>
                <w:rFonts w:ascii="宋体" w:hAnsi="宋体" w:cs="宋体" w:eastAsia="宋体" w:hint="default"/>
                <w:sz w:val="18"/>
                <w:szCs w:val="18"/>
              </w:rPr>
              <w:t>承诺投资 项目小计</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16,744.8</w:t>
            </w:r>
          </w:p>
          <w:p>
            <w:pPr>
              <w:pStyle w:val="TableParagraph"/>
              <w:spacing w:line="240" w:lineRule="auto" w:before="102"/>
              <w:ind w:right="102"/>
              <w:jc w:val="right"/>
              <w:rPr>
                <w:rFonts w:ascii="Times New Roman" w:hAnsi="Times New Roman" w:cs="Times New Roman" w:eastAsia="Times New Roman" w:hint="default"/>
                <w:sz w:val="18"/>
                <w:szCs w:val="18"/>
              </w:rPr>
            </w:pPr>
            <w:r>
              <w:rPr>
                <w:rFonts w:ascii="Times New Roman"/>
                <w:sz w:val="18"/>
              </w:rPr>
              <w:t>6</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 w:right="0"/>
              <w:jc w:val="left"/>
              <w:rPr>
                <w:rFonts w:ascii="Times New Roman" w:hAnsi="Times New Roman" w:cs="Times New Roman" w:eastAsia="Times New Roman" w:hint="default"/>
                <w:sz w:val="18"/>
                <w:szCs w:val="18"/>
              </w:rPr>
            </w:pPr>
            <w:r>
              <w:rPr>
                <w:rFonts w:ascii="Times New Roman"/>
                <w:sz w:val="18"/>
              </w:rPr>
              <w:t>16,684.</w:t>
            </w:r>
          </w:p>
          <w:p>
            <w:pPr>
              <w:pStyle w:val="TableParagraph"/>
              <w:spacing w:line="240" w:lineRule="auto" w:before="102"/>
              <w:ind w:left="501" w:right="0"/>
              <w:jc w:val="left"/>
              <w:rPr>
                <w:rFonts w:ascii="Times New Roman" w:hAnsi="Times New Roman" w:cs="Times New Roman" w:eastAsia="Times New Roman" w:hint="default"/>
                <w:sz w:val="18"/>
                <w:szCs w:val="18"/>
              </w:rPr>
            </w:pPr>
            <w:r>
              <w:rPr>
                <w:rFonts w:ascii="Times New Roman"/>
                <w:sz w:val="18"/>
              </w:rPr>
              <w:t>34</w:t>
            </w:r>
          </w:p>
        </w:tc>
        <w:tc>
          <w:tcPr>
            <w:tcW w:w="706"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16,684.3</w:t>
            </w:r>
          </w:p>
          <w:p>
            <w:pPr>
              <w:pStyle w:val="TableParagraph"/>
              <w:spacing w:line="240" w:lineRule="auto" w:before="102"/>
              <w:ind w:right="102"/>
              <w:jc w:val="right"/>
              <w:rPr>
                <w:rFonts w:ascii="Times New Roman" w:hAnsi="Times New Roman" w:cs="Times New Roman" w:eastAsia="Times New Roman" w:hint="default"/>
                <w:sz w:val="18"/>
                <w:szCs w:val="18"/>
              </w:rPr>
            </w:pPr>
            <w:r>
              <w:rPr>
                <w:rFonts w:ascii="Times New Roman"/>
                <w:sz w:val="18"/>
              </w:rPr>
              <w:t>4</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6" w:right="0"/>
              <w:jc w:val="left"/>
              <w:rPr>
                <w:rFonts w:ascii="Times New Roman" w:hAnsi="Times New Roman" w:cs="Times New Roman" w:eastAsia="Times New Roman" w:hint="default"/>
                <w:sz w:val="18"/>
                <w:szCs w:val="18"/>
              </w:rPr>
            </w:pPr>
            <w:r>
              <w:rPr>
                <w:rFonts w:ascii="Times New Roman"/>
                <w:sz w:val="18"/>
              </w:rPr>
              <w:t>14,175.</w:t>
            </w:r>
          </w:p>
          <w:p>
            <w:pPr>
              <w:pStyle w:val="TableParagraph"/>
              <w:spacing w:line="240" w:lineRule="auto" w:before="102"/>
              <w:ind w:left="516" w:right="0"/>
              <w:jc w:val="left"/>
              <w:rPr>
                <w:rFonts w:ascii="Times New Roman" w:hAnsi="Times New Roman" w:cs="Times New Roman" w:eastAsia="Times New Roman" w:hint="default"/>
                <w:sz w:val="18"/>
                <w:szCs w:val="18"/>
              </w:rPr>
            </w:pPr>
            <w:r>
              <w:rPr>
                <w:rFonts w:ascii="Times New Roman"/>
                <w:sz w:val="18"/>
              </w:rPr>
              <w:t>88</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7"/>
              <w:jc w:val="right"/>
              <w:rPr>
                <w:rFonts w:ascii="Times New Roman" w:hAnsi="Times New Roman" w:cs="Times New Roman" w:eastAsia="Times New Roman" w:hint="default"/>
                <w:sz w:val="18"/>
                <w:szCs w:val="18"/>
              </w:rPr>
            </w:pPr>
            <w:r>
              <w:rPr>
                <w:rFonts w:ascii="Times New Roman"/>
                <w:sz w:val="18"/>
              </w:rPr>
              <w:t>79,121.2</w:t>
            </w:r>
          </w:p>
          <w:p>
            <w:pPr>
              <w:pStyle w:val="TableParagraph"/>
              <w:spacing w:line="240" w:lineRule="auto" w:before="102"/>
              <w:ind w:right="99"/>
              <w:jc w:val="right"/>
              <w:rPr>
                <w:rFonts w:ascii="Times New Roman" w:hAnsi="Times New Roman" w:cs="Times New Roman" w:eastAsia="Times New Roman" w:hint="default"/>
                <w:sz w:val="18"/>
                <w:szCs w:val="18"/>
              </w:rPr>
            </w:pPr>
            <w:r>
              <w:rPr>
                <w:rFonts w:ascii="Times New Roman"/>
                <w:sz w:val="18"/>
              </w:rPr>
              <w:t>9</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9"/>
              <w:jc w:val="right"/>
              <w:rPr>
                <w:rFonts w:ascii="Times New Roman" w:hAnsi="Times New Roman" w:cs="Times New Roman" w:eastAsia="Times New Roman" w:hint="default"/>
                <w:sz w:val="18"/>
                <w:szCs w:val="18"/>
              </w:rPr>
            </w:pPr>
            <w:r>
              <w:rPr>
                <w:rFonts w:ascii="Times New Roman"/>
                <w:sz w:val="18"/>
              </w:rPr>
              <w:t>--</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9569"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1337"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98"/>
              <w:jc w:val="left"/>
              <w:rPr>
                <w:rFonts w:ascii="宋体" w:hAnsi="宋体" w:cs="宋体" w:eastAsia="宋体" w:hint="default"/>
                <w:sz w:val="18"/>
                <w:szCs w:val="18"/>
              </w:rPr>
            </w:pPr>
            <w:r>
              <w:rPr>
                <w:rFonts w:ascii="宋体" w:hAnsi="宋体" w:cs="宋体" w:eastAsia="宋体" w:hint="default"/>
                <w:sz w:val="18"/>
                <w:szCs w:val="18"/>
              </w:rPr>
              <w:t>追加投资 建设超算 </w:t>
            </w:r>
            <w:r>
              <w:rPr>
                <w:rFonts w:ascii="宋体" w:hAnsi="宋体" w:cs="宋体" w:eastAsia="宋体" w:hint="default"/>
                <w:spacing w:val="-12"/>
                <w:sz w:val="18"/>
                <w:szCs w:val="18"/>
              </w:rPr>
              <w:t>中心（云计</w:t>
            </w:r>
            <w:r>
              <w:rPr>
                <w:rFonts w:ascii="宋体" w:hAnsi="宋体" w:cs="宋体" w:eastAsia="宋体" w:hint="default"/>
                <w:sz w:val="18"/>
                <w:szCs w:val="18"/>
              </w:rPr>
              <w:t> 算）项目</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3,012.49</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2,762.7</w:t>
            </w:r>
          </w:p>
          <w:p>
            <w:pPr>
              <w:pStyle w:val="TableParagraph"/>
              <w:spacing w:line="240" w:lineRule="auto" w:before="102"/>
              <w:ind w:right="102"/>
              <w:jc w:val="right"/>
              <w:rPr>
                <w:rFonts w:ascii="Times New Roman" w:hAnsi="Times New Roman" w:cs="Times New Roman" w:eastAsia="Times New Roman" w:hint="default"/>
                <w:sz w:val="18"/>
                <w:szCs w:val="18"/>
              </w:rPr>
            </w:pPr>
            <w:r>
              <w:rPr>
                <w:rFonts w:ascii="Times New Roman"/>
                <w:sz w:val="18"/>
              </w:rPr>
              <w:t>6</w:t>
            </w:r>
          </w:p>
        </w:tc>
        <w:tc>
          <w:tcPr>
            <w:tcW w:w="706"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2,762.76</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100.00</w:t>
            </w:r>
            <w:r>
              <w:rPr>
                <w:rFonts w:ascii="Times New Roman"/>
                <w:sz w:val="18"/>
              </w:rPr>
            </w:r>
          </w:p>
          <w:p>
            <w:pPr>
              <w:pStyle w:val="TableParagraph"/>
              <w:spacing w:line="240" w:lineRule="auto" w:before="102"/>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0"/>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31</w:t>
            </w:r>
          </w:p>
          <w:p>
            <w:pPr>
              <w:pStyle w:val="TableParagraph"/>
              <w:spacing w:line="240" w:lineRule="auto" w:before="62"/>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11"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55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7"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18"/>
              <w:jc w:val="both"/>
              <w:rPr>
                <w:rFonts w:ascii="宋体" w:hAnsi="宋体" w:cs="宋体" w:eastAsia="宋体" w:hint="default"/>
                <w:sz w:val="18"/>
                <w:szCs w:val="18"/>
              </w:rPr>
            </w:pPr>
            <w:r>
              <w:rPr>
                <w:rFonts w:ascii="宋体" w:hAnsi="宋体" w:cs="宋体" w:eastAsia="宋体" w:hint="default"/>
                <w:sz w:val="18"/>
                <w:szCs w:val="18"/>
              </w:rPr>
              <w:t>电子数据 公证云项 目</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1,363.15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1,302.0</w:t>
            </w:r>
            <w:r>
              <w:rPr>
                <w:rFonts w:ascii="Times New Roman"/>
                <w:sz w:val="18"/>
              </w:rPr>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8</w:t>
            </w:r>
          </w:p>
        </w:tc>
        <w:tc>
          <w:tcPr>
            <w:tcW w:w="706"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1,302.08</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100.00</w:t>
            </w:r>
            <w:r>
              <w:rPr>
                <w:rFonts w:ascii="Times New Roman"/>
                <w:sz w:val="18"/>
              </w:rPr>
            </w:r>
          </w:p>
          <w:p>
            <w:pPr>
              <w:pStyle w:val="TableParagraph"/>
              <w:spacing w:line="240" w:lineRule="auto" w:before="105"/>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2"/>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31</w:t>
            </w:r>
          </w:p>
          <w:p>
            <w:pPr>
              <w:pStyle w:val="TableParagraph"/>
              <w:spacing w:line="240" w:lineRule="auto" w:before="62"/>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3"/>
              <w:jc w:val="right"/>
              <w:rPr>
                <w:rFonts w:ascii="Times New Roman" w:hAnsi="Times New Roman" w:cs="Times New Roman" w:eastAsia="Times New Roman" w:hint="default"/>
                <w:sz w:val="18"/>
                <w:szCs w:val="18"/>
              </w:rPr>
            </w:pPr>
            <w:r>
              <w:rPr>
                <w:rFonts w:ascii="Times New Roman"/>
                <w:spacing w:val="-1"/>
                <w:sz w:val="18"/>
              </w:rPr>
              <w:t>306.07</w:t>
            </w:r>
            <w:r>
              <w:rPr>
                <w:rFonts w:ascii="Times New Roman"/>
                <w:sz w:val="18"/>
              </w:rPr>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6"/>
              <w:jc w:val="right"/>
              <w:rPr>
                <w:rFonts w:ascii="Times New Roman" w:hAnsi="Times New Roman" w:cs="Times New Roman" w:eastAsia="Times New Roman" w:hint="default"/>
                <w:sz w:val="18"/>
                <w:szCs w:val="18"/>
              </w:rPr>
            </w:pPr>
            <w:r>
              <w:rPr>
                <w:rFonts w:ascii="Times New Roman"/>
                <w:sz w:val="18"/>
              </w:rPr>
              <w:t>-12.43</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59"/>
              <w:jc w:val="right"/>
              <w:rPr>
                <w:rFonts w:ascii="宋体" w:hAnsi="宋体" w:cs="宋体" w:eastAsia="宋体" w:hint="default"/>
                <w:sz w:val="18"/>
                <w:szCs w:val="18"/>
              </w:rPr>
            </w:pPr>
            <w:r>
              <w:rPr>
                <w:rFonts w:ascii="宋体" w:hAnsi="宋体" w:cs="宋体" w:eastAsia="宋体" w:hint="default"/>
                <w:sz w:val="18"/>
                <w:szCs w:val="18"/>
              </w:rPr>
              <w:t>否</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5"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81" w:type="dxa"/>
        <w:tblLayout w:type="fixed"/>
        <w:tblCellMar>
          <w:top w:w="0" w:type="dxa"/>
          <w:left w:w="0" w:type="dxa"/>
          <w:bottom w:w="0" w:type="dxa"/>
          <w:right w:w="0" w:type="dxa"/>
        </w:tblCellMar>
        <w:tblLook w:val="01E0"/>
      </w:tblPr>
      <w:tblGrid>
        <w:gridCol w:w="1056"/>
        <w:gridCol w:w="660"/>
        <w:gridCol w:w="900"/>
        <w:gridCol w:w="794"/>
        <w:gridCol w:w="706"/>
        <w:gridCol w:w="869"/>
        <w:gridCol w:w="778"/>
        <w:gridCol w:w="828"/>
        <w:gridCol w:w="811"/>
        <w:gridCol w:w="883"/>
        <w:gridCol w:w="557"/>
        <w:gridCol w:w="727"/>
      </w:tblGrid>
      <w:tr>
        <w:trPr>
          <w:trHeight w:val="1025"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18"/>
              <w:jc w:val="left"/>
              <w:rPr>
                <w:rFonts w:ascii="宋体" w:hAnsi="宋体" w:cs="宋体" w:eastAsia="宋体" w:hint="default"/>
                <w:sz w:val="18"/>
                <w:szCs w:val="18"/>
              </w:rPr>
            </w:pPr>
            <w:r>
              <w:rPr>
                <w:rFonts w:ascii="宋体" w:hAnsi="宋体" w:cs="宋体" w:eastAsia="宋体" w:hint="default"/>
                <w:sz w:val="18"/>
                <w:szCs w:val="18"/>
              </w:rPr>
              <w:t>购买研发 大楼</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16,468.6</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1</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 w:right="0"/>
              <w:jc w:val="left"/>
              <w:rPr>
                <w:rFonts w:ascii="Times New Roman" w:hAnsi="Times New Roman" w:cs="Times New Roman" w:eastAsia="Times New Roman" w:hint="default"/>
                <w:sz w:val="18"/>
                <w:szCs w:val="18"/>
              </w:rPr>
            </w:pPr>
            <w:r>
              <w:rPr>
                <w:rFonts w:ascii="Times New Roman"/>
                <w:sz w:val="18"/>
              </w:rPr>
              <w:t>16,468.</w:t>
            </w:r>
          </w:p>
          <w:p>
            <w:pPr>
              <w:pStyle w:val="TableParagraph"/>
              <w:spacing w:line="240" w:lineRule="auto" w:before="105"/>
              <w:ind w:left="501" w:right="0"/>
              <w:jc w:val="left"/>
              <w:rPr>
                <w:rFonts w:ascii="Times New Roman" w:hAnsi="Times New Roman" w:cs="Times New Roman" w:eastAsia="Times New Roman" w:hint="default"/>
                <w:sz w:val="18"/>
                <w:szCs w:val="18"/>
              </w:rPr>
            </w:pPr>
            <w:r>
              <w:rPr>
                <w:rFonts w:ascii="Times New Roman"/>
                <w:sz w:val="18"/>
              </w:rPr>
              <w:t>61</w:t>
            </w:r>
          </w:p>
        </w:tc>
        <w:tc>
          <w:tcPr>
            <w:tcW w:w="706"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15,968.7</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5</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 w:right="0"/>
              <w:jc w:val="center"/>
              <w:rPr>
                <w:rFonts w:ascii="Times New Roman" w:hAnsi="Times New Roman" w:cs="Times New Roman" w:eastAsia="Times New Roman" w:hint="default"/>
                <w:sz w:val="18"/>
                <w:szCs w:val="18"/>
              </w:rPr>
            </w:pPr>
            <w:r>
              <w:rPr>
                <w:rFonts w:ascii="Times New Roman"/>
                <w:sz w:val="18"/>
              </w:rPr>
              <w:t>96.96%</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2"/>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30</w:t>
            </w:r>
          </w:p>
          <w:p>
            <w:pPr>
              <w:pStyle w:val="TableParagraph"/>
              <w:spacing w:line="240" w:lineRule="auto" w:before="62"/>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11"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55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7"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5" w:right="218"/>
              <w:jc w:val="both"/>
              <w:rPr>
                <w:rFonts w:ascii="宋体" w:hAnsi="宋体" w:cs="宋体" w:eastAsia="宋体" w:hint="default"/>
                <w:sz w:val="18"/>
                <w:szCs w:val="18"/>
              </w:rPr>
            </w:pPr>
            <w:r>
              <w:rPr>
                <w:rFonts w:ascii="宋体" w:hAnsi="宋体" w:cs="宋体" w:eastAsia="宋体" w:hint="default"/>
                <w:sz w:val="18"/>
                <w:szCs w:val="18"/>
              </w:rPr>
              <w:t>收购新德 汇公司股 权</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5,854.8</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5,854.8</w:t>
            </w:r>
          </w:p>
        </w:tc>
        <w:tc>
          <w:tcPr>
            <w:tcW w:w="706"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5,854.8</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100.00</w:t>
            </w:r>
            <w:r>
              <w:rPr>
                <w:rFonts w:ascii="Times New Roman"/>
                <w:sz w:val="18"/>
              </w:rPr>
            </w:r>
          </w:p>
          <w:p>
            <w:pPr>
              <w:pStyle w:val="TableParagraph"/>
              <w:spacing w:line="240" w:lineRule="auto" w:before="102"/>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0"/>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31</w:t>
            </w:r>
          </w:p>
          <w:p>
            <w:pPr>
              <w:pStyle w:val="TableParagraph"/>
              <w:spacing w:line="240" w:lineRule="auto" w:before="62"/>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2,956.0</w:t>
            </w:r>
          </w:p>
          <w:p>
            <w:pPr>
              <w:pStyle w:val="TableParagraph"/>
              <w:spacing w:line="240" w:lineRule="auto" w:before="102"/>
              <w:ind w:right="104"/>
              <w:jc w:val="right"/>
              <w:rPr>
                <w:rFonts w:ascii="Times New Roman" w:hAnsi="Times New Roman" w:cs="Times New Roman" w:eastAsia="Times New Roman" w:hint="default"/>
                <w:sz w:val="18"/>
                <w:szCs w:val="18"/>
              </w:rPr>
            </w:pPr>
            <w:r>
              <w:rPr>
                <w:rFonts w:ascii="Times New Roman"/>
                <w:sz w:val="18"/>
              </w:rPr>
              <w:t>6</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7"/>
              <w:jc w:val="right"/>
              <w:rPr>
                <w:rFonts w:ascii="Times New Roman" w:hAnsi="Times New Roman" w:cs="Times New Roman" w:eastAsia="Times New Roman" w:hint="default"/>
                <w:sz w:val="18"/>
                <w:szCs w:val="18"/>
              </w:rPr>
            </w:pPr>
            <w:r>
              <w:rPr>
                <w:rFonts w:ascii="Times New Roman"/>
                <w:sz w:val="18"/>
              </w:rPr>
              <w:t>13,378.9</w:t>
            </w:r>
          </w:p>
          <w:p>
            <w:pPr>
              <w:pStyle w:val="TableParagraph"/>
              <w:spacing w:line="240" w:lineRule="auto" w:before="102"/>
              <w:ind w:right="99"/>
              <w:jc w:val="right"/>
              <w:rPr>
                <w:rFonts w:ascii="Times New Roman" w:hAnsi="Times New Roman" w:cs="Times New Roman" w:eastAsia="Times New Roman" w:hint="default"/>
                <w:sz w:val="18"/>
                <w:szCs w:val="18"/>
              </w:rPr>
            </w:pPr>
            <w:r>
              <w:rPr>
                <w:rFonts w:ascii="Times New Roman"/>
                <w:sz w:val="18"/>
              </w:rPr>
              <w:t>8</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59"/>
              <w:jc w:val="right"/>
              <w:rPr>
                <w:rFonts w:ascii="宋体" w:hAnsi="宋体" w:cs="宋体" w:eastAsia="宋体" w:hint="default"/>
                <w:sz w:val="18"/>
                <w:szCs w:val="18"/>
              </w:rPr>
            </w:pPr>
            <w:r>
              <w:rPr>
                <w:rFonts w:ascii="宋体" w:hAnsi="宋体" w:cs="宋体" w:eastAsia="宋体" w:hint="default"/>
                <w:sz w:val="18"/>
                <w:szCs w:val="18"/>
              </w:rPr>
              <w:t>是</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961"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18"/>
              <w:jc w:val="both"/>
              <w:rPr>
                <w:rFonts w:ascii="宋体" w:hAnsi="宋体" w:cs="宋体" w:eastAsia="宋体" w:hint="default"/>
                <w:sz w:val="18"/>
                <w:szCs w:val="18"/>
              </w:rPr>
            </w:pPr>
            <w:r>
              <w:rPr>
                <w:rFonts w:ascii="宋体" w:hAnsi="宋体" w:cs="宋体" w:eastAsia="宋体" w:hint="default"/>
                <w:sz w:val="18"/>
                <w:szCs w:val="18"/>
              </w:rPr>
              <w:t>电子数据 公证云项 目节余募 集资金永 久补充流 动资金</w:t>
            </w:r>
          </w:p>
        </w:tc>
        <w:tc>
          <w:tcPr>
            <w:tcW w:w="6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z w:val="18"/>
              </w:rPr>
              <w:t>61.07</w:t>
            </w:r>
          </w:p>
        </w:tc>
        <w:tc>
          <w:tcPr>
            <w:tcW w:w="706"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z w:val="18"/>
              </w:rPr>
              <w:t>61.07</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100.00</w:t>
            </w:r>
            <w:r>
              <w:rPr>
                <w:rFonts w:ascii="Times New Roman"/>
                <w:sz w:val="18"/>
              </w:rPr>
            </w:r>
          </w:p>
          <w:p>
            <w:pPr>
              <w:pStyle w:val="TableParagraph"/>
              <w:spacing w:line="240" w:lineRule="auto" w:before="105"/>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8" w:type="dxa"/>
            <w:tcBorders>
              <w:top w:val="single" w:sz="4" w:space="0" w:color="000000"/>
              <w:left w:val="single" w:sz="4" w:space="0" w:color="000000"/>
              <w:bottom w:val="single" w:sz="4" w:space="0" w:color="000000"/>
              <w:right w:val="single" w:sz="4" w:space="0" w:color="000000"/>
            </w:tcBorders>
          </w:tcPr>
          <w:p>
            <w:pPr/>
          </w:p>
        </w:tc>
        <w:tc>
          <w:tcPr>
            <w:tcW w:w="811"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55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651"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5" w:right="218"/>
              <w:jc w:val="both"/>
              <w:rPr>
                <w:rFonts w:ascii="宋体" w:hAnsi="宋体" w:cs="宋体" w:eastAsia="宋体" w:hint="default"/>
                <w:sz w:val="18"/>
                <w:szCs w:val="18"/>
              </w:rPr>
            </w:pPr>
            <w:r>
              <w:rPr>
                <w:rFonts w:ascii="宋体" w:hAnsi="宋体" w:cs="宋体" w:eastAsia="宋体" w:hint="default"/>
                <w:sz w:val="18"/>
                <w:szCs w:val="18"/>
              </w:rPr>
              <w:t>对深圳市 中新赛克 科技股份 有限公司 进行增资</w:t>
            </w:r>
          </w:p>
        </w:tc>
        <w:tc>
          <w:tcPr>
            <w:tcW w:w="6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2,006.94</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2,006.9</w:t>
            </w:r>
          </w:p>
          <w:p>
            <w:pPr>
              <w:pStyle w:val="TableParagraph"/>
              <w:spacing w:line="240" w:lineRule="auto" w:before="102"/>
              <w:ind w:right="102"/>
              <w:jc w:val="right"/>
              <w:rPr>
                <w:rFonts w:ascii="Times New Roman" w:hAnsi="Times New Roman" w:cs="Times New Roman" w:eastAsia="Times New Roman" w:hint="default"/>
                <w:sz w:val="18"/>
                <w:szCs w:val="18"/>
              </w:rPr>
            </w:pPr>
            <w:r>
              <w:rPr>
                <w:rFonts w:ascii="Times New Roman"/>
                <w:sz w:val="18"/>
              </w:rPr>
              <w:t>4</w:t>
            </w:r>
          </w:p>
        </w:tc>
        <w:tc>
          <w:tcPr>
            <w:tcW w:w="706"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2,006.94</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100.00</w:t>
            </w:r>
            <w:r>
              <w:rPr>
                <w:rFonts w:ascii="Times New Roman"/>
                <w:sz w:val="18"/>
              </w:rPr>
            </w:r>
          </w:p>
          <w:p>
            <w:pPr>
              <w:pStyle w:val="TableParagraph"/>
              <w:spacing w:line="240" w:lineRule="auto" w:before="102"/>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0"/>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30</w:t>
            </w:r>
          </w:p>
          <w:p>
            <w:pPr>
              <w:pStyle w:val="TableParagraph"/>
              <w:spacing w:line="240" w:lineRule="auto" w:before="62"/>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11"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55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5"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18"/>
              <w:jc w:val="both"/>
              <w:rPr>
                <w:rFonts w:ascii="宋体" w:hAnsi="宋体" w:cs="宋体" w:eastAsia="宋体" w:hint="default"/>
                <w:sz w:val="18"/>
                <w:szCs w:val="18"/>
              </w:rPr>
            </w:pPr>
            <w:r>
              <w:rPr>
                <w:rFonts w:ascii="宋体" w:hAnsi="宋体" w:cs="宋体" w:eastAsia="宋体" w:hint="default"/>
                <w:sz w:val="18"/>
                <w:szCs w:val="18"/>
              </w:rPr>
              <w:t>补充流动 资金（如 有）</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5,000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5,000</w:t>
            </w:r>
          </w:p>
        </w:tc>
        <w:tc>
          <w:tcPr>
            <w:tcW w:w="706"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5,000</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100.00</w:t>
            </w:r>
            <w:r>
              <w:rPr>
                <w:rFonts w:ascii="Times New Roman"/>
                <w:sz w:val="18"/>
              </w:rPr>
            </w:r>
          </w:p>
          <w:p>
            <w:pPr>
              <w:pStyle w:val="TableParagraph"/>
              <w:spacing w:line="240" w:lineRule="auto" w:before="105"/>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3"/>
              <w:jc w:val="center"/>
              <w:rPr>
                <w:rFonts w:ascii="Times New Roman" w:hAnsi="Times New Roman" w:cs="Times New Roman" w:eastAsia="Times New Roman" w:hint="default"/>
                <w:sz w:val="18"/>
                <w:szCs w:val="18"/>
              </w:rPr>
            </w:pPr>
            <w:r>
              <w:rPr>
                <w:rFonts w:ascii="Times New Roman"/>
                <w:sz w:val="18"/>
              </w:rPr>
              <w:t>--</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9"/>
              <w:jc w:val="right"/>
              <w:rPr>
                <w:rFonts w:ascii="Times New Roman" w:hAnsi="Times New Roman" w:cs="Times New Roman" w:eastAsia="Times New Roman" w:hint="default"/>
                <w:sz w:val="18"/>
                <w:szCs w:val="18"/>
              </w:rPr>
            </w:pPr>
            <w:r>
              <w:rPr>
                <w:rFonts w:ascii="Times New Roman"/>
                <w:sz w:val="18"/>
              </w:rPr>
              <w:t>--</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95"/>
              <w:jc w:val="right"/>
              <w:rPr>
                <w:rFonts w:ascii="Times New Roman" w:hAnsi="Times New Roman" w:cs="Times New Roman" w:eastAsia="Times New Roman" w:hint="default"/>
                <w:sz w:val="18"/>
                <w:szCs w:val="18"/>
              </w:rPr>
            </w:pPr>
            <w:r>
              <w:rPr>
                <w:rFonts w:ascii="Times New Roman"/>
                <w:sz w:val="18"/>
              </w:rPr>
              <w:t>--</w:t>
            </w:r>
          </w:p>
        </w:tc>
      </w:tr>
      <w:tr>
        <w:trPr>
          <w:trHeight w:val="715"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5" w:right="218"/>
              <w:jc w:val="left"/>
              <w:rPr>
                <w:rFonts w:ascii="宋体" w:hAnsi="宋体" w:cs="宋体" w:eastAsia="宋体" w:hint="default"/>
                <w:sz w:val="18"/>
                <w:szCs w:val="18"/>
              </w:rPr>
            </w:pPr>
            <w:r>
              <w:rPr>
                <w:rFonts w:ascii="宋体" w:hAnsi="宋体" w:cs="宋体" w:eastAsia="宋体" w:hint="default"/>
                <w:sz w:val="18"/>
                <w:szCs w:val="18"/>
              </w:rPr>
              <w:t>超募资金 投向小计</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z w:val="18"/>
              </w:rPr>
              <w:t>33,705.9</w:t>
            </w:r>
          </w:p>
          <w:p>
            <w:pPr>
              <w:pStyle w:val="TableParagraph"/>
              <w:spacing w:line="240" w:lineRule="auto" w:before="102"/>
              <w:ind w:right="102"/>
              <w:jc w:val="right"/>
              <w:rPr>
                <w:rFonts w:ascii="Times New Roman" w:hAnsi="Times New Roman" w:cs="Times New Roman" w:eastAsia="Times New Roman" w:hint="default"/>
                <w:sz w:val="18"/>
                <w:szCs w:val="18"/>
              </w:rPr>
            </w:pPr>
            <w:r>
              <w:rPr>
                <w:rFonts w:ascii="Times New Roman"/>
                <w:sz w:val="18"/>
              </w:rPr>
              <w:t>9</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41" w:right="0"/>
              <w:jc w:val="left"/>
              <w:rPr>
                <w:rFonts w:ascii="Times New Roman" w:hAnsi="Times New Roman" w:cs="Times New Roman" w:eastAsia="Times New Roman" w:hint="default"/>
                <w:sz w:val="18"/>
                <w:szCs w:val="18"/>
              </w:rPr>
            </w:pPr>
            <w:r>
              <w:rPr>
                <w:rFonts w:ascii="Times New Roman"/>
                <w:sz w:val="18"/>
              </w:rPr>
              <w:t>33,456.</w:t>
            </w:r>
          </w:p>
          <w:p>
            <w:pPr>
              <w:pStyle w:val="TableParagraph"/>
              <w:spacing w:line="240" w:lineRule="auto" w:before="102"/>
              <w:ind w:left="501" w:right="0"/>
              <w:jc w:val="left"/>
              <w:rPr>
                <w:rFonts w:ascii="Times New Roman" w:hAnsi="Times New Roman" w:cs="Times New Roman" w:eastAsia="Times New Roman" w:hint="default"/>
                <w:sz w:val="18"/>
                <w:szCs w:val="18"/>
              </w:rPr>
            </w:pPr>
            <w:r>
              <w:rPr>
                <w:rFonts w:ascii="Times New Roman"/>
                <w:sz w:val="18"/>
              </w:rPr>
              <w:t>26</w:t>
            </w:r>
          </w:p>
        </w:tc>
        <w:tc>
          <w:tcPr>
            <w:tcW w:w="706"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z w:val="18"/>
              </w:rPr>
              <w:t>32,956.4</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 w:right="0"/>
              <w:jc w:val="center"/>
              <w:rPr>
                <w:rFonts w:ascii="Times New Roman" w:hAnsi="Times New Roman" w:cs="Times New Roman" w:eastAsia="Times New Roman" w:hint="default"/>
                <w:sz w:val="18"/>
                <w:szCs w:val="18"/>
              </w:rPr>
            </w:pPr>
            <w:r>
              <w:rPr>
                <w:rFonts w:ascii="Times New Roman"/>
                <w:sz w:val="18"/>
              </w:rPr>
              <w:t>--</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3,262.1</w:t>
            </w:r>
          </w:p>
          <w:p>
            <w:pPr>
              <w:pStyle w:val="TableParagraph"/>
              <w:spacing w:line="240" w:lineRule="auto" w:before="102"/>
              <w:ind w:right="104"/>
              <w:jc w:val="right"/>
              <w:rPr>
                <w:rFonts w:ascii="Times New Roman" w:hAnsi="Times New Roman" w:cs="Times New Roman" w:eastAsia="Times New Roman" w:hint="default"/>
                <w:sz w:val="18"/>
                <w:szCs w:val="18"/>
              </w:rPr>
            </w:pPr>
            <w:r>
              <w:rPr>
                <w:rFonts w:ascii="Times New Roman"/>
                <w:sz w:val="18"/>
              </w:rPr>
              <w:t>3</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7"/>
              <w:jc w:val="right"/>
              <w:rPr>
                <w:rFonts w:ascii="Times New Roman" w:hAnsi="Times New Roman" w:cs="Times New Roman" w:eastAsia="Times New Roman" w:hint="default"/>
                <w:sz w:val="18"/>
                <w:szCs w:val="18"/>
              </w:rPr>
            </w:pPr>
            <w:r>
              <w:rPr>
                <w:rFonts w:ascii="Times New Roman"/>
                <w:sz w:val="18"/>
              </w:rPr>
              <w:t>13,366.5</w:t>
            </w:r>
          </w:p>
          <w:p>
            <w:pPr>
              <w:pStyle w:val="TableParagraph"/>
              <w:spacing w:line="240" w:lineRule="auto" w:before="102"/>
              <w:ind w:right="99"/>
              <w:jc w:val="right"/>
              <w:rPr>
                <w:rFonts w:ascii="Times New Roman" w:hAnsi="Times New Roman" w:cs="Times New Roman" w:eastAsia="Times New Roman" w:hint="default"/>
                <w:sz w:val="18"/>
                <w:szCs w:val="18"/>
              </w:rPr>
            </w:pPr>
            <w:r>
              <w:rPr>
                <w:rFonts w:ascii="Times New Roman"/>
                <w:sz w:val="18"/>
              </w:rPr>
              <w:t>5</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9"/>
              <w:jc w:val="right"/>
              <w:rPr>
                <w:rFonts w:ascii="Times New Roman" w:hAnsi="Times New Roman" w:cs="Times New Roman" w:eastAsia="Times New Roman" w:hint="default"/>
                <w:sz w:val="18"/>
                <w:szCs w:val="18"/>
              </w:rPr>
            </w:pPr>
            <w:r>
              <w:rPr>
                <w:rFonts w:ascii="Times New Roman"/>
                <w:sz w:val="18"/>
              </w:rPr>
              <w:t>--</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95"/>
              <w:jc w:val="right"/>
              <w:rPr>
                <w:rFonts w:ascii="Times New Roman" w:hAnsi="Times New Roman" w:cs="Times New Roman" w:eastAsia="Times New Roman" w:hint="default"/>
                <w:sz w:val="18"/>
                <w:szCs w:val="18"/>
              </w:rPr>
            </w:pPr>
            <w:r>
              <w:rPr>
                <w:rFonts w:ascii="Times New Roman"/>
                <w:sz w:val="18"/>
              </w:rPr>
              <w:t>--</w:t>
            </w:r>
          </w:p>
        </w:tc>
      </w:tr>
      <w:tr>
        <w:trPr>
          <w:trHeight w:val="713"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50,450.8</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7"/>
              <w:jc w:val="right"/>
              <w:rPr>
                <w:rFonts w:ascii="Times New Roman" w:hAnsi="Times New Roman" w:cs="Times New Roman" w:eastAsia="Times New Roman" w:hint="default"/>
                <w:sz w:val="18"/>
                <w:szCs w:val="18"/>
              </w:rPr>
            </w:pPr>
            <w:r>
              <w:rPr>
                <w:rFonts w:ascii="Times New Roman"/>
                <w:sz w:val="18"/>
              </w:rPr>
              <w:t>50,140.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6</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49,640.7</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4</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6" w:right="0"/>
              <w:jc w:val="left"/>
              <w:rPr>
                <w:rFonts w:ascii="Times New Roman" w:hAnsi="Times New Roman" w:cs="Times New Roman" w:eastAsia="Times New Roman" w:hint="default"/>
                <w:sz w:val="18"/>
                <w:szCs w:val="18"/>
              </w:rPr>
            </w:pPr>
            <w:r>
              <w:rPr>
                <w:rFonts w:ascii="Times New Roman"/>
                <w:sz w:val="18"/>
              </w:rPr>
              <w:t>17,438.</w:t>
            </w:r>
          </w:p>
          <w:p>
            <w:pPr>
              <w:pStyle w:val="TableParagraph"/>
              <w:spacing w:line="240" w:lineRule="auto" w:before="105"/>
              <w:ind w:left="516" w:right="0"/>
              <w:jc w:val="left"/>
              <w:rPr>
                <w:rFonts w:ascii="Times New Roman" w:hAnsi="Times New Roman" w:cs="Times New Roman" w:eastAsia="Times New Roman" w:hint="default"/>
                <w:sz w:val="18"/>
                <w:szCs w:val="18"/>
              </w:rPr>
            </w:pPr>
            <w:r>
              <w:rPr>
                <w:rFonts w:ascii="Times New Roman"/>
                <w:sz w:val="18"/>
              </w:rPr>
              <w:t>01</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7"/>
              <w:jc w:val="right"/>
              <w:rPr>
                <w:rFonts w:ascii="Times New Roman" w:hAnsi="Times New Roman" w:cs="Times New Roman" w:eastAsia="Times New Roman" w:hint="default"/>
                <w:sz w:val="18"/>
                <w:szCs w:val="18"/>
              </w:rPr>
            </w:pPr>
            <w:r>
              <w:rPr>
                <w:rFonts w:ascii="Times New Roman"/>
                <w:sz w:val="18"/>
              </w:rPr>
              <w:t>92,487.8</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4</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9"/>
              <w:jc w:val="right"/>
              <w:rPr>
                <w:rFonts w:ascii="Times New Roman" w:hAnsi="Times New Roman" w:cs="Times New Roman" w:eastAsia="Times New Roman" w:hint="default"/>
                <w:sz w:val="18"/>
                <w:szCs w:val="18"/>
              </w:rPr>
            </w:pPr>
            <w:r>
              <w:rPr>
                <w:rFonts w:ascii="Times New Roman"/>
                <w:sz w:val="18"/>
              </w:rPr>
              <w:t>--</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95"/>
              <w:jc w:val="right"/>
              <w:rPr>
                <w:rFonts w:ascii="Times New Roman" w:hAnsi="Times New Roman" w:cs="Times New Roman" w:eastAsia="Times New Roman" w:hint="default"/>
                <w:sz w:val="18"/>
                <w:szCs w:val="18"/>
              </w:rPr>
            </w:pPr>
            <w:r>
              <w:rPr>
                <w:rFonts w:ascii="Times New Roman"/>
                <w:sz w:val="18"/>
              </w:rPr>
              <w:t>--</w:t>
            </w:r>
          </w:p>
        </w:tc>
      </w:tr>
      <w:tr>
        <w:trPr>
          <w:trHeight w:val="5083"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5" w:right="98"/>
              <w:jc w:val="left"/>
              <w:rPr>
                <w:rFonts w:ascii="宋体" w:hAnsi="宋体" w:cs="宋体" w:eastAsia="宋体" w:hint="default"/>
                <w:sz w:val="18"/>
                <w:szCs w:val="18"/>
              </w:rPr>
            </w:pPr>
            <w:r>
              <w:rPr>
                <w:rFonts w:ascii="宋体" w:hAnsi="宋体" w:cs="宋体" w:eastAsia="宋体" w:hint="default"/>
                <w:sz w:val="18"/>
                <w:szCs w:val="18"/>
              </w:rPr>
              <w:t>未达到计 划进度或 预计收益 的情况和 </w:t>
            </w:r>
            <w:r>
              <w:rPr>
                <w:rFonts w:ascii="宋体" w:hAnsi="宋体" w:cs="宋体" w:eastAsia="宋体" w:hint="default"/>
                <w:spacing w:val="-12"/>
                <w:sz w:val="18"/>
                <w:szCs w:val="18"/>
              </w:rPr>
              <w:t>原因（分具</w:t>
            </w:r>
            <w:r>
              <w:rPr>
                <w:rFonts w:ascii="宋体" w:hAnsi="宋体" w:cs="宋体" w:eastAsia="宋体" w:hint="default"/>
                <w:sz w:val="18"/>
                <w:szCs w:val="18"/>
              </w:rPr>
              <w:t> 体项目）</w:t>
            </w:r>
          </w:p>
        </w:tc>
        <w:tc>
          <w:tcPr>
            <w:tcW w:w="8513" w:type="dxa"/>
            <w:gridSpan w:val="11"/>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 w:hanging="1"/>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）网络信息安全产品项目效益未达到预期主要原因是：随着互联网的发展，特别是大数据和互联网</w:t>
            </w:r>
            <w:r>
              <w:rPr>
                <w:rFonts w:ascii="宋体" w:hAnsi="宋体" w:cs="宋体" w:eastAsia="宋体" w:hint="default"/>
                <w:sz w:val="18"/>
                <w:szCs w:val="18"/>
              </w:rPr>
              <w:t>+</w:t>
            </w:r>
            <w:r>
              <w:rPr>
                <w:rFonts w:ascii="宋体" w:hAnsi="宋体" w:cs="宋体" w:eastAsia="宋体" w:hint="default"/>
                <w:sz w:val="18"/>
                <w:szCs w:val="18"/>
              </w:rPr>
              <w:t>概 念的提出，政府部门也逐渐地开始接受向社会购买服务产品。公司网络信息安全产品项目由单一的产品销 售向“小产品、大服务”的战略方向推进，研发和销售从过去的产品形态向互联网服务转变，目前虽有客 户开始逐渐转向购买服务，但数据服务和互联网信息服务都尚处在市场培育阶段，市场对新生的商业形式 和服务模式的认可需要一定的适应过程，在短期内尚未能实现规模效益，因此短期内将对公司的网络信息 安全产品项目收益造成一定的影响。公司通过与各子公司之间业务、渠道、研发等资源进行协调，促进了 </w:t>
            </w:r>
            <w:r>
              <w:rPr>
                <w:rFonts w:ascii="宋体" w:hAnsi="宋体" w:cs="宋体" w:eastAsia="宋体" w:hint="default"/>
                <w:spacing w:val="-2"/>
                <w:sz w:val="18"/>
                <w:szCs w:val="18"/>
              </w:rPr>
              <w:t>这块业务的集团整体效益的提升，降低了该影响。（</w:t>
            </w:r>
            <w:r>
              <w:rPr>
                <w:rFonts w:ascii="宋体" w:hAnsi="宋体" w:cs="宋体" w:eastAsia="宋体" w:hint="default"/>
                <w:spacing w:val="-2"/>
                <w:sz w:val="18"/>
                <w:szCs w:val="18"/>
              </w:rPr>
              <w:t>2</w:t>
            </w:r>
            <w:r>
              <w:rPr>
                <w:rFonts w:ascii="宋体" w:hAnsi="宋体" w:cs="宋体" w:eastAsia="宋体" w:hint="default"/>
                <w:spacing w:val="-2"/>
                <w:sz w:val="18"/>
                <w:szCs w:val="18"/>
              </w:rPr>
              <w:t>）超募</w:t>
            </w:r>
            <w:r>
              <w:rPr>
                <w:rFonts w:ascii="宋体" w:hAnsi="宋体" w:cs="宋体" w:eastAsia="宋体" w:hint="default"/>
                <w:spacing w:val="-2"/>
                <w:sz w:val="18"/>
                <w:szCs w:val="18"/>
              </w:rPr>
              <w:t>-</w:t>
            </w:r>
            <w:r>
              <w:rPr>
                <w:rFonts w:ascii="宋体" w:hAnsi="宋体" w:cs="宋体" w:eastAsia="宋体" w:hint="default"/>
                <w:spacing w:val="-2"/>
                <w:sz w:val="18"/>
                <w:szCs w:val="18"/>
              </w:rPr>
              <w:t>公证云项目效益未达到预期主要原因是：</w:t>
            </w:r>
            <w:r>
              <w:rPr>
                <w:rFonts w:ascii="宋体" w:hAnsi="宋体" w:cs="宋体" w:eastAsia="宋体" w:hint="default"/>
                <w:spacing w:val="-2"/>
                <w:sz w:val="18"/>
                <w:szCs w:val="18"/>
              </w:rPr>
              <w:t>1</w:t>
            </w:r>
            <w:r>
              <w:rPr>
                <w:rFonts w:ascii="宋体" w:hAnsi="宋体" w:cs="宋体" w:eastAsia="宋体" w:hint="default"/>
                <w:spacing w:val="-2"/>
                <w:sz w:val="18"/>
                <w:szCs w:val="18"/>
              </w:rPr>
              <w:t>）</w:t>
            </w:r>
            <w:r>
              <w:rPr>
                <w:rFonts w:ascii="宋体" w:hAnsi="宋体" w:cs="宋体" w:eastAsia="宋体" w:hint="default"/>
                <w:spacing w:val="-84"/>
                <w:sz w:val="18"/>
                <w:szCs w:val="18"/>
              </w:rPr>
              <w:t> </w:t>
            </w:r>
            <w:r>
              <w:rPr>
                <w:rFonts w:ascii="宋体" w:hAnsi="宋体" w:cs="宋体" w:eastAsia="宋体" w:hint="default"/>
                <w:sz w:val="18"/>
                <w:szCs w:val="18"/>
              </w:rPr>
              <w:t>从市场推广上说，电子数据取证、存证、出证的一站式服务属于市场细分领域，尚处于市场培育初期，对 相关政府执法部门以及社会公众，关于电子证据防范意识的教育还在持续进行中，需要不断投入市场推广 和宣传，才能让用户完成意识上认知到使用行为习惯的养成这一较为漫长的过程。可喜的是，该过程的投 入已经开始看到一些成果，</w:t>
            </w:r>
            <w:r>
              <w:rPr>
                <w:rFonts w:ascii="宋体" w:hAnsi="宋体" w:cs="宋体" w:eastAsia="宋体" w:hint="default"/>
                <w:sz w:val="18"/>
                <w:szCs w:val="18"/>
              </w:rPr>
              <w:t>2017</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日，国务院办公厅发布的《推行行政执法公示制度执法全过程 </w:t>
            </w:r>
            <w:r>
              <w:rPr>
                <w:rFonts w:ascii="宋体" w:hAnsi="宋体" w:cs="宋体" w:eastAsia="宋体" w:hint="default"/>
                <w:spacing w:val="-2"/>
                <w:sz w:val="18"/>
                <w:szCs w:val="18"/>
              </w:rPr>
              <w:t>记录制度重大执法决定法制审核制度试点工作方案》，推动了行政执法部门对电子数据存证的重要性的认</w:t>
            </w:r>
            <w:r>
              <w:rPr>
                <w:rFonts w:ascii="宋体" w:hAnsi="宋体" w:cs="宋体" w:eastAsia="宋体" w:hint="default"/>
                <w:sz w:val="18"/>
                <w:szCs w:val="18"/>
              </w:rPr>
              <w:t> 识；多地金融主管部门对于网贷平台电子合同存证的要求，也在一定程度上促进了电子数据存证在一些行 </w:t>
            </w:r>
            <w:r>
              <w:rPr>
                <w:rFonts w:ascii="宋体" w:hAnsi="宋体" w:cs="宋体" w:eastAsia="宋体" w:hint="default"/>
                <w:spacing w:val="-4"/>
                <w:sz w:val="18"/>
                <w:szCs w:val="18"/>
              </w:rPr>
              <w:t>业的普及。</w:t>
            </w:r>
            <w:r>
              <w:rPr>
                <w:rFonts w:ascii="宋体" w:hAnsi="宋体" w:cs="宋体" w:eastAsia="宋体" w:hint="default"/>
                <w:spacing w:val="-4"/>
                <w:sz w:val="18"/>
                <w:szCs w:val="18"/>
              </w:rPr>
              <w:t>2</w:t>
            </w:r>
            <w:r>
              <w:rPr>
                <w:rFonts w:ascii="宋体" w:hAnsi="宋体" w:cs="宋体" w:eastAsia="宋体" w:hint="default"/>
                <w:spacing w:val="-4"/>
                <w:sz w:val="18"/>
                <w:szCs w:val="18"/>
              </w:rPr>
              <w:t>）电子合同在线签约存证已经成为存证云收入的一项主要来源，该功能主要面向企业用户销售，</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但由于平均客单价不高，需要用户数量累积到一定程度才能体现较大规模收益，此外激烈的市场竞争、低 价竞争也是制约该服务迅速扩大销售业绩的一个主要因素。</w:t>
            </w:r>
          </w:p>
        </w:tc>
      </w:tr>
      <w:tr>
        <w:trPr>
          <w:trHeight w:val="674"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18"/>
              <w:jc w:val="left"/>
              <w:rPr>
                <w:rFonts w:ascii="宋体" w:hAnsi="宋体" w:cs="宋体" w:eastAsia="宋体" w:hint="default"/>
                <w:sz w:val="18"/>
                <w:szCs w:val="18"/>
              </w:rPr>
            </w:pPr>
            <w:r>
              <w:rPr>
                <w:rFonts w:ascii="宋体" w:hAnsi="宋体" w:cs="宋体" w:eastAsia="宋体" w:hint="default"/>
                <w:sz w:val="18"/>
                <w:szCs w:val="18"/>
              </w:rPr>
              <w:t>项目可行 性发生重</w:t>
            </w:r>
          </w:p>
        </w:tc>
        <w:tc>
          <w:tcPr>
            <w:tcW w:w="8513"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81" w:type="dxa"/>
        <w:tblLayout w:type="fixed"/>
        <w:tblCellMar>
          <w:top w:w="0" w:type="dxa"/>
          <w:left w:w="0" w:type="dxa"/>
          <w:bottom w:w="0" w:type="dxa"/>
          <w:right w:w="0" w:type="dxa"/>
        </w:tblCellMar>
        <w:tblLook w:val="01E0"/>
      </w:tblPr>
      <w:tblGrid>
        <w:gridCol w:w="1056"/>
        <w:gridCol w:w="8513"/>
      </w:tblGrid>
      <w:tr>
        <w:trPr>
          <w:trHeight w:val="674"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5" w:right="218"/>
              <w:jc w:val="left"/>
              <w:rPr>
                <w:rFonts w:ascii="宋体" w:hAnsi="宋体" w:cs="宋体" w:eastAsia="宋体" w:hint="default"/>
                <w:sz w:val="18"/>
                <w:szCs w:val="18"/>
              </w:rPr>
            </w:pPr>
            <w:r>
              <w:rPr>
                <w:rFonts w:ascii="宋体" w:hAnsi="宋体" w:cs="宋体" w:eastAsia="宋体" w:hint="default"/>
                <w:sz w:val="18"/>
                <w:szCs w:val="18"/>
              </w:rPr>
              <w:t>大变化的 情况说明</w:t>
            </w:r>
          </w:p>
        </w:tc>
        <w:tc>
          <w:tcPr>
            <w:tcW w:w="851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056" w:type="dxa"/>
            <w:vMerge w:val="restart"/>
            <w:tcBorders>
              <w:top w:val="single" w:sz="4" w:space="0" w:color="000000"/>
              <w:left w:val="single" w:sz="4" w:space="0" w:color="000000"/>
              <w:right w:val="single" w:sz="4" w:space="0" w:color="000000"/>
            </w:tcBorders>
          </w:tcPr>
          <w:p>
            <w:pPr>
              <w:pStyle w:val="TableParagraph"/>
              <w:spacing w:line="316" w:lineRule="auto" w:before="49"/>
              <w:ind w:left="105" w:right="98"/>
              <w:jc w:val="left"/>
              <w:rPr>
                <w:rFonts w:ascii="宋体" w:hAnsi="宋体" w:cs="宋体" w:eastAsia="宋体" w:hint="default"/>
                <w:sz w:val="18"/>
                <w:szCs w:val="18"/>
              </w:rPr>
            </w:pPr>
            <w:r>
              <w:rPr>
                <w:rFonts w:ascii="宋体" w:hAnsi="宋体" w:cs="宋体" w:eastAsia="宋体" w:hint="default"/>
                <w:sz w:val="18"/>
                <w:szCs w:val="18"/>
              </w:rPr>
              <w:t>超募资金 </w:t>
            </w:r>
            <w:r>
              <w:rPr>
                <w:rFonts w:ascii="宋体" w:hAnsi="宋体" w:cs="宋体" w:eastAsia="宋体" w:hint="default"/>
                <w:spacing w:val="-12"/>
                <w:sz w:val="18"/>
                <w:szCs w:val="18"/>
              </w:rPr>
              <w:t>的金额、用</w:t>
            </w:r>
            <w:r>
              <w:rPr>
                <w:rFonts w:ascii="宋体" w:hAnsi="宋体" w:cs="宋体" w:eastAsia="宋体" w:hint="default"/>
                <w:sz w:val="18"/>
                <w:szCs w:val="18"/>
              </w:rPr>
              <w:t> 途及使用 进展情况</w:t>
            </w:r>
          </w:p>
        </w:tc>
        <w:tc>
          <w:tcPr>
            <w:tcW w:w="8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3211" w:hRule="exact"/>
        </w:trPr>
        <w:tc>
          <w:tcPr>
            <w:tcW w:w="1056" w:type="dxa"/>
            <w:vMerge/>
            <w:tcBorders>
              <w:left w:val="single" w:sz="4" w:space="0" w:color="000000"/>
              <w:bottom w:val="single" w:sz="4" w:space="0" w:color="000000"/>
              <w:right w:val="single" w:sz="4" w:space="0" w:color="000000"/>
            </w:tcBorders>
          </w:tcPr>
          <w:p>
            <w:pPr/>
          </w:p>
        </w:tc>
        <w:tc>
          <w:tcPr>
            <w:tcW w:w="85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13"/>
              <w:jc w:val="left"/>
              <w:rPr>
                <w:rFonts w:ascii="宋体" w:hAnsi="宋体" w:cs="宋体" w:eastAsia="宋体" w:hint="default"/>
                <w:sz w:val="18"/>
                <w:szCs w:val="18"/>
              </w:rPr>
            </w:pPr>
            <w:r>
              <w:rPr>
                <w:rFonts w:ascii="宋体" w:hAnsi="宋体" w:cs="宋体" w:eastAsia="宋体" w:hint="default"/>
                <w:sz w:val="18"/>
                <w:szCs w:val="18"/>
              </w:rPr>
              <w:t>超募资金的金额、用途及使用进展情况：为合理利用好超募资金，公司制定了超募资金使用计划：①使用 超募资金人民币</w:t>
            </w:r>
            <w:r>
              <w:rPr>
                <w:rFonts w:ascii="宋体" w:hAnsi="宋体" w:cs="宋体" w:eastAsia="宋体" w:hint="default"/>
                <w:spacing w:val="-47"/>
                <w:sz w:val="18"/>
                <w:szCs w:val="18"/>
              </w:rPr>
              <w:t> </w:t>
            </w:r>
            <w:r>
              <w:rPr>
                <w:rFonts w:ascii="宋体" w:hAnsi="宋体" w:cs="宋体" w:eastAsia="宋体" w:hint="default"/>
                <w:sz w:val="18"/>
                <w:szCs w:val="18"/>
              </w:rPr>
              <w:t>1,363.15</w:t>
            </w:r>
            <w:r>
              <w:rPr>
                <w:rFonts w:ascii="宋体" w:hAnsi="宋体" w:cs="宋体" w:eastAsia="宋体" w:hint="default"/>
                <w:spacing w:val="-46"/>
                <w:sz w:val="18"/>
                <w:szCs w:val="18"/>
              </w:rPr>
              <w:t> </w:t>
            </w:r>
            <w:r>
              <w:rPr>
                <w:rFonts w:ascii="宋体" w:hAnsi="宋体" w:cs="宋体" w:eastAsia="宋体" w:hint="default"/>
                <w:sz w:val="18"/>
                <w:szCs w:val="18"/>
              </w:rPr>
              <w:t>万元投资建设电子数据公证云项目；②使用超募资金人民币</w:t>
            </w:r>
            <w:r>
              <w:rPr>
                <w:rFonts w:ascii="宋体" w:hAnsi="宋体" w:cs="宋体" w:eastAsia="宋体" w:hint="default"/>
                <w:spacing w:val="-47"/>
                <w:sz w:val="18"/>
                <w:szCs w:val="18"/>
              </w:rPr>
              <w:t> </w:t>
            </w:r>
            <w:r>
              <w:rPr>
                <w:rFonts w:ascii="宋体" w:hAnsi="宋体" w:cs="宋体" w:eastAsia="宋体" w:hint="default"/>
                <w:sz w:val="18"/>
                <w:szCs w:val="18"/>
              </w:rPr>
              <w:t>3,012.49</w:t>
            </w:r>
            <w:r>
              <w:rPr>
                <w:rFonts w:ascii="宋体" w:hAnsi="宋体" w:cs="宋体" w:eastAsia="宋体" w:hint="default"/>
                <w:spacing w:val="-46"/>
                <w:sz w:val="18"/>
                <w:szCs w:val="18"/>
              </w:rPr>
              <w:t> </w:t>
            </w:r>
            <w:r>
              <w:rPr>
                <w:rFonts w:ascii="宋体" w:hAnsi="宋体" w:cs="宋体" w:eastAsia="宋体" w:hint="default"/>
                <w:sz w:val="18"/>
                <w:szCs w:val="18"/>
              </w:rPr>
              <w:t>万元追加</w:t>
            </w:r>
          </w:p>
          <w:p>
            <w:pPr>
              <w:pStyle w:val="TableParagraph"/>
              <w:spacing w:line="240" w:lineRule="auto" w:before="18"/>
              <w:ind w:left="103" w:right="0"/>
              <w:jc w:val="left"/>
              <w:rPr>
                <w:rFonts w:ascii="宋体" w:hAnsi="宋体" w:cs="宋体" w:eastAsia="宋体" w:hint="default"/>
                <w:sz w:val="18"/>
                <w:szCs w:val="18"/>
              </w:rPr>
            </w:pPr>
            <w:r>
              <w:rPr>
                <w:rFonts w:ascii="宋体" w:hAnsi="宋体" w:cs="宋体" w:eastAsia="宋体" w:hint="default"/>
                <w:sz w:val="18"/>
                <w:szCs w:val="18"/>
              </w:rPr>
              <w:t>投资建设超算中心（云计算中心）项目；③使用超募资金人民币</w:t>
            </w:r>
            <w:r>
              <w:rPr>
                <w:rFonts w:ascii="宋体" w:hAnsi="宋体" w:cs="宋体" w:eastAsia="宋体" w:hint="default"/>
                <w:spacing w:val="-49"/>
                <w:sz w:val="18"/>
                <w:szCs w:val="18"/>
              </w:rPr>
              <w:t> </w:t>
            </w:r>
            <w:r>
              <w:rPr>
                <w:rFonts w:ascii="宋体" w:hAnsi="宋体" w:cs="宋体" w:eastAsia="宋体" w:hint="default"/>
                <w:sz w:val="18"/>
                <w:szCs w:val="18"/>
              </w:rPr>
              <w:t>16,468.61</w:t>
            </w:r>
            <w:r>
              <w:rPr>
                <w:rFonts w:ascii="宋体" w:hAnsi="宋体" w:cs="宋体" w:eastAsia="宋体" w:hint="default"/>
                <w:spacing w:val="-47"/>
                <w:sz w:val="18"/>
                <w:szCs w:val="18"/>
              </w:rPr>
              <w:t> </w:t>
            </w:r>
            <w:r>
              <w:rPr>
                <w:rFonts w:ascii="宋体" w:hAnsi="宋体" w:cs="宋体" w:eastAsia="宋体" w:hint="default"/>
                <w:sz w:val="18"/>
                <w:szCs w:val="18"/>
              </w:rPr>
              <w:t>万元购买大楼用于建设研发生</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产中心项目，该项目经公司</w:t>
            </w:r>
            <w:r>
              <w:rPr>
                <w:rFonts w:ascii="宋体" w:hAnsi="宋体" w:cs="宋体" w:eastAsia="宋体" w:hint="default"/>
                <w:spacing w:val="-46"/>
                <w:sz w:val="18"/>
                <w:szCs w:val="18"/>
              </w:rPr>
              <w:t> </w:t>
            </w:r>
            <w:r>
              <w:rPr>
                <w:rFonts w:ascii="宋体" w:hAnsi="宋体" w:cs="宋体" w:eastAsia="宋体" w:hint="default"/>
                <w:sz w:val="18"/>
                <w:szCs w:val="18"/>
              </w:rPr>
              <w:t>2011</w:t>
            </w:r>
            <w:r>
              <w:rPr>
                <w:rFonts w:ascii="宋体" w:hAnsi="宋体" w:cs="宋体" w:eastAsia="宋体" w:hint="default"/>
                <w:spacing w:val="-45"/>
                <w:sz w:val="18"/>
                <w:szCs w:val="18"/>
              </w:rPr>
              <w:t> </w:t>
            </w:r>
            <w:r>
              <w:rPr>
                <w:rFonts w:ascii="宋体" w:hAnsi="宋体" w:cs="宋体" w:eastAsia="宋体" w:hint="default"/>
                <w:sz w:val="18"/>
                <w:szCs w:val="18"/>
              </w:rPr>
              <w:t>年度股东大会审议通过，目前大楼已交房。④永久性补充流动资金</w:t>
            </w:r>
            <w:r>
              <w:rPr>
                <w:rFonts w:ascii="宋体" w:hAnsi="宋体" w:cs="宋体" w:eastAsia="宋体" w:hint="default"/>
                <w:spacing w:val="-46"/>
                <w:sz w:val="18"/>
                <w:szCs w:val="18"/>
              </w:rPr>
              <w:t> </w:t>
            </w:r>
            <w:r>
              <w:rPr>
                <w:rFonts w:ascii="宋体" w:hAnsi="宋体" w:cs="宋体" w:eastAsia="宋体" w:hint="default"/>
                <w:sz w:val="18"/>
                <w:szCs w:val="18"/>
              </w:rPr>
              <w:t>5000</w:t>
            </w:r>
          </w:p>
          <w:p>
            <w:pPr>
              <w:pStyle w:val="TableParagraph"/>
              <w:spacing w:line="316" w:lineRule="auto" w:before="76"/>
              <w:ind w:left="103" w:right="115"/>
              <w:jc w:val="left"/>
              <w:rPr>
                <w:rFonts w:ascii="宋体" w:hAnsi="宋体" w:cs="宋体" w:eastAsia="宋体" w:hint="default"/>
                <w:sz w:val="18"/>
                <w:szCs w:val="18"/>
              </w:rPr>
            </w:pPr>
            <w:r>
              <w:rPr>
                <w:rFonts w:ascii="宋体" w:hAnsi="宋体" w:cs="宋体" w:eastAsia="宋体" w:hint="default"/>
                <w:sz w:val="18"/>
                <w:szCs w:val="18"/>
              </w:rPr>
              <w:t>万元，该议案经</w:t>
            </w:r>
            <w:r>
              <w:rPr>
                <w:rFonts w:ascii="宋体" w:hAnsi="宋体" w:cs="宋体" w:eastAsia="宋体" w:hint="default"/>
                <w:spacing w:val="-47"/>
                <w:sz w:val="18"/>
                <w:szCs w:val="18"/>
              </w:rPr>
              <w:t> </w:t>
            </w:r>
            <w:r>
              <w:rPr>
                <w:rFonts w:ascii="宋体" w:hAnsi="宋体" w:cs="宋体" w:eastAsia="宋体" w:hint="default"/>
                <w:sz w:val="18"/>
                <w:szCs w:val="18"/>
              </w:rPr>
              <w:t>2012</w:t>
            </w:r>
            <w:r>
              <w:rPr>
                <w:rFonts w:ascii="宋体" w:hAnsi="宋体" w:cs="宋体" w:eastAsia="宋体" w:hint="default"/>
                <w:spacing w:val="-46"/>
                <w:sz w:val="18"/>
                <w:szCs w:val="18"/>
              </w:rPr>
              <w:t> </w:t>
            </w:r>
            <w:r>
              <w:rPr>
                <w:rFonts w:ascii="宋体" w:hAnsi="宋体" w:cs="宋体" w:eastAsia="宋体" w:hint="default"/>
                <w:sz w:val="18"/>
                <w:szCs w:val="18"/>
              </w:rPr>
              <w:t>年度股东大会审议通过后实施，目前</w:t>
            </w:r>
            <w:r>
              <w:rPr>
                <w:rFonts w:ascii="宋体" w:hAnsi="宋体" w:cs="宋体" w:eastAsia="宋体" w:hint="default"/>
                <w:spacing w:val="-47"/>
                <w:sz w:val="18"/>
                <w:szCs w:val="18"/>
              </w:rPr>
              <w:t> </w:t>
            </w:r>
            <w:r>
              <w:rPr>
                <w:rFonts w:ascii="宋体" w:hAnsi="宋体" w:cs="宋体" w:eastAsia="宋体" w:hint="default"/>
                <w:sz w:val="18"/>
                <w:szCs w:val="18"/>
              </w:rPr>
              <w:t>5000</w:t>
            </w:r>
            <w:r>
              <w:rPr>
                <w:rFonts w:ascii="宋体" w:hAnsi="宋体" w:cs="宋体" w:eastAsia="宋体" w:hint="default"/>
                <w:spacing w:val="-46"/>
                <w:sz w:val="18"/>
                <w:szCs w:val="18"/>
              </w:rPr>
              <w:t> </w:t>
            </w:r>
            <w:r>
              <w:rPr>
                <w:rFonts w:ascii="宋体" w:hAnsi="宋体" w:cs="宋体" w:eastAsia="宋体" w:hint="default"/>
                <w:sz w:val="18"/>
                <w:szCs w:val="18"/>
              </w:rPr>
              <w:t>万元超募资金已补充为流动资金。⑤使用 超募资金人民币</w:t>
            </w:r>
            <w:r>
              <w:rPr>
                <w:rFonts w:ascii="宋体" w:hAnsi="宋体" w:cs="宋体" w:eastAsia="宋体" w:hint="default"/>
                <w:spacing w:val="-47"/>
                <w:sz w:val="18"/>
                <w:szCs w:val="18"/>
              </w:rPr>
              <w:t> </w:t>
            </w:r>
            <w:r>
              <w:rPr>
                <w:rFonts w:ascii="宋体" w:hAnsi="宋体" w:cs="宋体" w:eastAsia="宋体" w:hint="default"/>
                <w:sz w:val="18"/>
                <w:szCs w:val="18"/>
              </w:rPr>
              <w:t>5854.8</w:t>
            </w:r>
            <w:r>
              <w:rPr>
                <w:rFonts w:ascii="宋体" w:hAnsi="宋体" w:cs="宋体" w:eastAsia="宋体" w:hint="default"/>
                <w:spacing w:val="-46"/>
                <w:sz w:val="18"/>
                <w:szCs w:val="18"/>
              </w:rPr>
              <w:t> </w:t>
            </w:r>
            <w:r>
              <w:rPr>
                <w:rFonts w:ascii="宋体" w:hAnsi="宋体" w:cs="宋体" w:eastAsia="宋体" w:hint="default"/>
                <w:sz w:val="18"/>
                <w:szCs w:val="18"/>
              </w:rPr>
              <w:t>万元，收购珠海新德汇公司</w:t>
            </w:r>
            <w:r>
              <w:rPr>
                <w:rFonts w:ascii="宋体" w:hAnsi="宋体" w:cs="宋体" w:eastAsia="宋体" w:hint="default"/>
                <w:spacing w:val="-47"/>
                <w:sz w:val="18"/>
                <w:szCs w:val="18"/>
              </w:rPr>
              <w:t> </w:t>
            </w:r>
            <w:r>
              <w:rPr>
                <w:rFonts w:ascii="宋体" w:hAnsi="宋体" w:cs="宋体" w:eastAsia="宋体" w:hint="default"/>
                <w:sz w:val="18"/>
                <w:szCs w:val="18"/>
              </w:rPr>
              <w:t>51%</w:t>
            </w:r>
            <w:r>
              <w:rPr>
                <w:rFonts w:ascii="宋体" w:hAnsi="宋体" w:cs="宋体" w:eastAsia="宋体" w:hint="default"/>
                <w:sz w:val="18"/>
                <w:szCs w:val="18"/>
              </w:rPr>
              <w:t>股权，该项目已完成工商变更登记手续。⑥</w:t>
            </w:r>
            <w:r>
              <w:rPr>
                <w:rFonts w:ascii="宋体" w:hAnsi="宋体" w:cs="宋体" w:eastAsia="宋体" w:hint="default"/>
                <w:sz w:val="18"/>
                <w:szCs w:val="18"/>
              </w:rPr>
              <w:t>2015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24</w:t>
            </w:r>
            <w:r>
              <w:rPr>
                <w:rFonts w:ascii="宋体" w:hAnsi="宋体" w:cs="宋体" w:eastAsia="宋体" w:hint="default"/>
                <w:spacing w:val="-45"/>
                <w:sz w:val="18"/>
                <w:szCs w:val="18"/>
              </w:rPr>
              <w:t> </w:t>
            </w:r>
            <w:r>
              <w:rPr>
                <w:rFonts w:ascii="宋体" w:hAnsi="宋体" w:cs="宋体" w:eastAsia="宋体" w:hint="default"/>
                <w:sz w:val="18"/>
                <w:szCs w:val="18"/>
              </w:rPr>
              <w:t>日公司召开第二届董事会第二十二次（临时）会议 审议通过《关于对深圳市中新赛克科技股份</w:t>
            </w:r>
          </w:p>
          <w:p>
            <w:pPr>
              <w:pStyle w:val="TableParagraph"/>
              <w:spacing w:line="240" w:lineRule="auto" w:before="18"/>
              <w:ind w:left="103" w:right="0"/>
              <w:jc w:val="left"/>
              <w:rPr>
                <w:rFonts w:ascii="宋体" w:hAnsi="宋体" w:cs="宋体" w:eastAsia="宋体" w:hint="default"/>
                <w:sz w:val="18"/>
                <w:szCs w:val="18"/>
              </w:rPr>
            </w:pPr>
            <w:r>
              <w:rPr>
                <w:rFonts w:ascii="宋体" w:hAnsi="宋体" w:cs="宋体" w:eastAsia="宋体" w:hint="default"/>
                <w:sz w:val="18"/>
                <w:szCs w:val="18"/>
              </w:rPr>
              <w:t>有限公司进行增资的议案》公司使用剩余超募资金及利息，部分自有资金合计</w:t>
            </w:r>
            <w:r>
              <w:rPr>
                <w:rFonts w:ascii="宋体" w:hAnsi="宋体" w:cs="宋体" w:eastAsia="宋体" w:hint="default"/>
                <w:spacing w:val="-47"/>
                <w:sz w:val="18"/>
                <w:szCs w:val="18"/>
              </w:rPr>
              <w:t> </w:t>
            </w:r>
            <w:r>
              <w:rPr>
                <w:rFonts w:ascii="宋体" w:hAnsi="宋体" w:cs="宋体" w:eastAsia="宋体" w:hint="default"/>
                <w:sz w:val="18"/>
                <w:szCs w:val="18"/>
              </w:rPr>
              <w:t>4,898.135</w:t>
            </w:r>
            <w:r>
              <w:rPr>
                <w:rFonts w:ascii="宋体" w:hAnsi="宋体" w:cs="宋体" w:eastAsia="宋体" w:hint="default"/>
                <w:spacing w:val="-48"/>
                <w:sz w:val="18"/>
                <w:szCs w:val="18"/>
              </w:rPr>
              <w:t> </w:t>
            </w:r>
            <w:r>
              <w:rPr>
                <w:rFonts w:ascii="宋体" w:hAnsi="宋体" w:cs="宋体" w:eastAsia="宋体" w:hint="default"/>
                <w:sz w:val="18"/>
                <w:szCs w:val="18"/>
              </w:rPr>
              <w:t>万元对中新赛克</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进行溢价增资，增资完成后，公司持有中新赛克</w:t>
            </w:r>
            <w:r>
              <w:rPr>
                <w:rFonts w:ascii="宋体" w:hAnsi="宋体" w:cs="宋体" w:eastAsia="宋体" w:hint="default"/>
                <w:spacing w:val="-46"/>
                <w:sz w:val="18"/>
                <w:szCs w:val="18"/>
              </w:rPr>
              <w:t> </w:t>
            </w:r>
            <w:r>
              <w:rPr>
                <w:rFonts w:ascii="宋体" w:hAnsi="宋体" w:cs="宋体" w:eastAsia="宋体" w:hint="default"/>
                <w:sz w:val="18"/>
                <w:szCs w:val="18"/>
              </w:rPr>
              <w:t>4.1%</w:t>
            </w:r>
            <w:r>
              <w:rPr>
                <w:rFonts w:ascii="宋体" w:hAnsi="宋体" w:cs="宋体" w:eastAsia="宋体" w:hint="default"/>
                <w:sz w:val="18"/>
                <w:szCs w:val="18"/>
              </w:rPr>
              <w:t>股权。截止</w:t>
            </w:r>
            <w:r>
              <w:rPr>
                <w:rFonts w:ascii="宋体" w:hAnsi="宋体" w:cs="宋体" w:eastAsia="宋体" w:hint="default"/>
                <w:spacing w:val="-46"/>
                <w:sz w:val="18"/>
                <w:szCs w:val="18"/>
              </w:rPr>
              <w:t> </w:t>
            </w:r>
            <w:r>
              <w:rPr>
                <w:rFonts w:ascii="宋体" w:hAnsi="宋体" w:cs="宋体" w:eastAsia="宋体" w:hint="default"/>
                <w:sz w:val="18"/>
                <w:szCs w:val="18"/>
              </w:rPr>
              <w:t>2019</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31</w:t>
            </w:r>
            <w:r>
              <w:rPr>
                <w:rFonts w:ascii="宋体" w:hAnsi="宋体" w:cs="宋体" w:eastAsia="宋体" w:hint="default"/>
                <w:spacing w:val="-45"/>
                <w:sz w:val="18"/>
                <w:szCs w:val="18"/>
              </w:rPr>
              <w:t> </w:t>
            </w:r>
            <w:r>
              <w:rPr>
                <w:rFonts w:ascii="宋体" w:hAnsi="宋体" w:cs="宋体" w:eastAsia="宋体" w:hint="default"/>
                <w:sz w:val="18"/>
                <w:szCs w:val="18"/>
              </w:rPr>
              <w:t>日公司已使用超募资金</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及利息</w:t>
            </w:r>
            <w:r>
              <w:rPr>
                <w:rFonts w:ascii="宋体" w:hAnsi="宋体" w:cs="宋体" w:eastAsia="宋体" w:hint="default"/>
                <w:spacing w:val="-48"/>
                <w:sz w:val="18"/>
                <w:szCs w:val="18"/>
              </w:rPr>
              <w:t> </w:t>
            </w:r>
            <w:r>
              <w:rPr>
                <w:rFonts w:ascii="宋体" w:hAnsi="宋体" w:cs="宋体" w:eastAsia="宋体" w:hint="default"/>
                <w:sz w:val="18"/>
                <w:szCs w:val="18"/>
              </w:rPr>
              <w:t>4072.283</w:t>
            </w:r>
            <w:r>
              <w:rPr>
                <w:rFonts w:ascii="宋体" w:hAnsi="宋体" w:cs="宋体" w:eastAsia="宋体" w:hint="default"/>
                <w:spacing w:val="-47"/>
                <w:sz w:val="18"/>
                <w:szCs w:val="18"/>
              </w:rPr>
              <w:t> </w:t>
            </w:r>
            <w:r>
              <w:rPr>
                <w:rFonts w:ascii="宋体" w:hAnsi="宋体" w:cs="宋体" w:eastAsia="宋体" w:hint="default"/>
                <w:sz w:val="18"/>
                <w:szCs w:val="18"/>
              </w:rPr>
              <w:t>万元（其中利息</w:t>
            </w:r>
            <w:r>
              <w:rPr>
                <w:rFonts w:ascii="宋体" w:hAnsi="宋体" w:cs="宋体" w:eastAsia="宋体" w:hint="default"/>
                <w:spacing w:val="-48"/>
                <w:sz w:val="18"/>
                <w:szCs w:val="18"/>
              </w:rPr>
              <w:t> </w:t>
            </w:r>
            <w:r>
              <w:rPr>
                <w:rFonts w:ascii="宋体" w:hAnsi="宋体" w:cs="宋体" w:eastAsia="宋体" w:hint="default"/>
                <w:sz w:val="18"/>
                <w:szCs w:val="18"/>
              </w:rPr>
              <w:t>2065.34</w:t>
            </w:r>
            <w:r>
              <w:rPr>
                <w:rFonts w:ascii="宋体" w:hAnsi="宋体" w:cs="宋体" w:eastAsia="宋体" w:hint="default"/>
                <w:spacing w:val="-47"/>
                <w:sz w:val="18"/>
                <w:szCs w:val="18"/>
              </w:rPr>
              <w:t> </w:t>
            </w:r>
            <w:r>
              <w:rPr>
                <w:rFonts w:ascii="宋体" w:hAnsi="宋体" w:cs="宋体" w:eastAsia="宋体" w:hint="default"/>
                <w:sz w:val="18"/>
                <w:szCs w:val="18"/>
              </w:rPr>
              <w:t>万元）及自有资金</w:t>
            </w:r>
            <w:r>
              <w:rPr>
                <w:rFonts w:ascii="宋体" w:hAnsi="宋体" w:cs="宋体" w:eastAsia="宋体" w:hint="default"/>
                <w:spacing w:val="-50"/>
                <w:sz w:val="18"/>
                <w:szCs w:val="18"/>
              </w:rPr>
              <w:t> </w:t>
            </w:r>
            <w:r>
              <w:rPr>
                <w:rFonts w:ascii="宋体" w:hAnsi="宋体" w:cs="宋体" w:eastAsia="宋体" w:hint="default"/>
                <w:sz w:val="18"/>
                <w:szCs w:val="18"/>
              </w:rPr>
              <w:t>825.852</w:t>
            </w:r>
            <w:r>
              <w:rPr>
                <w:rFonts w:ascii="宋体" w:hAnsi="宋体" w:cs="宋体" w:eastAsia="宋体" w:hint="default"/>
                <w:spacing w:val="-46"/>
                <w:sz w:val="18"/>
                <w:szCs w:val="18"/>
              </w:rPr>
              <w:t> </w:t>
            </w:r>
            <w:r>
              <w:rPr>
                <w:rFonts w:ascii="宋体" w:hAnsi="宋体" w:cs="宋体" w:eastAsia="宋体" w:hint="default"/>
                <w:sz w:val="18"/>
                <w:szCs w:val="18"/>
              </w:rPr>
              <w:t>万元支付中新赛克增资款。</w:t>
            </w:r>
          </w:p>
        </w:tc>
      </w:tr>
      <w:tr>
        <w:trPr>
          <w:trHeight w:val="1337"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18"/>
              <w:jc w:val="both"/>
              <w:rPr>
                <w:rFonts w:ascii="宋体" w:hAnsi="宋体" w:cs="宋体" w:eastAsia="宋体" w:hint="default"/>
                <w:sz w:val="18"/>
                <w:szCs w:val="18"/>
              </w:rPr>
            </w:pPr>
            <w:r>
              <w:rPr>
                <w:rFonts w:ascii="宋体" w:hAnsi="宋体" w:cs="宋体" w:eastAsia="宋体" w:hint="default"/>
                <w:sz w:val="18"/>
                <w:szCs w:val="18"/>
              </w:rPr>
              <w:t>募集资金 投资项目 实施地点 变更情况</w:t>
            </w:r>
          </w:p>
        </w:tc>
        <w:tc>
          <w:tcPr>
            <w:tcW w:w="8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1339"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18"/>
              <w:jc w:val="both"/>
              <w:rPr>
                <w:rFonts w:ascii="宋体" w:hAnsi="宋体" w:cs="宋体" w:eastAsia="宋体" w:hint="default"/>
                <w:sz w:val="18"/>
                <w:szCs w:val="18"/>
              </w:rPr>
            </w:pPr>
            <w:r>
              <w:rPr>
                <w:rFonts w:ascii="宋体" w:hAnsi="宋体" w:cs="宋体" w:eastAsia="宋体" w:hint="default"/>
                <w:sz w:val="18"/>
                <w:szCs w:val="18"/>
              </w:rPr>
              <w:t>募集资金 投资项目 实施方式 调整情况</w:t>
            </w:r>
          </w:p>
        </w:tc>
        <w:tc>
          <w:tcPr>
            <w:tcW w:w="8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1" w:hRule="exact"/>
        </w:trPr>
        <w:tc>
          <w:tcPr>
            <w:tcW w:w="1056" w:type="dxa"/>
            <w:vMerge w:val="restart"/>
            <w:tcBorders>
              <w:top w:val="single" w:sz="4" w:space="0" w:color="000000"/>
              <w:left w:val="single" w:sz="4" w:space="0" w:color="000000"/>
              <w:right w:val="single" w:sz="4" w:space="0" w:color="000000"/>
            </w:tcBorders>
          </w:tcPr>
          <w:p>
            <w:pPr>
              <w:pStyle w:val="TableParagraph"/>
              <w:spacing w:line="316" w:lineRule="auto" w:before="49"/>
              <w:ind w:left="105" w:right="218"/>
              <w:jc w:val="both"/>
              <w:rPr>
                <w:rFonts w:ascii="宋体" w:hAnsi="宋体" w:cs="宋体" w:eastAsia="宋体" w:hint="default"/>
                <w:sz w:val="18"/>
                <w:szCs w:val="18"/>
              </w:rPr>
            </w:pPr>
            <w:r>
              <w:rPr>
                <w:rFonts w:ascii="宋体" w:hAnsi="宋体" w:cs="宋体" w:eastAsia="宋体" w:hint="default"/>
                <w:sz w:val="18"/>
                <w:szCs w:val="18"/>
              </w:rPr>
              <w:t>募集资金 投资项目 先期投入 及置换情 况</w:t>
            </w:r>
          </w:p>
        </w:tc>
        <w:tc>
          <w:tcPr>
            <w:tcW w:w="8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3835" w:hRule="exact"/>
        </w:trPr>
        <w:tc>
          <w:tcPr>
            <w:tcW w:w="1056" w:type="dxa"/>
            <w:vMerge/>
            <w:tcBorders>
              <w:left w:val="single" w:sz="4" w:space="0" w:color="000000"/>
              <w:bottom w:val="single" w:sz="4" w:space="0" w:color="000000"/>
              <w:right w:val="single" w:sz="4" w:space="0" w:color="000000"/>
            </w:tcBorders>
          </w:tcPr>
          <w:p>
            <w:pPr/>
          </w:p>
        </w:tc>
        <w:tc>
          <w:tcPr>
            <w:tcW w:w="85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19"/>
              <w:jc w:val="both"/>
              <w:rPr>
                <w:rFonts w:ascii="宋体" w:hAnsi="宋体" w:cs="宋体" w:eastAsia="宋体" w:hint="default"/>
                <w:sz w:val="18"/>
                <w:szCs w:val="18"/>
              </w:rPr>
            </w:pPr>
            <w:r>
              <w:rPr>
                <w:rFonts w:ascii="宋体" w:hAnsi="宋体" w:cs="宋体" w:eastAsia="宋体" w:hint="default"/>
                <w:sz w:val="18"/>
                <w:szCs w:val="18"/>
              </w:rPr>
              <w:t>在首次公开发行股票募集资金到位之前，为保障募集资金投资项目的顺利进行，公司已使用自筹资金投入 部分募集资金投资项目的前期建设。截至</w:t>
            </w:r>
            <w:r>
              <w:rPr>
                <w:rFonts w:ascii="宋体" w:hAnsi="宋体" w:cs="宋体" w:eastAsia="宋体" w:hint="default"/>
                <w:spacing w:val="-46"/>
                <w:sz w:val="18"/>
                <w:szCs w:val="18"/>
              </w:rPr>
              <w:t> </w:t>
            </w:r>
            <w:r>
              <w:rPr>
                <w:rFonts w:ascii="宋体" w:hAnsi="宋体" w:cs="宋体" w:eastAsia="宋体" w:hint="default"/>
                <w:sz w:val="18"/>
                <w:szCs w:val="18"/>
              </w:rPr>
              <w:t>2011</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5"/>
                <w:sz w:val="18"/>
                <w:szCs w:val="18"/>
              </w:rPr>
              <w:t> </w:t>
            </w:r>
            <w:r>
              <w:rPr>
                <w:rFonts w:ascii="宋体" w:hAnsi="宋体" w:cs="宋体" w:eastAsia="宋体" w:hint="default"/>
                <w:sz w:val="18"/>
                <w:szCs w:val="18"/>
              </w:rPr>
              <w:t>日止，公司以自筹资金预先投入募投项目累计金</w:t>
            </w:r>
          </w:p>
          <w:p>
            <w:pPr>
              <w:pStyle w:val="TableParagraph"/>
              <w:spacing w:line="316" w:lineRule="auto" w:before="18"/>
              <w:ind w:left="103" w:right="98"/>
              <w:jc w:val="both"/>
              <w:rPr>
                <w:rFonts w:ascii="宋体" w:hAnsi="宋体" w:cs="宋体" w:eastAsia="宋体" w:hint="default"/>
                <w:sz w:val="18"/>
                <w:szCs w:val="18"/>
              </w:rPr>
            </w:pPr>
            <w:r>
              <w:rPr>
                <w:rFonts w:ascii="宋体" w:hAnsi="宋体" w:cs="宋体" w:eastAsia="宋体" w:hint="default"/>
                <w:sz w:val="18"/>
                <w:szCs w:val="18"/>
              </w:rPr>
              <w:t>额为</w:t>
            </w:r>
            <w:r>
              <w:rPr>
                <w:rFonts w:ascii="宋体" w:hAnsi="宋体" w:cs="宋体" w:eastAsia="宋体" w:hint="default"/>
                <w:spacing w:val="-54"/>
                <w:sz w:val="18"/>
                <w:szCs w:val="18"/>
              </w:rPr>
              <w:t> </w:t>
            </w:r>
            <w:r>
              <w:rPr>
                <w:rFonts w:ascii="宋体" w:hAnsi="宋体" w:cs="宋体" w:eastAsia="宋体" w:hint="default"/>
                <w:sz w:val="18"/>
                <w:szCs w:val="18"/>
              </w:rPr>
              <w:t>64,759,485.59</w:t>
            </w:r>
            <w:r>
              <w:rPr>
                <w:rFonts w:ascii="宋体" w:hAnsi="宋体" w:cs="宋体" w:eastAsia="宋体" w:hint="default"/>
                <w:spacing w:val="-53"/>
                <w:sz w:val="18"/>
                <w:szCs w:val="18"/>
              </w:rPr>
              <w:t> </w:t>
            </w:r>
            <w:r>
              <w:rPr>
                <w:rFonts w:ascii="宋体" w:hAnsi="宋体" w:cs="宋体" w:eastAsia="宋体" w:hint="default"/>
                <w:sz w:val="18"/>
                <w:szCs w:val="18"/>
              </w:rPr>
              <w:t>元，其中向中国工商银行股份有限公司厦门东区支行借款</w:t>
            </w:r>
            <w:r>
              <w:rPr>
                <w:rFonts w:ascii="宋体" w:hAnsi="宋体" w:cs="宋体" w:eastAsia="宋体" w:hint="default"/>
                <w:spacing w:val="-54"/>
                <w:sz w:val="18"/>
                <w:szCs w:val="18"/>
              </w:rPr>
              <w:t> </w:t>
            </w:r>
            <w:r>
              <w:rPr>
                <w:rFonts w:ascii="宋体" w:hAnsi="宋体" w:cs="宋体" w:eastAsia="宋体" w:hint="default"/>
                <w:sz w:val="18"/>
                <w:szCs w:val="18"/>
              </w:rPr>
              <w:t>761.00</w:t>
            </w:r>
            <w:r>
              <w:rPr>
                <w:rFonts w:ascii="宋体" w:hAnsi="宋体" w:cs="宋体" w:eastAsia="宋体" w:hint="default"/>
                <w:spacing w:val="-53"/>
                <w:sz w:val="18"/>
                <w:szCs w:val="18"/>
              </w:rPr>
              <w:t> </w:t>
            </w:r>
            <w:r>
              <w:rPr>
                <w:rFonts w:ascii="宋体" w:hAnsi="宋体" w:cs="宋体" w:eastAsia="宋体" w:hint="default"/>
                <w:spacing w:val="-5"/>
                <w:sz w:val="18"/>
                <w:szCs w:val="18"/>
              </w:rPr>
              <w:t>万元，其余为公司自</w:t>
            </w:r>
            <w:r>
              <w:rPr>
                <w:rFonts w:ascii="宋体" w:hAnsi="宋体" w:cs="宋体" w:eastAsia="宋体" w:hint="default"/>
                <w:sz w:val="18"/>
                <w:szCs w:val="18"/>
              </w:rPr>
              <w:t> 有资金。为提高资金利用率，降低财务成本，公司第一届董事会第十二次会议审议通过了《关于使用募集 资金置换公司预先已投入募集资金投资项目的自筹资金》的议案，拟置换人民币</w:t>
            </w:r>
            <w:r>
              <w:rPr>
                <w:rFonts w:ascii="宋体" w:hAnsi="宋体" w:cs="宋体" w:eastAsia="宋体" w:hint="default"/>
                <w:spacing w:val="-48"/>
                <w:sz w:val="18"/>
                <w:szCs w:val="18"/>
              </w:rPr>
              <w:t> </w:t>
            </w:r>
            <w:r>
              <w:rPr>
                <w:rFonts w:ascii="宋体" w:hAnsi="宋体" w:cs="宋体" w:eastAsia="宋体" w:hint="default"/>
                <w:sz w:val="18"/>
                <w:szCs w:val="18"/>
              </w:rPr>
              <w:t>64,759,485.59</w:t>
            </w:r>
            <w:r>
              <w:rPr>
                <w:rFonts w:ascii="宋体" w:hAnsi="宋体" w:cs="宋体" w:eastAsia="宋体" w:hint="default"/>
                <w:spacing w:val="-46"/>
                <w:sz w:val="18"/>
                <w:szCs w:val="18"/>
              </w:rPr>
              <w:t> </w:t>
            </w:r>
            <w:r>
              <w:rPr>
                <w:rFonts w:ascii="宋体" w:hAnsi="宋体" w:cs="宋体" w:eastAsia="宋体" w:hint="default"/>
                <w:sz w:val="18"/>
                <w:szCs w:val="18"/>
              </w:rPr>
              <w:t>元。天健 正信会计师事务所有限公司对公司前期以自筹资金投入募集资金投资项目的情况进行了专项审核，并出具 </w:t>
            </w:r>
            <w:r>
              <w:rPr>
                <w:rFonts w:ascii="宋体" w:hAnsi="宋体" w:cs="宋体" w:eastAsia="宋体" w:hint="default"/>
                <w:spacing w:val="-4"/>
                <w:sz w:val="18"/>
                <w:szCs w:val="18"/>
              </w:rPr>
              <w:t>了天健正信审（</w:t>
            </w:r>
            <w:r>
              <w:rPr>
                <w:rFonts w:ascii="宋体" w:hAnsi="宋体" w:cs="宋体" w:eastAsia="宋体" w:hint="default"/>
                <w:spacing w:val="-4"/>
                <w:sz w:val="18"/>
                <w:szCs w:val="18"/>
              </w:rPr>
              <w:t>2011</w:t>
            </w:r>
            <w:r>
              <w:rPr>
                <w:rFonts w:ascii="宋体" w:hAnsi="宋体" w:cs="宋体" w:eastAsia="宋体" w:hint="default"/>
                <w:spacing w:val="-4"/>
                <w:sz w:val="18"/>
                <w:szCs w:val="18"/>
              </w:rPr>
              <w:t>）专字第</w:t>
            </w:r>
            <w:r>
              <w:rPr>
                <w:rFonts w:ascii="宋体" w:hAnsi="宋体" w:cs="宋体" w:eastAsia="宋体" w:hint="default"/>
                <w:spacing w:val="-54"/>
                <w:sz w:val="18"/>
                <w:szCs w:val="18"/>
              </w:rPr>
              <w:t> </w:t>
            </w:r>
            <w:r>
              <w:rPr>
                <w:rFonts w:ascii="宋体" w:hAnsi="宋体" w:cs="宋体" w:eastAsia="宋体" w:hint="default"/>
                <w:sz w:val="18"/>
                <w:szCs w:val="18"/>
              </w:rPr>
              <w:t>020621</w:t>
            </w:r>
            <w:r>
              <w:rPr>
                <w:rFonts w:ascii="宋体" w:hAnsi="宋体" w:cs="宋体" w:eastAsia="宋体" w:hint="default"/>
                <w:spacing w:val="-51"/>
                <w:sz w:val="18"/>
                <w:szCs w:val="18"/>
              </w:rPr>
              <w:t> </w:t>
            </w:r>
            <w:r>
              <w:rPr>
                <w:rFonts w:ascii="宋体" w:hAnsi="宋体" w:cs="宋体" w:eastAsia="宋体" w:hint="default"/>
                <w:sz w:val="18"/>
                <w:szCs w:val="18"/>
              </w:rPr>
              <w:t>号《关于厦门市美亚柏科信息股份有限公司以自筹资金预先投入募投 </w:t>
            </w:r>
            <w:r>
              <w:rPr>
                <w:rFonts w:ascii="宋体" w:hAnsi="宋体" w:cs="宋体" w:eastAsia="宋体" w:hint="default"/>
                <w:spacing w:val="-4"/>
                <w:sz w:val="18"/>
                <w:szCs w:val="18"/>
              </w:rPr>
              <w:t>项目的鉴证报告》。监事会和独立董事发表了同意意见，履行了必要的审批程序。保荐机构国信证券股份有</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限公司进行了核查，对公司本次以募集资金置换预先已投入募集资金投资项目的自筹资金事项发表无异议 核查意见。以上事项公司已于</w:t>
            </w:r>
            <w:r>
              <w:rPr>
                <w:rFonts w:ascii="宋体" w:hAnsi="宋体" w:cs="宋体" w:eastAsia="宋体" w:hint="default"/>
                <w:spacing w:val="-46"/>
                <w:sz w:val="18"/>
                <w:szCs w:val="18"/>
              </w:rPr>
              <w:t> </w:t>
            </w:r>
            <w:r>
              <w:rPr>
                <w:rFonts w:ascii="宋体" w:hAnsi="宋体" w:cs="宋体" w:eastAsia="宋体" w:hint="default"/>
                <w:sz w:val="18"/>
                <w:szCs w:val="18"/>
              </w:rPr>
              <w:t>2011</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24</w:t>
            </w:r>
            <w:r>
              <w:rPr>
                <w:rFonts w:ascii="宋体" w:hAnsi="宋体" w:cs="宋体" w:eastAsia="宋体" w:hint="default"/>
                <w:spacing w:val="-45"/>
                <w:sz w:val="18"/>
                <w:szCs w:val="18"/>
              </w:rPr>
              <w:t> </w:t>
            </w:r>
            <w:r>
              <w:rPr>
                <w:rFonts w:ascii="宋体" w:hAnsi="宋体" w:cs="宋体" w:eastAsia="宋体" w:hint="default"/>
                <w:sz w:val="18"/>
                <w:szCs w:val="18"/>
              </w:rPr>
              <w:t>日在深圳证券交易所进行公告。截止</w:t>
            </w:r>
            <w:r>
              <w:rPr>
                <w:rFonts w:ascii="宋体" w:hAnsi="宋体" w:cs="宋体" w:eastAsia="宋体" w:hint="default"/>
                <w:spacing w:val="-46"/>
                <w:sz w:val="18"/>
                <w:szCs w:val="18"/>
              </w:rPr>
              <w:t> </w:t>
            </w:r>
            <w:r>
              <w:rPr>
                <w:rFonts w:ascii="宋体" w:hAnsi="宋体" w:cs="宋体" w:eastAsia="宋体" w:hint="default"/>
                <w:sz w:val="18"/>
                <w:szCs w:val="18"/>
              </w:rPr>
              <w:t>2011</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日，公</w:t>
            </w:r>
          </w:p>
          <w:p>
            <w:pPr>
              <w:pStyle w:val="TableParagraph"/>
              <w:spacing w:line="316" w:lineRule="auto" w:before="19"/>
              <w:ind w:left="103" w:right="100"/>
              <w:jc w:val="both"/>
              <w:rPr>
                <w:rFonts w:ascii="宋体" w:hAnsi="宋体" w:cs="宋体" w:eastAsia="宋体" w:hint="default"/>
                <w:sz w:val="18"/>
                <w:szCs w:val="18"/>
              </w:rPr>
            </w:pPr>
            <w:r>
              <w:rPr>
                <w:rFonts w:ascii="宋体" w:hAnsi="宋体" w:cs="宋体" w:eastAsia="宋体" w:hint="default"/>
                <w:spacing w:val="-3"/>
                <w:sz w:val="18"/>
                <w:szCs w:val="18"/>
              </w:rPr>
              <w:t>司已办理完募集资金置换手续。除此之外，截至</w:t>
            </w:r>
            <w:r>
              <w:rPr>
                <w:rFonts w:ascii="宋体" w:hAnsi="宋体" w:cs="宋体" w:eastAsia="宋体" w:hint="default"/>
                <w:spacing w:val="-48"/>
                <w:sz w:val="18"/>
                <w:szCs w:val="18"/>
              </w:rPr>
              <w:t> </w:t>
            </w:r>
            <w:r>
              <w:rPr>
                <w:rFonts w:ascii="宋体" w:hAnsi="宋体" w:cs="宋体" w:eastAsia="宋体" w:hint="default"/>
                <w:sz w:val="18"/>
                <w:szCs w:val="18"/>
              </w:rPr>
              <w:t>2019</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31</w:t>
            </w:r>
            <w:r>
              <w:rPr>
                <w:rFonts w:ascii="宋体" w:hAnsi="宋体" w:cs="宋体" w:eastAsia="宋体" w:hint="default"/>
                <w:spacing w:val="-47"/>
                <w:sz w:val="18"/>
                <w:szCs w:val="18"/>
              </w:rPr>
              <w:t> </w:t>
            </w:r>
            <w:r>
              <w:rPr>
                <w:rFonts w:ascii="宋体" w:hAnsi="宋体" w:cs="宋体" w:eastAsia="宋体" w:hint="default"/>
                <w:sz w:val="18"/>
                <w:szCs w:val="18"/>
              </w:rPr>
              <w:t>日，公司没有发生使用募集资金置换先期 投入的情况。</w:t>
            </w:r>
          </w:p>
        </w:tc>
      </w:tr>
      <w:tr>
        <w:trPr>
          <w:trHeight w:val="1649"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18"/>
              <w:jc w:val="both"/>
              <w:rPr>
                <w:rFonts w:ascii="宋体" w:hAnsi="宋体" w:cs="宋体" w:eastAsia="宋体" w:hint="default"/>
                <w:sz w:val="18"/>
                <w:szCs w:val="18"/>
              </w:rPr>
            </w:pPr>
            <w:r>
              <w:rPr>
                <w:rFonts w:ascii="宋体" w:hAnsi="宋体" w:cs="宋体" w:eastAsia="宋体" w:hint="default"/>
                <w:sz w:val="18"/>
                <w:szCs w:val="18"/>
              </w:rPr>
              <w:t>用闲置募 集资金暂 时补充流 动资金情 况</w:t>
            </w:r>
          </w:p>
        </w:tc>
        <w:tc>
          <w:tcPr>
            <w:tcW w:w="8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3" w:hRule="exact"/>
        </w:trPr>
        <w:tc>
          <w:tcPr>
            <w:tcW w:w="1056" w:type="dxa"/>
            <w:vMerge w:val="restart"/>
            <w:tcBorders>
              <w:top w:val="single" w:sz="4" w:space="0" w:color="000000"/>
              <w:left w:val="single" w:sz="4" w:space="0" w:color="000000"/>
              <w:right w:val="single" w:sz="4" w:space="0" w:color="000000"/>
            </w:tcBorders>
          </w:tcPr>
          <w:p>
            <w:pPr>
              <w:pStyle w:val="TableParagraph"/>
              <w:spacing w:line="316" w:lineRule="auto" w:before="49"/>
              <w:ind w:left="105" w:right="218"/>
              <w:jc w:val="both"/>
              <w:rPr>
                <w:rFonts w:ascii="宋体" w:hAnsi="宋体" w:cs="宋体" w:eastAsia="宋体" w:hint="default"/>
                <w:sz w:val="18"/>
                <w:szCs w:val="18"/>
              </w:rPr>
            </w:pPr>
            <w:r>
              <w:rPr>
                <w:rFonts w:ascii="宋体" w:hAnsi="宋体" w:cs="宋体" w:eastAsia="宋体" w:hint="default"/>
                <w:sz w:val="18"/>
                <w:szCs w:val="18"/>
              </w:rPr>
              <w:t>项目实施 出现募集 资金结余</w:t>
            </w:r>
          </w:p>
        </w:tc>
        <w:tc>
          <w:tcPr>
            <w:tcW w:w="8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674" w:hRule="exact"/>
        </w:trPr>
        <w:tc>
          <w:tcPr>
            <w:tcW w:w="1056" w:type="dxa"/>
            <w:vMerge/>
            <w:tcBorders>
              <w:left w:val="single" w:sz="4" w:space="0" w:color="000000"/>
              <w:bottom w:val="single" w:sz="4" w:space="0" w:color="000000"/>
              <w:right w:val="single" w:sz="4" w:space="0" w:color="000000"/>
            </w:tcBorders>
          </w:tcPr>
          <w:p>
            <w:pPr/>
          </w:p>
        </w:tc>
        <w:tc>
          <w:tcPr>
            <w:tcW w:w="8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截止</w:t>
            </w:r>
            <w:r>
              <w:rPr>
                <w:rFonts w:ascii="宋体" w:hAnsi="宋体" w:cs="宋体" w:eastAsia="宋体" w:hint="default"/>
                <w:spacing w:val="-40"/>
                <w:sz w:val="18"/>
                <w:szCs w:val="18"/>
              </w:rPr>
              <w:t> </w:t>
            </w:r>
            <w:r>
              <w:rPr>
                <w:rFonts w:ascii="宋体" w:hAnsi="宋体" w:cs="宋体" w:eastAsia="宋体" w:hint="default"/>
                <w:sz w:val="18"/>
                <w:szCs w:val="18"/>
              </w:rPr>
              <w:t>2013</w:t>
            </w:r>
            <w:r>
              <w:rPr>
                <w:rFonts w:ascii="宋体" w:hAnsi="宋体" w:cs="宋体" w:eastAsia="宋体" w:hint="default"/>
                <w:spacing w:val="-41"/>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宋体" w:hAnsi="宋体" w:cs="宋体" w:eastAsia="宋体" w:hint="default"/>
                <w:sz w:val="18"/>
                <w:szCs w:val="18"/>
              </w:rPr>
              <w:t>12</w:t>
            </w:r>
            <w:r>
              <w:rPr>
                <w:rFonts w:ascii="宋体" w:hAnsi="宋体" w:cs="宋体" w:eastAsia="宋体" w:hint="default"/>
                <w:spacing w:val="-38"/>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宋体" w:hAnsi="宋体" w:cs="宋体" w:eastAsia="宋体" w:hint="default"/>
                <w:sz w:val="18"/>
                <w:szCs w:val="18"/>
              </w:rPr>
              <w:t>31</w:t>
            </w:r>
            <w:r>
              <w:rPr>
                <w:rFonts w:ascii="宋体" w:hAnsi="宋体" w:cs="宋体" w:eastAsia="宋体" w:hint="default"/>
                <w:spacing w:val="-38"/>
                <w:sz w:val="18"/>
                <w:szCs w:val="18"/>
              </w:rPr>
              <w:t> </w:t>
            </w:r>
            <w:r>
              <w:rPr>
                <w:rFonts w:ascii="宋体" w:hAnsi="宋体" w:cs="宋体" w:eastAsia="宋体" w:hint="default"/>
                <w:spacing w:val="-3"/>
                <w:sz w:val="18"/>
                <w:szCs w:val="18"/>
              </w:rPr>
              <w:t>日电子数据取证产品项目、网络信息安全产品项目，超募资金投资电子数据公证云项</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目均已达到预定可使用状态，公司对上述三个项目实施结项；三个项目承诺投资总额</w:t>
            </w:r>
            <w:r>
              <w:rPr>
                <w:rFonts w:ascii="宋体" w:hAnsi="宋体" w:cs="宋体" w:eastAsia="宋体" w:hint="default"/>
                <w:spacing w:val="-47"/>
                <w:sz w:val="18"/>
                <w:szCs w:val="18"/>
              </w:rPr>
              <w:t> </w:t>
            </w:r>
            <w:r>
              <w:rPr>
                <w:rFonts w:ascii="宋体" w:hAnsi="宋体" w:cs="宋体" w:eastAsia="宋体" w:hint="default"/>
                <w:sz w:val="18"/>
                <w:szCs w:val="18"/>
              </w:rPr>
              <w:t>14,648.06</w:t>
            </w:r>
            <w:r>
              <w:rPr>
                <w:rFonts w:ascii="宋体" w:hAnsi="宋体" w:cs="宋体" w:eastAsia="宋体" w:hint="default"/>
                <w:spacing w:val="-46"/>
                <w:sz w:val="18"/>
                <w:szCs w:val="18"/>
              </w:rPr>
              <w:t> </w:t>
            </w:r>
            <w:r>
              <w:rPr>
                <w:rFonts w:ascii="宋体" w:hAnsi="宋体" w:cs="宋体" w:eastAsia="宋体" w:hint="default"/>
                <w:sz w:val="18"/>
                <w:szCs w:val="18"/>
              </w:rPr>
              <w:t>万元，项</w:t>
            </w:r>
          </w:p>
        </w:tc>
      </w:tr>
    </w:tbl>
    <w:p>
      <w:pPr>
        <w:spacing w:after="0" w:line="240"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81" w:type="dxa"/>
        <w:tblLayout w:type="fixed"/>
        <w:tblCellMar>
          <w:top w:w="0" w:type="dxa"/>
          <w:left w:w="0" w:type="dxa"/>
          <w:bottom w:w="0" w:type="dxa"/>
          <w:right w:w="0" w:type="dxa"/>
        </w:tblCellMar>
        <w:tblLook w:val="01E0"/>
      </w:tblPr>
      <w:tblGrid>
        <w:gridCol w:w="1056"/>
        <w:gridCol w:w="8513"/>
      </w:tblGrid>
      <w:tr>
        <w:trPr>
          <w:trHeight w:val="5354"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5" w:right="218"/>
              <w:jc w:val="left"/>
              <w:rPr>
                <w:rFonts w:ascii="宋体" w:hAnsi="宋体" w:cs="宋体" w:eastAsia="宋体" w:hint="default"/>
                <w:sz w:val="18"/>
                <w:szCs w:val="18"/>
              </w:rPr>
            </w:pPr>
            <w:r>
              <w:rPr>
                <w:rFonts w:ascii="宋体" w:hAnsi="宋体" w:cs="宋体" w:eastAsia="宋体" w:hint="default"/>
                <w:sz w:val="18"/>
                <w:szCs w:val="18"/>
              </w:rPr>
              <w:t>的金额及 原因</w:t>
            </w:r>
          </w:p>
        </w:tc>
        <w:tc>
          <w:tcPr>
            <w:tcW w:w="8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both"/>
              <w:rPr>
                <w:rFonts w:ascii="宋体" w:hAnsi="宋体" w:cs="宋体" w:eastAsia="宋体" w:hint="default"/>
                <w:sz w:val="18"/>
                <w:szCs w:val="18"/>
              </w:rPr>
            </w:pPr>
            <w:r>
              <w:rPr>
                <w:rFonts w:ascii="宋体" w:hAnsi="宋体" w:cs="宋体" w:eastAsia="宋体" w:hint="default"/>
                <w:sz w:val="18"/>
                <w:szCs w:val="18"/>
              </w:rPr>
              <w:t>目累计投入资金</w:t>
            </w:r>
            <w:r>
              <w:rPr>
                <w:rFonts w:ascii="宋体" w:hAnsi="宋体" w:cs="宋体" w:eastAsia="宋体" w:hint="default"/>
                <w:spacing w:val="-45"/>
                <w:sz w:val="18"/>
                <w:szCs w:val="18"/>
              </w:rPr>
              <w:t> </w:t>
            </w:r>
            <w:r>
              <w:rPr>
                <w:rFonts w:ascii="宋体" w:hAnsi="宋体" w:cs="宋体" w:eastAsia="宋体" w:hint="default"/>
                <w:spacing w:val="1"/>
                <w:sz w:val="18"/>
                <w:szCs w:val="18"/>
              </w:rPr>
              <w:t>1</w:t>
            </w:r>
            <w:r>
              <w:rPr>
                <w:rFonts w:ascii="宋体" w:hAnsi="宋体" w:cs="宋体" w:eastAsia="宋体" w:hint="default"/>
                <w:spacing w:val="-2"/>
                <w:sz w:val="18"/>
                <w:szCs w:val="18"/>
              </w:rPr>
              <w:t>4</w:t>
            </w:r>
            <w:r>
              <w:rPr>
                <w:rFonts w:ascii="宋体" w:hAnsi="宋体" w:cs="宋体" w:eastAsia="宋体" w:hint="default"/>
                <w:spacing w:val="1"/>
                <w:sz w:val="18"/>
                <w:szCs w:val="18"/>
              </w:rPr>
              <w:t>,</w:t>
            </w:r>
            <w:r>
              <w:rPr>
                <w:rFonts w:ascii="宋体" w:hAnsi="宋体" w:cs="宋体" w:eastAsia="宋体" w:hint="default"/>
                <w:spacing w:val="-2"/>
                <w:sz w:val="18"/>
                <w:szCs w:val="18"/>
              </w:rPr>
              <w:t>5</w:t>
            </w:r>
            <w:r>
              <w:rPr>
                <w:rFonts w:ascii="宋体" w:hAnsi="宋体" w:cs="宋体" w:eastAsia="宋体" w:hint="default"/>
                <w:spacing w:val="1"/>
                <w:sz w:val="18"/>
                <w:szCs w:val="18"/>
              </w:rPr>
              <w:t>0</w:t>
            </w:r>
            <w:r>
              <w:rPr>
                <w:rFonts w:ascii="宋体" w:hAnsi="宋体" w:cs="宋体" w:eastAsia="宋体" w:hint="default"/>
                <w:spacing w:val="-2"/>
                <w:sz w:val="18"/>
                <w:szCs w:val="18"/>
              </w:rPr>
              <w:t>0</w:t>
            </w:r>
            <w:r>
              <w:rPr>
                <w:rFonts w:ascii="宋体" w:hAnsi="宋体" w:cs="宋体" w:eastAsia="宋体" w:hint="default"/>
                <w:spacing w:val="1"/>
                <w:sz w:val="18"/>
                <w:szCs w:val="18"/>
              </w:rPr>
              <w:t>.</w:t>
            </w:r>
            <w:r>
              <w:rPr>
                <w:rFonts w:ascii="宋体" w:hAnsi="宋体" w:cs="宋体" w:eastAsia="宋体" w:hint="default"/>
                <w:spacing w:val="-2"/>
                <w:sz w:val="18"/>
                <w:szCs w:val="18"/>
              </w:rPr>
              <w:t>4</w:t>
            </w:r>
            <w:r>
              <w:rPr>
                <w:rFonts w:ascii="宋体" w:hAnsi="宋体" w:cs="宋体" w:eastAsia="宋体" w:hint="default"/>
                <w:sz w:val="18"/>
                <w:szCs w:val="18"/>
              </w:rPr>
              <w:t>5</w:t>
            </w:r>
            <w:r>
              <w:rPr>
                <w:rFonts w:ascii="宋体" w:hAnsi="宋体" w:cs="宋体" w:eastAsia="宋体" w:hint="default"/>
                <w:spacing w:val="-43"/>
                <w:sz w:val="18"/>
                <w:szCs w:val="18"/>
              </w:rPr>
              <w:t> </w:t>
            </w:r>
            <w:r>
              <w:rPr>
                <w:rFonts w:ascii="宋体" w:hAnsi="宋体" w:cs="宋体" w:eastAsia="宋体" w:hint="default"/>
                <w:spacing w:val="-3"/>
                <w:sz w:val="18"/>
                <w:szCs w:val="18"/>
              </w:rPr>
              <w:t>万</w:t>
            </w:r>
            <w:r>
              <w:rPr>
                <w:rFonts w:ascii="宋体" w:hAnsi="宋体" w:cs="宋体" w:eastAsia="宋体" w:hint="default"/>
                <w:sz w:val="18"/>
                <w:szCs w:val="18"/>
              </w:rPr>
              <w:t>元，结余募集资金</w:t>
            </w:r>
            <w:r>
              <w:rPr>
                <w:rFonts w:ascii="宋体" w:hAnsi="宋体" w:cs="宋体" w:eastAsia="宋体" w:hint="default"/>
                <w:spacing w:val="-45"/>
                <w:sz w:val="18"/>
                <w:szCs w:val="18"/>
              </w:rPr>
              <w:t> </w:t>
            </w:r>
            <w:r>
              <w:rPr>
                <w:rFonts w:ascii="宋体" w:hAnsi="宋体" w:cs="宋体" w:eastAsia="宋体" w:hint="default"/>
                <w:spacing w:val="1"/>
                <w:sz w:val="18"/>
                <w:szCs w:val="18"/>
              </w:rPr>
              <w:t>1</w:t>
            </w:r>
            <w:r>
              <w:rPr>
                <w:rFonts w:ascii="宋体" w:hAnsi="宋体" w:cs="宋体" w:eastAsia="宋体" w:hint="default"/>
                <w:spacing w:val="-2"/>
                <w:sz w:val="18"/>
                <w:szCs w:val="18"/>
              </w:rPr>
              <w:t>4</w:t>
            </w:r>
            <w:r>
              <w:rPr>
                <w:rFonts w:ascii="宋体" w:hAnsi="宋体" w:cs="宋体" w:eastAsia="宋体" w:hint="default"/>
                <w:spacing w:val="1"/>
                <w:sz w:val="18"/>
                <w:szCs w:val="18"/>
              </w:rPr>
              <w:t>7</w:t>
            </w:r>
            <w:r>
              <w:rPr>
                <w:rFonts w:ascii="宋体" w:hAnsi="宋体" w:cs="宋体" w:eastAsia="宋体" w:hint="default"/>
                <w:spacing w:val="-2"/>
                <w:sz w:val="18"/>
                <w:szCs w:val="18"/>
              </w:rPr>
              <w:t>.</w:t>
            </w:r>
            <w:r>
              <w:rPr>
                <w:rFonts w:ascii="宋体" w:hAnsi="宋体" w:cs="宋体" w:eastAsia="宋体" w:hint="default"/>
                <w:spacing w:val="1"/>
                <w:sz w:val="18"/>
                <w:szCs w:val="18"/>
              </w:rPr>
              <w:t>6</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万</w:t>
            </w:r>
            <w:r>
              <w:rPr>
                <w:rFonts w:ascii="宋体" w:hAnsi="宋体" w:cs="宋体" w:eastAsia="宋体" w:hint="default"/>
                <w:spacing w:val="-3"/>
                <w:sz w:val="18"/>
                <w:szCs w:val="18"/>
              </w:rPr>
              <w:t>元</w:t>
            </w:r>
            <w:r>
              <w:rPr>
                <w:rFonts w:ascii="宋体" w:hAnsi="宋体" w:cs="宋体" w:eastAsia="宋体" w:hint="default"/>
                <w:sz w:val="18"/>
                <w:szCs w:val="18"/>
              </w:rPr>
              <w:t>（不含利息收入</w:t>
            </w:r>
            <w:r>
              <w:rPr>
                <w:rFonts w:ascii="宋体" w:hAnsi="宋体" w:cs="宋体" w:eastAsia="宋体" w:hint="default"/>
                <w:spacing w:val="-92"/>
                <w:sz w:val="18"/>
                <w:szCs w:val="18"/>
              </w:rPr>
              <w:t>）</w:t>
            </w:r>
            <w:r>
              <w:rPr>
                <w:rFonts w:ascii="宋体" w:hAnsi="宋体" w:cs="宋体" w:eastAsia="宋体" w:hint="default"/>
                <w:sz w:val="18"/>
                <w:szCs w:val="18"/>
              </w:rPr>
              <w:t>，其中：电</w:t>
            </w:r>
            <w:r>
              <w:rPr>
                <w:rFonts w:ascii="宋体" w:hAnsi="宋体" w:cs="宋体" w:eastAsia="宋体" w:hint="default"/>
                <w:spacing w:val="2"/>
                <w:sz w:val="18"/>
                <w:szCs w:val="18"/>
              </w:rPr>
              <w:t>子</w:t>
            </w:r>
            <w:r>
              <w:rPr>
                <w:rFonts w:ascii="宋体" w:hAnsi="宋体" w:cs="宋体" w:eastAsia="宋体" w:hint="default"/>
                <w:sz w:val="18"/>
                <w:szCs w:val="18"/>
              </w:rPr>
              <w:t>数据取证产品</w:t>
            </w:r>
          </w:p>
          <w:p>
            <w:pPr>
              <w:pStyle w:val="TableParagraph"/>
              <w:spacing w:line="240" w:lineRule="auto" w:before="76"/>
              <w:ind w:left="103" w:right="0"/>
              <w:jc w:val="both"/>
              <w:rPr>
                <w:rFonts w:ascii="宋体" w:hAnsi="宋体" w:cs="宋体" w:eastAsia="宋体" w:hint="default"/>
                <w:sz w:val="18"/>
                <w:szCs w:val="18"/>
              </w:rPr>
            </w:pPr>
            <w:r>
              <w:rPr>
                <w:rFonts w:ascii="宋体" w:hAnsi="宋体" w:cs="宋体" w:eastAsia="宋体" w:hint="default"/>
                <w:sz w:val="18"/>
                <w:szCs w:val="18"/>
              </w:rPr>
              <w:t>项目节余资金</w:t>
            </w:r>
            <w:r>
              <w:rPr>
                <w:rFonts w:ascii="宋体" w:hAnsi="宋体" w:cs="宋体" w:eastAsia="宋体" w:hint="default"/>
                <w:spacing w:val="-48"/>
                <w:sz w:val="18"/>
                <w:szCs w:val="18"/>
              </w:rPr>
              <w:t> </w:t>
            </w:r>
            <w:r>
              <w:rPr>
                <w:rFonts w:ascii="宋体" w:hAnsi="宋体" w:cs="宋体" w:eastAsia="宋体" w:hint="default"/>
                <w:sz w:val="18"/>
                <w:szCs w:val="18"/>
              </w:rPr>
              <w:t>53.67</w:t>
            </w:r>
            <w:r>
              <w:rPr>
                <w:rFonts w:ascii="宋体" w:hAnsi="宋体" w:cs="宋体" w:eastAsia="宋体" w:hint="default"/>
                <w:spacing w:val="-47"/>
                <w:sz w:val="18"/>
                <w:szCs w:val="18"/>
              </w:rPr>
              <w:t> </w:t>
            </w:r>
            <w:r>
              <w:rPr>
                <w:rFonts w:ascii="宋体" w:hAnsi="宋体" w:cs="宋体" w:eastAsia="宋体" w:hint="default"/>
                <w:sz w:val="18"/>
                <w:szCs w:val="18"/>
              </w:rPr>
              <w:t>万元；网络信息安全产品项目结余资金</w:t>
            </w:r>
            <w:r>
              <w:rPr>
                <w:rFonts w:ascii="宋体" w:hAnsi="宋体" w:cs="宋体" w:eastAsia="宋体" w:hint="default"/>
                <w:spacing w:val="-48"/>
                <w:sz w:val="18"/>
                <w:szCs w:val="18"/>
              </w:rPr>
              <w:t> </w:t>
            </w:r>
            <w:r>
              <w:rPr>
                <w:rFonts w:ascii="宋体" w:hAnsi="宋体" w:cs="宋体" w:eastAsia="宋体" w:hint="default"/>
                <w:sz w:val="18"/>
                <w:szCs w:val="18"/>
              </w:rPr>
              <w:t>32.87</w:t>
            </w:r>
            <w:r>
              <w:rPr>
                <w:rFonts w:ascii="宋体" w:hAnsi="宋体" w:cs="宋体" w:eastAsia="宋体" w:hint="default"/>
                <w:spacing w:val="-47"/>
                <w:sz w:val="18"/>
                <w:szCs w:val="18"/>
              </w:rPr>
              <w:t> </w:t>
            </w:r>
            <w:r>
              <w:rPr>
                <w:rFonts w:ascii="宋体" w:hAnsi="宋体" w:cs="宋体" w:eastAsia="宋体" w:hint="default"/>
                <w:sz w:val="18"/>
                <w:szCs w:val="18"/>
              </w:rPr>
              <w:t>万元；电子数据公证云项目节余资金</w:t>
            </w:r>
          </w:p>
          <w:p>
            <w:pPr>
              <w:pStyle w:val="TableParagraph"/>
              <w:spacing w:line="316" w:lineRule="auto" w:before="76"/>
              <w:ind w:left="103" w:right="101" w:hanging="1"/>
              <w:jc w:val="both"/>
              <w:rPr>
                <w:rFonts w:ascii="宋体" w:hAnsi="宋体" w:cs="宋体" w:eastAsia="宋体" w:hint="default"/>
                <w:sz w:val="18"/>
                <w:szCs w:val="18"/>
              </w:rPr>
            </w:pPr>
            <w:r>
              <w:rPr>
                <w:rFonts w:ascii="宋体" w:hAnsi="宋体" w:cs="宋体" w:eastAsia="宋体" w:hint="default"/>
                <w:spacing w:val="-1"/>
                <w:sz w:val="18"/>
                <w:szCs w:val="18"/>
              </w:rPr>
              <w:t>61.07</w:t>
            </w:r>
            <w:r>
              <w:rPr>
                <w:rFonts w:ascii="宋体" w:hAnsi="宋体" w:cs="宋体" w:eastAsia="宋体" w:hint="default"/>
                <w:spacing w:val="-38"/>
                <w:sz w:val="18"/>
                <w:szCs w:val="18"/>
              </w:rPr>
              <w:t> </w:t>
            </w:r>
            <w:r>
              <w:rPr>
                <w:rFonts w:ascii="宋体" w:hAnsi="宋体" w:cs="宋体" w:eastAsia="宋体" w:hint="default"/>
                <w:spacing w:val="-2"/>
                <w:sz w:val="18"/>
                <w:szCs w:val="18"/>
              </w:rPr>
              <w:t>万元；结余金额占承诺投资募集资金的</w:t>
            </w:r>
            <w:r>
              <w:rPr>
                <w:rFonts w:ascii="宋体" w:hAnsi="宋体" w:cs="宋体" w:eastAsia="宋体" w:hint="default"/>
                <w:spacing w:val="-39"/>
                <w:sz w:val="18"/>
                <w:szCs w:val="18"/>
              </w:rPr>
              <w:t> </w:t>
            </w:r>
            <w:r>
              <w:rPr>
                <w:rFonts w:ascii="宋体" w:hAnsi="宋体" w:cs="宋体" w:eastAsia="宋体" w:hint="default"/>
                <w:spacing w:val="-2"/>
                <w:sz w:val="18"/>
                <w:szCs w:val="18"/>
              </w:rPr>
              <w:t>1.01%</w:t>
            </w:r>
            <w:r>
              <w:rPr>
                <w:rFonts w:ascii="宋体" w:hAnsi="宋体" w:cs="宋体" w:eastAsia="宋体" w:hint="default"/>
                <w:spacing w:val="-2"/>
                <w:sz w:val="18"/>
                <w:szCs w:val="18"/>
              </w:rPr>
              <w:t>，不存在重大差异。上述三个项目募集资金结余主要原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因为公司充分结合自身的技术优势、经验及现有的设备配置，在资源充分利用的前提下，对项目环节进行 优化，减少了部分设备采购。截止</w:t>
            </w:r>
            <w:r>
              <w:rPr>
                <w:rFonts w:ascii="宋体" w:hAnsi="宋体" w:cs="宋体" w:eastAsia="宋体" w:hint="default"/>
                <w:spacing w:val="-46"/>
                <w:sz w:val="18"/>
                <w:szCs w:val="18"/>
              </w:rPr>
              <w:t> </w:t>
            </w:r>
            <w:r>
              <w:rPr>
                <w:rFonts w:ascii="宋体" w:hAnsi="宋体" w:cs="宋体" w:eastAsia="宋体" w:hint="default"/>
                <w:sz w:val="18"/>
                <w:szCs w:val="18"/>
              </w:rPr>
              <w:t>2014</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日公司已办理完上述三个项目结余资金及利息永久补充</w:t>
            </w:r>
          </w:p>
          <w:p>
            <w:pPr>
              <w:pStyle w:val="TableParagraph"/>
              <w:spacing w:line="316" w:lineRule="auto" w:before="18"/>
              <w:ind w:left="102" w:right="101"/>
              <w:jc w:val="both"/>
              <w:rPr>
                <w:rFonts w:ascii="宋体" w:hAnsi="宋体" w:cs="宋体" w:eastAsia="宋体" w:hint="default"/>
                <w:sz w:val="18"/>
                <w:szCs w:val="18"/>
              </w:rPr>
            </w:pPr>
            <w:r>
              <w:rPr>
                <w:rFonts w:ascii="宋体" w:hAnsi="宋体" w:cs="宋体" w:eastAsia="宋体" w:hint="default"/>
                <w:spacing w:val="-3"/>
                <w:sz w:val="18"/>
                <w:szCs w:val="18"/>
              </w:rPr>
              <w:t>公司流动资金，并注销相关募集资金专项账户手续。截止</w:t>
            </w:r>
            <w:r>
              <w:rPr>
                <w:rFonts w:ascii="宋体" w:hAnsi="宋体" w:cs="宋体" w:eastAsia="宋体" w:hint="default"/>
                <w:spacing w:val="-47"/>
                <w:sz w:val="18"/>
                <w:szCs w:val="18"/>
              </w:rPr>
              <w:t> </w:t>
            </w:r>
            <w:r>
              <w:rPr>
                <w:rFonts w:ascii="宋体" w:hAnsi="宋体" w:cs="宋体" w:eastAsia="宋体" w:hint="default"/>
                <w:sz w:val="18"/>
                <w:szCs w:val="18"/>
              </w:rPr>
              <w:t>2014</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日电子数据鉴定及互联网知识产 权保护等服务项目、超募资金追加投资超算中心（云计算）项目已达预定可使用状态，公司拟对这两个项 目实施结项，两个项目承诺投资总额</w:t>
            </w:r>
            <w:r>
              <w:rPr>
                <w:rFonts w:ascii="宋体" w:hAnsi="宋体" w:cs="宋体" w:eastAsia="宋体" w:hint="default"/>
                <w:spacing w:val="-48"/>
                <w:sz w:val="18"/>
                <w:szCs w:val="18"/>
              </w:rPr>
              <w:t> </w:t>
            </w:r>
            <w:r>
              <w:rPr>
                <w:rFonts w:ascii="宋体" w:hAnsi="宋体" w:cs="宋体" w:eastAsia="宋体" w:hint="default"/>
                <w:sz w:val="18"/>
                <w:szCs w:val="18"/>
              </w:rPr>
              <w:t>6,472.44</w:t>
            </w:r>
            <w:r>
              <w:rPr>
                <w:rFonts w:ascii="宋体" w:hAnsi="宋体" w:cs="宋体" w:eastAsia="宋体" w:hint="default"/>
                <w:spacing w:val="-47"/>
                <w:sz w:val="18"/>
                <w:szCs w:val="18"/>
              </w:rPr>
              <w:t> </w:t>
            </w:r>
            <w:r>
              <w:rPr>
                <w:rFonts w:ascii="宋体" w:hAnsi="宋体" w:cs="宋体" w:eastAsia="宋体" w:hint="default"/>
                <w:sz w:val="18"/>
                <w:szCs w:val="18"/>
              </w:rPr>
              <w:t>万元，项目累计投入资金</w:t>
            </w:r>
            <w:r>
              <w:rPr>
                <w:rFonts w:ascii="宋体" w:hAnsi="宋体" w:cs="宋体" w:eastAsia="宋体" w:hint="default"/>
                <w:spacing w:val="-48"/>
                <w:sz w:val="18"/>
                <w:szCs w:val="18"/>
              </w:rPr>
              <w:t> </w:t>
            </w:r>
            <w:r>
              <w:rPr>
                <w:rFonts w:ascii="宋体" w:hAnsi="宋体" w:cs="宋体" w:eastAsia="宋体" w:hint="default"/>
                <w:sz w:val="18"/>
                <w:szCs w:val="18"/>
              </w:rPr>
              <w:t>6,162.21</w:t>
            </w:r>
            <w:r>
              <w:rPr>
                <w:rFonts w:ascii="宋体" w:hAnsi="宋体" w:cs="宋体" w:eastAsia="宋体" w:hint="default"/>
                <w:spacing w:val="-47"/>
                <w:sz w:val="18"/>
                <w:szCs w:val="18"/>
              </w:rPr>
              <w:t> </w:t>
            </w:r>
            <w:r>
              <w:rPr>
                <w:rFonts w:ascii="宋体" w:hAnsi="宋体" w:cs="宋体" w:eastAsia="宋体" w:hint="default"/>
                <w:sz w:val="18"/>
                <w:szCs w:val="18"/>
              </w:rPr>
              <w:t>万元，结余募集资金</w:t>
            </w:r>
          </w:p>
          <w:p>
            <w:pPr>
              <w:pStyle w:val="TableParagraph"/>
              <w:spacing w:line="316" w:lineRule="auto" w:before="18"/>
              <w:ind w:left="102" w:right="118" w:hanging="1"/>
              <w:jc w:val="both"/>
              <w:rPr>
                <w:rFonts w:ascii="宋体" w:hAnsi="宋体" w:cs="宋体" w:eastAsia="宋体" w:hint="default"/>
                <w:sz w:val="18"/>
                <w:szCs w:val="18"/>
              </w:rPr>
            </w:pPr>
            <w:r>
              <w:rPr>
                <w:rFonts w:ascii="宋体" w:hAnsi="宋体" w:cs="宋体" w:eastAsia="宋体" w:hint="default"/>
                <w:sz w:val="18"/>
                <w:szCs w:val="18"/>
              </w:rPr>
              <w:t>310.25</w:t>
            </w:r>
            <w:r>
              <w:rPr>
                <w:rFonts w:ascii="宋体" w:hAnsi="宋体" w:cs="宋体" w:eastAsia="宋体" w:hint="default"/>
                <w:spacing w:val="-48"/>
                <w:sz w:val="18"/>
                <w:szCs w:val="18"/>
              </w:rPr>
              <w:t> </w:t>
            </w:r>
            <w:r>
              <w:rPr>
                <w:rFonts w:ascii="宋体" w:hAnsi="宋体" w:cs="宋体" w:eastAsia="宋体" w:hint="default"/>
                <w:sz w:val="18"/>
                <w:szCs w:val="18"/>
              </w:rPr>
              <w:t>万元，结余金额占承诺投资募集资金的</w:t>
            </w:r>
            <w:r>
              <w:rPr>
                <w:rFonts w:ascii="宋体" w:hAnsi="宋体" w:cs="宋体" w:eastAsia="宋体" w:hint="default"/>
                <w:spacing w:val="-49"/>
                <w:sz w:val="18"/>
                <w:szCs w:val="18"/>
              </w:rPr>
              <w:t> </w:t>
            </w:r>
            <w:r>
              <w:rPr>
                <w:rFonts w:ascii="宋体" w:hAnsi="宋体" w:cs="宋体" w:eastAsia="宋体" w:hint="default"/>
                <w:sz w:val="18"/>
                <w:szCs w:val="18"/>
              </w:rPr>
              <w:t>4.79%</w:t>
            </w:r>
            <w:r>
              <w:rPr>
                <w:rFonts w:ascii="宋体" w:hAnsi="宋体" w:cs="宋体" w:eastAsia="宋体" w:hint="default"/>
                <w:sz w:val="18"/>
                <w:szCs w:val="18"/>
              </w:rPr>
              <w:t>，实际投入金额与计划投入金额不存在重大差异。电 子数据鉴定及互联网知识产权保护等服务项目结余金额占承诺投资募集资金的</w:t>
            </w:r>
            <w:r>
              <w:rPr>
                <w:rFonts w:ascii="宋体" w:hAnsi="宋体" w:cs="宋体" w:eastAsia="宋体" w:hint="default"/>
                <w:spacing w:val="-47"/>
                <w:sz w:val="18"/>
                <w:szCs w:val="18"/>
              </w:rPr>
              <w:t> </w:t>
            </w:r>
            <w:r>
              <w:rPr>
                <w:rFonts w:ascii="宋体" w:hAnsi="宋体" w:cs="宋体" w:eastAsia="宋体" w:hint="default"/>
                <w:sz w:val="18"/>
                <w:szCs w:val="18"/>
              </w:rPr>
              <w:t>1.75%</w:t>
            </w:r>
            <w:r>
              <w:rPr>
                <w:rFonts w:ascii="宋体" w:hAnsi="宋体" w:cs="宋体" w:eastAsia="宋体" w:hint="default"/>
                <w:sz w:val="18"/>
                <w:szCs w:val="18"/>
              </w:rPr>
              <w:t>不存在重大差异。结 余主要原因是由于公司充分结合自身的技术优势，经验及现有的设备配置，在资源充分利用的前提下，对 项目环节进行优化，减少了部分设备采购。超募资金追加投资超算中心（云计算）项目结余主要原因是由 于北方机房是固有机房，合作单位在线路接入方面无法实现我们的要求，公司通过技术发展以及产品的架 构优化，在厦门主机房内实现相关目标，缩小了北方机房的投入。公司对项目建设前期和过程严格控制， 加上自主建设节省了资金投入，结余了项目预备费。公司第二届董事会第二十次会议决议同意将上述两个 项目结余募集资金及利息，转入超募资金账户管理。截止</w:t>
            </w:r>
            <w:r>
              <w:rPr>
                <w:rFonts w:ascii="宋体" w:hAnsi="宋体" w:cs="宋体" w:eastAsia="宋体" w:hint="default"/>
                <w:spacing w:val="-46"/>
                <w:sz w:val="18"/>
                <w:szCs w:val="18"/>
              </w:rPr>
              <w:t> </w:t>
            </w:r>
            <w:r>
              <w:rPr>
                <w:rFonts w:ascii="宋体" w:hAnsi="宋体" w:cs="宋体" w:eastAsia="宋体" w:hint="default"/>
                <w:sz w:val="18"/>
                <w:szCs w:val="18"/>
              </w:rPr>
              <w:t>2015</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日公司已办理完上述两个项目结 余资金及利息转入超募资金账户管理。</w:t>
            </w:r>
          </w:p>
        </w:tc>
      </w:tr>
      <w:tr>
        <w:trPr>
          <w:trHeight w:val="1337"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18"/>
              <w:jc w:val="both"/>
              <w:rPr>
                <w:rFonts w:ascii="宋体" w:hAnsi="宋体" w:cs="宋体" w:eastAsia="宋体" w:hint="default"/>
                <w:sz w:val="18"/>
                <w:szCs w:val="18"/>
              </w:rPr>
            </w:pPr>
            <w:r>
              <w:rPr>
                <w:rFonts w:ascii="宋体" w:hAnsi="宋体" w:cs="宋体" w:eastAsia="宋体" w:hint="default"/>
                <w:sz w:val="18"/>
                <w:szCs w:val="18"/>
              </w:rPr>
              <w:t>尚未使用 的募集资 金用途及 去向</w:t>
            </w:r>
          </w:p>
        </w:tc>
        <w:tc>
          <w:tcPr>
            <w:tcW w:w="8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将主要用于已列入使用计划，但尚未支付的研发大楼相关税费。</w:t>
            </w:r>
          </w:p>
        </w:tc>
      </w:tr>
      <w:tr>
        <w:trPr>
          <w:trHeight w:val="1651"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18"/>
              <w:jc w:val="both"/>
              <w:rPr>
                <w:rFonts w:ascii="宋体" w:hAnsi="宋体" w:cs="宋体" w:eastAsia="宋体" w:hint="default"/>
                <w:sz w:val="18"/>
                <w:szCs w:val="18"/>
              </w:rPr>
            </w:pPr>
            <w:r>
              <w:rPr>
                <w:rFonts w:ascii="宋体" w:hAnsi="宋体" w:cs="宋体" w:eastAsia="宋体" w:hint="default"/>
                <w:sz w:val="18"/>
                <w:szCs w:val="18"/>
              </w:rPr>
              <w:t>募集资金 使用及披 露中存在 的问题或 其他情况</w:t>
            </w:r>
          </w:p>
        </w:tc>
        <w:tc>
          <w:tcPr>
            <w:tcW w:w="8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986"/>
        <w:jc w:val="left"/>
        <w:rPr>
          <w:b w:val="0"/>
          <w:bCs w:val="0"/>
        </w:rPr>
      </w:pPr>
      <w:bookmarkStart w:name="（3）募集资金变更项目情况" w:id="51"/>
      <w:bookmarkEnd w:id="51"/>
      <w:r>
        <w:rPr>
          <w:b w:val="0"/>
          <w:bCs w:val="0"/>
        </w:rPr>
      </w:r>
      <w:r>
        <w:rPr/>
        <w:t>（</w:t>
      </w:r>
      <w:r>
        <w:rPr>
          <w:rFonts w:ascii="Times New Roman" w:hAnsi="Times New Roman" w:cs="Times New Roman" w:eastAsia="Times New Roman" w:hint="default"/>
        </w:rPr>
        <w:t>3</w:t>
      </w:r>
      <w:r>
        <w:rPr/>
        <w:t>）募集资金变更项目情况</w:t>
      </w:r>
      <w:r>
        <w:rPr>
          <w:b w:val="0"/>
          <w:bCs w:val="0"/>
        </w:rPr>
      </w:r>
    </w:p>
    <w:p>
      <w:pPr>
        <w:spacing w:line="240" w:lineRule="auto" w:before="4"/>
        <w:rPr>
          <w:rFonts w:ascii="宋体" w:hAnsi="宋体" w:cs="宋体" w:eastAsia="宋体" w:hint="default"/>
          <w:b/>
          <w:bCs/>
          <w:sz w:val="26"/>
          <w:szCs w:val="26"/>
        </w:rPr>
      </w:pPr>
    </w:p>
    <w:p>
      <w:pPr>
        <w:spacing w:line="357" w:lineRule="auto" w:before="0"/>
        <w:ind w:left="152" w:right="7334" w:hanging="1"/>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r>
        <w:rPr>
          <w:rFonts w:ascii="宋体" w:hAnsi="宋体" w:cs="宋体" w:eastAsia="宋体" w:hint="default"/>
          <w:sz w:val="18"/>
          <w:szCs w:val="18"/>
        </w:rPr>
        <w:t> 公司报告期不存在募集资金变更项目情况。</w:t>
      </w:r>
    </w:p>
    <w:p>
      <w:pPr>
        <w:spacing w:line="240" w:lineRule="auto" w:before="7"/>
        <w:rPr>
          <w:rFonts w:ascii="宋体" w:hAnsi="宋体" w:cs="宋体" w:eastAsia="宋体" w:hint="default"/>
          <w:sz w:val="18"/>
          <w:szCs w:val="18"/>
        </w:rPr>
      </w:pPr>
    </w:p>
    <w:p>
      <w:pPr>
        <w:pStyle w:val="Heading2"/>
        <w:spacing w:line="240" w:lineRule="auto"/>
        <w:ind w:right="986"/>
        <w:jc w:val="left"/>
        <w:rPr>
          <w:b w:val="0"/>
          <w:bCs w:val="0"/>
        </w:rPr>
      </w:pPr>
      <w:bookmarkStart w:name="六、重大资产和股权出售" w:id="52"/>
      <w:bookmarkEnd w:id="52"/>
      <w:r>
        <w:rPr>
          <w:b w:val="0"/>
          <w:bCs w:val="0"/>
        </w:rPr>
      </w:r>
      <w:r>
        <w:rPr/>
        <w:t>六、重大资产和股权出售</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6"/>
        <w:jc w:val="left"/>
        <w:rPr>
          <w:b w:val="0"/>
          <w:bCs w:val="0"/>
        </w:rPr>
      </w:pPr>
      <w:bookmarkStart w:name="1、出售重大资产情况" w:id="53"/>
      <w:bookmarkEnd w:id="53"/>
      <w:r>
        <w:rPr>
          <w:b w:val="0"/>
          <w:bCs w:val="0"/>
        </w:rPr>
      </w:r>
      <w:r>
        <w:rPr>
          <w:rFonts w:ascii="Times New Roman" w:hAnsi="Times New Roman" w:cs="Times New Roman" w:eastAsia="Times New Roman" w:hint="default"/>
        </w:rPr>
        <w:t>1</w:t>
      </w:r>
      <w:r>
        <w:rPr/>
        <w:t>、出售重大资产情况</w:t>
      </w:r>
      <w:r>
        <w:rPr>
          <w:b w:val="0"/>
          <w:bCs w:val="0"/>
        </w:rPr>
      </w:r>
    </w:p>
    <w:p>
      <w:pPr>
        <w:spacing w:line="240" w:lineRule="auto" w:before="2"/>
        <w:rPr>
          <w:rFonts w:ascii="宋体" w:hAnsi="宋体" w:cs="宋体" w:eastAsia="宋体" w:hint="default"/>
          <w:b/>
          <w:bCs/>
          <w:sz w:val="26"/>
          <w:szCs w:val="26"/>
        </w:rPr>
      </w:pPr>
    </w:p>
    <w:p>
      <w:pPr>
        <w:spacing w:line="360" w:lineRule="auto" w:before="0"/>
        <w:ind w:left="152" w:right="8414"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r>
        <w:rPr>
          <w:rFonts w:ascii="宋体" w:hAnsi="宋体" w:cs="宋体" w:eastAsia="宋体" w:hint="default"/>
          <w:sz w:val="18"/>
          <w:szCs w:val="18"/>
        </w:rPr>
        <w:t> 公司报告期未出售重大资产。</w:t>
      </w:r>
    </w:p>
    <w:p>
      <w:pPr>
        <w:spacing w:line="240" w:lineRule="auto" w:before="4"/>
        <w:rPr>
          <w:rFonts w:ascii="宋体" w:hAnsi="宋体" w:cs="宋体" w:eastAsia="宋体" w:hint="default"/>
          <w:sz w:val="20"/>
          <w:szCs w:val="20"/>
        </w:rPr>
      </w:pPr>
    </w:p>
    <w:p>
      <w:pPr>
        <w:pStyle w:val="Heading4"/>
        <w:spacing w:line="240" w:lineRule="auto"/>
        <w:ind w:right="986"/>
        <w:jc w:val="left"/>
        <w:rPr>
          <w:b w:val="0"/>
          <w:bCs w:val="0"/>
        </w:rPr>
      </w:pPr>
      <w:bookmarkStart w:name="2、出售重大股权情况" w:id="54"/>
      <w:bookmarkEnd w:id="54"/>
      <w:r>
        <w:rPr>
          <w:b w:val="0"/>
          <w:bCs w:val="0"/>
        </w:rPr>
      </w:r>
      <w:r>
        <w:rPr>
          <w:rFonts w:ascii="Times New Roman" w:hAnsi="Times New Roman" w:cs="Times New Roman" w:eastAsia="Times New Roman" w:hint="default"/>
        </w:rPr>
        <w:t>2</w:t>
      </w:r>
      <w:r>
        <w:rPr/>
        <w:t>、出售重大股权情况</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986"/>
        <w:jc w:val="left"/>
        <w:rPr>
          <w:b w:val="0"/>
          <w:bCs w:val="0"/>
        </w:rPr>
      </w:pPr>
      <w:bookmarkStart w:name="七、主要控股参股公司分析" w:id="55"/>
      <w:bookmarkEnd w:id="55"/>
      <w:r>
        <w:rPr>
          <w:b w:val="0"/>
          <w:bCs w:val="0"/>
        </w:rPr>
      </w:r>
      <w:r>
        <w:rPr/>
        <w:t>七、主要控股参股公司分析</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5" w:footer="982" w:top="1060" w:bottom="1180" w:left="980" w:right="0"/>
        </w:sectPr>
      </w:pPr>
    </w:p>
    <w:p>
      <w:pPr>
        <w:spacing w:before="44"/>
        <w:ind w:left="152" w:right="-18"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before="115"/>
        <w:ind w:left="152" w:right="-18" w:firstLine="0"/>
        <w:jc w:val="left"/>
        <w:rPr>
          <w:rFonts w:ascii="宋体" w:hAnsi="宋体" w:cs="宋体" w:eastAsia="宋体" w:hint="default"/>
          <w:sz w:val="18"/>
          <w:szCs w:val="18"/>
        </w:rPr>
      </w:pPr>
      <w:r>
        <w:rPr>
          <w:rFonts w:ascii="宋体" w:hAnsi="宋体" w:cs="宋体" w:eastAsia="宋体" w:hint="default"/>
          <w:sz w:val="18"/>
          <w:szCs w:val="18"/>
        </w:rPr>
        <w:t>主要子公司及对公司净利润影响达</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4850" w:space="4068"/>
            <w:col w:w="2012"/>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054"/>
        <w:gridCol w:w="1006"/>
        <w:gridCol w:w="1236"/>
        <w:gridCol w:w="1044"/>
        <w:gridCol w:w="1046"/>
        <w:gridCol w:w="1046"/>
        <w:gridCol w:w="1044"/>
        <w:gridCol w:w="1044"/>
        <w:gridCol w:w="1046"/>
      </w:tblGrid>
      <w:tr>
        <w:trPr>
          <w:trHeight w:val="401" w:hRule="exact"/>
        </w:trPr>
        <w:tc>
          <w:tcPr>
            <w:tcW w:w="105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63"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100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39"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123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10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58"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04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9"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04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净资产</w:t>
            </w:r>
          </w:p>
        </w:tc>
        <w:tc>
          <w:tcPr>
            <w:tcW w:w="10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5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58"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04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52"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1339"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9"/>
              <w:jc w:val="both"/>
              <w:rPr>
                <w:rFonts w:ascii="宋体" w:hAnsi="宋体" w:cs="宋体" w:eastAsia="宋体" w:hint="default"/>
                <w:sz w:val="18"/>
                <w:szCs w:val="18"/>
              </w:rPr>
            </w:pPr>
            <w:r>
              <w:rPr>
                <w:rFonts w:ascii="宋体" w:hAnsi="宋体" w:cs="宋体" w:eastAsia="宋体" w:hint="default"/>
                <w:sz w:val="18"/>
                <w:szCs w:val="18"/>
              </w:rPr>
              <w:t>厦门市美亚 柏科信息安 全研究所有 限公司</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20"/>
              <w:jc w:val="both"/>
              <w:rPr>
                <w:rFonts w:ascii="宋体" w:hAnsi="宋体" w:cs="宋体" w:eastAsia="宋体" w:hint="default"/>
                <w:sz w:val="18"/>
                <w:szCs w:val="18"/>
              </w:rPr>
            </w:pPr>
            <w:r>
              <w:rPr>
                <w:rFonts w:ascii="宋体" w:hAnsi="宋体" w:cs="宋体" w:eastAsia="宋体" w:hint="default"/>
                <w:sz w:val="18"/>
                <w:szCs w:val="18"/>
              </w:rPr>
              <w:t>致力于电子数 据鉴定及信息 网络安全技术 的研究</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10,000,000.0</w:t>
            </w:r>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141,609,917.</w:t>
            </w:r>
            <w:r>
              <w:rPr>
                <w:rFonts w:ascii="Times New Roman"/>
                <w:sz w:val="18"/>
              </w:rPr>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88</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71,082,809.9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105,576,585.</w:t>
            </w:r>
            <w:r>
              <w:rPr>
                <w:rFonts w:ascii="Times New Roman"/>
                <w:sz w:val="18"/>
              </w:rPr>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76</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50,098,098.8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pacing w:val="-1"/>
                <w:sz w:val="18"/>
              </w:rPr>
              <w:t>43,423,713.4</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9</w:t>
            </w:r>
          </w:p>
        </w:tc>
      </w:tr>
      <w:tr>
        <w:trPr>
          <w:trHeight w:val="1649"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4" w:right="119"/>
              <w:jc w:val="both"/>
              <w:rPr>
                <w:rFonts w:ascii="宋体" w:hAnsi="宋体" w:cs="宋体" w:eastAsia="宋体" w:hint="default"/>
                <w:sz w:val="18"/>
                <w:szCs w:val="18"/>
              </w:rPr>
            </w:pPr>
            <w:r>
              <w:rPr>
                <w:rFonts w:ascii="宋体" w:hAnsi="宋体" w:cs="宋体" w:eastAsia="宋体" w:hint="default"/>
                <w:sz w:val="18"/>
                <w:szCs w:val="18"/>
              </w:rPr>
              <w:t>珠海市新德 汇信息技术 有限公司</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3"/>
              <w:jc w:val="left"/>
              <w:rPr>
                <w:rFonts w:ascii="宋体" w:hAnsi="宋体" w:cs="宋体" w:eastAsia="宋体" w:hint="default"/>
                <w:sz w:val="18"/>
                <w:szCs w:val="18"/>
              </w:rPr>
            </w:pPr>
            <w:r>
              <w:rPr>
                <w:rFonts w:ascii="宋体" w:hAnsi="宋体" w:cs="宋体" w:eastAsia="宋体" w:hint="default"/>
                <w:sz w:val="18"/>
                <w:szCs w:val="18"/>
              </w:rPr>
              <w:t>政法行业领先 </w:t>
            </w:r>
            <w:r>
              <w:rPr>
                <w:rFonts w:ascii="宋体" w:hAnsi="宋体" w:cs="宋体" w:eastAsia="宋体" w:hint="default"/>
                <w:spacing w:val="-12"/>
                <w:sz w:val="18"/>
                <w:szCs w:val="18"/>
              </w:rPr>
              <w:t>的数据采集、清</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12"/>
                <w:sz w:val="18"/>
                <w:szCs w:val="18"/>
              </w:rPr>
              <w:t>洗、共享、分析</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和研判的产品 与服务提供商</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130,000,000.</w:t>
            </w:r>
          </w:p>
          <w:p>
            <w:pPr>
              <w:pStyle w:val="TableParagraph"/>
              <w:spacing w:line="240" w:lineRule="auto" w:before="102"/>
              <w:ind w:left="23" w:right="0"/>
              <w:jc w:val="left"/>
              <w:rPr>
                <w:rFonts w:ascii="Times New Roman" w:hAnsi="Times New Roman" w:cs="Times New Roman" w:eastAsia="Times New Roman" w:hint="default"/>
                <w:sz w:val="18"/>
                <w:szCs w:val="18"/>
              </w:rPr>
            </w:pPr>
            <w:r>
              <w:rPr>
                <w:rFonts w:ascii="Times New Roman"/>
                <w:sz w:val="18"/>
              </w:rPr>
              <w:t>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649,417,646.</w:t>
            </w:r>
            <w:r>
              <w:rPr>
                <w:rFonts w:ascii="Times New Roman"/>
                <w:sz w:val="18"/>
              </w:rPr>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36</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282,854,947.</w:t>
            </w:r>
            <w:r>
              <w:rPr>
                <w:rFonts w:ascii="Times New Roman"/>
                <w:sz w:val="18"/>
              </w:rPr>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09</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486,535,386.</w:t>
            </w:r>
            <w:r>
              <w:rPr>
                <w:rFonts w:ascii="Times New Roman"/>
                <w:sz w:val="18"/>
              </w:rPr>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36</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65,932,778.8</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pacing w:val="-1"/>
                <w:sz w:val="18"/>
              </w:rPr>
              <w:t>58,894,182.6</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5</w:t>
            </w:r>
          </w:p>
        </w:tc>
      </w:tr>
      <w:tr>
        <w:trPr>
          <w:trHeight w:val="1027"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9"/>
              <w:jc w:val="both"/>
              <w:rPr>
                <w:rFonts w:ascii="宋体" w:hAnsi="宋体" w:cs="宋体" w:eastAsia="宋体" w:hint="default"/>
                <w:sz w:val="18"/>
                <w:szCs w:val="18"/>
              </w:rPr>
            </w:pPr>
            <w:r>
              <w:rPr>
                <w:rFonts w:ascii="宋体" w:hAnsi="宋体" w:cs="宋体" w:eastAsia="宋体" w:hint="default"/>
                <w:sz w:val="18"/>
                <w:szCs w:val="18"/>
              </w:rPr>
              <w:t>江苏税软软 件科技有限 公司</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20"/>
              <w:jc w:val="both"/>
              <w:rPr>
                <w:rFonts w:ascii="宋体" w:hAnsi="宋体" w:cs="宋体" w:eastAsia="宋体" w:hint="default"/>
                <w:sz w:val="18"/>
                <w:szCs w:val="18"/>
              </w:rPr>
            </w:pPr>
            <w:r>
              <w:rPr>
                <w:rFonts w:ascii="宋体" w:hAnsi="宋体" w:cs="宋体" w:eastAsia="宋体" w:hint="default"/>
                <w:sz w:val="18"/>
                <w:szCs w:val="18"/>
              </w:rPr>
              <w:t>国内领先的涉 税数据分析解 决方案提供商</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50,010,000.0</w:t>
            </w:r>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259,570,644.</w:t>
            </w:r>
            <w:r>
              <w:rPr>
                <w:rFonts w:ascii="Times New Roman"/>
                <w:sz w:val="18"/>
              </w:rPr>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06</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189,358,723.</w:t>
            </w:r>
            <w:r>
              <w:rPr>
                <w:rFonts w:ascii="Times New Roman"/>
                <w:sz w:val="18"/>
              </w:rPr>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52</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215,833,375.</w:t>
            </w:r>
            <w:r>
              <w:rPr>
                <w:rFonts w:ascii="Times New Roman"/>
                <w:sz w:val="18"/>
              </w:rPr>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24</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62,433,216.8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pacing w:val="-1"/>
                <w:sz w:val="18"/>
              </w:rPr>
              <w:t>54,989,966.3</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1</w:t>
            </w:r>
          </w:p>
        </w:tc>
      </w:tr>
      <w:tr>
        <w:trPr>
          <w:trHeight w:val="1025"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9"/>
              <w:jc w:val="both"/>
              <w:rPr>
                <w:rFonts w:ascii="宋体" w:hAnsi="宋体" w:cs="宋体" w:eastAsia="宋体" w:hint="default"/>
                <w:sz w:val="18"/>
                <w:szCs w:val="18"/>
              </w:rPr>
            </w:pPr>
            <w:r>
              <w:rPr>
                <w:rFonts w:ascii="宋体" w:hAnsi="宋体" w:cs="宋体" w:eastAsia="宋体" w:hint="default"/>
                <w:sz w:val="18"/>
                <w:szCs w:val="18"/>
              </w:rPr>
              <w:t>厦门美亚中 敏科技有限 公司</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20"/>
              <w:jc w:val="both"/>
              <w:rPr>
                <w:rFonts w:ascii="宋体" w:hAnsi="宋体" w:cs="宋体" w:eastAsia="宋体" w:hint="default"/>
                <w:sz w:val="18"/>
                <w:szCs w:val="18"/>
              </w:rPr>
            </w:pPr>
            <w:r>
              <w:rPr>
                <w:rFonts w:ascii="宋体" w:hAnsi="宋体" w:cs="宋体" w:eastAsia="宋体" w:hint="default"/>
                <w:sz w:val="18"/>
                <w:szCs w:val="18"/>
              </w:rPr>
              <w:t>国内领先的特 种装备制造及 服务提供商</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30,018,800.0</w:t>
            </w:r>
          </w:p>
          <w:p>
            <w:pPr>
              <w:pStyle w:val="TableParagraph"/>
              <w:spacing w:line="240" w:lineRule="auto" w:before="102"/>
              <w:ind w:left="23" w:right="0"/>
              <w:jc w:val="left"/>
              <w:rPr>
                <w:rFonts w:ascii="Times New Roman" w:hAnsi="Times New Roman" w:cs="Times New Roman" w:eastAsia="Times New Roman" w:hint="default"/>
                <w:sz w:val="18"/>
                <w:szCs w:val="18"/>
              </w:rPr>
            </w:pPr>
            <w:r>
              <w:rPr>
                <w:rFonts w:ascii="Times New Roman"/>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106,977,236.</w:t>
            </w:r>
            <w:r>
              <w:rPr>
                <w:rFonts w:ascii="Times New Roman"/>
                <w:sz w:val="18"/>
              </w:rPr>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28</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42,274,581.6</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1</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202,690,434.</w:t>
            </w:r>
            <w:r>
              <w:rPr>
                <w:rFonts w:ascii="Times New Roman"/>
                <w:sz w:val="18"/>
              </w:rPr>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46</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10,755,377.6</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8</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9,947,623.04</w:t>
            </w:r>
            <w:r>
              <w:rPr>
                <w:rFonts w:ascii="Times New Roman"/>
                <w:sz w:val="18"/>
              </w:rPr>
            </w:r>
          </w:p>
        </w:tc>
      </w:tr>
      <w:tr>
        <w:trPr>
          <w:trHeight w:val="1339"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4" w:right="119"/>
              <w:jc w:val="both"/>
              <w:rPr>
                <w:rFonts w:ascii="宋体" w:hAnsi="宋体" w:cs="宋体" w:eastAsia="宋体" w:hint="default"/>
                <w:sz w:val="18"/>
                <w:szCs w:val="18"/>
              </w:rPr>
            </w:pPr>
            <w:r>
              <w:rPr>
                <w:rFonts w:ascii="宋体" w:hAnsi="宋体" w:cs="宋体" w:eastAsia="宋体" w:hint="default"/>
                <w:sz w:val="18"/>
                <w:szCs w:val="18"/>
              </w:rPr>
              <w:t>武汉大千信 息技术有限 公司</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3"/>
              <w:jc w:val="left"/>
              <w:rPr>
                <w:rFonts w:ascii="宋体" w:hAnsi="宋体" w:cs="宋体" w:eastAsia="宋体" w:hint="default"/>
                <w:sz w:val="18"/>
                <w:szCs w:val="18"/>
              </w:rPr>
            </w:pPr>
            <w:r>
              <w:rPr>
                <w:rFonts w:ascii="宋体" w:hAnsi="宋体" w:cs="宋体" w:eastAsia="宋体" w:hint="default"/>
                <w:sz w:val="18"/>
                <w:szCs w:val="18"/>
              </w:rPr>
              <w:t>公共安全行业 视频检索、分 </w:t>
            </w:r>
            <w:r>
              <w:rPr>
                <w:rFonts w:ascii="宋体" w:hAnsi="宋体" w:cs="宋体" w:eastAsia="宋体" w:hint="default"/>
                <w:spacing w:val="-12"/>
                <w:sz w:val="18"/>
                <w:szCs w:val="18"/>
              </w:rPr>
              <w:t>析、检查产品及</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服务提供商</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12,380,000.0</w:t>
            </w:r>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36,234,835.0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6" w:right="0"/>
              <w:jc w:val="center"/>
              <w:rPr>
                <w:rFonts w:ascii="Times New Roman" w:hAnsi="Times New Roman" w:cs="Times New Roman" w:eastAsia="Times New Roman" w:hint="default"/>
                <w:sz w:val="18"/>
                <w:szCs w:val="18"/>
              </w:rPr>
            </w:pPr>
            <w:r>
              <w:rPr>
                <w:rFonts w:ascii="Times New Roman"/>
                <w:sz w:val="18"/>
              </w:rPr>
              <w:t>9,670,573.39</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27,237,307.3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-801,958.33</w:t>
            </w:r>
            <w:r>
              <w:rPr>
                <w:rFonts w:ascii="Times New Roman"/>
                <w:sz w:val="18"/>
              </w:rPr>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-800,958.33</w:t>
            </w:r>
            <w:r>
              <w:rPr>
                <w:rFonts w:ascii="Times New Roman"/>
                <w:sz w:val="18"/>
              </w:rPr>
            </w:r>
          </w:p>
        </w:tc>
      </w:tr>
      <w:tr>
        <w:trPr>
          <w:trHeight w:val="1025"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9"/>
              <w:jc w:val="both"/>
              <w:rPr>
                <w:rFonts w:ascii="宋体" w:hAnsi="宋体" w:cs="宋体" w:eastAsia="宋体" w:hint="default"/>
                <w:sz w:val="18"/>
                <w:szCs w:val="18"/>
              </w:rPr>
            </w:pPr>
            <w:r>
              <w:rPr>
                <w:rFonts w:ascii="宋体" w:hAnsi="宋体" w:cs="宋体" w:eastAsia="宋体" w:hint="default"/>
                <w:sz w:val="18"/>
                <w:szCs w:val="18"/>
              </w:rPr>
              <w:t>厦门安胜网 络科技有限 公司</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20"/>
              <w:jc w:val="both"/>
              <w:rPr>
                <w:rFonts w:ascii="宋体" w:hAnsi="宋体" w:cs="宋体" w:eastAsia="宋体" w:hint="default"/>
                <w:sz w:val="18"/>
                <w:szCs w:val="18"/>
              </w:rPr>
            </w:pPr>
            <w:r>
              <w:rPr>
                <w:rFonts w:ascii="宋体" w:hAnsi="宋体" w:cs="宋体" w:eastAsia="宋体" w:hint="default"/>
                <w:sz w:val="18"/>
                <w:szCs w:val="18"/>
              </w:rPr>
              <w:t>国内领先的网 络安全产品及 服务提供商</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10,000,000.0</w:t>
            </w:r>
          </w:p>
          <w:p>
            <w:pPr>
              <w:pStyle w:val="TableParagraph"/>
              <w:spacing w:line="240" w:lineRule="auto" w:before="102"/>
              <w:ind w:left="23" w:right="0"/>
              <w:jc w:val="left"/>
              <w:rPr>
                <w:rFonts w:ascii="Times New Roman" w:hAnsi="Times New Roman" w:cs="Times New Roman" w:eastAsia="Times New Roman" w:hint="default"/>
                <w:sz w:val="18"/>
                <w:szCs w:val="18"/>
              </w:rPr>
            </w:pPr>
            <w:r>
              <w:rPr>
                <w:rFonts w:ascii="Times New Roman"/>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101,061,058.</w:t>
            </w:r>
            <w:r>
              <w:rPr>
                <w:rFonts w:ascii="Times New Roman"/>
                <w:sz w:val="18"/>
              </w:rPr>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01</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39,000,726.3</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5</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107,216,204.</w:t>
            </w:r>
            <w:r>
              <w:rPr>
                <w:rFonts w:ascii="Times New Roman"/>
                <w:sz w:val="18"/>
              </w:rPr>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38</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818,609.53</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2,749,553.68</w:t>
            </w:r>
            <w:r>
              <w:rPr>
                <w:rFonts w:ascii="Times New Roman"/>
                <w:sz w:val="18"/>
              </w:rPr>
            </w:r>
          </w:p>
        </w:tc>
      </w:tr>
      <w:tr>
        <w:trPr>
          <w:trHeight w:val="1339"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4" w:right="119"/>
              <w:jc w:val="both"/>
              <w:rPr>
                <w:rFonts w:ascii="宋体" w:hAnsi="宋体" w:cs="宋体" w:eastAsia="宋体" w:hint="default"/>
                <w:sz w:val="18"/>
                <w:szCs w:val="18"/>
              </w:rPr>
            </w:pPr>
            <w:r>
              <w:rPr>
                <w:rFonts w:ascii="宋体" w:hAnsi="宋体" w:cs="宋体" w:eastAsia="宋体" w:hint="default"/>
                <w:sz w:val="18"/>
                <w:szCs w:val="18"/>
              </w:rPr>
              <w:t>厦门美亚商 鼎信息科技 有限公司</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20"/>
              <w:jc w:val="both"/>
              <w:rPr>
                <w:rFonts w:ascii="宋体" w:hAnsi="宋体" w:cs="宋体" w:eastAsia="宋体" w:hint="default"/>
                <w:sz w:val="18"/>
                <w:szCs w:val="18"/>
              </w:rPr>
            </w:pPr>
            <w:r>
              <w:rPr>
                <w:rFonts w:ascii="宋体" w:hAnsi="宋体" w:cs="宋体" w:eastAsia="宋体" w:hint="default"/>
                <w:sz w:val="18"/>
                <w:szCs w:val="18"/>
              </w:rPr>
              <w:t>市场监管行业 大数据智能化 及技术服务支 撑领域</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10,000,000.0</w:t>
            </w:r>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37,052,950.2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21,800,100.8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23,497,880.6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2,527,182.64</w:t>
            </w:r>
            <w:r>
              <w:rPr>
                <w:rFonts w:ascii="Times New Roman"/>
                <w:sz w:val="18"/>
              </w:rPr>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2,528,337.78</w:t>
            </w:r>
            <w:r>
              <w:rPr>
                <w:rFonts w:ascii="Times New Roman"/>
                <w:sz w:val="18"/>
              </w:rPr>
            </w:r>
          </w:p>
        </w:tc>
      </w:tr>
      <w:tr>
        <w:trPr>
          <w:trHeight w:val="1025"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9"/>
              <w:jc w:val="both"/>
              <w:rPr>
                <w:rFonts w:ascii="宋体" w:hAnsi="宋体" w:cs="宋体" w:eastAsia="宋体" w:hint="default"/>
                <w:sz w:val="18"/>
                <w:szCs w:val="18"/>
              </w:rPr>
            </w:pPr>
            <w:r>
              <w:rPr>
                <w:rFonts w:ascii="宋体" w:hAnsi="宋体" w:cs="宋体" w:eastAsia="宋体" w:hint="default"/>
                <w:sz w:val="18"/>
                <w:szCs w:val="18"/>
              </w:rPr>
              <w:t>福建美亚榕 安科技有限 公司</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4" w:lineRule="auto"/>
              <w:ind w:left="23" w:right="120"/>
              <w:jc w:val="left"/>
              <w:rPr>
                <w:rFonts w:ascii="宋体" w:hAnsi="宋体" w:cs="宋体" w:eastAsia="宋体" w:hint="default"/>
                <w:sz w:val="18"/>
                <w:szCs w:val="18"/>
              </w:rPr>
            </w:pPr>
            <w:r>
              <w:rPr>
                <w:rFonts w:ascii="宋体" w:hAnsi="宋体" w:cs="宋体" w:eastAsia="宋体" w:hint="default"/>
                <w:sz w:val="18"/>
                <w:szCs w:val="18"/>
              </w:rPr>
              <w:t>信息安全产品 及服务</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50,000,000.0</w:t>
            </w:r>
          </w:p>
          <w:p>
            <w:pPr>
              <w:pStyle w:val="TableParagraph"/>
              <w:spacing w:line="240" w:lineRule="auto" w:before="102"/>
              <w:ind w:left="23" w:right="0"/>
              <w:jc w:val="left"/>
              <w:rPr>
                <w:rFonts w:ascii="Times New Roman" w:hAnsi="Times New Roman" w:cs="Times New Roman" w:eastAsia="Times New Roman" w:hint="default"/>
                <w:sz w:val="18"/>
                <w:szCs w:val="18"/>
              </w:rPr>
            </w:pPr>
            <w:r>
              <w:rPr>
                <w:rFonts w:ascii="Times New Roman"/>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
              <w:jc w:val="right"/>
              <w:rPr>
                <w:rFonts w:ascii="Times New Roman" w:hAnsi="Times New Roman" w:cs="Times New Roman" w:eastAsia="Times New Roman" w:hint="default"/>
                <w:sz w:val="18"/>
                <w:szCs w:val="18"/>
              </w:rPr>
            </w:pPr>
            <w:r>
              <w:rPr>
                <w:rFonts w:ascii="Times New Roman"/>
                <w:spacing w:val="-1"/>
                <w:sz w:val="18"/>
              </w:rPr>
              <w:t>34,344,782.1</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1</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16,312,188.3</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9</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15,674,559.2</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5</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1,167,320.98</w:t>
            </w:r>
            <w:r>
              <w:rPr>
                <w:rFonts w:ascii="Times New Roman"/>
                <w:sz w:val="18"/>
              </w:rPr>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805,702.21</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报告期内取得和处置子公司的情况</w:t>
      </w:r>
    </w:p>
    <w:p>
      <w:pPr>
        <w:spacing w:before="115"/>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645"/>
        <w:gridCol w:w="2774"/>
        <w:gridCol w:w="4150"/>
      </w:tblGrid>
      <w:tr>
        <w:trPr>
          <w:trHeight w:val="403" w:hRule="exact"/>
        </w:trPr>
        <w:tc>
          <w:tcPr>
            <w:tcW w:w="264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277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415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r>
        <w:trPr>
          <w:trHeight w:val="401" w:hRule="exact"/>
        </w:trPr>
        <w:tc>
          <w:tcPr>
            <w:tcW w:w="2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65"/>
              <w:jc w:val="center"/>
              <w:rPr>
                <w:rFonts w:ascii="宋体" w:hAnsi="宋体" w:cs="宋体" w:eastAsia="宋体" w:hint="default"/>
                <w:sz w:val="18"/>
                <w:szCs w:val="18"/>
              </w:rPr>
            </w:pPr>
            <w:r>
              <w:rPr>
                <w:rFonts w:ascii="宋体" w:hAnsi="宋体" w:cs="宋体" w:eastAsia="宋体" w:hint="default"/>
                <w:sz w:val="18"/>
                <w:szCs w:val="18"/>
              </w:rPr>
              <w:t>云南美亚信安信息技术有限公司</w:t>
            </w:r>
          </w:p>
        </w:tc>
        <w:tc>
          <w:tcPr>
            <w:tcW w:w="2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设立</w:t>
            </w:r>
          </w:p>
        </w:tc>
        <w:tc>
          <w:tcPr>
            <w:tcW w:w="4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pacing w:val="-3"/>
                <w:sz w:val="18"/>
                <w:szCs w:val="18"/>
              </w:rPr>
              <w:t>区域建设综合性业务基地，有利于公司做强区域业务</w:t>
            </w:r>
          </w:p>
        </w:tc>
      </w:tr>
      <w:tr>
        <w:trPr>
          <w:trHeight w:val="403" w:hRule="exact"/>
        </w:trPr>
        <w:tc>
          <w:tcPr>
            <w:tcW w:w="2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65"/>
              <w:jc w:val="center"/>
              <w:rPr>
                <w:rFonts w:ascii="宋体" w:hAnsi="宋体" w:cs="宋体" w:eastAsia="宋体" w:hint="default"/>
                <w:sz w:val="18"/>
                <w:szCs w:val="18"/>
              </w:rPr>
            </w:pPr>
            <w:r>
              <w:rPr>
                <w:rFonts w:ascii="宋体" w:hAnsi="宋体" w:cs="宋体" w:eastAsia="宋体" w:hint="default"/>
                <w:sz w:val="18"/>
                <w:szCs w:val="18"/>
              </w:rPr>
              <w:t>四川美亚川安信息科技有限公司</w:t>
            </w:r>
          </w:p>
        </w:tc>
        <w:tc>
          <w:tcPr>
            <w:tcW w:w="2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设立</w:t>
            </w:r>
          </w:p>
        </w:tc>
        <w:tc>
          <w:tcPr>
            <w:tcW w:w="4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pacing w:val="-3"/>
                <w:sz w:val="18"/>
                <w:szCs w:val="18"/>
              </w:rPr>
              <w:t>区域建设综合性业务基地，有利于公司做强区域业务</w:t>
            </w:r>
          </w:p>
        </w:tc>
      </w:tr>
    </w:tbl>
    <w:p>
      <w:pPr>
        <w:spacing w:after="0" w:line="240" w:lineRule="auto"/>
        <w:jc w:val="center"/>
        <w:rPr>
          <w:rFonts w:ascii="宋体" w:hAnsi="宋体" w:cs="宋体" w:eastAsia="宋体" w:hint="default"/>
          <w:sz w:val="18"/>
          <w:szCs w:val="18"/>
        </w:rPr>
        <w:sectPr>
          <w:type w:val="continuous"/>
          <w:pgSz w:w="11910" w:h="16840"/>
          <w:pgMar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2645"/>
        <w:gridCol w:w="2774"/>
        <w:gridCol w:w="4150"/>
      </w:tblGrid>
      <w:tr>
        <w:trPr>
          <w:trHeight w:val="713" w:hRule="exact"/>
        </w:trPr>
        <w:tc>
          <w:tcPr>
            <w:tcW w:w="2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65"/>
              <w:jc w:val="center"/>
              <w:rPr>
                <w:rFonts w:ascii="宋体" w:hAnsi="宋体" w:cs="宋体" w:eastAsia="宋体" w:hint="default"/>
                <w:sz w:val="18"/>
                <w:szCs w:val="18"/>
              </w:rPr>
            </w:pPr>
            <w:r>
              <w:rPr>
                <w:rFonts w:ascii="宋体" w:hAnsi="宋体" w:cs="宋体" w:eastAsia="宋体" w:hint="default"/>
                <w:sz w:val="18"/>
                <w:szCs w:val="18"/>
              </w:rPr>
              <w:t>甘肃美亚陇安信息科技有限公司</w:t>
            </w:r>
          </w:p>
        </w:tc>
        <w:tc>
          <w:tcPr>
            <w:tcW w:w="2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设立</w:t>
            </w:r>
          </w:p>
        </w:tc>
        <w:tc>
          <w:tcPr>
            <w:tcW w:w="41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55"/>
              <w:jc w:val="left"/>
              <w:rPr>
                <w:rFonts w:ascii="宋体" w:hAnsi="宋体" w:cs="宋体" w:eastAsia="宋体" w:hint="default"/>
                <w:sz w:val="18"/>
                <w:szCs w:val="18"/>
              </w:rPr>
            </w:pPr>
            <w:r>
              <w:rPr>
                <w:rFonts w:ascii="宋体" w:hAnsi="宋体" w:cs="宋体" w:eastAsia="宋体" w:hint="default"/>
                <w:sz w:val="18"/>
                <w:szCs w:val="18"/>
              </w:rPr>
              <w:t>有利于公司拓展区域业务及承接区域建设公共安全 视频图像信息共享平台项目</w:t>
            </w:r>
          </w:p>
        </w:tc>
      </w:tr>
      <w:tr>
        <w:trPr>
          <w:trHeight w:val="403" w:hRule="exact"/>
        </w:trPr>
        <w:tc>
          <w:tcPr>
            <w:tcW w:w="2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65"/>
              <w:jc w:val="center"/>
              <w:rPr>
                <w:rFonts w:ascii="宋体" w:hAnsi="宋体" w:cs="宋体" w:eastAsia="宋体" w:hint="default"/>
                <w:sz w:val="18"/>
                <w:szCs w:val="18"/>
              </w:rPr>
            </w:pPr>
            <w:r>
              <w:rPr>
                <w:rFonts w:ascii="宋体" w:hAnsi="宋体" w:cs="宋体" w:eastAsia="宋体" w:hint="default"/>
                <w:sz w:val="18"/>
                <w:szCs w:val="18"/>
              </w:rPr>
              <w:t>中检美亚（北京）科技有限公司</w:t>
            </w:r>
          </w:p>
        </w:tc>
        <w:tc>
          <w:tcPr>
            <w:tcW w:w="2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表决权委托</w:t>
            </w:r>
          </w:p>
        </w:tc>
        <w:tc>
          <w:tcPr>
            <w:tcW w:w="4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资源互补，有利于公司开拓市监行业</w:t>
            </w:r>
          </w:p>
        </w:tc>
      </w:tr>
      <w:tr>
        <w:trPr>
          <w:trHeight w:val="715" w:hRule="exact"/>
        </w:trPr>
        <w:tc>
          <w:tcPr>
            <w:tcW w:w="2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65"/>
              <w:jc w:val="center"/>
              <w:rPr>
                <w:rFonts w:ascii="宋体" w:hAnsi="宋体" w:cs="宋体" w:eastAsia="宋体" w:hint="default"/>
                <w:sz w:val="18"/>
                <w:szCs w:val="18"/>
              </w:rPr>
            </w:pPr>
            <w:r>
              <w:rPr>
                <w:rFonts w:ascii="宋体" w:hAnsi="宋体" w:cs="宋体" w:eastAsia="宋体" w:hint="default"/>
                <w:sz w:val="18"/>
                <w:szCs w:val="18"/>
              </w:rPr>
              <w:t>陕西美亚秦安信息科技有限公司</w:t>
            </w:r>
          </w:p>
        </w:tc>
        <w:tc>
          <w:tcPr>
            <w:tcW w:w="2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设立</w:t>
            </w:r>
          </w:p>
        </w:tc>
        <w:tc>
          <w:tcPr>
            <w:tcW w:w="41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2"/>
              <w:jc w:val="left"/>
              <w:rPr>
                <w:rFonts w:ascii="宋体" w:hAnsi="宋体" w:cs="宋体" w:eastAsia="宋体" w:hint="default"/>
                <w:sz w:val="18"/>
                <w:szCs w:val="18"/>
              </w:rPr>
            </w:pPr>
            <w:r>
              <w:rPr>
                <w:rFonts w:ascii="宋体" w:hAnsi="宋体" w:cs="宋体" w:eastAsia="宋体" w:hint="default"/>
                <w:spacing w:val="-3"/>
                <w:sz w:val="18"/>
                <w:szCs w:val="18"/>
              </w:rPr>
              <w:t>中西部区域建设综合性业务基地，有利于公司做强区</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域业务，提升公司的研发实力</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主要控股参股公司情况说明</w:t>
      </w:r>
    </w:p>
    <w:p>
      <w:pPr>
        <w:spacing w:line="240" w:lineRule="auto" w:before="1"/>
        <w:rPr>
          <w:rFonts w:ascii="宋体" w:hAnsi="宋体" w:cs="宋体" w:eastAsia="宋体" w:hint="default"/>
          <w:sz w:val="13"/>
          <w:szCs w:val="13"/>
        </w:rPr>
      </w:pPr>
    </w:p>
    <w:p>
      <w:pPr>
        <w:pStyle w:val="BodyText"/>
        <w:spacing w:line="408" w:lineRule="auto" w:before="0"/>
        <w:ind w:right="1106" w:firstLine="420"/>
        <w:jc w:val="both"/>
      </w:pPr>
      <w:r>
        <w:rPr>
          <w:spacing w:val="-2"/>
        </w:rPr>
        <w:t>公司及子公司借助央企优势的同时，充分发挥民企的活力，促进公司内外部资源整合、共享及协同，</w:t>
      </w:r>
      <w:r>
        <w:rPr>
          <w:w w:val="100"/>
        </w:rPr>
        <w:t> </w:t>
      </w:r>
      <w:r>
        <w:rPr>
          <w:spacing w:val="-2"/>
        </w:rPr>
        <w:t>提升公司总体竞争力，促进了各主要子公司销售收入及净利润增长。虽然随着国家机构体制改革的逐步落</w:t>
      </w:r>
      <w:r>
        <w:rPr>
          <w:spacing w:val="-42"/>
        </w:rPr>
        <w:t> </w:t>
      </w:r>
      <w:r>
        <w:rPr>
          <w:spacing w:val="-42"/>
        </w:rPr>
      </w:r>
      <w:r>
        <w:rPr>
          <w:spacing w:val="-2"/>
        </w:rPr>
        <w:t>地，采购和建设需求也在逐渐恢复，但由于个别子公司所处行业机构改革影响尚未完全消除，但公司人员</w:t>
      </w:r>
      <w:r>
        <w:rPr>
          <w:spacing w:val="-44"/>
        </w:rPr>
        <w:t> </w:t>
      </w:r>
      <w:r>
        <w:rPr>
          <w:spacing w:val="-44"/>
        </w:rPr>
      </w:r>
      <w:r>
        <w:rPr/>
        <w:t>工资等固定费用仍需正常支出，使得收入利润有所下降。</w:t>
      </w:r>
    </w:p>
    <w:p>
      <w:pPr>
        <w:pStyle w:val="BodyText"/>
        <w:spacing w:line="240" w:lineRule="auto"/>
        <w:ind w:left="572" w:right="986"/>
        <w:jc w:val="left"/>
      </w:pPr>
      <w:r>
        <w:rPr/>
        <w:t>报告期内主要全资、控股、参股公司收入及利润情况如下：</w:t>
      </w:r>
    </w:p>
    <w:p>
      <w:pPr>
        <w:spacing w:line="240" w:lineRule="auto" w:before="10"/>
        <w:rPr>
          <w:rFonts w:ascii="宋体" w:hAnsi="宋体" w:cs="宋体" w:eastAsia="宋体" w:hint="default"/>
          <w:sz w:val="14"/>
          <w:szCs w:val="14"/>
        </w:rPr>
      </w:pPr>
    </w:p>
    <w:p>
      <w:pPr>
        <w:pStyle w:val="BodyText"/>
        <w:spacing w:line="408" w:lineRule="auto" w:before="0"/>
        <w:ind w:right="986" w:firstLine="420"/>
        <w:jc w:val="left"/>
      </w:pPr>
      <w:r>
        <w:rPr>
          <w:spacing w:val="-2"/>
        </w:rPr>
        <w:t>●全资子公司美亚信息安全研究所：</w:t>
      </w:r>
      <w:r>
        <w:rPr>
          <w:rFonts w:ascii="宋体" w:hAnsi="宋体" w:cs="宋体" w:eastAsia="宋体" w:hint="default"/>
          <w:spacing w:val="-2"/>
        </w:rPr>
        <w:t>2019</w:t>
      </w:r>
      <w:r>
        <w:rPr>
          <w:spacing w:val="-2"/>
        </w:rPr>
        <w:t>年实现销售收入</w:t>
      </w:r>
      <w:r>
        <w:rPr>
          <w:rFonts w:ascii="宋体" w:hAnsi="宋体" w:cs="宋体" w:eastAsia="宋体" w:hint="default"/>
          <w:spacing w:val="-2"/>
        </w:rPr>
        <w:t>10,557.66</w:t>
      </w:r>
      <w:r>
        <w:rPr>
          <w:spacing w:val="-2"/>
        </w:rPr>
        <w:t>万元，较上年度增长</w:t>
      </w:r>
      <w:r>
        <w:rPr>
          <w:rFonts w:ascii="宋体" w:hAnsi="宋体" w:cs="宋体" w:eastAsia="宋体" w:hint="default"/>
          <w:spacing w:val="-2"/>
        </w:rPr>
        <w:t>210.90%</w:t>
      </w:r>
      <w:r>
        <w:rPr>
          <w:spacing w:val="-2"/>
        </w:rPr>
        <w:t>，净</w:t>
      </w:r>
      <w:r>
        <w:rPr>
          <w:spacing w:val="-8"/>
          <w:w w:val="100"/>
        </w:rPr>
        <w:t> </w:t>
      </w:r>
      <w:r>
        <w:rPr/>
        <w:t>利润</w:t>
      </w:r>
      <w:r>
        <w:rPr>
          <w:rFonts w:ascii="宋体" w:hAnsi="宋体" w:cs="宋体" w:eastAsia="宋体" w:hint="default"/>
        </w:rPr>
        <w:t>4,342.37</w:t>
      </w:r>
      <w:r>
        <w:rPr/>
        <w:t>万元，较上年度增长</w:t>
      </w:r>
      <w:r>
        <w:rPr>
          <w:rFonts w:ascii="宋体" w:hAnsi="宋体" w:cs="宋体" w:eastAsia="宋体" w:hint="default"/>
        </w:rPr>
        <w:t>946.64%</w:t>
      </w:r>
      <w:r>
        <w:rPr/>
        <w:t>。美亚信息安全研究所收入和利润增长主要是由于公司加强资</w:t>
      </w:r>
      <w:r>
        <w:rPr>
          <w:spacing w:val="-3"/>
          <w:w w:val="100"/>
        </w:rPr>
        <w:t> </w:t>
      </w:r>
      <w:r>
        <w:rPr/>
        <w:t>源整合，促进了公司与研究所业务协同发展，使得研究所收入较上年度有较大增长。</w:t>
      </w:r>
    </w:p>
    <w:p>
      <w:pPr>
        <w:pStyle w:val="BodyText"/>
        <w:spacing w:line="408" w:lineRule="auto"/>
        <w:ind w:right="986" w:firstLine="420"/>
        <w:jc w:val="left"/>
      </w:pPr>
      <w:r>
        <w:rPr/>
        <w:t>●全资子公司新德汇：</w:t>
      </w:r>
      <w:r>
        <w:rPr>
          <w:rFonts w:ascii="宋体" w:hAnsi="宋体" w:cs="宋体" w:eastAsia="宋体" w:hint="default"/>
        </w:rPr>
        <w:t>2019</w:t>
      </w:r>
      <w:r>
        <w:rPr/>
        <w:t>年实现销售收入</w:t>
      </w:r>
      <w:r>
        <w:rPr>
          <w:rFonts w:ascii="宋体" w:hAnsi="宋体" w:cs="宋体" w:eastAsia="宋体" w:hint="default"/>
        </w:rPr>
        <w:t>48,653.54</w:t>
      </w:r>
      <w:r>
        <w:rPr/>
        <w:t>万元，较上年度增长</w:t>
      </w:r>
      <w:r>
        <w:rPr>
          <w:rFonts w:ascii="宋体" w:hAnsi="宋体" w:cs="宋体" w:eastAsia="宋体" w:hint="default"/>
        </w:rPr>
        <w:t>46.32%</w:t>
      </w:r>
      <w:r>
        <w:rPr/>
        <w:t>，实现净利润</w:t>
      </w:r>
      <w:r>
        <w:rPr>
          <w:w w:val="100"/>
        </w:rPr>
        <w:t> </w:t>
      </w:r>
      <w:r>
        <w:rPr>
          <w:rFonts w:ascii="宋体" w:hAnsi="宋体" w:cs="宋体" w:eastAsia="宋体" w:hint="default"/>
          <w:spacing w:val="-2"/>
        </w:rPr>
        <w:t>5,889.42</w:t>
      </w:r>
      <w:r>
        <w:rPr>
          <w:spacing w:val="-2"/>
        </w:rPr>
        <w:t>万元，较上年度增长</w:t>
      </w:r>
      <w:r>
        <w:rPr>
          <w:rFonts w:ascii="宋体" w:hAnsi="宋体" w:cs="宋体" w:eastAsia="宋体" w:hint="default"/>
          <w:spacing w:val="-2"/>
        </w:rPr>
        <w:t>12.14%</w:t>
      </w:r>
      <w:r>
        <w:rPr>
          <w:spacing w:val="-2"/>
        </w:rPr>
        <w:t>。新德汇收入和利润增长主要是由于公司加强了电子数据取证产品在</w:t>
      </w:r>
      <w:r>
        <w:rPr>
          <w:spacing w:val="-29"/>
        </w:rPr>
        <w:t> </w:t>
      </w:r>
      <w:r>
        <w:rPr>
          <w:spacing w:val="-29"/>
        </w:rPr>
      </w:r>
      <w:r>
        <w:rPr/>
        <w:t>刑侦、军工等市场的业务销售，整体收入保持较快增长。</w:t>
      </w:r>
    </w:p>
    <w:p>
      <w:pPr>
        <w:pStyle w:val="BodyText"/>
        <w:spacing w:line="408" w:lineRule="auto"/>
        <w:ind w:right="986" w:firstLine="420"/>
        <w:jc w:val="left"/>
      </w:pPr>
      <w:r>
        <w:rPr>
          <w:spacing w:val="-2"/>
        </w:rPr>
        <w:t>●全资子公司江苏税软：</w:t>
      </w:r>
      <w:r>
        <w:rPr>
          <w:rFonts w:ascii="宋体" w:hAnsi="宋体" w:cs="宋体" w:eastAsia="宋体" w:hint="default"/>
          <w:spacing w:val="-2"/>
        </w:rPr>
        <w:t>2019</w:t>
      </w:r>
      <w:r>
        <w:rPr>
          <w:spacing w:val="-2"/>
        </w:rPr>
        <w:t>年实现销售收入</w:t>
      </w:r>
      <w:r>
        <w:rPr>
          <w:rFonts w:ascii="宋体" w:hAnsi="宋体" w:cs="宋体" w:eastAsia="宋体" w:hint="default"/>
          <w:spacing w:val="-2"/>
        </w:rPr>
        <w:t>21,583.34</w:t>
      </w:r>
      <w:r>
        <w:rPr>
          <w:spacing w:val="-2"/>
        </w:rPr>
        <w:t>万元，较上年度增长</w:t>
      </w:r>
      <w:r>
        <w:rPr>
          <w:rFonts w:ascii="宋体" w:hAnsi="宋体" w:cs="宋体" w:eastAsia="宋体" w:hint="default"/>
          <w:spacing w:val="-2"/>
        </w:rPr>
        <w:t>122.32%</w:t>
      </w:r>
      <w:r>
        <w:rPr>
          <w:spacing w:val="-2"/>
        </w:rPr>
        <w:t>，归属于江苏税</w:t>
      </w:r>
      <w:r>
        <w:rPr>
          <w:spacing w:val="-3"/>
          <w:w w:val="100"/>
        </w:rPr>
        <w:t> </w:t>
      </w:r>
      <w:r>
        <w:rPr/>
        <w:t>软股东的净利润</w:t>
      </w:r>
      <w:r>
        <w:rPr>
          <w:rFonts w:ascii="宋体" w:hAnsi="宋体" w:cs="宋体" w:eastAsia="宋体" w:hint="default"/>
        </w:rPr>
        <w:t>5,499</w:t>
      </w:r>
      <w:r>
        <w:rPr/>
        <w:t>万元，较上年度增长</w:t>
      </w:r>
      <w:r>
        <w:rPr>
          <w:rFonts w:ascii="宋体" w:hAnsi="宋体" w:cs="宋体" w:eastAsia="宋体" w:hint="default"/>
        </w:rPr>
        <w:t>77.39%</w:t>
      </w:r>
      <w:r>
        <w:rPr/>
        <w:t>。江苏税软收入利润较上年度增长主要是在国地税完成</w:t>
      </w:r>
      <w:r>
        <w:rPr>
          <w:w w:val="100"/>
        </w:rPr>
        <w:t> </w:t>
      </w:r>
      <w:r>
        <w:rPr>
          <w:spacing w:val="-2"/>
        </w:rPr>
        <w:t>合并后，公司主动贴近涉税评估和税务稽查指挥的信息化需求，加大产品研发力度，更新迭代及推出新的</w:t>
      </w:r>
      <w:r>
        <w:rPr>
          <w:spacing w:val="-42"/>
        </w:rPr>
        <w:t> </w:t>
      </w:r>
      <w:r>
        <w:rPr>
          <w:spacing w:val="-42"/>
        </w:rPr>
      </w:r>
      <w:r>
        <w:rPr/>
        <w:t>产品解决方案，使得公司在税务细分市场业务保持较快的增长。</w:t>
      </w:r>
    </w:p>
    <w:p>
      <w:pPr>
        <w:pStyle w:val="BodyText"/>
        <w:spacing w:line="408" w:lineRule="auto"/>
        <w:ind w:right="986" w:firstLine="420"/>
        <w:jc w:val="left"/>
      </w:pPr>
      <w:r>
        <w:rPr/>
        <w:t>●控股子公司美亚中敏：</w:t>
      </w:r>
      <w:r>
        <w:rPr>
          <w:rFonts w:ascii="宋体" w:hAnsi="宋体" w:cs="宋体" w:eastAsia="宋体" w:hint="default"/>
        </w:rPr>
        <w:t>2019</w:t>
      </w:r>
      <w:r>
        <w:rPr/>
        <w:t>年实现销售收入</w:t>
      </w:r>
      <w:r>
        <w:rPr>
          <w:rFonts w:ascii="宋体" w:hAnsi="宋体" w:cs="宋体" w:eastAsia="宋体" w:hint="default"/>
        </w:rPr>
        <w:t>20,269.04</w:t>
      </w:r>
      <w:r>
        <w:rPr/>
        <w:t>万元，较上年度增长</w:t>
      </w:r>
      <w:r>
        <w:rPr>
          <w:rFonts w:ascii="宋体" w:hAnsi="宋体" w:cs="宋体" w:eastAsia="宋体" w:hint="default"/>
        </w:rPr>
        <w:t>19.40%</w:t>
      </w:r>
      <w:r>
        <w:rPr/>
        <w:t>，实现净利润</w:t>
      </w:r>
      <w:r>
        <w:rPr>
          <w:spacing w:val="-3"/>
          <w:w w:val="100"/>
        </w:rPr>
        <w:t> </w:t>
      </w:r>
      <w:r>
        <w:rPr>
          <w:rFonts w:ascii="宋体" w:hAnsi="宋体" w:cs="宋体" w:eastAsia="宋体" w:hint="default"/>
          <w:spacing w:val="-2"/>
        </w:rPr>
        <w:t>994.76</w:t>
      </w:r>
      <w:r>
        <w:rPr>
          <w:spacing w:val="-2"/>
        </w:rPr>
        <w:t>万元，较上年度增长</w:t>
      </w:r>
      <w:r>
        <w:rPr>
          <w:rFonts w:ascii="宋体" w:hAnsi="宋体" w:cs="宋体" w:eastAsia="宋体" w:hint="default"/>
          <w:spacing w:val="-2"/>
        </w:rPr>
        <w:t>143.43%</w:t>
      </w:r>
      <w:r>
        <w:rPr>
          <w:spacing w:val="-2"/>
        </w:rPr>
        <w:t>。美亚中敏收入和利润增长主要是由于公司加强客户拓展、供应链管</w:t>
      </w:r>
      <w:r>
        <w:rPr>
          <w:spacing w:val="-11"/>
        </w:rPr>
        <w:t> </w:t>
      </w:r>
      <w:r>
        <w:rPr>
          <w:spacing w:val="-11"/>
        </w:rPr>
      </w:r>
      <w:r>
        <w:rPr/>
        <w:t>理并在常熟新设大型智能装备的生产车间，使得收入和利润较上年度有明显增长。</w:t>
      </w:r>
    </w:p>
    <w:p>
      <w:pPr>
        <w:pStyle w:val="BodyText"/>
        <w:spacing w:line="408" w:lineRule="auto"/>
        <w:ind w:right="1109" w:firstLine="419"/>
        <w:jc w:val="both"/>
      </w:pPr>
      <w:r>
        <w:rPr>
          <w:spacing w:val="-6"/>
        </w:rPr>
        <w:t>●控股子公司安胜网络：</w:t>
      </w:r>
      <w:r>
        <w:rPr>
          <w:rFonts w:ascii="宋体" w:hAnsi="宋体" w:cs="宋体" w:eastAsia="宋体" w:hint="default"/>
          <w:spacing w:val="-6"/>
        </w:rPr>
        <w:t>2019</w:t>
      </w:r>
      <w:r>
        <w:rPr>
          <w:spacing w:val="-6"/>
        </w:rPr>
        <w:t>年实现销售收入</w:t>
      </w:r>
      <w:r>
        <w:rPr>
          <w:rFonts w:ascii="宋体" w:hAnsi="宋体" w:cs="宋体" w:eastAsia="宋体" w:hint="default"/>
          <w:spacing w:val="-6"/>
        </w:rPr>
        <w:t>10,721.62</w:t>
      </w:r>
      <w:r>
        <w:rPr>
          <w:spacing w:val="-6"/>
        </w:rPr>
        <w:t>万元，较上年度增长</w:t>
      </w:r>
      <w:r>
        <w:rPr>
          <w:rFonts w:ascii="宋体" w:hAnsi="宋体" w:cs="宋体" w:eastAsia="宋体" w:hint="default"/>
          <w:spacing w:val="-6"/>
        </w:rPr>
        <w:t>4.33%</w:t>
      </w:r>
      <w:r>
        <w:rPr>
          <w:spacing w:val="-6"/>
        </w:rPr>
        <w:t>，实现净利润</w:t>
      </w:r>
      <w:r>
        <w:rPr>
          <w:rFonts w:ascii="宋体" w:hAnsi="宋体" w:cs="宋体" w:eastAsia="宋体" w:hint="default"/>
          <w:spacing w:val="-6"/>
        </w:rPr>
        <w:t>274.96</w:t>
      </w:r>
      <w:r>
        <w:rPr>
          <w:rFonts w:ascii="宋体" w:hAnsi="宋体" w:cs="宋体" w:eastAsia="宋体" w:hint="default"/>
          <w:w w:val="100"/>
        </w:rPr>
        <w:t> </w:t>
      </w:r>
      <w:r>
        <w:rPr>
          <w:spacing w:val="-2"/>
        </w:rPr>
        <w:t>万元，较上年度下降</w:t>
      </w:r>
      <w:r>
        <w:rPr>
          <w:rFonts w:ascii="宋体" w:hAnsi="宋体" w:cs="宋体" w:eastAsia="宋体" w:hint="default"/>
          <w:spacing w:val="-2"/>
        </w:rPr>
        <w:t>72.98%</w:t>
      </w:r>
      <w:r>
        <w:rPr>
          <w:spacing w:val="-2"/>
        </w:rPr>
        <w:t>。安胜网络收入略有增长利润下降主要由于硬件收入比重增加，毛利率下降，</w:t>
      </w:r>
      <w:r>
        <w:rPr>
          <w:spacing w:val="-18"/>
        </w:rPr>
        <w:t> </w:t>
      </w:r>
      <w:r>
        <w:rPr>
          <w:spacing w:val="-18"/>
        </w:rPr>
      </w:r>
      <w:r>
        <w:rPr/>
        <w:t>同时公司人员结构优化调整导致人员人工等固定费用较上年度增加所致。</w:t>
      </w:r>
    </w:p>
    <w:p>
      <w:pPr>
        <w:pStyle w:val="BodyText"/>
        <w:spacing w:line="408" w:lineRule="auto"/>
        <w:ind w:right="1130" w:firstLine="419"/>
        <w:jc w:val="both"/>
      </w:pPr>
      <w:r>
        <w:rPr>
          <w:spacing w:val="-6"/>
        </w:rPr>
        <w:t>●控股子公司美亚商鼎：</w:t>
      </w:r>
      <w:r>
        <w:rPr>
          <w:rFonts w:ascii="宋体" w:hAnsi="宋体" w:cs="宋体" w:eastAsia="宋体" w:hint="default"/>
          <w:spacing w:val="-6"/>
        </w:rPr>
        <w:t>2019</w:t>
      </w:r>
      <w:r>
        <w:rPr>
          <w:spacing w:val="-6"/>
        </w:rPr>
        <w:t>年实现销售收入</w:t>
      </w:r>
      <w:r>
        <w:rPr>
          <w:rFonts w:ascii="宋体" w:hAnsi="宋体" w:cs="宋体" w:eastAsia="宋体" w:hint="default"/>
          <w:spacing w:val="-6"/>
        </w:rPr>
        <w:t>2,349.79</w:t>
      </w:r>
      <w:r>
        <w:rPr>
          <w:spacing w:val="-6"/>
        </w:rPr>
        <w:t>万元，较上年度下降</w:t>
      </w:r>
      <w:r>
        <w:rPr>
          <w:rFonts w:ascii="宋体" w:hAnsi="宋体" w:cs="宋体" w:eastAsia="宋体" w:hint="default"/>
          <w:spacing w:val="-6"/>
        </w:rPr>
        <w:t>33.23%</w:t>
      </w:r>
      <w:r>
        <w:rPr>
          <w:spacing w:val="-6"/>
        </w:rPr>
        <w:t>，实现净利润</w:t>
      </w:r>
      <w:r>
        <w:rPr>
          <w:rFonts w:ascii="宋体" w:hAnsi="宋体" w:cs="宋体" w:eastAsia="宋体" w:hint="default"/>
          <w:spacing w:val="-6"/>
        </w:rPr>
        <w:t>252.83</w:t>
      </w:r>
      <w:r>
        <w:rPr>
          <w:rFonts w:ascii="宋体" w:hAnsi="宋体" w:cs="宋体" w:eastAsia="宋体" w:hint="default"/>
          <w:w w:val="100"/>
        </w:rPr>
        <w:t> </w:t>
      </w:r>
      <w:r>
        <w:rPr>
          <w:spacing w:val="-2"/>
        </w:rPr>
        <w:t>万元，较上年度下降</w:t>
      </w:r>
      <w:r>
        <w:rPr>
          <w:rFonts w:ascii="宋体" w:hAnsi="宋体" w:cs="宋体" w:eastAsia="宋体" w:hint="default"/>
          <w:spacing w:val="-2"/>
        </w:rPr>
        <w:t>71.50%</w:t>
      </w:r>
      <w:r>
        <w:rPr>
          <w:spacing w:val="-2"/>
        </w:rPr>
        <w:t>。商鼎收入利润下降主要由于受市监行业机构改革影响，市场尚未完全恢复所</w:t>
      </w:r>
      <w:r>
        <w:rPr>
          <w:spacing w:val="-45"/>
        </w:rPr>
        <w:t> </w:t>
      </w:r>
      <w:r>
        <w:rPr>
          <w:spacing w:val="-45"/>
        </w:rPr>
      </w:r>
      <w:r>
        <w:rPr/>
        <w:t>致。</w:t>
      </w:r>
    </w:p>
    <w:p>
      <w:pPr>
        <w:pStyle w:val="BodyText"/>
        <w:spacing w:line="240" w:lineRule="auto"/>
        <w:ind w:left="573" w:right="986"/>
        <w:jc w:val="left"/>
      </w:pPr>
      <w:r>
        <w:rPr/>
        <w:t>●全资子公司美亚榕安：</w:t>
      </w:r>
      <w:r>
        <w:rPr>
          <w:rFonts w:ascii="宋体" w:hAnsi="宋体" w:cs="宋体" w:eastAsia="宋体" w:hint="default"/>
        </w:rPr>
        <w:t>2019</w:t>
      </w:r>
      <w:r>
        <w:rPr/>
        <w:t>年实现销售收入</w:t>
      </w:r>
      <w:r>
        <w:rPr>
          <w:rFonts w:ascii="宋体" w:hAnsi="宋体" w:cs="宋体" w:eastAsia="宋体" w:hint="default"/>
        </w:rPr>
        <w:t>1,567.46</w:t>
      </w:r>
      <w:r>
        <w:rPr/>
        <w:t>万元，净利润</w:t>
      </w:r>
      <w:r>
        <w:rPr>
          <w:rFonts w:ascii="宋体" w:hAnsi="宋体" w:cs="宋体" w:eastAsia="宋体" w:hint="default"/>
        </w:rPr>
        <w:t>80.57</w:t>
      </w:r>
      <w:r>
        <w:rPr/>
        <w:t>万元。</w:t>
      </w:r>
    </w:p>
    <w:p>
      <w:pPr>
        <w:spacing w:after="0" w:line="240" w:lineRule="auto"/>
        <w:jc w:val="left"/>
        <w:sectPr>
          <w:pgSz w:w="11910" w:h="16840"/>
          <w:pgMar w:header="745" w:footer="982" w:top="1060" w:bottom="118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0"/>
        <w:jc w:val="both"/>
        <w:rPr>
          <w:b w:val="0"/>
          <w:bCs w:val="0"/>
        </w:rPr>
      </w:pPr>
      <w:bookmarkStart w:name="八、公司控制的结构化主体情况" w:id="56"/>
      <w:bookmarkEnd w:id="56"/>
      <w:r>
        <w:rPr>
          <w:b w:val="0"/>
          <w:bCs w:val="0"/>
        </w:rPr>
      </w:r>
      <w:r>
        <w:rPr/>
        <w:t>八、公司控制的结构化主体情况</w:t>
      </w:r>
      <w:r>
        <w:rPr>
          <w:b w:val="0"/>
          <w:bCs w:val="0"/>
        </w:rPr>
      </w:r>
    </w:p>
    <w:p>
      <w:pPr>
        <w:spacing w:line="240" w:lineRule="auto" w:before="6"/>
        <w:rPr>
          <w:rFonts w:ascii="宋体" w:hAnsi="宋体" w:cs="宋体" w:eastAsia="宋体" w:hint="default"/>
          <w:b/>
          <w:bCs/>
          <w:sz w:val="26"/>
          <w:szCs w:val="26"/>
        </w:rPr>
      </w:pPr>
    </w:p>
    <w:p>
      <w:pPr>
        <w:spacing w:before="0"/>
        <w:ind w:left="152" w:right="0" w:firstLine="0"/>
        <w:jc w:val="both"/>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25"/>
          <w:szCs w:val="25"/>
        </w:rPr>
      </w:pPr>
    </w:p>
    <w:p>
      <w:pPr>
        <w:pStyle w:val="Heading2"/>
        <w:spacing w:line="240" w:lineRule="auto"/>
        <w:ind w:right="0"/>
        <w:jc w:val="both"/>
        <w:rPr>
          <w:b w:val="0"/>
          <w:bCs w:val="0"/>
        </w:rPr>
      </w:pPr>
      <w:bookmarkStart w:name="九、公司未来发展的展望" w:id="57"/>
      <w:bookmarkEnd w:id="57"/>
      <w:r>
        <w:rPr>
          <w:b w:val="0"/>
          <w:bCs w:val="0"/>
        </w:rPr>
      </w:r>
      <w:r>
        <w:rPr/>
        <w:t>九、公司未来发展的展望</w:t>
      </w:r>
      <w:r>
        <w:rPr>
          <w:b w:val="0"/>
          <w:bCs w:val="0"/>
        </w:rPr>
      </w:r>
    </w:p>
    <w:p>
      <w:pPr>
        <w:spacing w:line="240" w:lineRule="auto" w:before="10"/>
        <w:rPr>
          <w:rFonts w:ascii="宋体" w:hAnsi="宋体" w:cs="宋体" w:eastAsia="宋体" w:hint="default"/>
          <w:b/>
          <w:bCs/>
          <w:sz w:val="30"/>
          <w:szCs w:val="30"/>
        </w:rPr>
      </w:pPr>
    </w:p>
    <w:p>
      <w:pPr>
        <w:spacing w:line="408" w:lineRule="auto" w:before="0"/>
        <w:ind w:left="572" w:right="986" w:firstLine="2"/>
        <w:jc w:val="left"/>
        <w:rPr>
          <w:rFonts w:ascii="宋体" w:hAnsi="宋体" w:cs="宋体" w:eastAsia="宋体" w:hint="default"/>
          <w:sz w:val="21"/>
          <w:szCs w:val="21"/>
        </w:rPr>
      </w:pPr>
      <w:r>
        <w:rPr>
          <w:rFonts w:ascii="宋体" w:hAnsi="宋体" w:cs="宋体" w:eastAsia="宋体" w:hint="default"/>
          <w:b/>
          <w:bCs/>
          <w:sz w:val="21"/>
          <w:szCs w:val="21"/>
        </w:rPr>
        <w:t>（一）行业竞争格局和趋势</w:t>
      </w:r>
      <w:r>
        <w:rPr>
          <w:rFonts w:ascii="宋体" w:hAnsi="宋体" w:cs="宋体" w:eastAsia="宋体" w:hint="default"/>
          <w:b/>
          <w:bCs/>
          <w:w w:val="100"/>
          <w:sz w:val="21"/>
          <w:szCs w:val="21"/>
        </w:rPr>
        <w:t> </w:t>
      </w:r>
      <w:r>
        <w:rPr>
          <w:rFonts w:ascii="宋体" w:hAnsi="宋体" w:cs="宋体" w:eastAsia="宋体" w:hint="default"/>
          <w:spacing w:val="-5"/>
          <w:sz w:val="21"/>
          <w:szCs w:val="21"/>
        </w:rPr>
        <w:t>公司所属行业为“软件和信息技术服务业”和“信息安全行业”，核心业务在大数据、网络空间安全、</w:t>
      </w:r>
    </w:p>
    <w:p>
      <w:pPr>
        <w:pStyle w:val="BodyText"/>
        <w:spacing w:line="240" w:lineRule="auto"/>
        <w:ind w:right="0"/>
        <w:jc w:val="both"/>
      </w:pPr>
      <w:r>
        <w:rPr/>
        <w:t>电子数据取证领域相关行业发展趋势如下：</w:t>
      </w:r>
    </w:p>
    <w:p>
      <w:pPr>
        <w:spacing w:line="240" w:lineRule="auto" w:before="10"/>
        <w:rPr>
          <w:rFonts w:ascii="宋体" w:hAnsi="宋体" w:cs="宋体" w:eastAsia="宋体" w:hint="default"/>
          <w:sz w:val="14"/>
          <w:szCs w:val="14"/>
        </w:rPr>
      </w:pPr>
    </w:p>
    <w:p>
      <w:pPr>
        <w:pStyle w:val="Heading4"/>
        <w:spacing w:line="240" w:lineRule="auto"/>
        <w:ind w:left="575" w:right="986"/>
        <w:jc w:val="left"/>
        <w:rPr>
          <w:b w:val="0"/>
          <w:bCs w:val="0"/>
        </w:rPr>
      </w:pPr>
      <w:r>
        <w:rPr>
          <w:rFonts w:ascii="宋体" w:hAnsi="宋体" w:cs="宋体" w:eastAsia="宋体" w:hint="default"/>
        </w:rPr>
        <w:t>1</w:t>
      </w:r>
      <w:r>
        <w:rPr/>
        <w:t>、软件行业发展趋势</w:t>
      </w:r>
      <w:r>
        <w:rPr>
          <w:b w:val="0"/>
          <w:bCs w:val="0"/>
        </w:rPr>
      </w:r>
    </w:p>
    <w:p>
      <w:pPr>
        <w:spacing w:line="240" w:lineRule="auto" w:before="10"/>
        <w:rPr>
          <w:rFonts w:ascii="宋体" w:hAnsi="宋体" w:cs="宋体" w:eastAsia="宋体" w:hint="default"/>
          <w:b/>
          <w:bCs/>
          <w:sz w:val="14"/>
          <w:szCs w:val="14"/>
        </w:rPr>
      </w:pPr>
    </w:p>
    <w:p>
      <w:pPr>
        <w:pStyle w:val="BodyText"/>
        <w:spacing w:line="408" w:lineRule="auto" w:before="0"/>
        <w:ind w:right="1106" w:firstLine="420"/>
        <w:jc w:val="both"/>
      </w:pPr>
      <w:r>
        <w:rPr>
          <w:rFonts w:ascii="宋体" w:hAnsi="宋体" w:cs="宋体" w:eastAsia="宋体" w:hint="default"/>
        </w:rPr>
        <w:t>2016</w:t>
      </w:r>
      <w:r>
        <w:rPr/>
        <w:t>年工业和信息化部公布了《软件和信息技术服务业发展规划（</w:t>
      </w:r>
      <w:r>
        <w:rPr>
          <w:rFonts w:ascii="宋体" w:hAnsi="宋体" w:cs="宋体" w:eastAsia="宋体" w:hint="default"/>
        </w:rPr>
        <w:t>2016-2020</w:t>
      </w:r>
      <w:r>
        <w:rPr/>
        <w:t>）》，软件和信息技术</w:t>
      </w:r>
      <w:r>
        <w:rPr>
          <w:w w:val="100"/>
        </w:rPr>
        <w:t> </w:t>
      </w:r>
      <w:r>
        <w:rPr>
          <w:spacing w:val="-2"/>
        </w:rPr>
        <w:t>服务业步入加速创新、快速迭代、群体突破的爆发期，加快向网络化、平台化、服务化、智能化、生态化</w:t>
      </w:r>
      <w:r>
        <w:rPr>
          <w:spacing w:val="-46"/>
        </w:rPr>
        <w:t> </w:t>
      </w:r>
      <w:r>
        <w:rPr>
          <w:spacing w:val="-46"/>
        </w:rPr>
      </w:r>
      <w:r>
        <w:rPr>
          <w:spacing w:val="-2"/>
        </w:rPr>
        <w:t>演进。云计算、大数据、移动互联网、物联网等快速发展和融合创新，先进计算、高端存储、人工智能、</w:t>
      </w:r>
      <w:r>
        <w:rPr>
          <w:spacing w:val="-21"/>
        </w:rPr>
        <w:t> </w:t>
      </w:r>
      <w:r>
        <w:rPr>
          <w:spacing w:val="-21"/>
        </w:rPr>
      </w:r>
      <w:r>
        <w:rPr>
          <w:spacing w:val="-2"/>
        </w:rPr>
        <w:t>虚拟现实、神经科学等新技术加速突破和应用，进一步重塑软件的技术架构、计算模式、开发模式、产品</w:t>
      </w:r>
      <w:r>
        <w:rPr>
          <w:spacing w:val="-43"/>
        </w:rPr>
        <w:t> </w:t>
      </w:r>
      <w:r>
        <w:rPr>
          <w:spacing w:val="-43"/>
        </w:rPr>
      </w:r>
      <w:r>
        <w:rPr>
          <w:spacing w:val="-2"/>
        </w:rPr>
        <w:t>形态和商业模式，新技术、新产品、新模式、新业态日益成熟，加速步入质变期。开源、众包等群智化研</w:t>
      </w:r>
      <w:r>
        <w:rPr>
          <w:spacing w:val="-50"/>
        </w:rPr>
        <w:t> </w:t>
      </w:r>
      <w:r>
        <w:rPr>
          <w:spacing w:val="-50"/>
        </w:rPr>
      </w:r>
      <w:r>
        <w:rPr>
          <w:spacing w:val="-2"/>
        </w:rPr>
        <w:t>发模式成为技术创新的主流方向，产业竞争由单一技术、单一产品、单一模式加快向多技术、集成化、融</w:t>
      </w:r>
      <w:r>
        <w:rPr>
          <w:spacing w:val="-43"/>
        </w:rPr>
        <w:t> </w:t>
      </w:r>
      <w:r>
        <w:rPr>
          <w:spacing w:val="-43"/>
        </w:rPr>
      </w:r>
      <w:r>
        <w:rPr>
          <w:spacing w:val="-2"/>
        </w:rPr>
        <w:t>合化、平台系统、生态系统的竞争转变，生态体系竞争成为产业发展制高点。软件企业依托云计算、大数</w:t>
      </w:r>
      <w:r>
        <w:rPr>
          <w:spacing w:val="-43"/>
        </w:rPr>
        <w:t> </w:t>
      </w:r>
      <w:r>
        <w:rPr>
          <w:spacing w:val="-43"/>
        </w:rPr>
      </w:r>
      <w:r>
        <w:rPr>
          <w:spacing w:val="-2"/>
        </w:rPr>
        <w:t>据等技术平台，强化技术、产品、内容和服务等核心要素的整合创新，加速业务重构、流程优化和服务提</w:t>
      </w:r>
      <w:r>
        <w:rPr>
          <w:spacing w:val="-43"/>
        </w:rPr>
        <w:t> </w:t>
      </w:r>
      <w:r>
        <w:rPr>
          <w:spacing w:val="-43"/>
        </w:rPr>
      </w:r>
      <w:r>
        <w:rPr/>
        <w:t>升，实现转型发展。</w:t>
      </w:r>
    </w:p>
    <w:p>
      <w:pPr>
        <w:spacing w:line="408" w:lineRule="auto" w:before="46"/>
        <w:ind w:left="678" w:right="986" w:hanging="104"/>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、信息安全行业发展趋势</w:t>
      </w:r>
      <w:r>
        <w:rPr>
          <w:rFonts w:ascii="宋体" w:hAnsi="宋体" w:cs="宋体" w:eastAsia="宋体" w:hint="default"/>
          <w:b/>
          <w:bCs/>
          <w:w w:val="100"/>
          <w:sz w:val="21"/>
          <w:szCs w:val="21"/>
        </w:rPr>
        <w:t> </w:t>
      </w:r>
      <w:r>
        <w:rPr>
          <w:rFonts w:ascii="宋体" w:hAnsi="宋体" w:cs="宋体" w:eastAsia="宋体" w:hint="default"/>
          <w:sz w:val="21"/>
          <w:szCs w:val="21"/>
        </w:rPr>
        <w:t>随着中国整体信息化水平持续提升，经济和社会对信息化的依赖程度日益提高，身份盗用、交易诈</w:t>
      </w:r>
    </w:p>
    <w:p>
      <w:pPr>
        <w:pStyle w:val="BodyText"/>
        <w:spacing w:line="408" w:lineRule="auto"/>
        <w:ind w:right="1126"/>
        <w:jc w:val="both"/>
      </w:pPr>
      <w:r>
        <w:rPr>
          <w:spacing w:val="-2"/>
        </w:rPr>
        <w:t>骗、资源滥用、网络钓鱼等安全事件也随之频发，政府、企业、个人对信息安全的关注程度日益提高，社</w:t>
      </w:r>
      <w:r>
        <w:rPr>
          <w:spacing w:val="-42"/>
        </w:rPr>
        <w:t> </w:t>
      </w:r>
      <w:r>
        <w:rPr>
          <w:spacing w:val="-42"/>
        </w:rPr>
      </w:r>
      <w:r>
        <w:rPr>
          <w:spacing w:val="-2"/>
        </w:rPr>
        <w:t>会对信息安全的需求与日俱增，政府部门、重点行业在信息安全产品和服务上的投入也不断增加，促进了</w:t>
      </w:r>
      <w:r>
        <w:rPr>
          <w:spacing w:val="-44"/>
        </w:rPr>
        <w:t> </w:t>
      </w:r>
      <w:r>
        <w:rPr>
          <w:spacing w:val="-44"/>
        </w:rPr>
      </w:r>
      <w:r>
        <w:rPr>
          <w:spacing w:val="-2"/>
        </w:rPr>
        <w:t>信息安全行业的持续增长。同时，云计算、大数据、移动以及社交网络的快速发展给信息系统架构带来了</w:t>
      </w:r>
      <w:r>
        <w:rPr>
          <w:spacing w:val="-44"/>
        </w:rPr>
        <w:t> </w:t>
      </w:r>
      <w:r>
        <w:rPr>
          <w:spacing w:val="-44"/>
        </w:rPr>
      </w:r>
      <w:r>
        <w:rPr>
          <w:spacing w:val="-2"/>
        </w:rPr>
        <w:t>巨大变化，信息安全也随之迎来挑战。例如云计算技术，使得数据中心的基础设施由原来的各业务系统独</w:t>
      </w:r>
      <w:r>
        <w:rPr>
          <w:spacing w:val="-44"/>
        </w:rPr>
        <w:t> </w:t>
      </w:r>
      <w:r>
        <w:rPr>
          <w:spacing w:val="-44"/>
        </w:rPr>
      </w:r>
      <w:r>
        <w:rPr>
          <w:spacing w:val="-2"/>
        </w:rPr>
        <w:t>立建设模式转变为资源池建设模式，服务器、存储、网络设备的部署方式相应改变。基础架构的变化要求</w:t>
      </w:r>
      <w:r>
        <w:rPr>
          <w:spacing w:val="-47"/>
        </w:rPr>
        <w:t> </w:t>
      </w:r>
      <w:r>
        <w:rPr>
          <w:spacing w:val="-47"/>
        </w:rPr>
      </w:r>
      <w:r>
        <w:rPr>
          <w:spacing w:val="-2"/>
        </w:rPr>
        <w:t>信息安全建设能够适应新的</w:t>
      </w:r>
      <w:r>
        <w:rPr>
          <w:rFonts w:ascii="宋体" w:hAnsi="宋体" w:cs="宋体" w:eastAsia="宋体" w:hint="default"/>
          <w:spacing w:val="-2"/>
        </w:rPr>
        <w:t>IT</w:t>
      </w:r>
      <w:r>
        <w:rPr>
          <w:spacing w:val="-2"/>
        </w:rPr>
        <w:t>基础架构，从而满足新的安全需求，这同时为信息安全建设带来了新的发展</w:t>
      </w:r>
      <w:r>
        <w:rPr>
          <w:spacing w:val="-40"/>
        </w:rPr>
        <w:t> </w:t>
      </w:r>
      <w:r>
        <w:rPr>
          <w:spacing w:val="-40"/>
        </w:rPr>
      </w:r>
      <w:r>
        <w:rPr/>
        <w:t>空间。</w:t>
      </w:r>
    </w:p>
    <w:p>
      <w:pPr>
        <w:pStyle w:val="BodyText"/>
        <w:spacing w:line="408" w:lineRule="auto"/>
        <w:ind w:right="1109" w:firstLine="525"/>
        <w:jc w:val="both"/>
      </w:pPr>
      <w:r>
        <w:rPr>
          <w:spacing w:val="-10"/>
          <w:w w:val="100"/>
        </w:rPr>
        <w:t>根据中国产业调研网发布的《中国信息安全服务行业调查分析及市场前景预测报告（</w:t>
      </w:r>
      <w:r>
        <w:rPr>
          <w:rFonts w:ascii="宋体" w:hAnsi="宋体" w:cs="宋体" w:eastAsia="宋体" w:hint="default"/>
          <w:spacing w:val="-10"/>
          <w:w w:val="100"/>
        </w:rPr>
        <w:t>2019-2025</w:t>
      </w:r>
      <w:r>
        <w:rPr>
          <w:spacing w:val="-10"/>
          <w:w w:val="100"/>
        </w:rPr>
        <w:t>年）》，</w:t>
      </w:r>
      <w:r>
        <w:rPr>
          <w:spacing w:val="-87"/>
          <w:w w:val="100"/>
        </w:rPr>
        <w:t> </w:t>
      </w:r>
      <w:r>
        <w:rPr>
          <w:rFonts w:ascii="宋体" w:hAnsi="宋体" w:cs="宋体" w:eastAsia="宋体" w:hint="default"/>
          <w:spacing w:val="-2"/>
        </w:rPr>
        <w:t>2019-2022</w:t>
      </w:r>
      <w:r>
        <w:rPr>
          <w:spacing w:val="-2"/>
        </w:rPr>
        <w:t>年市场增长速度将保持平稳增长的势头，</w:t>
      </w:r>
      <w:r>
        <w:rPr>
          <w:rFonts w:ascii="宋体" w:hAnsi="宋体" w:cs="宋体" w:eastAsia="宋体" w:hint="default"/>
          <w:spacing w:val="-2"/>
        </w:rPr>
        <w:t>10%</w:t>
      </w:r>
      <w:r>
        <w:rPr>
          <w:spacing w:val="-2"/>
        </w:rPr>
        <w:t>左右的增幅是一个较为理想的水平，预计</w:t>
      </w:r>
      <w:r>
        <w:rPr>
          <w:rFonts w:ascii="宋体" w:hAnsi="宋体" w:cs="宋体" w:eastAsia="宋体" w:hint="default"/>
          <w:spacing w:val="-2"/>
        </w:rPr>
        <w:t>2022</w:t>
      </w:r>
      <w:r>
        <w:rPr>
          <w:spacing w:val="-2"/>
        </w:rPr>
        <w:t>年将</w:t>
      </w:r>
      <w:r>
        <w:rPr>
          <w:spacing w:val="-34"/>
        </w:rPr>
        <w:t> </w:t>
      </w:r>
      <w:r>
        <w:rPr/>
        <w:t>超过</w:t>
      </w:r>
      <w:r>
        <w:rPr>
          <w:rFonts w:ascii="宋体" w:hAnsi="宋体" w:cs="宋体" w:eastAsia="宋体" w:hint="default"/>
        </w:rPr>
        <w:t>967.53</w:t>
      </w:r>
      <w:r>
        <w:rPr/>
        <w:t>亿元。</w:t>
      </w:r>
    </w:p>
    <w:p>
      <w:pPr>
        <w:spacing w:after="0" w:line="408" w:lineRule="auto"/>
        <w:jc w:val="both"/>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8"/>
          <w:szCs w:val="18"/>
        </w:rPr>
      </w:pPr>
    </w:p>
    <w:p>
      <w:pPr>
        <w:spacing w:line="2244" w:lineRule="exact"/>
        <w:ind w:left="2805" w:right="0" w:firstLine="0"/>
        <w:rPr>
          <w:rFonts w:ascii="宋体" w:hAnsi="宋体" w:cs="宋体" w:eastAsia="宋体" w:hint="default"/>
          <w:sz w:val="20"/>
          <w:szCs w:val="20"/>
        </w:rPr>
      </w:pPr>
      <w:r>
        <w:rPr>
          <w:rFonts w:ascii="宋体" w:hAnsi="宋体" w:cs="宋体" w:eastAsia="宋体" w:hint="default"/>
          <w:position w:val="-44"/>
          <w:sz w:val="20"/>
          <w:szCs w:val="20"/>
        </w:rPr>
        <w:drawing>
          <wp:inline distT="0" distB="0" distL="0" distR="0">
            <wp:extent cx="2749627" cy="1424940"/>
            <wp:effectExtent l="0" t="0" r="0" b="0"/>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16" cstate="print"/>
                    <a:stretch>
                      <a:fillRect/>
                    </a:stretch>
                  </pic:blipFill>
                  <pic:spPr>
                    <a:xfrm>
                      <a:off x="0" y="0"/>
                      <a:ext cx="2749627" cy="1424940"/>
                    </a:xfrm>
                    <a:prstGeom prst="rect">
                      <a:avLst/>
                    </a:prstGeom>
                  </pic:spPr>
                </pic:pic>
              </a:graphicData>
            </a:graphic>
          </wp:inline>
        </w:drawing>
      </w:r>
      <w:r>
        <w:rPr>
          <w:rFonts w:ascii="宋体" w:hAnsi="宋体" w:cs="宋体" w:eastAsia="宋体" w:hint="default"/>
          <w:position w:val="-44"/>
          <w:sz w:val="20"/>
          <w:szCs w:val="20"/>
        </w:rPr>
      </w:r>
    </w:p>
    <w:p>
      <w:pPr>
        <w:spacing w:line="240" w:lineRule="auto" w:before="11"/>
        <w:rPr>
          <w:rFonts w:ascii="宋体" w:hAnsi="宋体" w:cs="宋体" w:eastAsia="宋体" w:hint="default"/>
          <w:sz w:val="11"/>
          <w:szCs w:val="11"/>
        </w:rPr>
      </w:pPr>
    </w:p>
    <w:p>
      <w:pPr>
        <w:spacing w:line="408" w:lineRule="auto" w:before="36"/>
        <w:ind w:left="572" w:right="1129" w:firstLine="1708"/>
        <w:jc w:val="left"/>
        <w:rPr>
          <w:rFonts w:ascii="宋体" w:hAnsi="宋体" w:cs="宋体" w:eastAsia="宋体" w:hint="default"/>
          <w:sz w:val="21"/>
          <w:szCs w:val="21"/>
        </w:rPr>
      </w:pPr>
      <w:r>
        <w:rPr>
          <w:rFonts w:ascii="宋体" w:hAnsi="宋体" w:cs="宋体" w:eastAsia="宋体" w:hint="default"/>
          <w:b/>
          <w:bCs/>
          <w:sz w:val="21"/>
          <w:szCs w:val="21"/>
        </w:rPr>
        <w:t>图</w:t>
      </w:r>
      <w:r>
        <w:rPr>
          <w:rFonts w:ascii="宋体" w:hAnsi="宋体" w:cs="宋体" w:eastAsia="宋体" w:hint="default"/>
          <w:b/>
          <w:bCs/>
          <w:sz w:val="21"/>
          <w:szCs w:val="21"/>
        </w:rPr>
        <w:t>1</w:t>
      </w:r>
      <w:r>
        <w:rPr>
          <w:rFonts w:ascii="宋体" w:hAnsi="宋体" w:cs="宋体" w:eastAsia="宋体" w:hint="default"/>
          <w:b/>
          <w:bCs/>
          <w:spacing w:val="-2"/>
          <w:sz w:val="21"/>
          <w:szCs w:val="21"/>
        </w:rPr>
        <w:t> </w:t>
      </w:r>
      <w:r>
        <w:rPr>
          <w:rFonts w:ascii="宋体" w:hAnsi="宋体" w:cs="宋体" w:eastAsia="宋体" w:hint="default"/>
          <w:b/>
          <w:bCs/>
          <w:sz w:val="21"/>
          <w:szCs w:val="21"/>
        </w:rPr>
        <w:t>2019</w:t>
      </w:r>
      <w:r>
        <w:rPr>
          <w:rFonts w:ascii="宋体" w:hAnsi="宋体" w:cs="宋体" w:eastAsia="宋体" w:hint="default"/>
          <w:b/>
          <w:bCs/>
          <w:sz w:val="21"/>
          <w:szCs w:val="21"/>
        </w:rPr>
        <w:t>年</w:t>
      </w:r>
      <w:r>
        <w:rPr>
          <w:rFonts w:ascii="宋体" w:hAnsi="宋体" w:cs="宋体" w:eastAsia="宋体" w:hint="default"/>
          <w:b/>
          <w:bCs/>
          <w:sz w:val="21"/>
          <w:szCs w:val="21"/>
        </w:rPr>
        <w:t>-2022</w:t>
      </w:r>
      <w:r>
        <w:rPr>
          <w:rFonts w:ascii="宋体" w:hAnsi="宋体" w:cs="宋体" w:eastAsia="宋体" w:hint="default"/>
          <w:b/>
          <w:bCs/>
          <w:sz w:val="21"/>
          <w:szCs w:val="21"/>
        </w:rPr>
        <w:t>年中国信息安全行业市场规模预测及增长</w:t>
      </w:r>
      <w:r>
        <w:rPr>
          <w:rFonts w:ascii="宋体" w:hAnsi="宋体" w:cs="宋体" w:eastAsia="宋体" w:hint="default"/>
          <w:b/>
          <w:bCs/>
          <w:w w:val="100"/>
          <w:sz w:val="21"/>
          <w:szCs w:val="21"/>
        </w:rPr>
        <w:t> </w:t>
      </w:r>
      <w:r>
        <w:rPr>
          <w:rFonts w:ascii="宋体" w:hAnsi="宋体" w:cs="宋体" w:eastAsia="宋体" w:hint="default"/>
          <w:b/>
          <w:bCs/>
          <w:sz w:val="21"/>
          <w:szCs w:val="21"/>
        </w:rPr>
        <w:t>2.1</w:t>
      </w:r>
      <w:r>
        <w:rPr>
          <w:rFonts w:ascii="宋体" w:hAnsi="宋体" w:cs="宋体" w:eastAsia="宋体" w:hint="default"/>
          <w:b/>
          <w:bCs/>
          <w:sz w:val="21"/>
          <w:szCs w:val="21"/>
        </w:rPr>
        <w:t>大数据行业发展趋势</w:t>
      </w:r>
      <w:r>
        <w:rPr>
          <w:rFonts w:ascii="宋体" w:hAnsi="宋体" w:cs="宋体" w:eastAsia="宋体" w:hint="default"/>
          <w:b/>
          <w:bCs/>
          <w:spacing w:val="-104"/>
          <w:sz w:val="21"/>
          <w:szCs w:val="21"/>
        </w:rPr>
        <w:t> </w:t>
      </w:r>
      <w:r>
        <w:rPr>
          <w:rFonts w:ascii="宋体" w:hAnsi="宋体" w:cs="宋体" w:eastAsia="宋体" w:hint="default"/>
          <w:spacing w:val="-2"/>
          <w:sz w:val="21"/>
          <w:szCs w:val="21"/>
        </w:rPr>
        <w:t>大数据是信息化发展到一定阶段的产物。随着信息技术和人类生产生活深度融合，互联网快速普及，</w:t>
      </w:r>
    </w:p>
    <w:p>
      <w:pPr>
        <w:pStyle w:val="BodyText"/>
        <w:spacing w:line="408" w:lineRule="auto"/>
        <w:ind w:right="986"/>
        <w:jc w:val="left"/>
      </w:pPr>
      <w:r>
        <w:rPr>
          <w:spacing w:val="-2"/>
        </w:rPr>
        <w:t>全球数据呈现爆发增长、海量集聚的特点，对经济发展、社会进步、国家治理、人民生活都产生了重大影</w:t>
      </w:r>
      <w:r>
        <w:rPr>
          <w:spacing w:val="-43"/>
        </w:rPr>
        <w:t> </w:t>
      </w:r>
      <w:r>
        <w:rPr>
          <w:spacing w:val="-43"/>
        </w:rPr>
      </w:r>
      <w:r>
        <w:rPr/>
        <w:t>响。</w:t>
      </w:r>
    </w:p>
    <w:p>
      <w:pPr>
        <w:pStyle w:val="BodyText"/>
        <w:spacing w:line="408" w:lineRule="auto"/>
        <w:ind w:right="1106" w:firstLine="419"/>
        <w:jc w:val="right"/>
      </w:pPr>
      <w:r>
        <w:rPr>
          <w:spacing w:val="-2"/>
        </w:rPr>
        <w:t>党中央、国务院高度重视大数据产业发展，大数据发展日新月异，应该审时度势、精心谋划、超前布</w:t>
      </w:r>
      <w:r>
        <w:rPr>
          <w:w w:val="100"/>
        </w:rPr>
        <w:t> </w:t>
      </w:r>
      <w:r>
        <w:rPr>
          <w:spacing w:val="-2"/>
        </w:rPr>
        <w:t>局、力争主动，深入了解大数据发展现状和趋势及其对经济社会发展的影响，分析我国大数据发展取得的</w:t>
      </w:r>
      <w:r>
        <w:rPr>
          <w:spacing w:val="-87"/>
        </w:rPr>
        <w:t> </w:t>
      </w:r>
      <w:r>
        <w:rPr>
          <w:spacing w:val="-87"/>
        </w:rPr>
      </w:r>
      <w:r>
        <w:rPr>
          <w:spacing w:val="-2"/>
        </w:rPr>
        <w:t>成绩和存在的问题，推动实施国家大数据战略，加快完善数字基础设施，推进数据资源整合和开放共享，</w:t>
      </w:r>
      <w:r>
        <w:rPr>
          <w:spacing w:val="-41"/>
        </w:rPr>
        <w:t> </w:t>
      </w:r>
      <w:r>
        <w:rPr>
          <w:spacing w:val="-41"/>
        </w:rPr>
      </w:r>
      <w:r>
        <w:rPr>
          <w:spacing w:val="-2"/>
        </w:rPr>
        <w:t>保障数据安全，加快建设数字中国，更好服务我国经济社会发展和人民生活改善。在政府的社会治理体系</w:t>
      </w:r>
      <w:r>
        <w:rPr>
          <w:spacing w:val="-95"/>
        </w:rPr>
        <w:t> </w:t>
      </w:r>
      <w:r>
        <w:rPr>
          <w:spacing w:val="-95"/>
        </w:rPr>
      </w:r>
      <w:r>
        <w:rPr>
          <w:spacing w:val="-2"/>
        </w:rPr>
        <w:t>建设和社会治理能力中，大数据是关键基础，数字政务、智慧城市、大数据中心和应急管理等紧密相关。</w:t>
      </w:r>
      <w:r>
        <w:rPr>
          <w:spacing w:val="-47"/>
        </w:rPr>
        <w:t> </w:t>
      </w:r>
      <w:r>
        <w:rPr>
          <w:spacing w:val="-47"/>
        </w:rPr>
      </w:r>
      <w:r>
        <w:rPr>
          <w:spacing w:val="-2"/>
        </w:rPr>
        <w:t>中共中央政治局常务委员会</w:t>
      </w:r>
      <w:r>
        <w:rPr>
          <w:rFonts w:ascii="宋体" w:hAnsi="宋体" w:cs="宋体" w:eastAsia="宋体" w:hint="default"/>
          <w:spacing w:val="-2"/>
        </w:rPr>
        <w:t>2020</w:t>
      </w:r>
      <w:r>
        <w:rPr>
          <w:spacing w:val="-2"/>
        </w:rPr>
        <w:t>年</w:t>
      </w:r>
      <w:r>
        <w:rPr>
          <w:rFonts w:ascii="宋体" w:hAnsi="宋体" w:cs="宋体" w:eastAsia="宋体" w:hint="default"/>
          <w:spacing w:val="-2"/>
        </w:rPr>
        <w:t>3</w:t>
      </w:r>
      <w:r>
        <w:rPr>
          <w:spacing w:val="-2"/>
        </w:rPr>
        <w:t>月</w:t>
      </w:r>
      <w:r>
        <w:rPr>
          <w:rFonts w:ascii="宋体" w:hAnsi="宋体" w:cs="宋体" w:eastAsia="宋体" w:hint="default"/>
          <w:spacing w:val="-2"/>
        </w:rPr>
        <w:t>4</w:t>
      </w:r>
      <w:r>
        <w:rPr>
          <w:spacing w:val="-2"/>
        </w:rPr>
        <w:t>日召开会议，要加大公共卫生服务、应急物资保障领域投入，</w:t>
      </w:r>
      <w:r>
        <w:rPr>
          <w:spacing w:val="-3"/>
          <w:w w:val="100"/>
        </w:rPr>
        <w:t> </w:t>
      </w:r>
      <w:r>
        <w:rPr>
          <w:spacing w:val="-2"/>
        </w:rPr>
        <w:t>加快</w:t>
      </w:r>
      <w:r>
        <w:rPr>
          <w:rFonts w:ascii="宋体" w:hAnsi="宋体" w:cs="宋体" w:eastAsia="宋体" w:hint="default"/>
          <w:spacing w:val="-2"/>
        </w:rPr>
        <w:t>5G</w:t>
      </w:r>
      <w:r>
        <w:rPr>
          <w:spacing w:val="-2"/>
        </w:rPr>
        <w:t>网络、大数据中心等新兴基础设施建设进度。在</w:t>
      </w:r>
      <w:r>
        <w:rPr>
          <w:rFonts w:ascii="宋体" w:hAnsi="宋体" w:cs="宋体" w:eastAsia="宋体" w:hint="default"/>
          <w:spacing w:val="-2"/>
        </w:rPr>
        <w:t>5G</w:t>
      </w:r>
      <w:r>
        <w:rPr>
          <w:spacing w:val="-2"/>
        </w:rPr>
        <w:t>时代下，数据产生的速率呈现指数倍的增长，产</w:t>
      </w:r>
    </w:p>
    <w:p>
      <w:pPr>
        <w:pStyle w:val="BodyText"/>
        <w:spacing w:line="408" w:lineRule="auto"/>
        <w:ind w:right="986"/>
        <w:jc w:val="left"/>
      </w:pPr>
      <w:r>
        <w:rPr>
          <w:spacing w:val="-2"/>
        </w:rPr>
        <w:t>生规模庞大的数据。中国产业信息网预测，</w:t>
      </w:r>
      <w:r>
        <w:rPr>
          <w:rFonts w:ascii="宋体" w:hAnsi="宋体" w:cs="宋体" w:eastAsia="宋体" w:hint="default"/>
          <w:spacing w:val="-2"/>
        </w:rPr>
        <w:t>2020</w:t>
      </w:r>
      <w:r>
        <w:rPr>
          <w:spacing w:val="-2"/>
        </w:rPr>
        <w:t>年全球数据中心流量将增长至</w:t>
      </w:r>
      <w:r>
        <w:rPr>
          <w:rFonts w:ascii="宋体" w:hAnsi="宋体" w:cs="宋体" w:eastAsia="宋体" w:hint="default"/>
          <w:spacing w:val="-2"/>
        </w:rPr>
        <w:t>15.3ZB</w:t>
      </w:r>
      <w:r>
        <w:rPr>
          <w:spacing w:val="-2"/>
        </w:rPr>
        <w:t>，复合增速为</w:t>
      </w:r>
      <w:r>
        <w:rPr>
          <w:rFonts w:ascii="宋体" w:hAnsi="宋体" w:cs="宋体" w:eastAsia="宋体" w:hint="default"/>
          <w:spacing w:val="-2"/>
        </w:rPr>
        <w:t>18.7%</w:t>
      </w:r>
      <w:r>
        <w:rPr>
          <w:spacing w:val="-2"/>
        </w:rPr>
        <w:t>，</w:t>
      </w:r>
      <w:r>
        <w:rPr>
          <w:spacing w:val="-30"/>
        </w:rPr>
        <w:t> </w:t>
      </w:r>
      <w:r>
        <w:rPr/>
        <w:t>占全球数据流量约</w:t>
      </w:r>
      <w:r>
        <w:rPr>
          <w:rFonts w:ascii="宋体" w:hAnsi="宋体" w:cs="宋体" w:eastAsia="宋体" w:hint="default"/>
        </w:rPr>
        <w:t>77%</w:t>
      </w:r>
      <w:r>
        <w:rPr/>
        <w:t>。根据</w:t>
      </w:r>
      <w:r>
        <w:rPr>
          <w:rFonts w:ascii="宋体" w:hAnsi="宋体" w:cs="宋体" w:eastAsia="宋体" w:hint="default"/>
        </w:rPr>
        <w:t>Gartner</w:t>
      </w:r>
      <w:r>
        <w:rPr/>
        <w:t>预测，到</w:t>
      </w:r>
      <w:r>
        <w:rPr>
          <w:rFonts w:ascii="宋体" w:hAnsi="宋体" w:cs="宋体" w:eastAsia="宋体" w:hint="default"/>
        </w:rPr>
        <w:t>2020</w:t>
      </w:r>
      <w:r>
        <w:rPr/>
        <w:t>年全球物联网设备数量将增至</w:t>
      </w:r>
      <w:r>
        <w:rPr>
          <w:rFonts w:ascii="宋体" w:hAnsi="宋体" w:cs="宋体" w:eastAsia="宋体" w:hint="default"/>
        </w:rPr>
        <w:t>208</w:t>
      </w:r>
      <w:r>
        <w:rPr/>
        <w:t>亿个，复合增速高达</w:t>
      </w:r>
      <w:r>
        <w:rPr>
          <w:spacing w:val="-3"/>
          <w:w w:val="100"/>
        </w:rPr>
        <w:t> </w:t>
      </w:r>
      <w:r>
        <w:rPr>
          <w:rFonts w:ascii="宋体" w:hAnsi="宋体" w:cs="宋体" w:eastAsia="宋体" w:hint="default"/>
        </w:rPr>
        <w:t>34%</w:t>
      </w:r>
      <w:r>
        <w:rPr/>
        <w:t>。</w:t>
      </w:r>
    </w:p>
    <w:p>
      <w:pPr>
        <w:pStyle w:val="BodyText"/>
        <w:spacing w:line="408" w:lineRule="auto"/>
        <w:ind w:left="153" w:right="986" w:firstLine="419"/>
        <w:jc w:val="left"/>
      </w:pPr>
      <w:r>
        <w:rPr>
          <w:spacing w:val="-2"/>
        </w:rPr>
        <w:t>根据赛迪顾问于</w:t>
      </w:r>
      <w:r>
        <w:rPr>
          <w:rFonts w:ascii="宋体" w:hAnsi="宋体" w:cs="宋体" w:eastAsia="宋体" w:hint="default"/>
          <w:spacing w:val="-2"/>
        </w:rPr>
        <w:t>2019</w:t>
      </w:r>
      <w:r>
        <w:rPr>
          <w:spacing w:val="-2"/>
        </w:rPr>
        <w:t>年</w:t>
      </w:r>
      <w:r>
        <w:rPr>
          <w:rFonts w:ascii="宋体" w:hAnsi="宋体" w:cs="宋体" w:eastAsia="宋体" w:hint="default"/>
          <w:spacing w:val="-2"/>
        </w:rPr>
        <w:t>2</w:t>
      </w:r>
      <w:r>
        <w:rPr>
          <w:spacing w:val="-2"/>
        </w:rPr>
        <w:t>月发布的《</w:t>
      </w:r>
      <w:r>
        <w:rPr>
          <w:rFonts w:ascii="宋体" w:hAnsi="宋体" w:cs="宋体" w:eastAsia="宋体" w:hint="default"/>
          <w:spacing w:val="-2"/>
        </w:rPr>
        <w:t>2019</w:t>
      </w:r>
      <w:r>
        <w:rPr>
          <w:spacing w:val="-2"/>
        </w:rPr>
        <w:t>年中国网络安全发展白皮书》，预测</w:t>
      </w:r>
      <w:r>
        <w:rPr>
          <w:rFonts w:ascii="宋体" w:hAnsi="宋体" w:cs="宋体" w:eastAsia="宋体" w:hint="default"/>
          <w:spacing w:val="-2"/>
        </w:rPr>
        <w:t>2021</w:t>
      </w:r>
      <w:r>
        <w:rPr>
          <w:spacing w:val="-2"/>
        </w:rPr>
        <w:t>年大数据安全行业</w:t>
      </w:r>
      <w:r>
        <w:rPr>
          <w:spacing w:val="-3"/>
          <w:w w:val="100"/>
        </w:rPr>
        <w:t> </w:t>
      </w:r>
      <w:r>
        <w:rPr/>
        <w:t>的收入总规模将达到</w:t>
      </w:r>
      <w:r>
        <w:rPr>
          <w:rFonts w:ascii="宋体" w:hAnsi="宋体" w:cs="宋体" w:eastAsia="宋体" w:hint="default"/>
        </w:rPr>
        <w:t>69.74</w:t>
      </w:r>
      <w:r>
        <w:rPr/>
        <w:t>亿元。</w:t>
      </w:r>
    </w:p>
    <w:p>
      <w:pPr>
        <w:spacing w:line="240" w:lineRule="auto" w:before="12"/>
        <w:rPr>
          <w:rFonts w:ascii="宋体" w:hAnsi="宋体" w:cs="宋体" w:eastAsia="宋体" w:hint="default"/>
          <w:sz w:val="7"/>
          <w:szCs w:val="7"/>
        </w:rPr>
      </w:pPr>
    </w:p>
    <w:p>
      <w:pPr>
        <w:spacing w:line="2251" w:lineRule="exact"/>
        <w:ind w:left="2605"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257.55pt;height:112.6pt;mso-position-horizontal-relative:char;mso-position-vertical-relative:line" coordorigin="0,0" coordsize="5151,2252">
            <v:shape style="position:absolute;left:9;top:15;width:5131;height:2222" type="#_x0000_t75" alt="?" stroked="false">
              <v:imagedata r:id="rId17" o:title=""/>
            </v:shape>
            <v:group style="position:absolute;left:10;top:10;width:5132;height:2" coordorigin="10,10" coordsize="5132,2">
              <v:shape style="position:absolute;left:10;top:10;width:5132;height:2" coordorigin="10,10" coordsize="5132,0" path="m10,10l5141,10e" filled="false" stroked="true" strokeweight=".48pt" strokecolor="#000000">
                <v:path arrowok="t"/>
              </v:shape>
            </v:group>
            <v:group style="position:absolute;left:5;top:5;width:2;height:2242" coordorigin="5,5" coordsize="2,2242">
              <v:shape style="position:absolute;left:5;top:5;width:2;height:2242" coordorigin="5,5" coordsize="0,2242" path="m5,5l5,2246e" filled="false" stroked="true" strokeweight=".48pt" strokecolor="#000000">
                <v:path arrowok="t"/>
              </v:shape>
            </v:group>
            <v:group style="position:absolute;left:5146;top:5;width:2;height:2242" coordorigin="5146,5" coordsize="2,2242">
              <v:shape style="position:absolute;left:5146;top:5;width:2;height:2242" coordorigin="5146,5" coordsize="0,2242" path="m5146,5l5146,2246e" filled="false" stroked="true" strokeweight=".48pt" strokecolor="#000000">
                <v:path arrowok="t"/>
              </v:shape>
            </v:group>
            <v:group style="position:absolute;left:10;top:2242;width:5132;height:2" coordorigin="10,2242" coordsize="5132,2">
              <v:shape style="position:absolute;left:10;top:2242;width:5132;height:2" coordorigin="10,2242" coordsize="5132,0" path="m10,2242l5141,2242e" filled="false" stroked="true" strokeweight=".48pt" strokecolor="#000000">
                <v:path arrowok="t"/>
              </v:shape>
            </v:group>
          </v:group>
        </w:pict>
      </w:r>
      <w:r>
        <w:rPr>
          <w:rFonts w:ascii="宋体" w:hAnsi="宋体" w:cs="宋体" w:eastAsia="宋体" w:hint="default"/>
          <w:position w:val="-44"/>
          <w:sz w:val="20"/>
          <w:szCs w:val="20"/>
        </w:rPr>
      </w:r>
    </w:p>
    <w:p>
      <w:pPr>
        <w:spacing w:line="240" w:lineRule="auto" w:before="7"/>
        <w:rPr>
          <w:rFonts w:ascii="宋体" w:hAnsi="宋体" w:cs="宋体" w:eastAsia="宋体" w:hint="default"/>
          <w:sz w:val="11"/>
          <w:szCs w:val="11"/>
        </w:rPr>
      </w:pPr>
    </w:p>
    <w:p>
      <w:pPr>
        <w:pStyle w:val="Heading4"/>
        <w:spacing w:line="408" w:lineRule="auto" w:before="36"/>
        <w:ind w:left="575" w:right="3561" w:firstLine="2023"/>
        <w:jc w:val="left"/>
        <w:rPr>
          <w:b w:val="0"/>
          <w:bCs w:val="0"/>
        </w:rPr>
      </w:pPr>
      <w:r>
        <w:rPr/>
        <w:t>图</w:t>
      </w:r>
      <w:r>
        <w:rPr>
          <w:rFonts w:ascii="宋体" w:hAnsi="宋体" w:cs="宋体" w:eastAsia="宋体" w:hint="default"/>
        </w:rPr>
        <w:t>2</w:t>
      </w:r>
      <w:r>
        <w:rPr>
          <w:rFonts w:ascii="宋体" w:hAnsi="宋体" w:cs="宋体" w:eastAsia="宋体" w:hint="default"/>
          <w:spacing w:val="-1"/>
        </w:rPr>
        <w:t> </w:t>
      </w:r>
      <w:r>
        <w:rPr>
          <w:rFonts w:ascii="宋体" w:hAnsi="宋体" w:cs="宋体" w:eastAsia="宋体" w:hint="default"/>
        </w:rPr>
        <w:t>2016</w:t>
      </w:r>
      <w:r>
        <w:rPr/>
        <w:t>年</w:t>
      </w:r>
      <w:r>
        <w:rPr>
          <w:rFonts w:ascii="宋体" w:hAnsi="宋体" w:cs="宋体" w:eastAsia="宋体" w:hint="default"/>
        </w:rPr>
        <w:t>-2022</w:t>
      </w:r>
      <w:r>
        <w:rPr/>
        <w:t>年中国大数据安全市场规模与增长</w:t>
      </w:r>
      <w:r>
        <w:rPr>
          <w:w w:val="100"/>
        </w:rPr>
        <w:t> </w:t>
      </w:r>
      <w:r>
        <w:rPr>
          <w:rFonts w:ascii="宋体" w:hAnsi="宋体" w:cs="宋体" w:eastAsia="宋体" w:hint="default"/>
        </w:rPr>
        <w:t>2.2</w:t>
      </w:r>
      <w:r>
        <w:rPr/>
        <w:t>、网络空间安全行业发展趋势</w:t>
      </w:r>
      <w:r>
        <w:rPr>
          <w:b w:val="0"/>
          <w:bCs w:val="0"/>
        </w:rPr>
      </w:r>
    </w:p>
    <w:p>
      <w:pPr>
        <w:spacing w:after="0" w:line="408" w:lineRule="auto"/>
        <w:jc w:val="left"/>
        <w:sectPr>
          <w:pgSz w:w="11910" w:h="16840"/>
          <w:pgMar w:header="745" w:footer="982" w:top="1060" w:bottom="1180" w:left="980" w:right="0"/>
        </w:sectPr>
      </w:pPr>
    </w:p>
    <w:p>
      <w:pPr>
        <w:spacing w:line="240" w:lineRule="auto" w:before="0"/>
        <w:rPr>
          <w:rFonts w:ascii="宋体" w:hAnsi="宋体" w:cs="宋体" w:eastAsia="宋体" w:hint="default"/>
          <w:b/>
          <w:bCs/>
          <w:sz w:val="20"/>
          <w:szCs w:val="20"/>
        </w:rPr>
      </w:pPr>
    </w:p>
    <w:p>
      <w:pPr>
        <w:pStyle w:val="BodyText"/>
        <w:spacing w:line="240" w:lineRule="auto" w:before="175"/>
        <w:ind w:left="572" w:right="986"/>
        <w:jc w:val="left"/>
      </w:pPr>
      <w:r>
        <w:rPr>
          <w:rFonts w:ascii="宋体" w:hAnsi="宋体" w:cs="宋体" w:eastAsia="宋体" w:hint="default"/>
        </w:rPr>
        <w:t>2019</w:t>
      </w:r>
      <w:r>
        <w:rPr/>
        <w:t>年，《网络安全等级保护条例》、《国家关键信息基础设施安全保护条例》、《商用密码法》、</w:t>
      </w:r>
    </w:p>
    <w:p>
      <w:pPr>
        <w:spacing w:line="240" w:lineRule="auto" w:before="10"/>
        <w:rPr>
          <w:rFonts w:ascii="宋体" w:hAnsi="宋体" w:cs="宋体" w:eastAsia="宋体" w:hint="default"/>
          <w:sz w:val="14"/>
          <w:szCs w:val="14"/>
        </w:rPr>
      </w:pPr>
    </w:p>
    <w:p>
      <w:pPr>
        <w:pStyle w:val="BodyText"/>
        <w:spacing w:line="408" w:lineRule="auto" w:before="0"/>
        <w:ind w:right="986"/>
        <w:jc w:val="left"/>
      </w:pPr>
      <w:r>
        <w:rPr/>
        <w:t>《网络安全威胁信息发布管理办法（征求意见稿）》、《最高人民法院 最高人民检察院关于办理非法利</w:t>
      </w:r>
      <w:r>
        <w:rPr>
          <w:spacing w:val="-26"/>
        </w:rPr>
        <w:t> </w:t>
      </w:r>
      <w:r>
        <w:rPr>
          <w:spacing w:val="-26"/>
        </w:rPr>
      </w:r>
      <w:r>
        <w:rPr>
          <w:spacing w:val="-2"/>
        </w:rPr>
        <w:t>用信息网络、帮助信息网络犯罪活动等刑事案件适用》等网络安全领域重要政策法规陆续出台，将为网络</w:t>
      </w:r>
      <w:r>
        <w:rPr>
          <w:spacing w:val="-42"/>
        </w:rPr>
        <w:t> </w:t>
      </w:r>
      <w:r>
        <w:rPr>
          <w:spacing w:val="-42"/>
        </w:rPr>
      </w:r>
      <w:r>
        <w:rPr>
          <w:spacing w:val="-4"/>
        </w:rPr>
        <w:t>安全市场增长提供强势合规性驱动，且越来越多的企业和机构对此需求迫切，“新基建”将给物联网、</w:t>
      </w:r>
      <w:r>
        <w:rPr>
          <w:rFonts w:ascii="宋体" w:hAnsi="宋体" w:cs="宋体" w:eastAsia="宋体" w:hint="default"/>
          <w:spacing w:val="-4"/>
        </w:rPr>
        <w:t>5G</w:t>
      </w:r>
      <w:r>
        <w:rPr>
          <w:spacing w:val="-4"/>
        </w:rPr>
        <w:t>、</w:t>
      </w:r>
      <w:r>
        <w:rPr>
          <w:spacing w:val="-47"/>
        </w:rPr>
        <w:t> </w:t>
      </w:r>
      <w:r>
        <w:rPr>
          <w:spacing w:val="-7"/>
        </w:rPr>
        <w:t>工业互联网、人工智能和区块链等带来暴发式的发展，那伴随的网络安全新需求也将产生。“新网络安全”</w:t>
      </w:r>
      <w:r>
        <w:rPr>
          <w:spacing w:val="-18"/>
        </w:rPr>
        <w:t> </w:t>
      </w:r>
      <w:r>
        <w:rPr>
          <w:spacing w:val="-18"/>
        </w:rPr>
      </w:r>
      <w:r>
        <w:rPr>
          <w:spacing w:val="-2"/>
        </w:rPr>
        <w:t>涵盖更多领域和维度。如个人、企业和政府；云、管（网）和端；事前预防、事中管控和事后取证；从介</w:t>
      </w:r>
      <w:r>
        <w:rPr>
          <w:spacing w:val="-46"/>
        </w:rPr>
        <w:t> </w:t>
      </w:r>
      <w:r>
        <w:rPr>
          <w:spacing w:val="-46"/>
        </w:rPr>
      </w:r>
      <w:r>
        <w:rPr/>
        <w:t>质、网络和数据。行业或将迎来重新洗牌的机遇期。</w:t>
      </w:r>
    </w:p>
    <w:p>
      <w:pPr>
        <w:pStyle w:val="BodyText"/>
        <w:spacing w:line="408" w:lineRule="auto"/>
        <w:ind w:right="986" w:firstLine="419"/>
        <w:jc w:val="left"/>
      </w:pPr>
      <w:r>
        <w:rPr>
          <w:spacing w:val="-2"/>
        </w:rPr>
        <w:t>根据赛迪顾问于</w:t>
      </w:r>
      <w:r>
        <w:rPr>
          <w:rFonts w:ascii="宋体" w:hAnsi="宋体" w:cs="宋体" w:eastAsia="宋体" w:hint="default"/>
          <w:spacing w:val="-2"/>
        </w:rPr>
        <w:t>2019</w:t>
      </w:r>
      <w:r>
        <w:rPr>
          <w:spacing w:val="-2"/>
        </w:rPr>
        <w:t>年</w:t>
      </w:r>
      <w:r>
        <w:rPr>
          <w:rFonts w:ascii="宋体" w:hAnsi="宋体" w:cs="宋体" w:eastAsia="宋体" w:hint="default"/>
          <w:spacing w:val="-2"/>
        </w:rPr>
        <w:t>2</w:t>
      </w:r>
      <w:r>
        <w:rPr>
          <w:spacing w:val="-2"/>
        </w:rPr>
        <w:t>月发布了《</w:t>
      </w:r>
      <w:r>
        <w:rPr>
          <w:rFonts w:ascii="宋体" w:hAnsi="宋体" w:cs="宋体" w:eastAsia="宋体" w:hint="default"/>
          <w:spacing w:val="-2"/>
        </w:rPr>
        <w:t>2019</w:t>
      </w:r>
      <w:r>
        <w:rPr>
          <w:spacing w:val="-2"/>
        </w:rPr>
        <w:t>年中国网络安全发展白皮书》，赛迪顾问预测，未来几年中，</w:t>
      </w:r>
      <w:r>
        <w:rPr>
          <w:w w:val="100"/>
        </w:rPr>
        <w:t> </w:t>
      </w:r>
      <w:r>
        <w:rPr/>
        <w:t>随着</w:t>
      </w:r>
      <w:r>
        <w:rPr>
          <w:rFonts w:ascii="宋体" w:hAnsi="宋体" w:cs="宋体" w:eastAsia="宋体" w:hint="default"/>
        </w:rPr>
        <w:t>5G</w:t>
      </w:r>
      <w:r>
        <w:rPr/>
        <w:t>、物联网、人工智能等新技术的全面普及，网络安全市场依然会保持稳定上涨的趋势，到</w:t>
      </w:r>
      <w:r>
        <w:rPr>
          <w:rFonts w:ascii="宋体" w:hAnsi="宋体" w:cs="宋体" w:eastAsia="宋体" w:hint="default"/>
        </w:rPr>
        <w:t>2021</w:t>
      </w:r>
      <w:r>
        <w:rPr/>
        <w:t>年，</w:t>
      </w:r>
      <w:r>
        <w:rPr>
          <w:spacing w:val="-3"/>
          <w:w w:val="100"/>
        </w:rPr>
        <w:t> </w:t>
      </w:r>
      <w:r>
        <w:rPr/>
        <w:t>全球网络信息安全市场将达到</w:t>
      </w:r>
      <w:r>
        <w:rPr>
          <w:rFonts w:ascii="宋体" w:hAnsi="宋体" w:cs="宋体" w:eastAsia="宋体" w:hint="default"/>
        </w:rPr>
        <w:t>1,648.9</w:t>
      </w:r>
      <w:r>
        <w:rPr/>
        <w:t>亿美元，中国网络安全信息安全市场将达到</w:t>
      </w:r>
      <w:r>
        <w:rPr>
          <w:rFonts w:ascii="宋体" w:hAnsi="宋体" w:cs="宋体" w:eastAsia="宋体" w:hint="default"/>
        </w:rPr>
        <w:t>926.8</w:t>
      </w:r>
      <w:r>
        <w:rPr/>
        <w:t>亿元。</w:t>
      </w:r>
    </w:p>
    <w:p>
      <w:pPr>
        <w:spacing w:line="240" w:lineRule="auto" w:before="4"/>
        <w:rPr>
          <w:rFonts w:ascii="宋体" w:hAnsi="宋体" w:cs="宋体" w:eastAsia="宋体" w:hint="default"/>
          <w:sz w:val="6"/>
          <w:szCs w:val="6"/>
        </w:rPr>
      </w:pPr>
    </w:p>
    <w:p>
      <w:pPr>
        <w:spacing w:line="2294" w:lineRule="exact"/>
        <w:ind w:left="587" w:right="0" w:firstLine="0"/>
        <w:rPr>
          <w:rFonts w:ascii="宋体" w:hAnsi="宋体" w:cs="宋体" w:eastAsia="宋体" w:hint="default"/>
          <w:sz w:val="20"/>
          <w:szCs w:val="20"/>
        </w:rPr>
      </w:pPr>
      <w:r>
        <w:rPr>
          <w:rFonts w:ascii="宋体"/>
          <w:position w:val="-45"/>
          <w:sz w:val="20"/>
        </w:rPr>
        <w:pict>
          <v:group style="width:225.5pt;height:114.75pt;mso-position-horizontal-relative:char;mso-position-vertical-relative:line" coordorigin="0,0" coordsize="4510,2295">
            <v:shape style="position:absolute;left:10;top:14;width:4490;height:2266" type="#_x0000_t75" alt="?" stroked="false">
              <v:imagedata r:id="rId18" o:title=""/>
            </v:shape>
            <v:group style="position:absolute;left:10;top:10;width:4491;height:2" coordorigin="10,10" coordsize="4491,2">
              <v:shape style="position:absolute;left:10;top:10;width:4491;height:2" coordorigin="10,10" coordsize="4491,0" path="m10,10l4500,10e" filled="false" stroked="true" strokeweight=".48pt" strokecolor="#000000">
                <v:path arrowok="t"/>
              </v:shape>
            </v:group>
            <v:group style="position:absolute;left:5;top:5;width:2;height:2285" coordorigin="5,5" coordsize="2,2285">
              <v:shape style="position:absolute;left:5;top:5;width:2;height:2285" coordorigin="5,5" coordsize="0,2285" path="m5,5l5,2290e" filled="false" stroked="true" strokeweight=".48pt" strokecolor="#000000">
                <v:path arrowok="t"/>
              </v:shape>
            </v:group>
            <v:group style="position:absolute;left:4505;top:5;width:2;height:2285" coordorigin="4505,5" coordsize="2,2285">
              <v:shape style="position:absolute;left:4505;top:5;width:2;height:2285" coordorigin="4505,5" coordsize="0,2285" path="m4505,5l4505,2290e" filled="false" stroked="true" strokeweight=".48pt" strokecolor="#000000">
                <v:path arrowok="t"/>
              </v:shape>
            </v:group>
            <v:group style="position:absolute;left:10;top:2285;width:4491;height:2" coordorigin="10,2285" coordsize="4491,2">
              <v:shape style="position:absolute;left:10;top:2285;width:4491;height:2" coordorigin="10,2285" coordsize="4491,0" path="m10,2285l4500,2285e" filled="false" stroked="true" strokeweight=".48pt" strokecolor="#000000">
                <v:path arrowok="t"/>
              </v:shape>
            </v:group>
          </v:group>
        </w:pict>
      </w:r>
      <w:r>
        <w:rPr>
          <w:rFonts w:ascii="宋体"/>
          <w:position w:val="-45"/>
          <w:sz w:val="20"/>
        </w:rPr>
      </w:r>
      <w:r>
        <w:rPr>
          <w:rFonts w:ascii="Times New Roman"/>
          <w:spacing w:val="45"/>
          <w:position w:val="-45"/>
          <w:sz w:val="20"/>
        </w:rPr>
        <w:t> </w:t>
      </w:r>
      <w:r>
        <w:rPr>
          <w:rFonts w:ascii="宋体"/>
          <w:spacing w:val="45"/>
          <w:position w:val="-45"/>
          <w:sz w:val="20"/>
        </w:rPr>
        <w:pict>
          <v:group style="width:225.4pt;height:114.65pt;mso-position-horizontal-relative:char;mso-position-vertical-relative:line" coordorigin="0,0" coordsize="4508,2293">
            <v:shape style="position:absolute;left:10;top:15;width:4488;height:2263" type="#_x0000_t75" alt="?" stroked="false">
              <v:imagedata r:id="rId19" o:title=""/>
            </v:shape>
            <v:group style="position:absolute;left:10;top:10;width:4488;height:2" coordorigin="10,10" coordsize="4488,2">
              <v:shape style="position:absolute;left:10;top:10;width:4488;height:2" coordorigin="10,10" coordsize="4488,0" path="m10,10l4498,10e" filled="false" stroked="true" strokeweight=".481pt" strokecolor="#000000">
                <v:path arrowok="t"/>
              </v:shape>
            </v:group>
            <v:group style="position:absolute;left:5;top:5;width:2;height:2283" coordorigin="5,5" coordsize="2,2283">
              <v:shape style="position:absolute;left:5;top:5;width:2;height:2283" coordorigin="5,5" coordsize="0,2283" path="m5,5l5,2287e" filled="false" stroked="true" strokeweight=".48pt" strokecolor="#000000">
                <v:path arrowok="t"/>
              </v:shape>
            </v:group>
            <v:group style="position:absolute;left:4502;top:5;width:2;height:2283" coordorigin="4502,5" coordsize="2,2283">
              <v:shape style="position:absolute;left:4502;top:5;width:2;height:2283" coordorigin="4502,5" coordsize="0,2283" path="m4502,5l4502,2287e" filled="false" stroked="true" strokeweight=".481pt" strokecolor="#000000">
                <v:path arrowok="t"/>
              </v:shape>
            </v:group>
            <v:group style="position:absolute;left:10;top:2282;width:4488;height:2" coordorigin="10,2282" coordsize="4488,2">
              <v:shape style="position:absolute;left:10;top:2282;width:4488;height:2" coordorigin="10,2282" coordsize="4488,0" path="m10,2282l4498,2282e" filled="false" stroked="true" strokeweight=".48pt" strokecolor="#000000">
                <v:path arrowok="t"/>
              </v:shape>
            </v:group>
          </v:group>
        </w:pict>
      </w:r>
      <w:r>
        <w:rPr>
          <w:rFonts w:ascii="宋体"/>
          <w:spacing w:val="45"/>
          <w:position w:val="-45"/>
          <w:sz w:val="20"/>
        </w:rPr>
      </w:r>
    </w:p>
    <w:p>
      <w:pPr>
        <w:spacing w:line="240" w:lineRule="auto" w:before="12"/>
        <w:rPr>
          <w:rFonts w:ascii="宋体" w:hAnsi="宋体" w:cs="宋体" w:eastAsia="宋体" w:hint="default"/>
          <w:sz w:val="9"/>
          <w:szCs w:val="9"/>
        </w:rPr>
      </w:pPr>
    </w:p>
    <w:p>
      <w:pPr>
        <w:pStyle w:val="Heading4"/>
        <w:spacing w:line="408" w:lineRule="auto" w:before="36"/>
        <w:ind w:left="587" w:right="3031" w:firstLine="1910"/>
        <w:jc w:val="left"/>
        <w:rPr>
          <w:b w:val="0"/>
          <w:bCs w:val="0"/>
        </w:rPr>
      </w:pPr>
      <w:r>
        <w:rPr/>
        <w:t>图</w:t>
      </w:r>
      <w:r>
        <w:rPr>
          <w:rFonts w:ascii="宋体" w:hAnsi="宋体" w:cs="宋体" w:eastAsia="宋体" w:hint="default"/>
        </w:rPr>
        <w:t>3</w:t>
      </w:r>
      <w:r>
        <w:rPr>
          <w:rFonts w:ascii="宋体" w:hAnsi="宋体" w:cs="宋体" w:eastAsia="宋体" w:hint="default"/>
          <w:spacing w:val="-3"/>
        </w:rPr>
        <w:t> </w:t>
      </w:r>
      <w:r>
        <w:rPr>
          <w:rFonts w:ascii="宋体" w:hAnsi="宋体" w:cs="宋体" w:eastAsia="宋体" w:hint="default"/>
        </w:rPr>
        <w:t>2016-2021</w:t>
      </w:r>
      <w:r>
        <w:rPr/>
        <w:t>年全球及中国网络信息安全市场规模与增长</w:t>
      </w:r>
      <w:r>
        <w:rPr>
          <w:w w:val="100"/>
        </w:rPr>
        <w:t> </w:t>
      </w:r>
      <w:r>
        <w:rPr>
          <w:rFonts w:ascii="宋体" w:hAnsi="宋体" w:cs="宋体" w:eastAsia="宋体" w:hint="default"/>
        </w:rPr>
        <w:t>2.3</w:t>
      </w:r>
      <w:r>
        <w:rPr/>
        <w:t>、电子数据取证行业发展趋势</w:t>
      </w:r>
      <w:r>
        <w:rPr>
          <w:b w:val="0"/>
          <w:bCs w:val="0"/>
        </w:rPr>
      </w:r>
    </w:p>
    <w:p>
      <w:pPr>
        <w:pStyle w:val="BodyText"/>
        <w:spacing w:line="408" w:lineRule="auto"/>
        <w:ind w:right="1128" w:firstLine="434"/>
        <w:jc w:val="both"/>
      </w:pPr>
      <w:r>
        <w:rPr/>
        <w:t>根据智研咨询发布的《</w:t>
      </w:r>
      <w:r>
        <w:rPr>
          <w:rFonts w:ascii="宋体" w:hAnsi="宋体" w:cs="宋体" w:eastAsia="宋体" w:hint="default"/>
        </w:rPr>
        <w:t>2017-2023</w:t>
      </w:r>
      <w:r>
        <w:rPr/>
        <w:t>年中国电子数据取证行业市场运营态势及发展前景预测报告》，预</w:t>
      </w:r>
      <w:r>
        <w:rPr>
          <w:w w:val="100"/>
        </w:rPr>
        <w:t> </w:t>
      </w:r>
      <w:r>
        <w:rPr/>
        <w:t>测</w:t>
      </w:r>
      <w:r>
        <w:rPr>
          <w:rFonts w:ascii="宋体" w:hAnsi="宋体" w:cs="宋体" w:eastAsia="宋体" w:hint="default"/>
        </w:rPr>
        <w:t>2023</w:t>
      </w:r>
      <w:r>
        <w:rPr/>
        <w:t>年中国电子数据取证市场规模达到</w:t>
      </w:r>
      <w:r>
        <w:rPr>
          <w:rFonts w:ascii="宋体" w:hAnsi="宋体" w:cs="宋体" w:eastAsia="宋体" w:hint="default"/>
        </w:rPr>
        <w:t>35.62</w:t>
      </w:r>
      <w:r>
        <w:rPr/>
        <w:t>亿元。随着国家机构改革的完成，机构组建带来业务建设</w:t>
      </w:r>
      <w:r>
        <w:rPr>
          <w:spacing w:val="-27"/>
        </w:rPr>
        <w:t> </w:t>
      </w:r>
      <w:r>
        <w:rPr>
          <w:spacing w:val="-27"/>
        </w:rPr>
      </w:r>
      <w:r>
        <w:rPr>
          <w:spacing w:val="-2"/>
        </w:rPr>
        <w:t>需求增加，</w:t>
      </w:r>
      <w:r>
        <w:rPr>
          <w:rFonts w:ascii="宋体" w:hAnsi="宋体" w:cs="宋体" w:eastAsia="宋体" w:hint="default"/>
          <w:spacing w:val="-2"/>
        </w:rPr>
        <w:t>2019</w:t>
      </w:r>
      <w:r>
        <w:rPr>
          <w:spacing w:val="-2"/>
        </w:rPr>
        <w:t>年电子数据取证市场需求回升，呈现行业横向延伸，行业产品个性的需求。市场上电子数</w:t>
      </w:r>
      <w:r>
        <w:rPr>
          <w:spacing w:val="-47"/>
        </w:rPr>
        <w:t> </w:t>
      </w:r>
      <w:r>
        <w:rPr>
          <w:spacing w:val="-47"/>
        </w:rPr>
      </w:r>
      <w:r>
        <w:rPr/>
        <w:t>据取证的厂家呈增加、产品多样化趋势。</w:t>
      </w:r>
    </w:p>
    <w:p>
      <w:pPr>
        <w:spacing w:line="240" w:lineRule="auto" w:before="11"/>
        <w:rPr>
          <w:rFonts w:ascii="宋体" w:hAnsi="宋体" w:cs="宋体" w:eastAsia="宋体" w:hint="default"/>
          <w:sz w:val="8"/>
          <w:szCs w:val="8"/>
        </w:rPr>
      </w:pPr>
    </w:p>
    <w:p>
      <w:pPr>
        <w:spacing w:line="2227" w:lineRule="exact"/>
        <w:ind w:left="2932" w:right="0" w:firstLine="0"/>
        <w:rPr>
          <w:rFonts w:ascii="宋体" w:hAnsi="宋体" w:cs="宋体" w:eastAsia="宋体" w:hint="default"/>
          <w:sz w:val="20"/>
          <w:szCs w:val="20"/>
        </w:rPr>
      </w:pPr>
      <w:r>
        <w:rPr>
          <w:rFonts w:ascii="宋体" w:hAnsi="宋体" w:cs="宋体" w:eastAsia="宋体" w:hint="default"/>
          <w:position w:val="-44"/>
          <w:sz w:val="20"/>
          <w:szCs w:val="20"/>
        </w:rPr>
        <w:drawing>
          <wp:inline distT="0" distB="0" distL="0" distR="0">
            <wp:extent cx="2867953" cy="1414272"/>
            <wp:effectExtent l="0" t="0" r="0" b="0"/>
            <wp:docPr id="13" name="image11.jpeg" descr="?"/>
            <wp:cNvGraphicFramePr>
              <a:graphicFrameLocks noChangeAspect="1"/>
            </wp:cNvGraphicFramePr>
            <a:graphic>
              <a:graphicData uri="http://schemas.openxmlformats.org/drawingml/2006/picture">
                <pic:pic>
                  <pic:nvPicPr>
                    <pic:cNvPr id="14" name="image11.jpeg"/>
                    <pic:cNvPicPr/>
                  </pic:nvPicPr>
                  <pic:blipFill>
                    <a:blip r:embed="rId20" cstate="print"/>
                    <a:stretch>
                      <a:fillRect/>
                    </a:stretch>
                  </pic:blipFill>
                  <pic:spPr>
                    <a:xfrm>
                      <a:off x="0" y="0"/>
                      <a:ext cx="2867953" cy="1414272"/>
                    </a:xfrm>
                    <a:prstGeom prst="rect">
                      <a:avLst/>
                    </a:prstGeom>
                  </pic:spPr>
                </pic:pic>
              </a:graphicData>
            </a:graphic>
          </wp:inline>
        </w:drawing>
      </w:r>
      <w:r>
        <w:rPr>
          <w:rFonts w:ascii="宋体" w:hAnsi="宋体" w:cs="宋体" w:eastAsia="宋体" w:hint="default"/>
          <w:position w:val="-44"/>
          <w:sz w:val="20"/>
          <w:szCs w:val="20"/>
        </w:rPr>
      </w:r>
    </w:p>
    <w:p>
      <w:pPr>
        <w:spacing w:line="240" w:lineRule="auto" w:before="3"/>
        <w:rPr>
          <w:rFonts w:ascii="宋体" w:hAnsi="宋体" w:cs="宋体" w:eastAsia="宋体" w:hint="default"/>
          <w:sz w:val="15"/>
          <w:szCs w:val="15"/>
        </w:rPr>
      </w:pPr>
    </w:p>
    <w:p>
      <w:pPr>
        <w:tabs>
          <w:tab w:pos="3606" w:val="left" w:leader="none"/>
        </w:tabs>
        <w:spacing w:line="408" w:lineRule="auto" w:before="0"/>
        <w:ind w:left="572" w:right="1214" w:firstLine="2505"/>
        <w:jc w:val="left"/>
        <w:rPr>
          <w:rFonts w:ascii="宋体" w:hAnsi="宋体" w:cs="宋体" w:eastAsia="宋体" w:hint="default"/>
          <w:sz w:val="21"/>
          <w:szCs w:val="21"/>
        </w:rPr>
      </w:pPr>
      <w:r>
        <w:rPr>
          <w:rFonts w:ascii="宋体" w:hAnsi="宋体" w:cs="宋体" w:eastAsia="宋体" w:hint="default"/>
          <w:b/>
          <w:bCs/>
          <w:sz w:val="21"/>
          <w:szCs w:val="21"/>
        </w:rPr>
        <w:t>图</w:t>
      </w:r>
      <w:r>
        <w:rPr>
          <w:rFonts w:ascii="宋体" w:hAnsi="宋体" w:cs="宋体" w:eastAsia="宋体" w:hint="default"/>
          <w:b/>
          <w:bCs/>
          <w:sz w:val="21"/>
          <w:szCs w:val="21"/>
        </w:rPr>
        <w:t>4</w:t>
        <w:tab/>
        <w:t>2017-2023</w:t>
      </w:r>
      <w:r>
        <w:rPr>
          <w:rFonts w:ascii="宋体" w:hAnsi="宋体" w:cs="宋体" w:eastAsia="宋体" w:hint="default"/>
          <w:b/>
          <w:bCs/>
          <w:sz w:val="21"/>
          <w:szCs w:val="21"/>
        </w:rPr>
        <w:t>年电子数据取证市场规模预测</w:t>
      </w:r>
      <w:r>
        <w:rPr>
          <w:rFonts w:ascii="宋体" w:hAnsi="宋体" w:cs="宋体" w:eastAsia="宋体" w:hint="default"/>
          <w:b/>
          <w:bCs/>
          <w:w w:val="100"/>
          <w:sz w:val="21"/>
          <w:szCs w:val="21"/>
        </w:rPr>
        <w:t> </w:t>
      </w:r>
      <w:r>
        <w:rPr>
          <w:rFonts w:ascii="宋体" w:hAnsi="宋体" w:cs="宋体" w:eastAsia="宋体" w:hint="default"/>
          <w:sz w:val="21"/>
          <w:szCs w:val="21"/>
        </w:rPr>
        <w:t>根据美国纽约</w:t>
      </w:r>
      <w:r>
        <w:rPr>
          <w:rFonts w:ascii="宋体" w:hAnsi="宋体" w:cs="宋体" w:eastAsia="宋体" w:hint="default"/>
          <w:sz w:val="21"/>
          <w:szCs w:val="21"/>
        </w:rPr>
        <w:t>TMR</w:t>
      </w:r>
      <w:r>
        <w:rPr>
          <w:rFonts w:ascii="宋体" w:hAnsi="宋体" w:cs="宋体" w:eastAsia="宋体" w:hint="default"/>
          <w:sz w:val="21"/>
          <w:szCs w:val="21"/>
        </w:rPr>
        <w:t>（</w:t>
      </w:r>
      <w:r>
        <w:rPr>
          <w:rFonts w:ascii="宋体" w:hAnsi="宋体" w:cs="宋体" w:eastAsia="宋体" w:hint="default"/>
          <w:sz w:val="21"/>
          <w:szCs w:val="21"/>
        </w:rPr>
        <w:t>Transparency Market</w:t>
      </w:r>
      <w:r>
        <w:rPr>
          <w:rFonts w:ascii="宋体" w:hAnsi="宋体" w:cs="宋体" w:eastAsia="宋体" w:hint="default"/>
          <w:spacing w:val="-11"/>
          <w:sz w:val="21"/>
          <w:szCs w:val="21"/>
        </w:rPr>
        <w:t> </w:t>
      </w:r>
      <w:r>
        <w:rPr>
          <w:rFonts w:ascii="宋体" w:hAnsi="宋体" w:cs="宋体" w:eastAsia="宋体" w:hint="default"/>
          <w:sz w:val="21"/>
          <w:szCs w:val="21"/>
        </w:rPr>
        <w:t>Research</w:t>
      </w:r>
      <w:r>
        <w:rPr>
          <w:rFonts w:ascii="宋体" w:hAnsi="宋体" w:cs="宋体" w:eastAsia="宋体" w:hint="default"/>
          <w:sz w:val="21"/>
          <w:szCs w:val="21"/>
        </w:rPr>
        <w:t>）研究机构的电子取证市场行业报告：全球电子</w:t>
      </w:r>
    </w:p>
    <w:p>
      <w:pPr>
        <w:pStyle w:val="BodyText"/>
        <w:spacing w:line="240" w:lineRule="auto"/>
        <w:ind w:right="986"/>
        <w:jc w:val="left"/>
      </w:pPr>
      <w:r>
        <w:rPr/>
        <w:t>数据取证</w:t>
      </w:r>
      <w:r>
        <w:rPr>
          <w:rFonts w:ascii="宋体" w:hAnsi="宋体" w:cs="宋体" w:eastAsia="宋体" w:hint="default"/>
        </w:rPr>
        <w:t>2016</w:t>
      </w:r>
      <w:r>
        <w:rPr/>
        <w:t>年市场规模接近</w:t>
      </w:r>
      <w:r>
        <w:rPr>
          <w:rFonts w:ascii="宋体" w:hAnsi="宋体" w:cs="宋体" w:eastAsia="宋体" w:hint="default"/>
        </w:rPr>
        <w:t>28.7</w:t>
      </w:r>
      <w:r>
        <w:rPr/>
        <w:t>亿美金，预计</w:t>
      </w:r>
      <w:r>
        <w:rPr>
          <w:rFonts w:ascii="宋体" w:hAnsi="宋体" w:cs="宋体" w:eastAsia="宋体" w:hint="default"/>
        </w:rPr>
        <w:t>2025</w:t>
      </w:r>
      <w:r>
        <w:rPr/>
        <w:t>年可达到</w:t>
      </w:r>
      <w:r>
        <w:rPr>
          <w:rFonts w:ascii="宋体" w:hAnsi="宋体" w:cs="宋体" w:eastAsia="宋体" w:hint="default"/>
        </w:rPr>
        <w:t>66.5</w:t>
      </w:r>
      <w:r>
        <w:rPr/>
        <w:t>亿美金规模。在全球市场分布上，美国</w:t>
      </w:r>
    </w:p>
    <w:p>
      <w:pPr>
        <w:spacing w:after="0" w:line="240"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240" w:lineRule="auto" w:before="175"/>
        <w:ind w:right="986"/>
        <w:jc w:val="left"/>
      </w:pPr>
      <w:r>
        <w:rPr/>
        <w:t>世界领先，欧洲紧随其后，亚太地区快速发展并将在未来持续贡献可观收入。</w:t>
      </w:r>
    </w:p>
    <w:p>
      <w:pPr>
        <w:spacing w:line="240" w:lineRule="auto" w:before="10"/>
        <w:rPr>
          <w:rFonts w:ascii="宋体" w:hAnsi="宋体" w:cs="宋体" w:eastAsia="宋体" w:hint="default"/>
          <w:sz w:val="14"/>
          <w:szCs w:val="14"/>
        </w:rPr>
      </w:pPr>
    </w:p>
    <w:p>
      <w:pPr>
        <w:pStyle w:val="BodyText"/>
        <w:spacing w:line="408" w:lineRule="auto" w:before="0"/>
        <w:ind w:left="575" w:right="986"/>
        <w:jc w:val="left"/>
      </w:pPr>
      <w:r>
        <w:rPr>
          <w:rFonts w:ascii="宋体" w:hAnsi="宋体" w:cs="宋体" w:eastAsia="宋体" w:hint="default"/>
          <w:b/>
          <w:bCs/>
        </w:rPr>
        <w:t>（二）公司战略</w:t>
      </w:r>
      <w:r>
        <w:rPr>
          <w:rFonts w:ascii="宋体" w:hAnsi="宋体" w:cs="宋体" w:eastAsia="宋体" w:hint="default"/>
          <w:b/>
          <w:bCs/>
          <w:spacing w:val="-104"/>
        </w:rPr>
        <w:t> </w:t>
      </w:r>
      <w:r>
        <w:rPr>
          <w:spacing w:val="-3"/>
        </w:rPr>
        <w:t>公司的使命是“数据更智能、网络更安全”；愿景是“成为网络空间安全与大数据智能化专家”；核</w:t>
      </w:r>
      <w:r>
        <w:rPr/>
      </w:r>
    </w:p>
    <w:p>
      <w:pPr>
        <w:pStyle w:val="BodyText"/>
        <w:spacing w:line="408" w:lineRule="auto"/>
        <w:ind w:right="986"/>
        <w:jc w:val="left"/>
      </w:pPr>
      <w:r>
        <w:rPr>
          <w:spacing w:val="-2"/>
        </w:rPr>
        <w:t>心价值观“以客户为中心，艰苦奋斗，持续创新，极致执行，协作共赢”；企业经营理念“不断创新、追</w:t>
      </w:r>
      <w:r>
        <w:rPr>
          <w:spacing w:val="-42"/>
        </w:rPr>
        <w:t> </w:t>
      </w:r>
      <w:r>
        <w:rPr>
          <w:spacing w:val="-42"/>
        </w:rPr>
      </w:r>
      <w:r>
        <w:rPr/>
        <w:t>求卓越”；产品服务理念“承诺安全</w:t>
      </w:r>
      <w:r>
        <w:rPr>
          <w:spacing w:val="-7"/>
        </w:rPr>
        <w:t> </w:t>
      </w:r>
      <w:r>
        <w:rPr/>
        <w:t>承诺非凡”。</w:t>
      </w:r>
      <w:r>
        <w:rPr>
          <w:rFonts w:ascii="宋体" w:hAnsi="宋体" w:cs="宋体" w:eastAsia="宋体" w:hint="default"/>
        </w:rPr>
        <w:t>2019</w:t>
      </w:r>
      <w:r>
        <w:rPr/>
        <w:t>年，公司制定各职能战略实施框架。</w:t>
      </w:r>
    </w:p>
    <w:p>
      <w:pPr>
        <w:pStyle w:val="BodyText"/>
        <w:spacing w:line="408" w:lineRule="auto"/>
        <w:ind w:right="1128" w:firstLine="420"/>
        <w:jc w:val="both"/>
      </w:pPr>
      <w:r>
        <w:rPr>
          <w:rFonts w:ascii="宋体" w:hAnsi="宋体" w:cs="宋体" w:eastAsia="宋体" w:hint="default"/>
          <w:b/>
          <w:bCs/>
        </w:rPr>
        <w:t>产品战略：</w:t>
      </w:r>
      <w:r>
        <w:rPr/>
        <w:t>“产品装备化</w:t>
      </w:r>
      <w:r>
        <w:rPr>
          <w:rFonts w:ascii="宋体" w:hAnsi="宋体" w:cs="宋体" w:eastAsia="宋体" w:hint="default"/>
        </w:rPr>
        <w:t>+</w:t>
      </w:r>
      <w:r>
        <w:rPr/>
        <w:t>大数据智能化”。持续推进网络空间安全产品装备化，加强装备与平台的</w:t>
      </w:r>
      <w:r>
        <w:rPr>
          <w:w w:val="100"/>
        </w:rPr>
        <w:t> </w:t>
      </w:r>
      <w:r>
        <w:rPr>
          <w:spacing w:val="-2"/>
        </w:rPr>
        <w:t>联动性；加强人工智能在大数据及网络空间安全的应用，进一步服务社会治理现代化；大力发展基于互联</w:t>
      </w:r>
      <w:r>
        <w:rPr>
          <w:spacing w:val="-44"/>
        </w:rPr>
        <w:t> </w:t>
      </w:r>
      <w:r>
        <w:rPr>
          <w:spacing w:val="-44"/>
        </w:rPr>
      </w:r>
      <w:r>
        <w:rPr/>
        <w:t>网和大数据的在线服务。</w:t>
      </w:r>
    </w:p>
    <w:p>
      <w:pPr>
        <w:pStyle w:val="BodyText"/>
        <w:spacing w:line="441" w:lineRule="auto" w:before="87"/>
        <w:ind w:left="575" w:right="986"/>
        <w:jc w:val="left"/>
      </w:pPr>
      <w:r>
        <w:rPr>
          <w:rFonts w:ascii="宋体" w:hAnsi="宋体" w:cs="宋体" w:eastAsia="宋体" w:hint="default"/>
          <w:b/>
          <w:bCs/>
        </w:rPr>
        <w:t>服务战略：</w:t>
      </w:r>
      <w:r>
        <w:rPr/>
        <w:t>秉承“以客户为中心”的服务理念，打造全程及时高效的专业服务体系。</w:t>
      </w:r>
      <w:r>
        <w:rPr>
          <w:w w:val="100"/>
        </w:rPr>
        <w:t> </w:t>
      </w:r>
      <w:r>
        <w:rPr>
          <w:rFonts w:ascii="宋体" w:hAnsi="宋体" w:cs="宋体" w:eastAsia="宋体" w:hint="default"/>
          <w:b/>
          <w:bCs/>
          <w:spacing w:val="-2"/>
        </w:rPr>
        <w:t>市场战略：</w:t>
      </w:r>
      <w:r>
        <w:rPr>
          <w:spacing w:val="-2"/>
        </w:rPr>
        <w:t>秉承“线上线下结合，培训带动销售，缔造顾问式合作伙伴关系”的理念，快速推进业务</w:t>
      </w:r>
    </w:p>
    <w:p>
      <w:pPr>
        <w:pStyle w:val="BodyText"/>
        <w:spacing w:line="444" w:lineRule="auto" w:before="17"/>
        <w:ind w:left="575" w:right="986" w:hanging="423"/>
        <w:jc w:val="left"/>
      </w:pPr>
      <w:r>
        <w:rPr/>
        <w:t>从司法机关向行政管理及企事业单位覆盖，横向复制拓展市场。</w:t>
      </w:r>
      <w:r>
        <w:rPr>
          <w:w w:val="100"/>
        </w:rPr>
        <w:t> </w:t>
      </w:r>
      <w:r>
        <w:rPr>
          <w:rFonts w:ascii="宋体" w:hAnsi="宋体" w:cs="宋体" w:eastAsia="宋体" w:hint="default"/>
          <w:b/>
          <w:bCs/>
        </w:rPr>
        <w:t>投资战略：“</w:t>
      </w:r>
      <w:r>
        <w:rPr/>
        <w:t>外部孵化</w:t>
      </w:r>
      <w:r>
        <w:rPr>
          <w:rFonts w:ascii="宋体" w:hAnsi="宋体" w:cs="宋体" w:eastAsia="宋体" w:hint="default"/>
        </w:rPr>
        <w:t>+</w:t>
      </w:r>
      <w:r>
        <w:rPr/>
        <w:t>投资并购”，通过基金投资孵化和上市公司投资并购相结合的方式，补齐产</w:t>
      </w:r>
    </w:p>
    <w:p>
      <w:pPr>
        <w:pStyle w:val="BodyText"/>
        <w:spacing w:line="444" w:lineRule="auto" w:before="14"/>
        <w:ind w:left="575" w:right="986" w:hanging="423"/>
        <w:jc w:val="left"/>
      </w:pPr>
      <w:r>
        <w:rPr/>
        <w:t>业短板、完善产业布局、建立产业生态。</w:t>
      </w:r>
      <w:r>
        <w:rPr>
          <w:w w:val="100"/>
        </w:rPr>
        <w:t> </w:t>
      </w:r>
      <w:r>
        <w:rPr>
          <w:rFonts w:ascii="宋体" w:hAnsi="宋体" w:cs="宋体" w:eastAsia="宋体" w:hint="default"/>
          <w:b/>
          <w:bCs/>
          <w:spacing w:val="-2"/>
        </w:rPr>
        <w:t>人才战略：“</w:t>
      </w:r>
      <w:r>
        <w:rPr>
          <w:spacing w:val="-2"/>
        </w:rPr>
        <w:t>内部培养</w:t>
      </w:r>
      <w:r>
        <w:rPr>
          <w:rFonts w:ascii="宋体" w:hAnsi="宋体" w:cs="宋体" w:eastAsia="宋体" w:hint="default"/>
          <w:spacing w:val="-2"/>
        </w:rPr>
        <w:t>+</w:t>
      </w:r>
      <w:r>
        <w:rPr>
          <w:spacing w:val="-2"/>
        </w:rPr>
        <w:t>外部引进”。通过建立科学合理有效的激励及培养体系，实现人才“找得到、</w:t>
      </w:r>
    </w:p>
    <w:p>
      <w:pPr>
        <w:pStyle w:val="BodyText"/>
        <w:spacing w:line="441" w:lineRule="auto" w:before="14"/>
        <w:ind w:left="575" w:right="986" w:hanging="423"/>
        <w:jc w:val="left"/>
      </w:pPr>
      <w:r>
        <w:rPr/>
        <w:t>进得来、用得好、留得住”和干部队伍“年轻化、专业化”。</w:t>
      </w:r>
      <w:r>
        <w:rPr>
          <w:w w:val="100"/>
        </w:rPr>
        <w:t> </w:t>
      </w:r>
      <w:r>
        <w:rPr>
          <w:rFonts w:ascii="宋体" w:hAnsi="宋体" w:cs="宋体" w:eastAsia="宋体" w:hint="default"/>
          <w:b/>
          <w:bCs/>
          <w:spacing w:val="-2"/>
        </w:rPr>
        <w:t>品牌战略：</w:t>
      </w:r>
      <w:r>
        <w:rPr>
          <w:spacing w:val="-2"/>
        </w:rPr>
        <w:t>塑造“国民共进”成功典范，塑造电子数据取证行业领跑者、大数据及人工智能专家、网</w:t>
      </w:r>
    </w:p>
    <w:p>
      <w:pPr>
        <w:pStyle w:val="BodyText"/>
        <w:spacing w:line="444" w:lineRule="auto" w:before="17"/>
        <w:ind w:left="575" w:right="986" w:hanging="423"/>
        <w:jc w:val="left"/>
      </w:pPr>
      <w:r>
        <w:rPr/>
        <w:t>络空间安全和社会治理的国家队形象。</w:t>
      </w:r>
      <w:r>
        <w:rPr>
          <w:w w:val="100"/>
        </w:rPr>
        <w:t> </w:t>
      </w:r>
      <w:r>
        <w:rPr>
          <w:rFonts w:ascii="宋体" w:hAnsi="宋体" w:cs="宋体" w:eastAsia="宋体" w:hint="default"/>
          <w:b/>
          <w:bCs/>
          <w:spacing w:val="-2"/>
        </w:rPr>
        <w:t>质量战略：</w:t>
      </w:r>
      <w:r>
        <w:rPr>
          <w:spacing w:val="-2"/>
        </w:rPr>
        <w:t>以“技术创新引领，客户需求推动”作为企业发展的双动力，以“文化、市场、人才、技</w:t>
      </w:r>
    </w:p>
    <w:p>
      <w:pPr>
        <w:pStyle w:val="BodyText"/>
        <w:spacing w:line="444" w:lineRule="auto" w:before="14"/>
        <w:ind w:left="575" w:right="986" w:hanging="423"/>
        <w:jc w:val="left"/>
      </w:pPr>
      <w:r>
        <w:rPr/>
        <w:t>术”为驱动，建立“双动力全时四驱”质量管理模式，实现全面卓越绩效管理。</w:t>
      </w:r>
      <w:r>
        <w:rPr>
          <w:w w:val="100"/>
        </w:rPr>
        <w:t> </w:t>
      </w:r>
      <w:r>
        <w:rPr>
          <w:rFonts w:ascii="宋体" w:hAnsi="宋体" w:cs="宋体" w:eastAsia="宋体" w:hint="default"/>
          <w:b/>
          <w:bCs/>
          <w:spacing w:val="-2"/>
        </w:rPr>
        <w:t>创新战略：</w:t>
      </w:r>
      <w:r>
        <w:rPr>
          <w:spacing w:val="-2"/>
        </w:rPr>
        <w:t>潜心打造“美亚技术硬核”，围绕网络空间安全、大数据、人工智能、物联网等新技术，</w:t>
      </w:r>
    </w:p>
    <w:p>
      <w:pPr>
        <w:pStyle w:val="BodyText"/>
        <w:spacing w:line="240" w:lineRule="auto" w:before="14"/>
        <w:ind w:right="986"/>
        <w:jc w:val="left"/>
      </w:pPr>
      <w:r>
        <w:rPr/>
        <w:t>持续加大研发投入，构建核心竞争力。</w:t>
      </w:r>
    </w:p>
    <w:p>
      <w:pPr>
        <w:spacing w:line="240" w:lineRule="auto" w:before="9"/>
        <w:rPr>
          <w:rFonts w:ascii="宋体" w:hAnsi="宋体" w:cs="宋体" w:eastAsia="宋体" w:hint="default"/>
          <w:sz w:val="17"/>
          <w:szCs w:val="17"/>
        </w:rPr>
      </w:pPr>
    </w:p>
    <w:p>
      <w:pPr>
        <w:pStyle w:val="Heading4"/>
        <w:spacing w:line="240" w:lineRule="auto"/>
        <w:ind w:left="575" w:right="986"/>
        <w:jc w:val="left"/>
        <w:rPr>
          <w:b w:val="0"/>
          <w:bCs w:val="0"/>
        </w:rPr>
      </w:pPr>
      <w:r>
        <w:rPr/>
        <w:t>（三）</w:t>
      </w:r>
      <w:r>
        <w:rPr>
          <w:rFonts w:ascii="宋体" w:hAnsi="宋体" w:cs="宋体" w:eastAsia="宋体" w:hint="default"/>
        </w:rPr>
        <w:t>2020</w:t>
      </w:r>
      <w:r>
        <w:rPr/>
        <w:t>年重点工作计划</w:t>
      </w:r>
      <w:r>
        <w:rPr>
          <w:b w:val="0"/>
          <w:bCs w:val="0"/>
        </w:rPr>
      </w:r>
    </w:p>
    <w:p>
      <w:pPr>
        <w:spacing w:line="240" w:lineRule="auto" w:before="10"/>
        <w:rPr>
          <w:rFonts w:ascii="宋体" w:hAnsi="宋体" w:cs="宋体" w:eastAsia="宋体" w:hint="default"/>
          <w:b/>
          <w:bCs/>
          <w:sz w:val="14"/>
          <w:szCs w:val="14"/>
        </w:rPr>
      </w:pPr>
    </w:p>
    <w:p>
      <w:pPr>
        <w:pStyle w:val="BodyText"/>
        <w:spacing w:line="408" w:lineRule="auto" w:before="0"/>
        <w:ind w:right="986" w:firstLine="525"/>
        <w:jc w:val="left"/>
      </w:pPr>
      <w:r>
        <w:rPr>
          <w:rFonts w:ascii="宋体" w:hAnsi="宋体" w:cs="宋体" w:eastAsia="宋体" w:hint="default"/>
        </w:rPr>
        <w:t>2020</w:t>
      </w:r>
      <w:r>
        <w:rPr/>
        <w:t>年，公司坚持在党的领导下，借助控股股东国投智能、国投集团的资源优势，加强内部资源整</w:t>
      </w:r>
      <w:r>
        <w:rPr>
          <w:w w:val="100"/>
        </w:rPr>
        <w:t> </w:t>
      </w:r>
      <w:r>
        <w:rPr>
          <w:spacing w:val="-2"/>
        </w:rPr>
        <w:t>合及协同合作，坚持“稳”字当头，全面落实“强管理、挖潜力、控费用、增效益”的管理方向，做好战</w:t>
      </w:r>
      <w:r>
        <w:rPr>
          <w:spacing w:val="-46"/>
        </w:rPr>
        <w:t> </w:t>
      </w:r>
      <w:r>
        <w:rPr>
          <w:spacing w:val="-46"/>
        </w:rPr>
      </w:r>
      <w:r>
        <w:rPr/>
        <w:t>略布局，保证公司稳健的发展。</w:t>
      </w:r>
    </w:p>
    <w:p>
      <w:pPr>
        <w:pStyle w:val="BodyText"/>
        <w:spacing w:line="408" w:lineRule="auto"/>
        <w:ind w:right="986" w:firstLine="422"/>
        <w:jc w:val="left"/>
      </w:pPr>
      <w:r>
        <w:rPr>
          <w:rFonts w:ascii="宋体" w:hAnsi="宋体" w:cs="宋体" w:eastAsia="宋体" w:hint="default"/>
          <w:b/>
          <w:bCs/>
        </w:rPr>
        <w:t>1</w:t>
      </w:r>
      <w:r>
        <w:rPr>
          <w:rFonts w:ascii="宋体" w:hAnsi="宋体" w:cs="宋体" w:eastAsia="宋体" w:hint="default"/>
          <w:b/>
          <w:bCs/>
        </w:rPr>
        <w:t>、管理方面：</w:t>
      </w:r>
      <w:r>
        <w:rPr/>
        <w:t>推动公司技术管理委员会、营销管理委员会、行业管理委员会、业务支撑委员会和运</w:t>
      </w:r>
      <w:r>
        <w:rPr>
          <w:w w:val="100"/>
        </w:rPr>
        <w:t> </w:t>
      </w:r>
      <w:r>
        <w:rPr>
          <w:spacing w:val="-5"/>
        </w:rPr>
        <w:t>营管理委员会五大委员会的有效运作，最大程度地统筹内部资源，发挥协同效应，加强对分子公司的管理、</w:t>
      </w:r>
      <w:r>
        <w:rPr>
          <w:spacing w:val="-4"/>
        </w:rPr>
        <w:t> </w:t>
      </w:r>
      <w:r>
        <w:rPr>
          <w:spacing w:val="-4"/>
        </w:rPr>
      </w:r>
      <w:r>
        <w:rPr>
          <w:spacing w:val="-2"/>
        </w:rPr>
        <w:t>指导和服务。公司结合各项业务战略定位，做好各业务板块的发展规划，细化资源配置、实施路径、考核</w:t>
      </w:r>
      <w:r>
        <w:rPr>
          <w:spacing w:val="-43"/>
        </w:rPr>
        <w:t> </w:t>
      </w:r>
      <w:r>
        <w:rPr>
          <w:spacing w:val="-43"/>
        </w:rPr>
      </w:r>
      <w:r>
        <w:rPr>
          <w:spacing w:val="-2"/>
        </w:rPr>
        <w:t>机制等保障措施，确保各业务板块的规划与集团整体规划相衔接。落实公司协同管理制度，在投资机会发</w:t>
      </w:r>
      <w:r>
        <w:rPr/>
      </w:r>
    </w:p>
    <w:p>
      <w:pPr>
        <w:spacing w:after="0" w:line="408"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240" w:lineRule="auto" w:before="175"/>
        <w:ind w:right="986"/>
        <w:jc w:val="left"/>
      </w:pPr>
      <w:r>
        <w:rPr/>
        <w:t>掘、产业上下游、产业与金融协同方面加大协调力度，推动集团整体效益最大化。</w:t>
      </w:r>
    </w:p>
    <w:p>
      <w:pPr>
        <w:spacing w:line="240" w:lineRule="auto" w:before="10"/>
        <w:rPr>
          <w:rFonts w:ascii="宋体" w:hAnsi="宋体" w:cs="宋体" w:eastAsia="宋体" w:hint="default"/>
          <w:sz w:val="14"/>
          <w:szCs w:val="14"/>
        </w:rPr>
      </w:pPr>
    </w:p>
    <w:p>
      <w:pPr>
        <w:pStyle w:val="BodyText"/>
        <w:spacing w:line="408" w:lineRule="auto" w:before="0"/>
        <w:ind w:left="153" w:right="1106" w:firstLine="421"/>
        <w:jc w:val="both"/>
      </w:pPr>
      <w:r>
        <w:rPr>
          <w:rFonts w:ascii="宋体" w:hAnsi="宋体" w:cs="宋体" w:eastAsia="宋体" w:hint="default"/>
          <w:b/>
          <w:bCs/>
          <w:spacing w:val="-2"/>
        </w:rPr>
        <w:t>2</w:t>
      </w:r>
      <w:r>
        <w:rPr>
          <w:rFonts w:ascii="宋体" w:hAnsi="宋体" w:cs="宋体" w:eastAsia="宋体" w:hint="default"/>
          <w:b/>
          <w:bCs/>
          <w:spacing w:val="-2"/>
        </w:rPr>
        <w:t>、市场及营销</w:t>
      </w:r>
      <w:r>
        <w:rPr>
          <w:rFonts w:ascii="宋体" w:hAnsi="宋体" w:cs="宋体" w:eastAsia="宋体" w:hint="default"/>
          <w:b/>
          <w:bCs/>
          <w:spacing w:val="-2"/>
        </w:rPr>
        <w:t>:</w:t>
      </w:r>
      <w:r>
        <w:rPr>
          <w:rFonts w:ascii="宋体" w:hAnsi="宋体" w:cs="宋体" w:eastAsia="宋体" w:hint="default"/>
          <w:b/>
          <w:bCs/>
          <w:spacing w:val="-2"/>
        </w:rPr>
        <w:t>公司</w:t>
      </w:r>
      <w:r>
        <w:rPr>
          <w:spacing w:val="-2"/>
        </w:rPr>
        <w:t>围绕“大数据智能化”、“网络空间安全”、“网络开源情报”和“智能装备制</w:t>
      </w:r>
      <w:r>
        <w:rPr>
          <w:w w:val="100"/>
        </w:rPr>
        <w:t> </w:t>
      </w:r>
      <w:r>
        <w:rPr>
          <w:spacing w:val="-2"/>
        </w:rPr>
        <w:t>造”四大技术和产品方向，以市场为导向，加强对市场周期性、规律性趋势的预研预判，优化资源配置，</w:t>
      </w:r>
      <w:r>
        <w:rPr>
          <w:spacing w:val="-21"/>
        </w:rPr>
        <w:t> </w:t>
      </w:r>
      <w:r>
        <w:rPr>
          <w:spacing w:val="-21"/>
        </w:rPr>
      </w:r>
      <w:r>
        <w:rPr>
          <w:spacing w:val="-2"/>
        </w:rPr>
        <w:t>提高对市场变化的响应速度，合理安排研发生产，增加有效供给。创新商业模式，完善产业链、价值链，</w:t>
      </w:r>
      <w:r>
        <w:rPr>
          <w:spacing w:val="-24"/>
        </w:rPr>
        <w:t> </w:t>
      </w:r>
      <w:r>
        <w:rPr>
          <w:spacing w:val="-24"/>
        </w:rPr>
      </w:r>
      <w:r>
        <w:rPr>
          <w:spacing w:val="-2"/>
        </w:rPr>
        <w:t>提高产品附加值和品牌溢价，积极开发新产品、提供新服务，不断拓展盈利空间。不断发掘潜在需求，巩</w:t>
      </w:r>
      <w:r>
        <w:rPr>
          <w:spacing w:val="-43"/>
        </w:rPr>
        <w:t> </w:t>
      </w:r>
      <w:r>
        <w:rPr>
          <w:spacing w:val="-43"/>
        </w:rPr>
      </w:r>
      <w:r>
        <w:rPr>
          <w:spacing w:val="-2"/>
        </w:rPr>
        <w:t>固传统市场、开发新兴市场、深挖细分市场，抢占市场份额。聚焦重点区域，紧盯细分行业发展趋势，积</w:t>
      </w:r>
      <w:r>
        <w:rPr>
          <w:spacing w:val="-45"/>
        </w:rPr>
        <w:t> </w:t>
      </w:r>
      <w:r>
        <w:rPr>
          <w:spacing w:val="-45"/>
        </w:rPr>
      </w:r>
      <w:r>
        <w:rPr/>
        <w:t>极挖掘业务机会，稳妥推进项目开发。</w:t>
      </w:r>
    </w:p>
    <w:p>
      <w:pPr>
        <w:pStyle w:val="BodyText"/>
        <w:spacing w:line="408" w:lineRule="auto"/>
        <w:ind w:right="986" w:firstLine="422"/>
        <w:jc w:val="left"/>
      </w:pPr>
      <w:r>
        <w:rPr>
          <w:rFonts w:ascii="宋体" w:hAnsi="宋体" w:cs="宋体" w:eastAsia="宋体" w:hint="default"/>
          <w:b/>
          <w:bCs/>
        </w:rPr>
        <w:t>3</w:t>
      </w:r>
      <w:r>
        <w:rPr>
          <w:rFonts w:ascii="宋体" w:hAnsi="宋体" w:cs="宋体" w:eastAsia="宋体" w:hint="default"/>
          <w:b/>
          <w:bCs/>
        </w:rPr>
        <w:t>、产品及技术研发：</w:t>
      </w:r>
      <w:r>
        <w:rPr/>
        <w:t>技术创新是公司生存与发展之根本。</w:t>
      </w:r>
      <w:r>
        <w:rPr>
          <w:rFonts w:ascii="宋体" w:hAnsi="宋体" w:cs="宋体" w:eastAsia="宋体" w:hint="default"/>
        </w:rPr>
        <w:t>2019</w:t>
      </w:r>
      <w:r>
        <w:rPr/>
        <w:t>年公司被美国列入出口管制”实体清</w:t>
      </w:r>
      <w:r>
        <w:rPr>
          <w:spacing w:val="-3"/>
          <w:w w:val="100"/>
        </w:rPr>
        <w:t> </w:t>
      </w:r>
      <w:r>
        <w:rPr>
          <w:spacing w:val="-2"/>
        </w:rPr>
        <w:t>单”，公司更加认识到拥有自主知识产权的重要性。公司将继续完善企业的创新体系和创新激励机制，加</w:t>
      </w:r>
      <w:r>
        <w:rPr>
          <w:spacing w:val="-44"/>
        </w:rPr>
        <w:t> </w:t>
      </w:r>
      <w:r>
        <w:rPr>
          <w:spacing w:val="-44"/>
        </w:rPr>
      </w:r>
      <w:r>
        <w:rPr/>
        <w:t>强核心技术产品的自主研发。公司将全面推广取证</w:t>
      </w:r>
      <w:r>
        <w:rPr>
          <w:rFonts w:ascii="宋体" w:hAnsi="宋体" w:cs="宋体" w:eastAsia="宋体" w:hint="default"/>
        </w:rPr>
        <w:t>3.0</w:t>
      </w:r>
      <w:r>
        <w:rPr/>
        <w:t>，加强云取证、物联网取证、人工智能等技术的应</w:t>
      </w:r>
      <w:r>
        <w:rPr>
          <w:w w:val="100"/>
        </w:rPr>
        <w:t> </w:t>
      </w:r>
      <w:r>
        <w:rPr>
          <w:spacing w:val="-2"/>
        </w:rPr>
        <w:t>用和推广，打造取证生态体系。加强人工智能技术的研究，将人工智能技术融合到大数据产品中，提升大</w:t>
      </w:r>
      <w:r>
        <w:rPr>
          <w:spacing w:val="-50"/>
        </w:rPr>
        <w:t> </w:t>
      </w:r>
      <w:r>
        <w:rPr>
          <w:spacing w:val="-50"/>
        </w:rPr>
      </w:r>
      <w:r>
        <w:rPr>
          <w:spacing w:val="-2"/>
        </w:rPr>
        <w:t>数据产品综合能力。继续推进大数据平台分层解耦，推动大数据平台模块化、标准化；优先研发社会治理</w:t>
      </w:r>
      <w:r>
        <w:rPr>
          <w:spacing w:val="-47"/>
        </w:rPr>
        <w:t> </w:t>
      </w:r>
      <w:r>
        <w:rPr>
          <w:spacing w:val="-47"/>
        </w:rPr>
      </w:r>
      <w:r>
        <w:rPr>
          <w:spacing w:val="-2"/>
        </w:rPr>
        <w:t>各行业大数据中台</w:t>
      </w:r>
      <w:r>
        <w:rPr>
          <w:rFonts w:ascii="宋体" w:hAnsi="宋体" w:cs="宋体" w:eastAsia="宋体" w:hint="default"/>
          <w:spacing w:val="-2"/>
        </w:rPr>
        <w:t>DAAS</w:t>
      </w:r>
      <w:r>
        <w:rPr>
          <w:spacing w:val="-2"/>
        </w:rPr>
        <w:t>，以大数据智能化为主，实现“四化六统一”；基于大数据中台，建立“乾坤”应</w:t>
      </w:r>
      <w:r>
        <w:rPr>
          <w:spacing w:val="-48"/>
        </w:rPr>
        <w:t> </w:t>
      </w:r>
      <w:r>
        <w:rPr>
          <w:spacing w:val="-48"/>
        </w:rPr>
      </w:r>
      <w:r>
        <w:rPr>
          <w:spacing w:val="-2"/>
        </w:rPr>
        <w:t>用生态。网络空间安全领域，加强知识图谱、自然语言处理等基础技术的研发投入，持续利用“公安大数</w:t>
      </w:r>
      <w:r>
        <w:rPr>
          <w:spacing w:val="-47"/>
        </w:rPr>
        <w:t> </w:t>
      </w:r>
      <w:r>
        <w:rPr>
          <w:spacing w:val="-47"/>
        </w:rPr>
      </w:r>
      <w:r>
        <w:rPr>
          <w:spacing w:val="-2"/>
        </w:rPr>
        <w:t>据平台”资源优势打造个性化的行业应用。进一步完善开源情报综合解决方案，构建网络开源情报智能化</w:t>
      </w:r>
      <w:r>
        <w:rPr>
          <w:spacing w:val="-42"/>
        </w:rPr>
        <w:t> </w:t>
      </w:r>
      <w:r>
        <w:rPr>
          <w:spacing w:val="-42"/>
        </w:rPr>
      </w:r>
      <w:r>
        <w:rPr>
          <w:spacing w:val="-2"/>
        </w:rPr>
        <w:t>分析平台，实现开源数据采集、信息加工转换、行为关系挖掘、情报主体刻画、风险感知与应对等业务功</w:t>
      </w:r>
      <w:r>
        <w:rPr>
          <w:spacing w:val="-43"/>
        </w:rPr>
        <w:t> </w:t>
      </w:r>
      <w:r>
        <w:rPr>
          <w:spacing w:val="-43"/>
        </w:rPr>
      </w:r>
      <w:r>
        <w:rPr/>
        <w:t>能，服务于政府执法部门等客户。</w:t>
      </w:r>
    </w:p>
    <w:p>
      <w:pPr>
        <w:pStyle w:val="BodyText"/>
        <w:spacing w:line="408" w:lineRule="auto"/>
        <w:ind w:right="986" w:firstLine="422"/>
        <w:jc w:val="left"/>
      </w:pPr>
      <w:r>
        <w:rPr>
          <w:rFonts w:ascii="宋体" w:hAnsi="宋体" w:cs="宋体" w:eastAsia="宋体" w:hint="default"/>
          <w:b/>
          <w:bCs/>
          <w:spacing w:val="-3"/>
        </w:rPr>
        <w:t>4</w:t>
      </w:r>
      <w:r>
        <w:rPr>
          <w:rFonts w:ascii="宋体" w:hAnsi="宋体" w:cs="宋体" w:eastAsia="宋体" w:hint="default"/>
          <w:b/>
          <w:bCs/>
          <w:spacing w:val="-3"/>
        </w:rPr>
        <w:t>、人力资源计划：</w:t>
      </w:r>
      <w:r>
        <w:rPr>
          <w:spacing w:val="-3"/>
        </w:rPr>
        <w:t>为实现“增效提质”，公司从人力资源的角度，做好战略目标的分解、人才培养。</w:t>
      </w:r>
      <w:r>
        <w:rPr>
          <w:spacing w:val="-3"/>
          <w:w w:val="100"/>
        </w:rPr>
        <w:t> </w:t>
      </w:r>
      <w:r>
        <w:rPr>
          <w:spacing w:val="-2"/>
        </w:rPr>
        <w:t>公司通过优化人力资源管理系统，制定人力资源战略，并根据企业总体战略要求，规划人力资源职能。公</w:t>
      </w:r>
      <w:r>
        <w:rPr>
          <w:spacing w:val="-47"/>
        </w:rPr>
        <w:t> </w:t>
      </w:r>
      <w:r>
        <w:rPr>
          <w:spacing w:val="-47"/>
        </w:rPr>
      </w:r>
      <w:r>
        <w:rPr>
          <w:spacing w:val="-2"/>
        </w:rPr>
        <w:t>司注重人才培养，依托美亚信息安全学院、美亚干校、美亚美课，搭建全员学习培养路径、开展符合公司</w:t>
      </w:r>
      <w:r>
        <w:rPr>
          <w:spacing w:val="-43"/>
        </w:rPr>
        <w:t> </w:t>
      </w:r>
      <w:r>
        <w:rPr>
          <w:spacing w:val="-43"/>
        </w:rPr>
      </w:r>
      <w:r>
        <w:rPr>
          <w:spacing w:val="-2"/>
        </w:rPr>
        <w:t>核心价值观的优质课程培训，提高员工职业素养和技能。依托国投集团资源，吸引高端核心人才，借助国</w:t>
      </w:r>
      <w:r>
        <w:rPr>
          <w:spacing w:val="-47"/>
        </w:rPr>
        <w:t> </w:t>
      </w:r>
      <w:r>
        <w:rPr>
          <w:spacing w:val="-47"/>
        </w:rPr>
      </w:r>
      <w:r>
        <w:rPr>
          <w:spacing w:val="-2"/>
        </w:rPr>
        <w:t>投集团和国投智能的轮岗计划，提高员工综合素质。构建多层次人才体系，确定人才战略的执行重点，岗</w:t>
      </w:r>
      <w:r>
        <w:rPr>
          <w:spacing w:val="-46"/>
        </w:rPr>
        <w:t> </w:t>
      </w:r>
      <w:r>
        <w:rPr>
          <w:spacing w:val="-46"/>
        </w:rPr>
      </w:r>
      <w:r>
        <w:rPr>
          <w:spacing w:val="-2"/>
        </w:rPr>
        <w:t>位类别的储备方向，以及人才梯队建设体系的建立。公司完善现有薪酬体系，优化绩效激励政策，提出全</w:t>
      </w:r>
      <w:r>
        <w:rPr>
          <w:spacing w:val="-47"/>
        </w:rPr>
        <w:t> </w:t>
      </w:r>
      <w:r>
        <w:rPr>
          <w:spacing w:val="-47"/>
        </w:rPr>
      </w:r>
      <w:r>
        <w:rPr>
          <w:spacing w:val="-2"/>
        </w:rPr>
        <w:t>面薪酬体系，从多角度拓展福利范围，形成大福利体系，打造福建省优秀雇主品牌。持续推进中心指导员</w:t>
      </w:r>
      <w:r>
        <w:rPr>
          <w:spacing w:val="-50"/>
        </w:rPr>
        <w:t> </w:t>
      </w:r>
      <w:r>
        <w:rPr>
          <w:spacing w:val="-50"/>
        </w:rPr>
      </w:r>
      <w:r>
        <w:rPr/>
        <w:t>工作机制，加强公司思想政治和管理作风建设，培养锻炼年轻后备干部，不断推进公司长远健康发展。</w:t>
      </w:r>
    </w:p>
    <w:p>
      <w:pPr>
        <w:pStyle w:val="Heading4"/>
        <w:spacing w:line="240" w:lineRule="auto" w:before="46"/>
        <w:ind w:left="572" w:right="986"/>
        <w:jc w:val="left"/>
        <w:rPr>
          <w:b w:val="0"/>
          <w:bCs w:val="0"/>
        </w:rPr>
      </w:pPr>
      <w:r>
        <w:rPr/>
        <w:t>（三）可能面对的风险及措施</w:t>
      </w:r>
      <w:r>
        <w:rPr>
          <w:b w:val="0"/>
          <w:bCs w:val="0"/>
        </w:rPr>
      </w:r>
    </w:p>
    <w:p>
      <w:pPr>
        <w:spacing w:line="240" w:lineRule="auto" w:before="6"/>
        <w:rPr>
          <w:rFonts w:ascii="宋体" w:hAnsi="宋体" w:cs="宋体" w:eastAsia="宋体" w:hint="default"/>
          <w:b/>
          <w:bCs/>
          <w:sz w:val="22"/>
          <w:szCs w:val="22"/>
        </w:rPr>
      </w:pPr>
    </w:p>
    <w:p>
      <w:pPr>
        <w:pStyle w:val="BodyText"/>
        <w:spacing w:line="408" w:lineRule="auto" w:before="0"/>
        <w:ind w:right="1129" w:firstLine="561"/>
        <w:jc w:val="both"/>
      </w:pPr>
      <w:r>
        <w:rPr>
          <w:rFonts w:ascii="宋体" w:hAnsi="宋体" w:cs="宋体" w:eastAsia="宋体" w:hint="default"/>
          <w:spacing w:val="-3"/>
        </w:rPr>
        <w:t>1</w:t>
      </w:r>
      <w:r>
        <w:rPr>
          <w:spacing w:val="-3"/>
        </w:rPr>
        <w:t>、</w:t>
      </w:r>
      <w:r>
        <w:rPr>
          <w:rFonts w:ascii="宋体" w:hAnsi="宋体" w:cs="宋体" w:eastAsia="宋体" w:hint="default"/>
          <w:b/>
          <w:bCs/>
          <w:spacing w:val="-3"/>
        </w:rPr>
        <w:t>经营效益风险：</w:t>
      </w:r>
      <w:r>
        <w:rPr>
          <w:spacing w:val="-3"/>
        </w:rPr>
        <w:t>新冠疫情对公司正常生产经营销售产生一定影响。例如公司延期复工复产开工经</w:t>
      </w:r>
      <w:r>
        <w:rPr>
          <w:w w:val="100"/>
        </w:rPr>
        <w:t> </w:t>
      </w:r>
      <w:r>
        <w:rPr>
          <w:spacing w:val="-2"/>
        </w:rPr>
        <w:t>营，政府及客户节奏放缓，原有商机订单延后、已建项目延迟验收等，可能造成公司及子企业经营效益不</w:t>
      </w:r>
      <w:r>
        <w:rPr>
          <w:spacing w:val="-47"/>
        </w:rPr>
        <w:t> </w:t>
      </w:r>
      <w:r>
        <w:rPr>
          <w:spacing w:val="-47"/>
        </w:rPr>
      </w:r>
      <w:r>
        <w:rPr>
          <w:spacing w:val="-2"/>
        </w:rPr>
        <w:t>及预期。在客观经济环境下，公司合理规划利用时间，通过在线学习培训交流的方式加强全体员工能力的</w:t>
      </w:r>
      <w:r>
        <w:rPr/>
      </w:r>
    </w:p>
    <w:p>
      <w:pPr>
        <w:spacing w:after="0" w:line="408" w:lineRule="auto"/>
        <w:jc w:val="both"/>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1128"/>
        <w:jc w:val="both"/>
      </w:pPr>
      <w:r>
        <w:rPr>
          <w:spacing w:val="-2"/>
        </w:rPr>
        <w:t>提升；技术研发部门潜心研究技术及产品，提升产品模块化和产品化的能力，待市场恢复后能做出快速响</w:t>
      </w:r>
      <w:r>
        <w:rPr>
          <w:spacing w:val="-48"/>
        </w:rPr>
        <w:t> </w:t>
      </w:r>
      <w:r>
        <w:rPr>
          <w:spacing w:val="-48"/>
        </w:rPr>
      </w:r>
      <w:r>
        <w:rPr>
          <w:spacing w:val="-2"/>
        </w:rPr>
        <w:t>应；强化经营分析，拓展经营分析的深度广度，关注重点指标变化，及时掌握公司及市场变化，分析业绩</w:t>
      </w:r>
      <w:r>
        <w:rPr>
          <w:spacing w:val="-43"/>
        </w:rPr>
        <w:t> </w:t>
      </w:r>
      <w:r>
        <w:rPr>
          <w:spacing w:val="-43"/>
        </w:rPr>
      </w:r>
      <w:r>
        <w:rPr/>
        <w:t>变动原因并及时寻找应对方法。</w:t>
      </w:r>
    </w:p>
    <w:p>
      <w:pPr>
        <w:pStyle w:val="BodyText"/>
        <w:spacing w:line="408" w:lineRule="auto" w:before="147"/>
        <w:ind w:right="986" w:firstLine="422"/>
        <w:jc w:val="left"/>
      </w:pPr>
      <w:r>
        <w:rPr>
          <w:rFonts w:ascii="宋体" w:hAnsi="宋体" w:cs="宋体" w:eastAsia="宋体" w:hint="default"/>
        </w:rPr>
        <w:t>2</w:t>
      </w:r>
      <w:r>
        <w:rPr/>
        <w:t>、</w:t>
      </w:r>
      <w:r>
        <w:rPr>
          <w:rFonts w:ascii="宋体" w:hAnsi="宋体" w:cs="宋体" w:eastAsia="宋体" w:hint="default"/>
          <w:b/>
          <w:bCs/>
        </w:rPr>
        <w:t>采购与供应链管理风险：</w:t>
      </w:r>
      <w:r>
        <w:rPr/>
        <w:t>公司于</w:t>
      </w:r>
      <w:r>
        <w:rPr>
          <w:spacing w:val="-42"/>
        </w:rPr>
        <w:t> </w:t>
      </w:r>
      <w:r>
        <w:rPr>
          <w:rFonts w:ascii="宋体" w:hAnsi="宋体" w:cs="宋体" w:eastAsia="宋体" w:hint="default"/>
        </w:rPr>
        <w:t>2019</w:t>
      </w:r>
      <w:r>
        <w:rPr>
          <w:rFonts w:ascii="宋体" w:hAnsi="宋体" w:cs="宋体" w:eastAsia="宋体" w:hint="default"/>
          <w:spacing w:val="-42"/>
        </w:rPr>
        <w:t> </w:t>
      </w:r>
      <w:r>
        <w:rPr/>
        <w:t>年</w:t>
      </w:r>
      <w:r>
        <w:rPr>
          <w:spacing w:val="-44"/>
        </w:rPr>
        <w:t> </w:t>
      </w:r>
      <w:r>
        <w:rPr>
          <w:rFonts w:ascii="宋体" w:hAnsi="宋体" w:cs="宋体" w:eastAsia="宋体" w:hint="default"/>
        </w:rPr>
        <w:t>10</w:t>
      </w:r>
      <w:r>
        <w:rPr>
          <w:rFonts w:ascii="宋体" w:hAnsi="宋体" w:cs="宋体" w:eastAsia="宋体" w:hint="default"/>
          <w:spacing w:val="-44"/>
        </w:rPr>
        <w:t> </w:t>
      </w:r>
      <w:r>
        <w:rPr/>
        <w:t>月</w:t>
      </w:r>
      <w:r>
        <w:rPr>
          <w:spacing w:val="-42"/>
        </w:rPr>
        <w:t> </w:t>
      </w:r>
      <w:r>
        <w:rPr>
          <w:rFonts w:ascii="宋体" w:hAnsi="宋体" w:cs="宋体" w:eastAsia="宋体" w:hint="default"/>
        </w:rPr>
        <w:t>8</w:t>
      </w:r>
      <w:r>
        <w:rPr>
          <w:rFonts w:ascii="宋体" w:hAnsi="宋体" w:cs="宋体" w:eastAsia="宋体" w:hint="default"/>
          <w:spacing w:val="-42"/>
        </w:rPr>
        <w:t> </w:t>
      </w:r>
      <w:r>
        <w:rPr/>
        <w:t>日被美国商务部列入实体清单，短期对公司经营</w:t>
      </w:r>
      <w:r>
        <w:rPr>
          <w:w w:val="100"/>
        </w:rPr>
        <w:t> </w:t>
      </w:r>
      <w:r>
        <w:rPr/>
        <w:t>不存在重大影响，长期来看，若美国商务部 实施“长臂管辖权”，则国外制造但源自美国技术达到产品</w:t>
      </w:r>
      <w:r>
        <w:rPr>
          <w:spacing w:val="-26"/>
        </w:rPr>
        <w:t> </w:t>
      </w:r>
      <w:r>
        <w:rPr>
          <w:spacing w:val="-26"/>
        </w:rPr>
      </w:r>
      <w:r>
        <w:rPr>
          <w:rFonts w:ascii="宋体" w:hAnsi="宋体" w:cs="宋体" w:eastAsia="宋体" w:hint="default"/>
          <w:spacing w:val="-2"/>
        </w:rPr>
        <w:t>25%</w:t>
      </w:r>
      <w:r>
        <w:rPr>
          <w:spacing w:val="-2"/>
        </w:rPr>
        <w:t>价值比例的，都算在限制范围内，这将对上游供应链造成一定影响。公司已在内部启动“破冰计划”，</w:t>
      </w:r>
      <w:r>
        <w:rPr>
          <w:spacing w:val="-39"/>
        </w:rPr>
        <w:t> </w:t>
      </w:r>
      <w:r>
        <w:rPr>
          <w:spacing w:val="-39"/>
        </w:rPr>
      </w:r>
      <w:r>
        <w:rPr/>
        <w:t>未来我们将积极推进国产化替代产品的自主研发和适配研发。</w:t>
      </w:r>
    </w:p>
    <w:p>
      <w:pPr>
        <w:pStyle w:val="BodyText"/>
        <w:spacing w:line="408" w:lineRule="auto" w:before="144"/>
        <w:ind w:right="1128" w:firstLine="422"/>
        <w:jc w:val="both"/>
      </w:pPr>
      <w:r>
        <w:rPr>
          <w:rFonts w:ascii="宋体" w:hAnsi="宋体" w:cs="宋体" w:eastAsia="宋体" w:hint="default"/>
        </w:rPr>
        <w:t>3</w:t>
      </w:r>
      <w:r>
        <w:rPr/>
        <w:t>、</w:t>
      </w:r>
      <w:r>
        <w:rPr>
          <w:rFonts w:ascii="宋体" w:hAnsi="宋体" w:cs="宋体" w:eastAsia="宋体" w:hint="default"/>
          <w:b/>
          <w:bCs/>
        </w:rPr>
        <w:t>商誉减值风险：</w:t>
      </w:r>
      <w:r>
        <w:rPr>
          <w:rFonts w:ascii="宋体" w:hAnsi="宋体" w:cs="宋体" w:eastAsia="宋体" w:hint="default"/>
        </w:rPr>
        <w:t>2015</w:t>
      </w:r>
      <w:r>
        <w:rPr>
          <w:rFonts w:ascii="宋体" w:hAnsi="宋体" w:cs="宋体" w:eastAsia="宋体" w:hint="default"/>
          <w:spacing w:val="-48"/>
        </w:rPr>
        <w:t> </w:t>
      </w:r>
      <w:r>
        <w:rPr/>
        <w:t>年公司通过发行股份购买资产的方式购买江苏税软</w:t>
      </w:r>
      <w:r>
        <w:rPr>
          <w:spacing w:val="-48"/>
        </w:rPr>
        <w:t> </w:t>
      </w:r>
      <w:r>
        <w:rPr>
          <w:rFonts w:ascii="宋体" w:hAnsi="宋体" w:cs="宋体" w:eastAsia="宋体" w:hint="default"/>
        </w:rPr>
        <w:t>100%</w:t>
      </w:r>
      <w:r>
        <w:rPr/>
        <w:t>股权和新德汇</w:t>
      </w:r>
      <w:r>
        <w:rPr>
          <w:spacing w:val="-46"/>
        </w:rPr>
        <w:t> </w:t>
      </w:r>
      <w:r>
        <w:rPr>
          <w:rFonts w:ascii="宋体" w:hAnsi="宋体" w:cs="宋体" w:eastAsia="宋体" w:hint="default"/>
        </w:rPr>
        <w:t>49%</w:t>
      </w:r>
      <w:r>
        <w:rPr/>
        <w:t>股</w:t>
      </w:r>
      <w:r>
        <w:rPr>
          <w:w w:val="100"/>
        </w:rPr>
        <w:t> </w:t>
      </w:r>
      <w:r>
        <w:rPr>
          <w:spacing w:val="-2"/>
        </w:rPr>
        <w:t>权，在公司合并资产负债表中形成较大金额的商誉。江苏税软和新德汇的业绩承诺已全部完成。根据《企</w:t>
      </w:r>
      <w:r>
        <w:rPr>
          <w:spacing w:val="-47"/>
        </w:rPr>
        <w:t> </w:t>
      </w:r>
      <w:r>
        <w:rPr>
          <w:spacing w:val="-47"/>
        </w:rPr>
      </w:r>
      <w:r>
        <w:rPr>
          <w:spacing w:val="-2"/>
        </w:rPr>
        <w:t>业会计准则》规定，本次交易形成的商誉不作摊销处理，但需在未来每年年终进行减值测试。如果江苏税</w:t>
      </w:r>
      <w:r>
        <w:rPr>
          <w:spacing w:val="-47"/>
        </w:rPr>
        <w:t> </w:t>
      </w:r>
      <w:r>
        <w:rPr>
          <w:spacing w:val="-47"/>
        </w:rPr>
      </w:r>
      <w:r>
        <w:rPr>
          <w:spacing w:val="-2"/>
        </w:rPr>
        <w:t>软和新德汇未来经营状况恶化，则存在商誉减值的风险，从而对公司当期损益造成不利影响。为了减少商</w:t>
      </w:r>
      <w:r>
        <w:rPr>
          <w:spacing w:val="-48"/>
        </w:rPr>
        <w:t> </w:t>
      </w:r>
      <w:r>
        <w:rPr>
          <w:spacing w:val="-48"/>
        </w:rPr>
      </w:r>
      <w:r>
        <w:rPr/>
        <w:t>誉减值风险，公司主要采取的管理措施如下：</w:t>
      </w:r>
      <w:r>
        <w:rPr>
          <w:rFonts w:ascii="宋体" w:hAnsi="宋体" w:cs="宋体" w:eastAsia="宋体" w:hint="default"/>
        </w:rPr>
        <w:t>1</w:t>
      </w:r>
      <w:r>
        <w:rPr/>
        <w:t>）加强母子公司资源整合，在市场渠道和产品研发上，加</w:t>
      </w:r>
      <w:r>
        <w:rPr>
          <w:spacing w:val="-25"/>
        </w:rPr>
        <w:t> </w:t>
      </w:r>
      <w:r>
        <w:rPr>
          <w:spacing w:val="-25"/>
        </w:rPr>
      </w:r>
      <w:r>
        <w:rPr/>
        <w:t>强资源管理和 </w:t>
      </w:r>
      <w:r>
        <w:rPr>
          <w:rFonts w:ascii="宋体" w:hAnsi="宋体" w:cs="宋体" w:eastAsia="宋体" w:hint="default"/>
        </w:rPr>
        <w:t>1+1&gt;2</w:t>
      </w:r>
      <w:r>
        <w:rPr>
          <w:rFonts w:ascii="宋体" w:hAnsi="宋体" w:cs="宋体" w:eastAsia="宋体" w:hint="default"/>
          <w:spacing w:val="-36"/>
        </w:rPr>
        <w:t> </w:t>
      </w:r>
      <w:r>
        <w:rPr/>
        <w:t>的协同整合，提升子公司产品竞争力；</w:t>
      </w:r>
      <w:r>
        <w:rPr>
          <w:rFonts w:ascii="宋体" w:hAnsi="宋体" w:cs="宋体" w:eastAsia="宋体" w:hint="default"/>
        </w:rPr>
        <w:t>2</w:t>
      </w:r>
      <w:r>
        <w:rPr/>
        <w:t>）维护核心人员稳定：通过签订劳动合同、</w:t>
      </w:r>
      <w:r>
        <w:rPr>
          <w:spacing w:val="-3"/>
          <w:w w:val="100"/>
        </w:rPr>
        <w:t> </w:t>
      </w:r>
      <w:r>
        <w:rPr>
          <w:spacing w:val="-2"/>
        </w:rPr>
        <w:t>竞业协议、保密协议等措施保障人员稳定；将公司的股权激励计划等人才激励措施，覆盖到子公司核心员</w:t>
      </w:r>
      <w:r>
        <w:rPr>
          <w:spacing w:val="-44"/>
        </w:rPr>
        <w:t> </w:t>
      </w:r>
      <w:r>
        <w:rPr>
          <w:spacing w:val="-44"/>
        </w:rPr>
      </w:r>
      <w:r>
        <w:rPr/>
        <w:t>工；</w:t>
      </w:r>
      <w:r>
        <w:rPr>
          <w:rFonts w:ascii="宋体" w:hAnsi="宋体" w:cs="宋体" w:eastAsia="宋体" w:hint="default"/>
        </w:rPr>
        <w:t>3</w:t>
      </w:r>
      <w:r>
        <w:rPr/>
        <w:t>）经营管理：公司每年将目标责任书和绩效考核指标分解到子公司，年终根据业绩的完成程度给予</w:t>
      </w:r>
      <w:r>
        <w:rPr>
          <w:spacing w:val="-25"/>
        </w:rPr>
        <w:t> </w:t>
      </w:r>
      <w:r>
        <w:rPr>
          <w:spacing w:val="-25"/>
        </w:rPr>
      </w:r>
      <w:r>
        <w:rPr>
          <w:spacing w:val="-2"/>
        </w:rPr>
        <w:t>相应的激励，公司也从总部派驻核心财务骨干常驻子公司，担任子公司财务负责人，协助子公司负责人进</w:t>
      </w:r>
      <w:r>
        <w:rPr>
          <w:spacing w:val="-42"/>
        </w:rPr>
        <w:t> </w:t>
      </w:r>
      <w:r>
        <w:rPr>
          <w:spacing w:val="-42"/>
        </w:rPr>
      </w:r>
      <w:r>
        <w:rPr>
          <w:spacing w:val="-2"/>
        </w:rPr>
        <w:t>行经营管理，同时将子公司管理层纳入到公司管理体系中，让子公司管理层和核心人员均有权参与公司管</w:t>
      </w:r>
      <w:r>
        <w:rPr>
          <w:spacing w:val="-42"/>
        </w:rPr>
        <w:t> </w:t>
      </w:r>
      <w:r>
        <w:rPr>
          <w:spacing w:val="-42"/>
        </w:rPr>
      </w:r>
      <w:r>
        <w:rPr>
          <w:spacing w:val="-2"/>
        </w:rPr>
        <w:t>理。通过公司与子公司在经营管理、技术研发、市场拓展等方面的资源共享和协同合作，保持公司及各子</w:t>
      </w:r>
      <w:r>
        <w:rPr>
          <w:spacing w:val="-47"/>
        </w:rPr>
        <w:t> </w:t>
      </w:r>
      <w:r>
        <w:rPr>
          <w:spacing w:val="-47"/>
        </w:rPr>
      </w:r>
      <w:r>
        <w:rPr/>
        <w:t>公司的持续竞争力，尽量降低商誉对公司未来业绩的影响。</w:t>
      </w:r>
    </w:p>
    <w:p>
      <w:pPr>
        <w:spacing w:before="147"/>
        <w:ind w:left="575" w:right="986" w:firstLine="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w:t>
      </w:r>
      <w:r>
        <w:rPr>
          <w:rFonts w:ascii="宋体" w:hAnsi="宋体" w:cs="宋体" w:eastAsia="宋体" w:hint="default"/>
          <w:b/>
          <w:bCs/>
          <w:sz w:val="21"/>
          <w:szCs w:val="21"/>
        </w:rPr>
        <w:t>应收账款净额过高的风险：</w:t>
      </w:r>
      <w:r>
        <w:rPr>
          <w:rFonts w:ascii="宋体" w:hAnsi="宋体" w:cs="宋体" w:eastAsia="宋体" w:hint="default"/>
          <w:sz w:val="21"/>
          <w:szCs w:val="21"/>
        </w:rPr>
        <w:t>报告期末，公司应收账款净额 </w:t>
      </w:r>
      <w:r>
        <w:rPr>
          <w:rFonts w:ascii="宋体" w:hAnsi="宋体" w:cs="宋体" w:eastAsia="宋体" w:hint="default"/>
          <w:sz w:val="21"/>
          <w:szCs w:val="21"/>
        </w:rPr>
        <w:t>79,677.92</w:t>
      </w:r>
      <w:r>
        <w:rPr>
          <w:rFonts w:ascii="宋体" w:hAnsi="宋体" w:cs="宋体" w:eastAsia="宋体" w:hint="default"/>
          <w:spacing w:val="-43"/>
          <w:sz w:val="21"/>
          <w:szCs w:val="21"/>
        </w:rPr>
        <w:t> </w:t>
      </w:r>
      <w:r>
        <w:rPr>
          <w:rFonts w:ascii="宋体" w:hAnsi="宋体" w:cs="宋体" w:eastAsia="宋体" w:hint="default"/>
          <w:sz w:val="21"/>
          <w:szCs w:val="21"/>
        </w:rPr>
        <w:t>万元，占公司总资产的比例</w:t>
      </w:r>
    </w:p>
    <w:p>
      <w:pPr>
        <w:spacing w:line="240" w:lineRule="auto" w:before="10"/>
        <w:rPr>
          <w:rFonts w:ascii="宋体" w:hAnsi="宋体" w:cs="宋体" w:eastAsia="宋体" w:hint="default"/>
          <w:sz w:val="14"/>
          <w:szCs w:val="14"/>
        </w:rPr>
      </w:pPr>
    </w:p>
    <w:p>
      <w:pPr>
        <w:pStyle w:val="BodyText"/>
        <w:spacing w:line="408" w:lineRule="auto" w:before="0"/>
        <w:ind w:right="986"/>
        <w:jc w:val="left"/>
      </w:pPr>
      <w:r>
        <w:rPr>
          <w:rFonts w:ascii="宋体" w:hAnsi="宋体" w:cs="宋体" w:eastAsia="宋体" w:hint="default"/>
          <w:spacing w:val="-2"/>
        </w:rPr>
        <w:t>18.97%</w:t>
      </w:r>
      <w:r>
        <w:rPr>
          <w:spacing w:val="-2"/>
        </w:rPr>
        <w:t>。主要是因为公司主要客户司法机关和行政执法部门，该类客户的采购及付款审批周期较长，因而</w:t>
      </w:r>
      <w:r>
        <w:rPr>
          <w:spacing w:val="-37"/>
        </w:rPr>
        <w:t> </w:t>
      </w:r>
      <w:r>
        <w:rPr>
          <w:spacing w:val="-37"/>
        </w:rPr>
      </w:r>
      <w:r>
        <w:rPr>
          <w:spacing w:val="-5"/>
        </w:rPr>
        <w:t>导致公司应收账款净额较高。并且随着公司平台类项目的销售收入比重不断增加，单个业务合同金额增大， </w:t>
      </w:r>
      <w:r>
        <w:rPr>
          <w:spacing w:val="-5"/>
        </w:rPr>
      </w:r>
      <w:r>
        <w:rPr>
          <w:spacing w:val="-2"/>
        </w:rPr>
        <w:t>实施周期较长，项目付款进度相应较长，应收账款的账期和绝对值也可能会相应上升。此外，部分客户受</w:t>
      </w:r>
      <w:r>
        <w:rPr>
          <w:spacing w:val="-49"/>
        </w:rPr>
        <w:t> </w:t>
      </w:r>
      <w:r>
        <w:rPr>
          <w:spacing w:val="-49"/>
        </w:rPr>
      </w:r>
      <w:r>
        <w:rPr>
          <w:spacing w:val="-2"/>
        </w:rPr>
        <w:t>机构体制改革影响，付款审批时间也相应的延长。综合各种因素，本期的应收账款金额较大。对此，公司</w:t>
      </w:r>
      <w:r>
        <w:rPr>
          <w:spacing w:val="-43"/>
        </w:rPr>
        <w:t> </w:t>
      </w:r>
      <w:r>
        <w:rPr>
          <w:spacing w:val="-43"/>
        </w:rPr>
      </w:r>
      <w:r>
        <w:rPr>
          <w:spacing w:val="-2"/>
        </w:rPr>
        <w:t>将持续加大应收账款的催收力度，同时根据公司实际情况，执行合理的应收账款坏账计提准备政策，避免</w:t>
      </w:r>
      <w:r>
        <w:rPr>
          <w:spacing w:val="-42"/>
        </w:rPr>
        <w:t> </w:t>
      </w:r>
      <w:r>
        <w:rPr>
          <w:spacing w:val="-42"/>
        </w:rPr>
      </w:r>
      <w:r>
        <w:rPr/>
        <w:t>较高的坏账风险。</w:t>
      </w:r>
    </w:p>
    <w:p>
      <w:pPr>
        <w:pStyle w:val="BodyText"/>
        <w:spacing w:line="408" w:lineRule="auto" w:before="147"/>
        <w:ind w:right="1128" w:firstLine="422"/>
        <w:jc w:val="both"/>
      </w:pPr>
      <w:r>
        <w:rPr>
          <w:rFonts w:ascii="宋体" w:hAnsi="宋体" w:cs="宋体" w:eastAsia="宋体" w:hint="default"/>
        </w:rPr>
        <w:t>5</w:t>
      </w:r>
      <w:r>
        <w:rPr/>
        <w:t>、</w:t>
      </w:r>
      <w:r>
        <w:rPr>
          <w:rFonts w:ascii="宋体" w:hAnsi="宋体" w:cs="宋体" w:eastAsia="宋体" w:hint="default"/>
          <w:b/>
          <w:bCs/>
        </w:rPr>
        <w:t>市场风险：</w:t>
      </w:r>
      <w:r>
        <w:rPr/>
        <w:t>随着大数据技术、人工智能技术的高速发展，大数据、人工智能产业的相关政策陆续</w:t>
      </w:r>
      <w:r>
        <w:rPr>
          <w:w w:val="100"/>
        </w:rPr>
        <w:t> </w:t>
      </w:r>
      <w:r>
        <w:rPr>
          <w:spacing w:val="-2"/>
        </w:rPr>
        <w:t>颁布，大数据行业的市场前景非常可观，国内有很多企业已涉及到该行业，大数据市场竞争日趋激烈。公</w:t>
      </w:r>
      <w:r>
        <w:rPr>
          <w:spacing w:val="-47"/>
        </w:rPr>
        <w:t> </w:t>
      </w:r>
      <w:r>
        <w:rPr>
          <w:spacing w:val="-47"/>
        </w:rPr>
      </w:r>
      <w:r>
        <w:rPr>
          <w:spacing w:val="-2"/>
        </w:rPr>
        <w:t>司将继续加强研发投入及相关技术人才的储备，跟踪前沿技术，研制适应新形势要求的新产品，保持产品</w:t>
      </w:r>
    </w:p>
    <w:p>
      <w:pPr>
        <w:spacing w:after="0" w:line="408" w:lineRule="auto"/>
        <w:jc w:val="both"/>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986"/>
        <w:jc w:val="left"/>
      </w:pPr>
      <w:r>
        <w:rPr>
          <w:spacing w:val="-2"/>
        </w:rPr>
        <w:t>先进性；对前期投放市场的产品，考虑到培育市场的难度，公司将在市场培育前进行整体规划，详细制定</w:t>
      </w:r>
      <w:r>
        <w:rPr>
          <w:spacing w:val="-50"/>
        </w:rPr>
        <w:t> </w:t>
      </w:r>
      <w:r>
        <w:rPr>
          <w:spacing w:val="-50"/>
        </w:rPr>
      </w:r>
      <w:r>
        <w:rPr/>
        <w:t>营销战略，积极利用积累的客户资源，达到“以旧带新”，确保产品得以顺利进入市场。</w:t>
      </w:r>
    </w:p>
    <w:p>
      <w:pPr>
        <w:pStyle w:val="BodyText"/>
        <w:spacing w:line="408" w:lineRule="auto" w:before="147"/>
        <w:ind w:right="1128" w:firstLine="422"/>
        <w:jc w:val="both"/>
      </w:pPr>
      <w:r>
        <w:rPr>
          <w:rFonts w:ascii="宋体" w:hAnsi="宋体" w:cs="宋体" w:eastAsia="宋体" w:hint="default"/>
        </w:rPr>
        <w:t>6</w:t>
      </w:r>
      <w:r>
        <w:rPr/>
        <w:t>、</w:t>
      </w:r>
      <w:r>
        <w:rPr>
          <w:rFonts w:ascii="宋体" w:hAnsi="宋体" w:cs="宋体" w:eastAsia="宋体" w:hint="default"/>
          <w:b/>
          <w:bCs/>
        </w:rPr>
        <w:t>政策风险</w:t>
      </w:r>
      <w:r>
        <w:rPr/>
        <w:t>：美亚柏科的主要客户为国家各级司法机关、行政执法部门和政府监管部门，这些政府</w:t>
      </w:r>
      <w:r>
        <w:rPr>
          <w:w w:val="100"/>
        </w:rPr>
        <w:t> </w:t>
      </w:r>
      <w:r>
        <w:rPr>
          <w:spacing w:val="-2"/>
        </w:rPr>
        <w:t>相关部门的采购需求对政府财政预算依赖性较大，如果相关政府部门财政预算缩减，将对我们的业务开展</w:t>
      </w:r>
      <w:r>
        <w:rPr>
          <w:spacing w:val="-42"/>
        </w:rPr>
        <w:t> </w:t>
      </w:r>
      <w:r>
        <w:rPr>
          <w:spacing w:val="-42"/>
        </w:rPr>
      </w:r>
      <w:r>
        <w:rPr>
          <w:spacing w:val="-2"/>
        </w:rPr>
        <w:t>和财务状况产生重大不利影响。法律法规或管理机构的变化和改革也可能影响上述用户的需求，从而可能</w:t>
      </w:r>
      <w:r>
        <w:rPr>
          <w:spacing w:val="-42"/>
        </w:rPr>
        <w:t> </w:t>
      </w:r>
      <w:r>
        <w:rPr>
          <w:spacing w:val="-42"/>
        </w:rPr>
      </w:r>
      <w:r>
        <w:rPr>
          <w:spacing w:val="-2"/>
        </w:rPr>
        <w:t>对公司业务造成影响。公司积极拓展新的行业，扩大公司市场范围，降低对个别行业的依赖性，从而降低</w:t>
      </w:r>
      <w:r>
        <w:rPr>
          <w:spacing w:val="-50"/>
        </w:rPr>
        <w:t> </w:t>
      </w:r>
      <w:r>
        <w:rPr>
          <w:spacing w:val="-50"/>
        </w:rPr>
      </w:r>
      <w:r>
        <w:rPr/>
        <w:t>因部分市场饱和或相关部门预算所带来的不利影响。</w:t>
      </w:r>
    </w:p>
    <w:p>
      <w:pPr>
        <w:pStyle w:val="BodyText"/>
        <w:spacing w:line="408" w:lineRule="auto" w:before="144"/>
        <w:ind w:right="1128" w:firstLine="422"/>
        <w:jc w:val="both"/>
      </w:pPr>
      <w:r>
        <w:rPr>
          <w:rFonts w:ascii="宋体" w:hAnsi="宋体" w:cs="宋体" w:eastAsia="宋体" w:hint="default"/>
        </w:rPr>
        <w:t>7</w:t>
      </w:r>
      <w:r>
        <w:rPr/>
        <w:t>、</w:t>
      </w:r>
      <w:r>
        <w:rPr>
          <w:rFonts w:ascii="宋体" w:hAnsi="宋体" w:cs="宋体" w:eastAsia="宋体" w:hint="default"/>
          <w:b/>
          <w:bCs/>
        </w:rPr>
        <w:t>季节性风险：</w:t>
      </w:r>
      <w:r>
        <w:rPr/>
        <w:t>公司产品销售收入在上、下半年具有不均衡的特点，因为公司产品主要销售给司法</w:t>
      </w:r>
      <w:r>
        <w:rPr>
          <w:w w:val="100"/>
        </w:rPr>
        <w:t> </w:t>
      </w:r>
      <w:r>
        <w:rPr>
          <w:spacing w:val="-2"/>
        </w:rPr>
        <w:t>机关、行政执法部门等，这些客户的普遍特点是：上半年制定计划、预算审批，下半年实施和验收。</w:t>
      </w:r>
      <w:r>
        <w:rPr>
          <w:rFonts w:ascii="宋体" w:hAnsi="宋体" w:cs="宋体" w:eastAsia="宋体" w:hint="default"/>
          <w:spacing w:val="-2"/>
        </w:rPr>
        <w:t>2020</w:t>
      </w:r>
      <w:r>
        <w:rPr>
          <w:rFonts w:ascii="宋体" w:hAnsi="宋体" w:cs="宋体" w:eastAsia="宋体" w:hint="default"/>
          <w:spacing w:val="-41"/>
        </w:rPr>
        <w:t> </w:t>
      </w:r>
      <w:r>
        <w:rPr>
          <w:rFonts w:ascii="宋体" w:hAnsi="宋体" w:cs="宋体" w:eastAsia="宋体" w:hint="default"/>
          <w:spacing w:val="-41"/>
        </w:rPr>
      </w:r>
      <w:r>
        <w:rPr>
          <w:spacing w:val="-2"/>
        </w:rPr>
        <w:t>年受到新冠疫情影响，有可能季节性特点会更加明显。公司将持续加大售前的进度引导、以及阶段验收等</w:t>
      </w:r>
      <w:r>
        <w:rPr>
          <w:spacing w:val="-43"/>
        </w:rPr>
        <w:t> </w:t>
      </w:r>
      <w:r>
        <w:rPr>
          <w:spacing w:val="-43"/>
        </w:rPr>
      </w:r>
      <w:r>
        <w:rPr/>
        <w:t>方式，尽量降低第四季度集中和不确定性的影响。</w:t>
      </w:r>
    </w:p>
    <w:p>
      <w:pPr>
        <w:spacing w:line="240" w:lineRule="auto" w:before="8"/>
        <w:rPr>
          <w:rFonts w:ascii="宋体" w:hAnsi="宋体" w:cs="宋体" w:eastAsia="宋体" w:hint="default"/>
          <w:sz w:val="18"/>
          <w:szCs w:val="18"/>
        </w:rPr>
      </w:pPr>
    </w:p>
    <w:p>
      <w:pPr>
        <w:pStyle w:val="Heading2"/>
        <w:spacing w:line="240" w:lineRule="auto"/>
        <w:ind w:right="986"/>
        <w:jc w:val="left"/>
        <w:rPr>
          <w:b w:val="0"/>
          <w:bCs w:val="0"/>
        </w:rPr>
      </w:pPr>
      <w:bookmarkStart w:name="十、接待调研、沟通、采访等活动登记表" w:id="58"/>
      <w:bookmarkEnd w:id="58"/>
      <w:r>
        <w:rPr>
          <w:b w:val="0"/>
          <w:bCs w:val="0"/>
        </w:rPr>
      </w:r>
      <w:r>
        <w:rPr/>
        <w:t>十、接待调研、沟通、采访等活动登记表</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6"/>
        <w:jc w:val="left"/>
        <w:rPr>
          <w:b w:val="0"/>
          <w:bCs w:val="0"/>
        </w:rPr>
      </w:pPr>
      <w:bookmarkStart w:name="1、报告期内接待调研、沟通、采访等活动登记表" w:id="59"/>
      <w:bookmarkEnd w:id="59"/>
      <w:r>
        <w:rPr>
          <w:b w:val="0"/>
          <w:bCs w:val="0"/>
        </w:rPr>
      </w: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670"/>
        <w:gridCol w:w="1066"/>
        <w:gridCol w:w="1349"/>
        <w:gridCol w:w="5484"/>
      </w:tblGrid>
      <w:tr>
        <w:trPr>
          <w:trHeight w:val="403" w:hRule="exact"/>
        </w:trPr>
        <w:tc>
          <w:tcPr>
            <w:tcW w:w="167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接待时间</w:t>
            </w:r>
          </w:p>
        </w:tc>
        <w:tc>
          <w:tcPr>
            <w:tcW w:w="10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接待方式</w:t>
            </w:r>
          </w:p>
        </w:tc>
        <w:tc>
          <w:tcPr>
            <w:tcW w:w="134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接待对象类型</w:t>
            </w:r>
          </w:p>
        </w:tc>
        <w:tc>
          <w:tcPr>
            <w:tcW w:w="548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401" w:hRule="exact"/>
        </w:trPr>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实地调研</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5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18"/>
                <w:szCs w:val="18"/>
              </w:rPr>
            </w:pPr>
            <w:r>
              <w:rPr>
                <w:rFonts w:ascii="宋体" w:hAnsi="宋体" w:cs="宋体" w:eastAsia="宋体" w:hint="default"/>
                <w:sz w:val="18"/>
                <w:szCs w:val="18"/>
              </w:rPr>
              <w:t>详见巨潮资讯网调研</w:t>
            </w:r>
            <w:r>
              <w:rPr>
                <w:rFonts w:ascii="宋体" w:hAnsi="宋体" w:cs="宋体" w:eastAsia="宋体" w:hint="default"/>
                <w:sz w:val="21"/>
                <w:szCs w:val="21"/>
              </w:rPr>
              <w:t>“</w:t>
            </w:r>
            <w:r>
              <w:rPr>
                <w:rFonts w:ascii="宋体" w:hAnsi="宋体" w:cs="宋体" w:eastAsia="宋体" w:hint="default"/>
                <w:sz w:val="18"/>
                <w:szCs w:val="18"/>
              </w:rPr>
              <w:t>300188</w:t>
            </w:r>
            <w:r>
              <w:rPr>
                <w:rFonts w:ascii="宋体" w:hAnsi="宋体" w:cs="宋体" w:eastAsia="宋体" w:hint="default"/>
                <w:spacing w:val="-48"/>
                <w:sz w:val="18"/>
                <w:szCs w:val="18"/>
              </w:rPr>
              <w:t> </w:t>
            </w:r>
            <w:r>
              <w:rPr>
                <w:rFonts w:ascii="宋体" w:hAnsi="宋体" w:cs="宋体" w:eastAsia="宋体" w:hint="default"/>
                <w:sz w:val="18"/>
                <w:szCs w:val="18"/>
              </w:rPr>
              <w:t>美亚柏科调研活动信息</w:t>
            </w:r>
            <w:r>
              <w:rPr>
                <w:rFonts w:ascii="宋体" w:hAnsi="宋体" w:cs="宋体" w:eastAsia="宋体" w:hint="default"/>
                <w:spacing w:val="-47"/>
                <w:sz w:val="18"/>
                <w:szCs w:val="18"/>
              </w:rPr>
              <w:t> </w:t>
            </w:r>
            <w:r>
              <w:rPr>
                <w:rFonts w:ascii="宋体" w:hAnsi="宋体" w:cs="宋体" w:eastAsia="宋体" w:hint="default"/>
                <w:sz w:val="18"/>
                <w:szCs w:val="18"/>
              </w:rPr>
              <w:t>20190110</w:t>
            </w:r>
            <w:r>
              <w:rPr>
                <w:rFonts w:ascii="宋体" w:hAnsi="宋体" w:cs="宋体" w:eastAsia="宋体" w:hint="default"/>
                <w:sz w:val="18"/>
                <w:szCs w:val="18"/>
              </w:rPr>
              <w:t>”</w:t>
            </w:r>
          </w:p>
        </w:tc>
      </w:tr>
      <w:tr>
        <w:trPr>
          <w:trHeight w:val="403" w:hRule="exact"/>
        </w:trPr>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电话沟通</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5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18"/>
                <w:szCs w:val="18"/>
              </w:rPr>
            </w:pPr>
            <w:r>
              <w:rPr>
                <w:rFonts w:ascii="宋体" w:hAnsi="宋体" w:cs="宋体" w:eastAsia="宋体" w:hint="default"/>
                <w:sz w:val="18"/>
                <w:szCs w:val="18"/>
              </w:rPr>
              <w:t>详见巨潮资讯网调研</w:t>
            </w:r>
            <w:r>
              <w:rPr>
                <w:rFonts w:ascii="宋体" w:hAnsi="宋体" w:cs="宋体" w:eastAsia="宋体" w:hint="default"/>
                <w:sz w:val="21"/>
                <w:szCs w:val="21"/>
              </w:rPr>
              <w:t>“</w:t>
            </w:r>
            <w:r>
              <w:rPr>
                <w:rFonts w:ascii="宋体" w:hAnsi="宋体" w:cs="宋体" w:eastAsia="宋体" w:hint="default"/>
                <w:sz w:val="18"/>
                <w:szCs w:val="18"/>
              </w:rPr>
              <w:t>300188</w:t>
            </w:r>
            <w:r>
              <w:rPr>
                <w:rFonts w:ascii="宋体" w:hAnsi="宋体" w:cs="宋体" w:eastAsia="宋体" w:hint="default"/>
                <w:spacing w:val="-48"/>
                <w:sz w:val="18"/>
                <w:szCs w:val="18"/>
              </w:rPr>
              <w:t> </w:t>
            </w:r>
            <w:r>
              <w:rPr>
                <w:rFonts w:ascii="宋体" w:hAnsi="宋体" w:cs="宋体" w:eastAsia="宋体" w:hint="default"/>
                <w:sz w:val="18"/>
                <w:szCs w:val="18"/>
              </w:rPr>
              <w:t>美亚柏科调研活动信息</w:t>
            </w:r>
            <w:r>
              <w:rPr>
                <w:rFonts w:ascii="宋体" w:hAnsi="宋体" w:cs="宋体" w:eastAsia="宋体" w:hint="default"/>
                <w:spacing w:val="-47"/>
                <w:sz w:val="18"/>
                <w:szCs w:val="18"/>
              </w:rPr>
              <w:t> </w:t>
            </w:r>
            <w:r>
              <w:rPr>
                <w:rFonts w:ascii="宋体" w:hAnsi="宋体" w:cs="宋体" w:eastAsia="宋体" w:hint="default"/>
                <w:sz w:val="18"/>
                <w:szCs w:val="18"/>
              </w:rPr>
              <w:t>20190417</w:t>
            </w:r>
            <w:r>
              <w:rPr>
                <w:rFonts w:ascii="宋体" w:hAnsi="宋体" w:cs="宋体" w:eastAsia="宋体" w:hint="default"/>
                <w:sz w:val="18"/>
                <w:szCs w:val="18"/>
              </w:rPr>
              <w:t>”</w:t>
            </w:r>
          </w:p>
        </w:tc>
      </w:tr>
      <w:tr>
        <w:trPr>
          <w:trHeight w:val="401" w:hRule="exact"/>
        </w:trPr>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电话沟通</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5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18"/>
                <w:szCs w:val="18"/>
              </w:rPr>
            </w:pPr>
            <w:r>
              <w:rPr>
                <w:rFonts w:ascii="宋体" w:hAnsi="宋体" w:cs="宋体" w:eastAsia="宋体" w:hint="default"/>
                <w:sz w:val="18"/>
                <w:szCs w:val="18"/>
              </w:rPr>
              <w:t>详见巨潮资讯网调研</w:t>
            </w:r>
            <w:r>
              <w:rPr>
                <w:rFonts w:ascii="宋体" w:hAnsi="宋体" w:cs="宋体" w:eastAsia="宋体" w:hint="default"/>
                <w:sz w:val="21"/>
                <w:szCs w:val="21"/>
              </w:rPr>
              <w:t>“</w:t>
            </w:r>
            <w:r>
              <w:rPr>
                <w:rFonts w:ascii="宋体" w:hAnsi="宋体" w:cs="宋体" w:eastAsia="宋体" w:hint="default"/>
                <w:sz w:val="18"/>
                <w:szCs w:val="18"/>
              </w:rPr>
              <w:t>300188</w:t>
            </w:r>
            <w:r>
              <w:rPr>
                <w:rFonts w:ascii="宋体" w:hAnsi="宋体" w:cs="宋体" w:eastAsia="宋体" w:hint="default"/>
                <w:spacing w:val="-48"/>
                <w:sz w:val="18"/>
                <w:szCs w:val="18"/>
              </w:rPr>
              <w:t> </w:t>
            </w:r>
            <w:r>
              <w:rPr>
                <w:rFonts w:ascii="宋体" w:hAnsi="宋体" w:cs="宋体" w:eastAsia="宋体" w:hint="default"/>
                <w:sz w:val="18"/>
                <w:szCs w:val="18"/>
              </w:rPr>
              <w:t>美亚柏科调研活动信息</w:t>
            </w:r>
            <w:r>
              <w:rPr>
                <w:rFonts w:ascii="宋体" w:hAnsi="宋体" w:cs="宋体" w:eastAsia="宋体" w:hint="default"/>
                <w:spacing w:val="-47"/>
                <w:sz w:val="18"/>
                <w:szCs w:val="18"/>
              </w:rPr>
              <w:t> </w:t>
            </w:r>
            <w:r>
              <w:rPr>
                <w:rFonts w:ascii="宋体" w:hAnsi="宋体" w:cs="宋体" w:eastAsia="宋体" w:hint="default"/>
                <w:sz w:val="18"/>
                <w:szCs w:val="18"/>
              </w:rPr>
              <w:t>20190430</w:t>
            </w:r>
            <w:r>
              <w:rPr>
                <w:rFonts w:ascii="宋体" w:hAnsi="宋体" w:cs="宋体" w:eastAsia="宋体" w:hint="default"/>
                <w:sz w:val="18"/>
                <w:szCs w:val="18"/>
              </w:rPr>
              <w:t>”</w:t>
            </w:r>
          </w:p>
        </w:tc>
      </w:tr>
      <w:tr>
        <w:trPr>
          <w:trHeight w:val="403" w:hRule="exact"/>
        </w:trPr>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05</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实地调研</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5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18"/>
                <w:szCs w:val="18"/>
              </w:rPr>
            </w:pPr>
            <w:r>
              <w:rPr>
                <w:rFonts w:ascii="宋体" w:hAnsi="宋体" w:cs="宋体" w:eastAsia="宋体" w:hint="default"/>
                <w:sz w:val="18"/>
                <w:szCs w:val="18"/>
              </w:rPr>
              <w:t>详见巨潮资讯网调研</w:t>
            </w:r>
            <w:r>
              <w:rPr>
                <w:rFonts w:ascii="宋体" w:hAnsi="宋体" w:cs="宋体" w:eastAsia="宋体" w:hint="default"/>
                <w:sz w:val="21"/>
                <w:szCs w:val="21"/>
              </w:rPr>
              <w:t>“</w:t>
            </w:r>
            <w:r>
              <w:rPr>
                <w:rFonts w:ascii="宋体" w:hAnsi="宋体" w:cs="宋体" w:eastAsia="宋体" w:hint="default"/>
                <w:sz w:val="18"/>
                <w:szCs w:val="18"/>
              </w:rPr>
              <w:t>300188</w:t>
            </w:r>
            <w:r>
              <w:rPr>
                <w:rFonts w:ascii="宋体" w:hAnsi="宋体" w:cs="宋体" w:eastAsia="宋体" w:hint="default"/>
                <w:spacing w:val="-48"/>
                <w:sz w:val="18"/>
                <w:szCs w:val="18"/>
              </w:rPr>
              <w:t> </w:t>
            </w:r>
            <w:r>
              <w:rPr>
                <w:rFonts w:ascii="宋体" w:hAnsi="宋体" w:cs="宋体" w:eastAsia="宋体" w:hint="default"/>
                <w:sz w:val="18"/>
                <w:szCs w:val="18"/>
              </w:rPr>
              <w:t>美亚柏科调研活动信息</w:t>
            </w:r>
            <w:r>
              <w:rPr>
                <w:rFonts w:ascii="宋体" w:hAnsi="宋体" w:cs="宋体" w:eastAsia="宋体" w:hint="default"/>
                <w:spacing w:val="-47"/>
                <w:sz w:val="18"/>
                <w:szCs w:val="18"/>
              </w:rPr>
              <w:t> </w:t>
            </w:r>
            <w:r>
              <w:rPr>
                <w:rFonts w:ascii="宋体" w:hAnsi="宋体" w:cs="宋体" w:eastAsia="宋体" w:hint="default"/>
                <w:sz w:val="18"/>
                <w:szCs w:val="18"/>
              </w:rPr>
              <w:t>20190510</w:t>
            </w:r>
            <w:r>
              <w:rPr>
                <w:rFonts w:ascii="宋体" w:hAnsi="宋体" w:cs="宋体" w:eastAsia="宋体" w:hint="default"/>
                <w:sz w:val="18"/>
                <w:szCs w:val="18"/>
              </w:rPr>
              <w:t>”</w:t>
            </w:r>
          </w:p>
        </w:tc>
      </w:tr>
      <w:tr>
        <w:trPr>
          <w:trHeight w:val="401" w:hRule="exact"/>
        </w:trPr>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05</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16</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实地调研</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5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18"/>
                <w:szCs w:val="18"/>
              </w:rPr>
            </w:pPr>
            <w:r>
              <w:rPr>
                <w:rFonts w:ascii="宋体" w:hAnsi="宋体" w:cs="宋体" w:eastAsia="宋体" w:hint="default"/>
                <w:sz w:val="18"/>
                <w:szCs w:val="18"/>
              </w:rPr>
              <w:t>详见巨潮资讯网调研</w:t>
            </w:r>
            <w:r>
              <w:rPr>
                <w:rFonts w:ascii="宋体" w:hAnsi="宋体" w:cs="宋体" w:eastAsia="宋体" w:hint="default"/>
                <w:sz w:val="21"/>
                <w:szCs w:val="21"/>
              </w:rPr>
              <w:t>“</w:t>
            </w:r>
            <w:r>
              <w:rPr>
                <w:rFonts w:ascii="宋体" w:hAnsi="宋体" w:cs="宋体" w:eastAsia="宋体" w:hint="default"/>
                <w:sz w:val="18"/>
                <w:szCs w:val="18"/>
              </w:rPr>
              <w:t>300188</w:t>
            </w:r>
            <w:r>
              <w:rPr>
                <w:rFonts w:ascii="宋体" w:hAnsi="宋体" w:cs="宋体" w:eastAsia="宋体" w:hint="default"/>
                <w:spacing w:val="-48"/>
                <w:sz w:val="18"/>
                <w:szCs w:val="18"/>
              </w:rPr>
              <w:t> </w:t>
            </w:r>
            <w:r>
              <w:rPr>
                <w:rFonts w:ascii="宋体" w:hAnsi="宋体" w:cs="宋体" w:eastAsia="宋体" w:hint="default"/>
                <w:sz w:val="18"/>
                <w:szCs w:val="18"/>
              </w:rPr>
              <w:t>美亚柏科调研活动信息</w:t>
            </w:r>
            <w:r>
              <w:rPr>
                <w:rFonts w:ascii="宋体" w:hAnsi="宋体" w:cs="宋体" w:eastAsia="宋体" w:hint="default"/>
                <w:spacing w:val="-47"/>
                <w:sz w:val="18"/>
                <w:szCs w:val="18"/>
              </w:rPr>
              <w:t> </w:t>
            </w:r>
            <w:r>
              <w:rPr>
                <w:rFonts w:ascii="宋体" w:hAnsi="宋体" w:cs="宋体" w:eastAsia="宋体" w:hint="default"/>
                <w:sz w:val="18"/>
                <w:szCs w:val="18"/>
              </w:rPr>
              <w:t>20190516</w:t>
            </w:r>
            <w:r>
              <w:rPr>
                <w:rFonts w:ascii="宋体" w:hAnsi="宋体" w:cs="宋体" w:eastAsia="宋体" w:hint="default"/>
                <w:sz w:val="18"/>
                <w:szCs w:val="18"/>
              </w:rPr>
              <w:t>”</w:t>
            </w:r>
          </w:p>
        </w:tc>
      </w:tr>
      <w:tr>
        <w:trPr>
          <w:trHeight w:val="403" w:hRule="exact"/>
        </w:trPr>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05</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23</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电话沟通</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5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18"/>
                <w:szCs w:val="18"/>
              </w:rPr>
            </w:pPr>
            <w:r>
              <w:rPr>
                <w:rFonts w:ascii="宋体" w:hAnsi="宋体" w:cs="宋体" w:eastAsia="宋体" w:hint="default"/>
                <w:sz w:val="18"/>
                <w:szCs w:val="18"/>
              </w:rPr>
              <w:t>详见巨潮资讯网调研</w:t>
            </w:r>
            <w:r>
              <w:rPr>
                <w:rFonts w:ascii="宋体" w:hAnsi="宋体" w:cs="宋体" w:eastAsia="宋体" w:hint="default"/>
                <w:sz w:val="21"/>
                <w:szCs w:val="21"/>
              </w:rPr>
              <w:t>“</w:t>
            </w:r>
            <w:r>
              <w:rPr>
                <w:rFonts w:ascii="宋体" w:hAnsi="宋体" w:cs="宋体" w:eastAsia="宋体" w:hint="default"/>
                <w:sz w:val="18"/>
                <w:szCs w:val="18"/>
              </w:rPr>
              <w:t>300188</w:t>
            </w:r>
            <w:r>
              <w:rPr>
                <w:rFonts w:ascii="宋体" w:hAnsi="宋体" w:cs="宋体" w:eastAsia="宋体" w:hint="default"/>
                <w:spacing w:val="-48"/>
                <w:sz w:val="18"/>
                <w:szCs w:val="18"/>
              </w:rPr>
              <w:t> </w:t>
            </w:r>
            <w:r>
              <w:rPr>
                <w:rFonts w:ascii="宋体" w:hAnsi="宋体" w:cs="宋体" w:eastAsia="宋体" w:hint="default"/>
                <w:sz w:val="18"/>
                <w:szCs w:val="18"/>
              </w:rPr>
              <w:t>美亚柏科调研活动信息</w:t>
            </w:r>
            <w:r>
              <w:rPr>
                <w:rFonts w:ascii="宋体" w:hAnsi="宋体" w:cs="宋体" w:eastAsia="宋体" w:hint="default"/>
                <w:spacing w:val="-47"/>
                <w:sz w:val="18"/>
                <w:szCs w:val="18"/>
              </w:rPr>
              <w:t> </w:t>
            </w:r>
            <w:r>
              <w:rPr>
                <w:rFonts w:ascii="宋体" w:hAnsi="宋体" w:cs="宋体" w:eastAsia="宋体" w:hint="default"/>
                <w:sz w:val="18"/>
                <w:szCs w:val="18"/>
              </w:rPr>
              <w:t>20190523</w:t>
            </w:r>
            <w:r>
              <w:rPr>
                <w:rFonts w:ascii="宋体" w:hAnsi="宋体" w:cs="宋体" w:eastAsia="宋体" w:hint="default"/>
                <w:sz w:val="18"/>
                <w:szCs w:val="18"/>
              </w:rPr>
              <w:t>”</w:t>
            </w:r>
          </w:p>
        </w:tc>
      </w:tr>
      <w:tr>
        <w:trPr>
          <w:trHeight w:val="401" w:hRule="exact"/>
        </w:trPr>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电话沟通</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5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18"/>
                <w:szCs w:val="18"/>
              </w:rPr>
            </w:pPr>
            <w:r>
              <w:rPr>
                <w:rFonts w:ascii="宋体" w:hAnsi="宋体" w:cs="宋体" w:eastAsia="宋体" w:hint="default"/>
                <w:sz w:val="18"/>
                <w:szCs w:val="18"/>
              </w:rPr>
              <w:t>详见巨潮资讯网调研</w:t>
            </w:r>
            <w:r>
              <w:rPr>
                <w:rFonts w:ascii="宋体" w:hAnsi="宋体" w:cs="宋体" w:eastAsia="宋体" w:hint="default"/>
                <w:sz w:val="21"/>
                <w:szCs w:val="21"/>
              </w:rPr>
              <w:t>“</w:t>
            </w:r>
            <w:r>
              <w:rPr>
                <w:rFonts w:ascii="宋体" w:hAnsi="宋体" w:cs="宋体" w:eastAsia="宋体" w:hint="default"/>
                <w:sz w:val="18"/>
                <w:szCs w:val="18"/>
              </w:rPr>
              <w:t>300188</w:t>
            </w:r>
            <w:r>
              <w:rPr>
                <w:rFonts w:ascii="宋体" w:hAnsi="宋体" w:cs="宋体" w:eastAsia="宋体" w:hint="default"/>
                <w:spacing w:val="-48"/>
                <w:sz w:val="18"/>
                <w:szCs w:val="18"/>
              </w:rPr>
              <w:t> </w:t>
            </w:r>
            <w:r>
              <w:rPr>
                <w:rFonts w:ascii="宋体" w:hAnsi="宋体" w:cs="宋体" w:eastAsia="宋体" w:hint="default"/>
                <w:sz w:val="18"/>
                <w:szCs w:val="18"/>
              </w:rPr>
              <w:t>美亚柏科调研活动信息</w:t>
            </w:r>
            <w:r>
              <w:rPr>
                <w:rFonts w:ascii="宋体" w:hAnsi="宋体" w:cs="宋体" w:eastAsia="宋体" w:hint="default"/>
                <w:spacing w:val="-47"/>
                <w:sz w:val="18"/>
                <w:szCs w:val="18"/>
              </w:rPr>
              <w:t> </w:t>
            </w:r>
            <w:r>
              <w:rPr>
                <w:rFonts w:ascii="宋体" w:hAnsi="宋体" w:cs="宋体" w:eastAsia="宋体" w:hint="default"/>
                <w:sz w:val="18"/>
                <w:szCs w:val="18"/>
              </w:rPr>
              <w:t>20190830</w:t>
            </w:r>
            <w:r>
              <w:rPr>
                <w:rFonts w:ascii="宋体" w:hAnsi="宋体" w:cs="宋体" w:eastAsia="宋体" w:hint="default"/>
                <w:sz w:val="18"/>
                <w:szCs w:val="18"/>
              </w:rPr>
              <w:t>”</w:t>
            </w:r>
          </w:p>
        </w:tc>
      </w:tr>
      <w:tr>
        <w:trPr>
          <w:trHeight w:val="403" w:hRule="exact"/>
        </w:trPr>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实地调研</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5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18"/>
                <w:szCs w:val="18"/>
              </w:rPr>
            </w:pPr>
            <w:r>
              <w:rPr>
                <w:rFonts w:ascii="宋体" w:hAnsi="宋体" w:cs="宋体" w:eastAsia="宋体" w:hint="default"/>
                <w:sz w:val="18"/>
                <w:szCs w:val="18"/>
              </w:rPr>
              <w:t>详见巨潮资讯网调研</w:t>
            </w:r>
            <w:r>
              <w:rPr>
                <w:rFonts w:ascii="宋体" w:hAnsi="宋体" w:cs="宋体" w:eastAsia="宋体" w:hint="default"/>
                <w:sz w:val="21"/>
                <w:szCs w:val="21"/>
              </w:rPr>
              <w:t>“</w:t>
            </w:r>
            <w:r>
              <w:rPr>
                <w:rFonts w:ascii="宋体" w:hAnsi="宋体" w:cs="宋体" w:eastAsia="宋体" w:hint="default"/>
                <w:sz w:val="18"/>
                <w:szCs w:val="18"/>
              </w:rPr>
              <w:t>300188</w:t>
            </w:r>
            <w:r>
              <w:rPr>
                <w:rFonts w:ascii="宋体" w:hAnsi="宋体" w:cs="宋体" w:eastAsia="宋体" w:hint="default"/>
                <w:spacing w:val="-48"/>
                <w:sz w:val="18"/>
                <w:szCs w:val="18"/>
              </w:rPr>
              <w:t> </w:t>
            </w:r>
            <w:r>
              <w:rPr>
                <w:rFonts w:ascii="宋体" w:hAnsi="宋体" w:cs="宋体" w:eastAsia="宋体" w:hint="default"/>
                <w:sz w:val="18"/>
                <w:szCs w:val="18"/>
              </w:rPr>
              <w:t>美亚柏科调研活动信息</w:t>
            </w:r>
            <w:r>
              <w:rPr>
                <w:rFonts w:ascii="宋体" w:hAnsi="宋体" w:cs="宋体" w:eastAsia="宋体" w:hint="default"/>
                <w:spacing w:val="-47"/>
                <w:sz w:val="18"/>
                <w:szCs w:val="18"/>
              </w:rPr>
              <w:t> </w:t>
            </w:r>
            <w:r>
              <w:rPr>
                <w:rFonts w:ascii="宋体" w:hAnsi="宋体" w:cs="宋体" w:eastAsia="宋体" w:hint="default"/>
                <w:sz w:val="18"/>
                <w:szCs w:val="18"/>
              </w:rPr>
              <w:t>20190910</w:t>
            </w:r>
            <w:r>
              <w:rPr>
                <w:rFonts w:ascii="宋体" w:hAnsi="宋体" w:cs="宋体" w:eastAsia="宋体" w:hint="default"/>
                <w:sz w:val="18"/>
                <w:szCs w:val="18"/>
              </w:rPr>
              <w:t>”</w:t>
            </w:r>
          </w:p>
        </w:tc>
      </w:tr>
      <w:tr>
        <w:trPr>
          <w:trHeight w:val="401" w:hRule="exact"/>
        </w:trPr>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25</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实地调研</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5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18"/>
                <w:szCs w:val="18"/>
              </w:rPr>
            </w:pPr>
            <w:r>
              <w:rPr>
                <w:rFonts w:ascii="宋体" w:hAnsi="宋体" w:cs="宋体" w:eastAsia="宋体" w:hint="default"/>
                <w:sz w:val="18"/>
                <w:szCs w:val="18"/>
              </w:rPr>
              <w:t>详见巨潮资讯网调研</w:t>
            </w:r>
            <w:r>
              <w:rPr>
                <w:rFonts w:ascii="宋体" w:hAnsi="宋体" w:cs="宋体" w:eastAsia="宋体" w:hint="default"/>
                <w:sz w:val="21"/>
                <w:szCs w:val="21"/>
              </w:rPr>
              <w:t>“</w:t>
            </w:r>
            <w:r>
              <w:rPr>
                <w:rFonts w:ascii="宋体" w:hAnsi="宋体" w:cs="宋体" w:eastAsia="宋体" w:hint="default"/>
                <w:sz w:val="18"/>
                <w:szCs w:val="18"/>
              </w:rPr>
              <w:t>300188</w:t>
            </w:r>
            <w:r>
              <w:rPr>
                <w:rFonts w:ascii="宋体" w:hAnsi="宋体" w:cs="宋体" w:eastAsia="宋体" w:hint="default"/>
                <w:spacing w:val="-48"/>
                <w:sz w:val="18"/>
                <w:szCs w:val="18"/>
              </w:rPr>
              <w:t> </w:t>
            </w:r>
            <w:r>
              <w:rPr>
                <w:rFonts w:ascii="宋体" w:hAnsi="宋体" w:cs="宋体" w:eastAsia="宋体" w:hint="default"/>
                <w:sz w:val="18"/>
                <w:szCs w:val="18"/>
              </w:rPr>
              <w:t>美亚柏科调研活动信息</w:t>
            </w:r>
            <w:r>
              <w:rPr>
                <w:rFonts w:ascii="宋体" w:hAnsi="宋体" w:cs="宋体" w:eastAsia="宋体" w:hint="default"/>
                <w:spacing w:val="-47"/>
                <w:sz w:val="18"/>
                <w:szCs w:val="18"/>
              </w:rPr>
              <w:t> </w:t>
            </w:r>
            <w:r>
              <w:rPr>
                <w:rFonts w:ascii="宋体" w:hAnsi="宋体" w:cs="宋体" w:eastAsia="宋体" w:hint="default"/>
                <w:sz w:val="18"/>
                <w:szCs w:val="18"/>
              </w:rPr>
              <w:t>20190925</w:t>
            </w:r>
            <w:r>
              <w:rPr>
                <w:rFonts w:ascii="宋体" w:hAnsi="宋体" w:cs="宋体" w:eastAsia="宋体" w:hint="default"/>
                <w:sz w:val="18"/>
                <w:szCs w:val="18"/>
              </w:rPr>
              <w:t>”</w:t>
            </w:r>
          </w:p>
        </w:tc>
      </w:tr>
      <w:tr>
        <w:trPr>
          <w:trHeight w:val="403" w:hRule="exact"/>
        </w:trPr>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06</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实地调研</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5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18"/>
                <w:szCs w:val="18"/>
              </w:rPr>
            </w:pPr>
            <w:r>
              <w:rPr>
                <w:rFonts w:ascii="宋体" w:hAnsi="宋体" w:cs="宋体" w:eastAsia="宋体" w:hint="default"/>
                <w:sz w:val="18"/>
                <w:szCs w:val="18"/>
              </w:rPr>
              <w:t>详见巨潮资讯网调研</w:t>
            </w:r>
            <w:r>
              <w:rPr>
                <w:rFonts w:ascii="宋体" w:hAnsi="宋体" w:cs="宋体" w:eastAsia="宋体" w:hint="default"/>
                <w:sz w:val="21"/>
                <w:szCs w:val="21"/>
              </w:rPr>
              <w:t>“</w:t>
            </w:r>
            <w:r>
              <w:rPr>
                <w:rFonts w:ascii="宋体" w:hAnsi="宋体" w:cs="宋体" w:eastAsia="宋体" w:hint="default"/>
                <w:sz w:val="18"/>
                <w:szCs w:val="18"/>
              </w:rPr>
              <w:t>300188</w:t>
            </w:r>
            <w:r>
              <w:rPr>
                <w:rFonts w:ascii="宋体" w:hAnsi="宋体" w:cs="宋体" w:eastAsia="宋体" w:hint="default"/>
                <w:spacing w:val="-48"/>
                <w:sz w:val="18"/>
                <w:szCs w:val="18"/>
              </w:rPr>
              <w:t> </w:t>
            </w:r>
            <w:r>
              <w:rPr>
                <w:rFonts w:ascii="宋体" w:hAnsi="宋体" w:cs="宋体" w:eastAsia="宋体" w:hint="default"/>
                <w:sz w:val="18"/>
                <w:szCs w:val="18"/>
              </w:rPr>
              <w:t>美亚柏科调研活动信息</w:t>
            </w:r>
            <w:r>
              <w:rPr>
                <w:rFonts w:ascii="宋体" w:hAnsi="宋体" w:cs="宋体" w:eastAsia="宋体" w:hint="default"/>
                <w:spacing w:val="-47"/>
                <w:sz w:val="18"/>
                <w:szCs w:val="18"/>
              </w:rPr>
              <w:t> </w:t>
            </w:r>
            <w:r>
              <w:rPr>
                <w:rFonts w:ascii="宋体" w:hAnsi="宋体" w:cs="宋体" w:eastAsia="宋体" w:hint="default"/>
                <w:sz w:val="18"/>
                <w:szCs w:val="18"/>
              </w:rPr>
              <w:t>20191106</w:t>
            </w:r>
            <w:r>
              <w:rPr>
                <w:rFonts w:ascii="宋体" w:hAnsi="宋体" w:cs="宋体" w:eastAsia="宋体" w:hint="default"/>
                <w:sz w:val="18"/>
                <w:szCs w:val="18"/>
              </w:rPr>
              <w:t>”</w:t>
            </w:r>
          </w:p>
        </w:tc>
      </w:tr>
      <w:tr>
        <w:trPr>
          <w:trHeight w:val="401" w:hRule="exact"/>
        </w:trPr>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实地调研</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5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18"/>
                <w:szCs w:val="18"/>
              </w:rPr>
            </w:pPr>
            <w:r>
              <w:rPr>
                <w:rFonts w:ascii="宋体" w:hAnsi="宋体" w:cs="宋体" w:eastAsia="宋体" w:hint="default"/>
                <w:sz w:val="18"/>
                <w:szCs w:val="18"/>
              </w:rPr>
              <w:t>详见巨潮资讯网调研</w:t>
            </w:r>
            <w:r>
              <w:rPr>
                <w:rFonts w:ascii="宋体" w:hAnsi="宋体" w:cs="宋体" w:eastAsia="宋体" w:hint="default"/>
                <w:sz w:val="21"/>
                <w:szCs w:val="21"/>
              </w:rPr>
              <w:t>“</w:t>
            </w:r>
            <w:r>
              <w:rPr>
                <w:rFonts w:ascii="宋体" w:hAnsi="宋体" w:cs="宋体" w:eastAsia="宋体" w:hint="default"/>
                <w:sz w:val="18"/>
                <w:szCs w:val="18"/>
              </w:rPr>
              <w:t>300188</w:t>
            </w:r>
            <w:r>
              <w:rPr>
                <w:rFonts w:ascii="宋体" w:hAnsi="宋体" w:cs="宋体" w:eastAsia="宋体" w:hint="default"/>
                <w:spacing w:val="-48"/>
                <w:sz w:val="18"/>
                <w:szCs w:val="18"/>
              </w:rPr>
              <w:t> </w:t>
            </w:r>
            <w:r>
              <w:rPr>
                <w:rFonts w:ascii="宋体" w:hAnsi="宋体" w:cs="宋体" w:eastAsia="宋体" w:hint="default"/>
                <w:sz w:val="18"/>
                <w:szCs w:val="18"/>
              </w:rPr>
              <w:t>美亚柏科调研活动信息</w:t>
            </w:r>
            <w:r>
              <w:rPr>
                <w:rFonts w:ascii="宋体" w:hAnsi="宋体" w:cs="宋体" w:eastAsia="宋体" w:hint="default"/>
                <w:spacing w:val="-47"/>
                <w:sz w:val="18"/>
                <w:szCs w:val="18"/>
              </w:rPr>
              <w:t> </w:t>
            </w:r>
            <w:r>
              <w:rPr>
                <w:rFonts w:ascii="宋体" w:hAnsi="宋体" w:cs="宋体" w:eastAsia="宋体" w:hint="default"/>
                <w:sz w:val="18"/>
                <w:szCs w:val="18"/>
              </w:rPr>
              <w:t>20191127</w:t>
            </w:r>
            <w:r>
              <w:rPr>
                <w:rFonts w:ascii="宋体" w:hAnsi="宋体" w:cs="宋体" w:eastAsia="宋体" w:hint="default"/>
                <w:sz w:val="18"/>
                <w:szCs w:val="18"/>
              </w:rPr>
              <w:t>”</w:t>
            </w:r>
          </w:p>
        </w:tc>
      </w:tr>
    </w:tbl>
    <w:p>
      <w:pPr>
        <w:spacing w:after="0" w:line="240"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right="3220"/>
        <w:jc w:val="center"/>
        <w:rPr>
          <w:b w:val="0"/>
          <w:bCs w:val="0"/>
        </w:rPr>
      </w:pPr>
      <w:bookmarkStart w:name="第五节重要事项" w:id="60"/>
      <w:bookmarkEnd w:id="60"/>
      <w:r>
        <w:rPr>
          <w:b w:val="0"/>
          <w:bCs w:val="0"/>
        </w:rPr>
      </w:r>
      <w:bookmarkStart w:name="_bookmark3" w:id="61"/>
      <w:bookmarkEnd w:id="61"/>
      <w:r>
        <w:rPr>
          <w:b w:val="0"/>
          <w:bCs w:val="0"/>
        </w:rPr>
      </w:r>
      <w:r>
        <w:rPr/>
        <w:t>第五节重要事项</w:t>
      </w:r>
      <w:r>
        <w:rPr>
          <w:b w:val="0"/>
          <w:bCs w:val="0"/>
        </w:rPr>
      </w:r>
    </w:p>
    <w:p>
      <w:pPr>
        <w:spacing w:line="240" w:lineRule="auto" w:before="2"/>
        <w:rPr>
          <w:rFonts w:ascii="宋体" w:hAnsi="宋体" w:cs="宋体" w:eastAsia="宋体" w:hint="default"/>
          <w:b/>
          <w:bCs/>
          <w:sz w:val="39"/>
          <w:szCs w:val="39"/>
        </w:rPr>
      </w:pPr>
    </w:p>
    <w:p>
      <w:pPr>
        <w:pStyle w:val="Heading2"/>
        <w:spacing w:line="240" w:lineRule="auto"/>
        <w:ind w:right="986"/>
        <w:jc w:val="left"/>
        <w:rPr>
          <w:b w:val="0"/>
          <w:bCs w:val="0"/>
        </w:rPr>
      </w:pPr>
      <w:bookmarkStart w:name="一、公司普通股利润分配及资本公积金转增股本情况" w:id="62"/>
      <w:bookmarkEnd w:id="62"/>
      <w:r>
        <w:rPr>
          <w:b w:val="0"/>
          <w:bCs w:val="0"/>
        </w:rPr>
      </w:r>
      <w:r>
        <w:rPr/>
        <w:t>一、公司普通股利润分配及资本公积金转增股本情况</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报告期内普通股利润分配政策，特别是现金分红政策的制定、执行或调整情况</w:t>
      </w:r>
    </w:p>
    <w:p>
      <w:pPr>
        <w:spacing w:before="117"/>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13"/>
          <w:szCs w:val="13"/>
        </w:rPr>
      </w:pPr>
    </w:p>
    <w:p>
      <w:pPr>
        <w:pStyle w:val="BodyText"/>
        <w:spacing w:line="408" w:lineRule="auto" w:before="0"/>
        <w:ind w:right="986" w:firstLine="419"/>
        <w:jc w:val="left"/>
      </w:pPr>
      <w:r>
        <w:rPr>
          <w:spacing w:val="-2"/>
        </w:rPr>
        <w:t>报告期内，公司董事会根据</w:t>
      </w:r>
      <w:r>
        <w:rPr>
          <w:rFonts w:ascii="宋体" w:hAnsi="宋体" w:cs="宋体" w:eastAsia="宋体" w:hint="default"/>
          <w:spacing w:val="-2"/>
        </w:rPr>
        <w:t>2018</w:t>
      </w:r>
      <w:r>
        <w:rPr>
          <w:spacing w:val="-2"/>
        </w:rPr>
        <w:t>年度盈利情况及《公司章程》的有关规定，在充分听取各方意见的基</w:t>
      </w:r>
      <w:r>
        <w:rPr>
          <w:w w:val="100"/>
        </w:rPr>
        <w:t> </w:t>
      </w:r>
      <w:r>
        <w:rPr/>
        <w:t>础上制定了公司</w:t>
      </w:r>
      <w:r>
        <w:rPr>
          <w:rFonts w:ascii="宋体" w:hAnsi="宋体" w:cs="宋体" w:eastAsia="宋体" w:hint="default"/>
        </w:rPr>
        <w:t>2018</w:t>
      </w:r>
      <w:r>
        <w:rPr/>
        <w:t>年度利润分配方案。公司</w:t>
      </w:r>
      <w:r>
        <w:rPr>
          <w:rFonts w:ascii="宋体" w:hAnsi="宋体" w:cs="宋体" w:eastAsia="宋体" w:hint="default"/>
        </w:rPr>
        <w:t>2018</w:t>
      </w:r>
      <w:r>
        <w:rPr/>
        <w:t>年利润分配方案为：以公司总股本</w:t>
      </w:r>
      <w:r>
        <w:rPr>
          <w:rFonts w:ascii="宋体" w:hAnsi="宋体" w:cs="宋体" w:eastAsia="宋体" w:hint="default"/>
        </w:rPr>
        <w:t>794,832,809</w:t>
      </w:r>
      <w:r>
        <w:rPr/>
        <w:t>股为基</w:t>
      </w:r>
      <w:r>
        <w:rPr>
          <w:spacing w:val="-3"/>
          <w:w w:val="100"/>
        </w:rPr>
        <w:t> </w:t>
      </w:r>
      <w:r>
        <w:rPr>
          <w:spacing w:val="-6"/>
        </w:rPr>
        <w:t>数向全体股东每</w:t>
      </w:r>
      <w:r>
        <w:rPr>
          <w:rFonts w:ascii="宋体" w:hAnsi="宋体" w:cs="宋体" w:eastAsia="宋体" w:hint="default"/>
          <w:spacing w:val="-6"/>
        </w:rPr>
        <w:t>10</w:t>
      </w:r>
      <w:r>
        <w:rPr>
          <w:spacing w:val="-6"/>
        </w:rPr>
        <w:t>股派发现金股利</w:t>
      </w:r>
      <w:r>
        <w:rPr>
          <w:rFonts w:ascii="宋体" w:hAnsi="宋体" w:cs="宋体" w:eastAsia="宋体" w:hint="default"/>
          <w:spacing w:val="-6"/>
        </w:rPr>
        <w:t>0.8</w:t>
      </w:r>
      <w:r>
        <w:rPr>
          <w:spacing w:val="-6"/>
        </w:rPr>
        <w:t>元人民币（含税），合计派发现金红利人民币</w:t>
      </w:r>
      <w:r>
        <w:rPr>
          <w:rFonts w:ascii="宋体" w:hAnsi="宋体" w:cs="宋体" w:eastAsia="宋体" w:hint="default"/>
          <w:spacing w:val="-6"/>
        </w:rPr>
        <w:t>63,586,624.72</w:t>
      </w:r>
      <w:r>
        <w:rPr>
          <w:spacing w:val="-6"/>
        </w:rPr>
        <w:t>元。</w:t>
      </w:r>
      <w:r>
        <w:rPr>
          <w:rFonts w:ascii="宋体" w:hAnsi="宋体" w:cs="宋体" w:eastAsia="宋体" w:hint="default"/>
          <w:spacing w:val="-6"/>
        </w:rPr>
        <w:t>2019</w:t>
      </w:r>
      <w:r>
        <w:rPr>
          <w:rFonts w:ascii="宋体" w:hAnsi="宋体" w:cs="宋体" w:eastAsia="宋体" w:hint="default"/>
          <w:spacing w:val="-2"/>
        </w:rPr>
        <w:t> </w:t>
      </w:r>
      <w:r>
        <w:rPr>
          <w:rFonts w:ascii="宋体" w:hAnsi="宋体" w:cs="宋体" w:eastAsia="宋体" w:hint="default"/>
          <w:spacing w:val="-2"/>
        </w:rPr>
      </w:r>
      <w:r>
        <w:rPr>
          <w:spacing w:val="-6"/>
          <w:w w:val="100"/>
        </w:rPr>
        <w:t>年</w:t>
      </w:r>
      <w:r>
        <w:rPr>
          <w:rFonts w:ascii="宋体" w:hAnsi="宋体" w:cs="宋体" w:eastAsia="宋体" w:hint="default"/>
          <w:spacing w:val="-6"/>
          <w:w w:val="100"/>
        </w:rPr>
        <w:t>4</w:t>
      </w:r>
      <w:r>
        <w:rPr>
          <w:spacing w:val="-6"/>
          <w:w w:val="100"/>
        </w:rPr>
        <w:t>月</w:t>
      </w:r>
      <w:r>
        <w:rPr>
          <w:rFonts w:ascii="宋体" w:hAnsi="宋体" w:cs="宋体" w:eastAsia="宋体" w:hint="default"/>
          <w:spacing w:val="-6"/>
          <w:w w:val="100"/>
        </w:rPr>
        <w:t>18</w:t>
      </w:r>
      <w:r>
        <w:rPr>
          <w:spacing w:val="-6"/>
          <w:w w:val="100"/>
        </w:rPr>
        <w:t>日召开的</w:t>
      </w:r>
      <w:r>
        <w:rPr>
          <w:rFonts w:ascii="宋体" w:hAnsi="宋体" w:cs="宋体" w:eastAsia="宋体" w:hint="default"/>
          <w:spacing w:val="-6"/>
          <w:w w:val="100"/>
        </w:rPr>
        <w:t>2018</w:t>
      </w:r>
      <w:r>
        <w:rPr>
          <w:spacing w:val="-6"/>
          <w:w w:val="100"/>
        </w:rPr>
        <w:t>年度股东大会审议通过了《</w:t>
      </w:r>
      <w:r>
        <w:rPr>
          <w:rFonts w:ascii="宋体" w:hAnsi="宋体" w:cs="宋体" w:eastAsia="宋体" w:hint="default"/>
          <w:b/>
          <w:bCs/>
          <w:spacing w:val="-6"/>
          <w:w w:val="100"/>
        </w:rPr>
        <w:t>2018</w:t>
      </w:r>
      <w:r>
        <w:rPr>
          <w:rFonts w:ascii="宋体" w:hAnsi="宋体" w:cs="宋体" w:eastAsia="宋体" w:hint="default"/>
          <w:b/>
          <w:bCs/>
          <w:spacing w:val="-6"/>
          <w:w w:val="100"/>
        </w:rPr>
        <w:t>年度利润分配预案</w:t>
      </w:r>
      <w:r>
        <w:rPr>
          <w:spacing w:val="-6"/>
          <w:w w:val="100"/>
        </w:rPr>
        <w:t>》；</w:t>
      </w:r>
      <w:r>
        <w:rPr>
          <w:rFonts w:ascii="宋体" w:hAnsi="宋体" w:cs="宋体" w:eastAsia="宋体" w:hint="default"/>
          <w:spacing w:val="-6"/>
          <w:w w:val="100"/>
        </w:rPr>
        <w:t>2019</w:t>
      </w:r>
      <w:r>
        <w:rPr>
          <w:spacing w:val="-6"/>
          <w:w w:val="100"/>
        </w:rPr>
        <w:t>年</w:t>
      </w:r>
      <w:r>
        <w:rPr>
          <w:rFonts w:ascii="宋体" w:hAnsi="宋体" w:cs="宋体" w:eastAsia="宋体" w:hint="default"/>
          <w:spacing w:val="-6"/>
          <w:w w:val="100"/>
        </w:rPr>
        <w:t>5</w:t>
      </w:r>
      <w:r>
        <w:rPr>
          <w:spacing w:val="-6"/>
          <w:w w:val="100"/>
        </w:rPr>
        <w:t>月</w:t>
      </w:r>
      <w:r>
        <w:rPr>
          <w:rFonts w:ascii="宋体" w:hAnsi="宋体" w:cs="宋体" w:eastAsia="宋体" w:hint="default"/>
          <w:spacing w:val="-6"/>
          <w:w w:val="100"/>
        </w:rPr>
        <w:t>10</w:t>
      </w:r>
      <w:r>
        <w:rPr>
          <w:spacing w:val="-6"/>
          <w:w w:val="100"/>
        </w:rPr>
        <w:t>日公司完成了</w:t>
      </w:r>
      <w:r>
        <w:rPr>
          <w:rFonts w:ascii="宋体" w:hAnsi="宋体" w:cs="宋体" w:eastAsia="宋体" w:hint="default"/>
          <w:spacing w:val="-6"/>
          <w:w w:val="100"/>
        </w:rPr>
        <w:t>2018</w:t>
      </w:r>
      <w:r>
        <w:rPr>
          <w:rFonts w:ascii="宋体" w:hAnsi="宋体" w:cs="宋体" w:eastAsia="宋体" w:hint="default"/>
          <w:spacing w:val="-56"/>
          <w:w w:val="100"/>
        </w:rPr>
        <w:t> </w:t>
      </w:r>
      <w:r>
        <w:rPr>
          <w:rFonts w:ascii="宋体" w:hAnsi="宋体" w:cs="宋体" w:eastAsia="宋体" w:hint="default"/>
          <w:spacing w:val="-56"/>
          <w:w w:val="100"/>
        </w:rPr>
      </w:r>
      <w:r>
        <w:rPr/>
        <w:t>年度利润权益分派的实施。公司实施的</w:t>
      </w:r>
      <w:r>
        <w:rPr>
          <w:rFonts w:ascii="宋体" w:hAnsi="宋体" w:cs="宋体" w:eastAsia="宋体" w:hint="default"/>
        </w:rPr>
        <w:t>2018</w:t>
      </w:r>
      <w:r>
        <w:rPr/>
        <w:t>年度利润分配方案符合《公司章程》及公司《未来三年</w:t>
      </w:r>
    </w:p>
    <w:p>
      <w:pPr>
        <w:pStyle w:val="BodyText"/>
        <w:spacing w:line="408" w:lineRule="auto"/>
        <w:ind w:left="153" w:right="986" w:hanging="1"/>
        <w:jc w:val="left"/>
      </w:pPr>
      <w:r>
        <w:rPr/>
        <w:t>（</w:t>
      </w:r>
      <w:r>
        <w:rPr>
          <w:rFonts w:ascii="宋体" w:hAnsi="宋体" w:cs="宋体" w:eastAsia="宋体" w:hint="default"/>
        </w:rPr>
        <w:t>2018-2020</w:t>
      </w:r>
      <w:r>
        <w:rPr/>
        <w:t>年）股东回报规划》等的相关规定，符合股东大会的决议，分红标准和比例明确，决策程序</w:t>
      </w:r>
      <w:r>
        <w:rPr>
          <w:w w:val="100"/>
        </w:rPr>
        <w:t> </w:t>
      </w:r>
      <w:r>
        <w:rPr>
          <w:spacing w:val="-2"/>
        </w:rPr>
        <w:t>符合规定。独立董事尽职履责并发挥了应有的作用，中小股东具有充分表达意见和诉求的机会，其合法权</w:t>
      </w:r>
      <w:r>
        <w:rPr>
          <w:spacing w:val="-48"/>
        </w:rPr>
        <w:t> </w:t>
      </w:r>
      <w:r>
        <w:rPr>
          <w:spacing w:val="-48"/>
        </w:rPr>
      </w:r>
      <w:r>
        <w:rPr/>
        <w:t>益得到了充分地保护。</w:t>
      </w:r>
    </w:p>
    <w:tbl>
      <w:tblPr>
        <w:tblW w:w="0" w:type="auto"/>
        <w:jc w:val="left"/>
        <w:tblInd w:w="160" w:type="dxa"/>
        <w:tblLayout w:type="fixed"/>
        <w:tblCellMar>
          <w:top w:w="0" w:type="dxa"/>
          <w:left w:w="0" w:type="dxa"/>
          <w:bottom w:w="0" w:type="dxa"/>
          <w:right w:w="0" w:type="dxa"/>
        </w:tblCellMar>
        <w:tblLook w:val="01E0"/>
      </w:tblPr>
      <w:tblGrid>
        <w:gridCol w:w="6748"/>
        <w:gridCol w:w="2809"/>
      </w:tblGrid>
      <w:tr>
        <w:trPr>
          <w:trHeight w:val="402" w:hRule="exact"/>
        </w:trPr>
        <w:tc>
          <w:tcPr>
            <w:tcW w:w="9557"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33"/>
              <w:ind w:left="-1" w:right="11"/>
              <w:jc w:val="center"/>
              <w:rPr>
                <w:rFonts w:ascii="宋体" w:hAnsi="宋体" w:cs="宋体" w:eastAsia="宋体" w:hint="default"/>
                <w:sz w:val="18"/>
                <w:szCs w:val="18"/>
              </w:rPr>
            </w:pPr>
            <w:r>
              <w:rPr>
                <w:rFonts w:ascii="宋体" w:hAnsi="宋体" w:cs="宋体" w:eastAsia="宋体" w:hint="default"/>
                <w:sz w:val="18"/>
                <w:szCs w:val="18"/>
              </w:rPr>
              <w:t>现金分红政策的专项说明</w:t>
            </w:r>
          </w:p>
        </w:tc>
      </w:tr>
      <w:tr>
        <w:trPr>
          <w:trHeight w:val="402" w:hRule="exact"/>
        </w:trPr>
        <w:tc>
          <w:tcPr>
            <w:tcW w:w="674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32"/>
              <w:ind w:left="12" w:right="0"/>
              <w:jc w:val="left"/>
              <w:rPr>
                <w:rFonts w:ascii="宋体" w:hAnsi="宋体" w:cs="宋体" w:eastAsia="宋体" w:hint="default"/>
                <w:sz w:val="18"/>
                <w:szCs w:val="18"/>
              </w:rPr>
            </w:pPr>
            <w:r>
              <w:rPr>
                <w:rFonts w:ascii="宋体" w:hAnsi="宋体" w:cs="宋体" w:eastAsia="宋体" w:hint="default"/>
                <w:sz w:val="18"/>
                <w:szCs w:val="18"/>
              </w:rPr>
              <w:t>是否符合公司章程的规定或股东大会决议的要求：</w:t>
            </w:r>
          </w:p>
        </w:tc>
        <w:tc>
          <w:tcPr>
            <w:tcW w:w="2809"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32"/>
              <w:ind w:left="24"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674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33"/>
              <w:ind w:left="12" w:right="0"/>
              <w:jc w:val="left"/>
              <w:rPr>
                <w:rFonts w:ascii="宋体" w:hAnsi="宋体" w:cs="宋体" w:eastAsia="宋体" w:hint="default"/>
                <w:sz w:val="18"/>
                <w:szCs w:val="18"/>
              </w:rPr>
            </w:pPr>
            <w:r>
              <w:rPr>
                <w:rFonts w:ascii="宋体" w:hAnsi="宋体" w:cs="宋体" w:eastAsia="宋体" w:hint="default"/>
                <w:sz w:val="18"/>
                <w:szCs w:val="18"/>
              </w:rPr>
              <w:t>分红标准和比例是否明确和清晰：</w:t>
            </w:r>
          </w:p>
        </w:tc>
        <w:tc>
          <w:tcPr>
            <w:tcW w:w="2809"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33"/>
              <w:ind w:left="24"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674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32"/>
              <w:ind w:left="12" w:right="0"/>
              <w:jc w:val="left"/>
              <w:rPr>
                <w:rFonts w:ascii="宋体" w:hAnsi="宋体" w:cs="宋体" w:eastAsia="宋体" w:hint="default"/>
                <w:sz w:val="18"/>
                <w:szCs w:val="18"/>
              </w:rPr>
            </w:pPr>
            <w:r>
              <w:rPr>
                <w:rFonts w:ascii="宋体" w:hAnsi="宋体" w:cs="宋体" w:eastAsia="宋体" w:hint="default"/>
                <w:sz w:val="18"/>
                <w:szCs w:val="18"/>
              </w:rPr>
              <w:t>相关的决策程序和机制是否完备：</w:t>
            </w:r>
          </w:p>
        </w:tc>
        <w:tc>
          <w:tcPr>
            <w:tcW w:w="2809"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32"/>
              <w:ind w:left="24"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674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33"/>
              <w:ind w:left="12" w:right="0"/>
              <w:jc w:val="left"/>
              <w:rPr>
                <w:rFonts w:ascii="宋体" w:hAnsi="宋体" w:cs="宋体" w:eastAsia="宋体" w:hint="default"/>
                <w:sz w:val="18"/>
                <w:szCs w:val="18"/>
              </w:rPr>
            </w:pPr>
            <w:r>
              <w:rPr>
                <w:rFonts w:ascii="宋体" w:hAnsi="宋体" w:cs="宋体" w:eastAsia="宋体" w:hint="default"/>
                <w:sz w:val="18"/>
                <w:szCs w:val="18"/>
              </w:rPr>
              <w:t>独立董事是否履职尽责并发挥了应有的作用：</w:t>
            </w:r>
          </w:p>
        </w:tc>
        <w:tc>
          <w:tcPr>
            <w:tcW w:w="2809"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33"/>
              <w:ind w:left="24"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674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32"/>
              <w:ind w:left="12" w:right="0"/>
              <w:jc w:val="left"/>
              <w:rPr>
                <w:rFonts w:ascii="宋体" w:hAnsi="宋体" w:cs="宋体" w:eastAsia="宋体" w:hint="default"/>
                <w:sz w:val="18"/>
                <w:szCs w:val="18"/>
              </w:rPr>
            </w:pPr>
            <w:r>
              <w:rPr>
                <w:rFonts w:ascii="宋体" w:hAnsi="宋体" w:cs="宋体" w:eastAsia="宋体" w:hint="default"/>
                <w:sz w:val="18"/>
                <w:szCs w:val="18"/>
              </w:rPr>
              <w:t>中小股东是否有充分表达意见和诉求的机会，其合法权益是否得到了充分保护：</w:t>
            </w:r>
          </w:p>
        </w:tc>
        <w:tc>
          <w:tcPr>
            <w:tcW w:w="2809"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32"/>
              <w:ind w:left="24"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674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33"/>
              <w:ind w:left="12" w:right="0"/>
              <w:jc w:val="left"/>
              <w:rPr>
                <w:rFonts w:ascii="宋体" w:hAnsi="宋体" w:cs="宋体" w:eastAsia="宋体" w:hint="default"/>
                <w:sz w:val="18"/>
                <w:szCs w:val="18"/>
              </w:rPr>
            </w:pPr>
            <w:r>
              <w:rPr>
                <w:rFonts w:ascii="宋体" w:hAnsi="宋体" w:cs="宋体" w:eastAsia="宋体" w:hint="default"/>
                <w:sz w:val="18"/>
                <w:szCs w:val="18"/>
              </w:rPr>
              <w:t>现金分红政策进行调整或变更的，条件及程序是否合规、透明：</w:t>
            </w:r>
          </w:p>
        </w:tc>
        <w:tc>
          <w:tcPr>
            <w:tcW w:w="2809"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33"/>
              <w:ind w:left="24"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before="32"/>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公司报告期利润分配预案及资本公积金转增股本预案与公司章程和分红管理办法等的相关规定一致</w:t>
      </w:r>
    </w:p>
    <w:p>
      <w:pPr>
        <w:spacing w:line="360" w:lineRule="auto" w:before="115"/>
        <w:ind w:left="153" w:right="4273" w:hanging="1"/>
        <w:jc w:val="left"/>
        <w:rPr>
          <w:rFonts w:ascii="宋体" w:hAnsi="宋体" w:cs="宋体" w:eastAsia="宋体" w:hint="default"/>
          <w:sz w:val="18"/>
          <w:szCs w:val="18"/>
        </w:rPr>
      </w:pPr>
      <w:r>
        <w:rPr>
          <w:rFonts w:ascii="宋体" w:hAnsi="宋体" w:cs="宋体" w:eastAsia="宋体" w:hint="default"/>
          <w:sz w:val="18"/>
          <w:szCs w:val="18"/>
        </w:rPr>
        <w:t>√ 是 □ 否 □</w:t>
      </w:r>
      <w:r>
        <w:rPr>
          <w:rFonts w:ascii="宋体" w:hAnsi="宋体" w:cs="宋体" w:eastAsia="宋体" w:hint="default"/>
          <w:spacing w:val="2"/>
          <w:sz w:val="18"/>
          <w:szCs w:val="18"/>
        </w:rPr>
        <w:t> </w:t>
      </w:r>
      <w:r>
        <w:rPr>
          <w:rFonts w:ascii="宋体" w:hAnsi="宋体" w:cs="宋体" w:eastAsia="宋体" w:hint="default"/>
          <w:sz w:val="18"/>
          <w:szCs w:val="18"/>
        </w:rPr>
        <w:t>不适用</w:t>
      </w:r>
      <w:r>
        <w:rPr>
          <w:rFonts w:ascii="宋体" w:hAnsi="宋体" w:cs="宋体" w:eastAsia="宋体" w:hint="default"/>
          <w:sz w:val="18"/>
          <w:szCs w:val="18"/>
        </w:rPr>
        <w:t> 公司报告期利润分配预案及资本公积金转增股本预案符合公司章程等的相关规定。 本年度利润分配及资本公积金转增股本情况</w:t>
      </w:r>
    </w:p>
    <w:tbl>
      <w:tblPr>
        <w:tblW w:w="0" w:type="auto"/>
        <w:jc w:val="left"/>
        <w:tblInd w:w="149" w:type="dxa"/>
        <w:tblLayout w:type="fixed"/>
        <w:tblCellMar>
          <w:top w:w="0" w:type="dxa"/>
          <w:left w:w="0" w:type="dxa"/>
          <w:bottom w:w="0" w:type="dxa"/>
          <w:right w:w="0" w:type="dxa"/>
        </w:tblCellMar>
        <w:tblLook w:val="01E0"/>
      </w:tblPr>
      <w:tblGrid>
        <w:gridCol w:w="4535"/>
        <w:gridCol w:w="5033"/>
      </w:tblGrid>
      <w:tr>
        <w:trPr>
          <w:trHeight w:val="403" w:hRule="exact"/>
        </w:trPr>
        <w:tc>
          <w:tcPr>
            <w:tcW w:w="45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5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5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股派息数（元</w:t>
            </w:r>
            <w:r>
              <w:rPr>
                <w:rFonts w:ascii="宋体" w:hAnsi="宋体" w:cs="宋体" w:eastAsia="宋体" w:hint="default"/>
                <w:spacing w:val="-92"/>
                <w:sz w:val="18"/>
                <w:szCs w:val="18"/>
              </w:rPr>
              <w:t>）</w:t>
            </w:r>
            <w:r>
              <w:rPr>
                <w:rFonts w:ascii="宋体" w:hAnsi="宋体" w:cs="宋体" w:eastAsia="宋体" w:hint="default"/>
                <w:sz w:val="18"/>
                <w:szCs w:val="18"/>
              </w:rPr>
              <w:t>（含税）</w:t>
            </w:r>
          </w:p>
        </w:tc>
        <w:tc>
          <w:tcPr>
            <w:tcW w:w="5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0.9</w:t>
            </w:r>
          </w:p>
        </w:tc>
      </w:tr>
      <w:tr>
        <w:trPr>
          <w:trHeight w:val="402" w:hRule="exact"/>
        </w:trPr>
        <w:tc>
          <w:tcPr>
            <w:tcW w:w="45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5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5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5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805,211,317</w:t>
            </w:r>
          </w:p>
        </w:tc>
      </w:tr>
      <w:tr>
        <w:trPr>
          <w:trHeight w:val="402" w:hRule="exact"/>
        </w:trPr>
        <w:tc>
          <w:tcPr>
            <w:tcW w:w="45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现金分红金额（元</w:t>
            </w:r>
            <w:r>
              <w:rPr>
                <w:rFonts w:ascii="宋体" w:hAnsi="宋体" w:cs="宋体" w:eastAsia="宋体" w:hint="default"/>
                <w:spacing w:val="-92"/>
                <w:sz w:val="18"/>
                <w:szCs w:val="18"/>
              </w:rPr>
              <w:t>）</w:t>
            </w:r>
            <w:r>
              <w:rPr>
                <w:rFonts w:ascii="宋体" w:hAnsi="宋体" w:cs="宋体" w:eastAsia="宋体" w:hint="default"/>
                <w:sz w:val="18"/>
                <w:szCs w:val="18"/>
              </w:rPr>
              <w:t>（含税）</w:t>
            </w:r>
          </w:p>
        </w:tc>
        <w:tc>
          <w:tcPr>
            <w:tcW w:w="5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72,469,018.53</w:t>
            </w:r>
          </w:p>
        </w:tc>
      </w:tr>
      <w:tr>
        <w:trPr>
          <w:trHeight w:val="402" w:hRule="exact"/>
        </w:trPr>
        <w:tc>
          <w:tcPr>
            <w:tcW w:w="45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以其他方式（如回购股份）现金分红金额（元）</w:t>
            </w:r>
          </w:p>
        </w:tc>
        <w:tc>
          <w:tcPr>
            <w:tcW w:w="5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r>
              <w:rPr>
                <w:rFonts w:ascii="Times New Roman"/>
                <w:sz w:val="18"/>
              </w:rPr>
            </w:r>
          </w:p>
        </w:tc>
      </w:tr>
      <w:tr>
        <w:trPr>
          <w:trHeight w:val="402" w:hRule="exact"/>
        </w:trPr>
        <w:tc>
          <w:tcPr>
            <w:tcW w:w="45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现金分红总额（含其他方式</w:t>
            </w:r>
            <w:r>
              <w:rPr>
                <w:rFonts w:ascii="宋体" w:hAnsi="宋体" w:cs="宋体" w:eastAsia="宋体" w:hint="default"/>
                <w:spacing w:val="-92"/>
                <w:sz w:val="18"/>
                <w:szCs w:val="18"/>
              </w:rPr>
              <w:t>）</w:t>
            </w:r>
            <w:r>
              <w:rPr>
                <w:rFonts w:ascii="宋体" w:hAnsi="宋体" w:cs="宋体" w:eastAsia="宋体" w:hint="default"/>
                <w:spacing w:val="2"/>
                <w:sz w:val="18"/>
                <w:szCs w:val="18"/>
              </w:rPr>
              <w:t>（</w:t>
            </w:r>
            <w:r>
              <w:rPr>
                <w:rFonts w:ascii="宋体" w:hAnsi="宋体" w:cs="宋体" w:eastAsia="宋体" w:hint="default"/>
                <w:sz w:val="18"/>
                <w:szCs w:val="18"/>
              </w:rPr>
              <w:t>元）</w:t>
            </w:r>
          </w:p>
        </w:tc>
        <w:tc>
          <w:tcPr>
            <w:tcW w:w="5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72,469,018.53</w:t>
            </w:r>
          </w:p>
        </w:tc>
      </w:tr>
      <w:tr>
        <w:trPr>
          <w:trHeight w:val="403" w:hRule="exact"/>
        </w:trPr>
        <w:tc>
          <w:tcPr>
            <w:tcW w:w="45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753,280,486.93</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5"/>
          <w:szCs w:val="15"/>
        </w:rPr>
      </w:pPr>
    </w:p>
    <w:p>
      <w:pPr>
        <w:pStyle w:val="BodyText"/>
        <w:spacing w:line="240" w:lineRule="auto" w:before="36"/>
        <w:ind w:left="0" w:right="1121"/>
        <w:jc w:val="right"/>
      </w:pPr>
      <w:r>
        <w:rPr/>
        <w:pict>
          <v:shape style="position:absolute;margin-left:56.400002pt;margin-top:-240.337311pt;width:479.2pt;height:311.650pt;mso-position-horizontal-relative:page;mso-position-vertical-relative:paragraph;z-index:13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524"/>
                    <w:gridCol w:w="5045"/>
                  </w:tblGrid>
                  <w:tr>
                    <w:trPr>
                      <w:trHeight w:val="408" w:hRule="exact"/>
                    </w:trPr>
                    <w:tc>
                      <w:tcPr>
                        <w:tcW w:w="452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现金分红总额（含其他方式）占利润分配总额的比例</w:t>
                        </w:r>
                      </w:p>
                    </w:tc>
                    <w:tc>
                      <w:tcPr>
                        <w:tcW w:w="5045"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100.00%</w:t>
                        </w:r>
                      </w:p>
                    </w:tc>
                  </w:tr>
                  <w:tr>
                    <w:trPr>
                      <w:trHeight w:val="396"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714"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公司发展阶段不易区分但有重大资金支出安排的，进行利润分配时，现金分红在本次利润分配中所占比例最低应达到</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889"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4303"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4" w:right="0"/>
                          <w:jc w:val="left"/>
                          <w:rPr>
                            <w:rFonts w:ascii="宋体" w:hAnsi="宋体" w:cs="宋体" w:eastAsia="宋体" w:hint="default"/>
                            <w:sz w:val="21"/>
                            <w:szCs w:val="21"/>
                          </w:rPr>
                        </w:pPr>
                        <w:r>
                          <w:rPr>
                            <w:rFonts w:ascii="宋体" w:hAnsi="宋体" w:cs="宋体" w:eastAsia="宋体" w:hint="default"/>
                            <w:w w:val="100"/>
                            <w:sz w:val="21"/>
                            <w:szCs w:val="21"/>
                          </w:rPr>
                          <w:t>经中</w:t>
                        </w:r>
                        <w:r>
                          <w:rPr>
                            <w:rFonts w:ascii="宋体" w:hAnsi="宋体" w:cs="宋体" w:eastAsia="宋体" w:hint="default"/>
                            <w:spacing w:val="-3"/>
                            <w:w w:val="100"/>
                            <w:sz w:val="21"/>
                            <w:szCs w:val="21"/>
                          </w:rPr>
                          <w:t>证</w:t>
                        </w:r>
                        <w:r>
                          <w:rPr>
                            <w:rFonts w:ascii="宋体" w:hAnsi="宋体" w:cs="宋体" w:eastAsia="宋体" w:hint="default"/>
                            <w:w w:val="100"/>
                            <w:sz w:val="21"/>
                            <w:szCs w:val="21"/>
                          </w:rPr>
                          <w:t>天</w:t>
                        </w:r>
                        <w:r>
                          <w:rPr>
                            <w:rFonts w:ascii="宋体" w:hAnsi="宋体" w:cs="宋体" w:eastAsia="宋体" w:hint="default"/>
                            <w:spacing w:val="-3"/>
                            <w:w w:val="100"/>
                            <w:sz w:val="21"/>
                            <w:szCs w:val="21"/>
                          </w:rPr>
                          <w:t>通</w:t>
                        </w:r>
                        <w:r>
                          <w:rPr>
                            <w:rFonts w:ascii="宋体" w:hAnsi="宋体" w:cs="宋体" w:eastAsia="宋体" w:hint="default"/>
                            <w:w w:val="100"/>
                            <w:sz w:val="21"/>
                            <w:szCs w:val="21"/>
                          </w:rPr>
                          <w:t>事</w:t>
                        </w:r>
                        <w:r>
                          <w:rPr>
                            <w:rFonts w:ascii="宋体" w:hAnsi="宋体" w:cs="宋体" w:eastAsia="宋体" w:hint="default"/>
                            <w:spacing w:val="-3"/>
                            <w:w w:val="100"/>
                            <w:sz w:val="21"/>
                            <w:szCs w:val="21"/>
                          </w:rPr>
                          <w:t>务</w:t>
                        </w:r>
                        <w:r>
                          <w:rPr>
                            <w:rFonts w:ascii="宋体" w:hAnsi="宋体" w:cs="宋体" w:eastAsia="宋体" w:hint="default"/>
                            <w:spacing w:val="-104"/>
                            <w:w w:val="100"/>
                            <w:sz w:val="21"/>
                            <w:szCs w:val="21"/>
                          </w:rPr>
                          <w:t>所</w:t>
                        </w:r>
                        <w:r>
                          <w:rPr>
                            <w:rFonts w:ascii="宋体" w:hAnsi="宋体" w:cs="宋体" w:eastAsia="宋体" w:hint="default"/>
                            <w:w w:val="100"/>
                            <w:sz w:val="21"/>
                            <w:szCs w:val="21"/>
                          </w:rPr>
                          <w:t>（</w:t>
                        </w:r>
                        <w:r>
                          <w:rPr>
                            <w:rFonts w:ascii="宋体" w:hAnsi="宋体" w:cs="宋体" w:eastAsia="宋体" w:hint="default"/>
                            <w:spacing w:val="-3"/>
                            <w:w w:val="100"/>
                            <w:sz w:val="21"/>
                            <w:szCs w:val="21"/>
                          </w:rPr>
                          <w:t>特</w:t>
                        </w:r>
                        <w:r>
                          <w:rPr>
                            <w:rFonts w:ascii="宋体" w:hAnsi="宋体" w:cs="宋体" w:eastAsia="宋体" w:hint="default"/>
                            <w:w w:val="100"/>
                            <w:sz w:val="21"/>
                            <w:szCs w:val="21"/>
                          </w:rPr>
                          <w:t>殊</w:t>
                        </w:r>
                        <w:r>
                          <w:rPr>
                            <w:rFonts w:ascii="宋体" w:hAnsi="宋体" w:cs="宋体" w:eastAsia="宋体" w:hint="default"/>
                            <w:spacing w:val="-3"/>
                            <w:w w:val="100"/>
                            <w:sz w:val="21"/>
                            <w:szCs w:val="21"/>
                          </w:rPr>
                          <w:t>普</w:t>
                        </w:r>
                        <w:r>
                          <w:rPr>
                            <w:rFonts w:ascii="宋体" w:hAnsi="宋体" w:cs="宋体" w:eastAsia="宋体" w:hint="default"/>
                            <w:w w:val="100"/>
                            <w:sz w:val="21"/>
                            <w:szCs w:val="21"/>
                          </w:rPr>
                          <w:t>通合</w:t>
                        </w:r>
                        <w:r>
                          <w:rPr>
                            <w:rFonts w:ascii="宋体" w:hAnsi="宋体" w:cs="宋体" w:eastAsia="宋体" w:hint="default"/>
                            <w:spacing w:val="-3"/>
                            <w:w w:val="100"/>
                            <w:sz w:val="21"/>
                            <w:szCs w:val="21"/>
                          </w:rPr>
                          <w:t>伙</w:t>
                        </w:r>
                        <w:r>
                          <w:rPr>
                            <w:rFonts w:ascii="宋体" w:hAnsi="宋体" w:cs="宋体" w:eastAsia="宋体" w:hint="default"/>
                            <w:spacing w:val="-104"/>
                            <w:w w:val="100"/>
                            <w:sz w:val="21"/>
                            <w:szCs w:val="21"/>
                          </w:rPr>
                          <w:t>）</w:t>
                        </w:r>
                        <w:r>
                          <w:rPr>
                            <w:rFonts w:ascii="宋体" w:hAnsi="宋体" w:cs="宋体" w:eastAsia="宋体" w:hint="default"/>
                            <w:w w:val="100"/>
                            <w:sz w:val="21"/>
                            <w:szCs w:val="21"/>
                          </w:rPr>
                          <w:t>审</w:t>
                        </w:r>
                        <w:r>
                          <w:rPr>
                            <w:rFonts w:ascii="宋体" w:hAnsi="宋体" w:cs="宋体" w:eastAsia="宋体" w:hint="default"/>
                            <w:spacing w:val="-3"/>
                            <w:w w:val="100"/>
                            <w:sz w:val="21"/>
                            <w:szCs w:val="21"/>
                          </w:rPr>
                          <w:t>计</w:t>
                        </w:r>
                        <w:r>
                          <w:rPr>
                            <w:rFonts w:ascii="宋体" w:hAnsi="宋体" w:cs="宋体" w:eastAsia="宋体" w:hint="default"/>
                            <w:spacing w:val="-104"/>
                            <w:w w:val="100"/>
                            <w:sz w:val="21"/>
                            <w:szCs w:val="21"/>
                          </w:rPr>
                          <w:t>，</w:t>
                        </w:r>
                        <w:r>
                          <w:rPr>
                            <w:rFonts w:ascii="宋体" w:hAnsi="宋体" w:cs="宋体" w:eastAsia="宋体" w:hint="default"/>
                            <w:w w:val="100"/>
                            <w:sz w:val="21"/>
                            <w:szCs w:val="21"/>
                          </w:rPr>
                          <w:t>公司</w:t>
                        </w:r>
                        <w:r>
                          <w:rPr>
                            <w:rFonts w:ascii="宋体" w:hAnsi="宋体" w:cs="宋体" w:eastAsia="宋体" w:hint="default"/>
                            <w:spacing w:val="-55"/>
                            <w:sz w:val="21"/>
                            <w:szCs w:val="21"/>
                          </w:rPr>
                          <w:t> </w:t>
                        </w:r>
                        <w:r>
                          <w:rPr>
                            <w:rFonts w:ascii="宋体" w:hAnsi="宋体" w:cs="宋体" w:eastAsia="宋体" w:hint="default"/>
                            <w:w w:val="100"/>
                            <w:sz w:val="21"/>
                            <w:szCs w:val="21"/>
                          </w:rPr>
                          <w:t>20</w:t>
                        </w:r>
                        <w:r>
                          <w:rPr>
                            <w:rFonts w:ascii="宋体" w:hAnsi="宋体" w:cs="宋体" w:eastAsia="宋体" w:hint="default"/>
                            <w:spacing w:val="-3"/>
                            <w:w w:val="100"/>
                            <w:sz w:val="21"/>
                            <w:szCs w:val="21"/>
                          </w:rPr>
                          <w:t>1</w:t>
                        </w:r>
                        <w:r>
                          <w:rPr>
                            <w:rFonts w:ascii="宋体" w:hAnsi="宋体" w:cs="宋体" w:eastAsia="宋体" w:hint="default"/>
                            <w:w w:val="100"/>
                            <w:sz w:val="21"/>
                            <w:szCs w:val="21"/>
                          </w:rPr>
                          <w:t>9</w:t>
                        </w:r>
                        <w:r>
                          <w:rPr>
                            <w:rFonts w:ascii="宋体" w:hAnsi="宋体" w:cs="宋体" w:eastAsia="宋体" w:hint="default"/>
                            <w:spacing w:val="-53"/>
                            <w:sz w:val="21"/>
                            <w:szCs w:val="21"/>
                          </w:rPr>
                          <w:t> </w:t>
                        </w:r>
                        <w:r>
                          <w:rPr>
                            <w:rFonts w:ascii="宋体" w:hAnsi="宋体" w:cs="宋体" w:eastAsia="宋体" w:hint="default"/>
                            <w:spacing w:val="-3"/>
                            <w:w w:val="100"/>
                            <w:sz w:val="21"/>
                            <w:szCs w:val="21"/>
                          </w:rPr>
                          <w:t>年</w:t>
                        </w:r>
                        <w:r>
                          <w:rPr>
                            <w:rFonts w:ascii="宋体" w:hAnsi="宋体" w:cs="宋体" w:eastAsia="宋体" w:hint="default"/>
                            <w:w w:val="100"/>
                            <w:sz w:val="21"/>
                            <w:szCs w:val="21"/>
                          </w:rPr>
                          <w:t>度实</w:t>
                        </w:r>
                        <w:r>
                          <w:rPr>
                            <w:rFonts w:ascii="宋体" w:hAnsi="宋体" w:cs="宋体" w:eastAsia="宋体" w:hint="default"/>
                            <w:spacing w:val="-3"/>
                            <w:w w:val="100"/>
                            <w:sz w:val="21"/>
                            <w:szCs w:val="21"/>
                          </w:rPr>
                          <w:t>现</w:t>
                        </w:r>
                        <w:r>
                          <w:rPr>
                            <w:rFonts w:ascii="宋体" w:hAnsi="宋体" w:cs="宋体" w:eastAsia="宋体" w:hint="default"/>
                            <w:w w:val="100"/>
                            <w:sz w:val="21"/>
                            <w:szCs w:val="21"/>
                          </w:rPr>
                          <w:t>归</w:t>
                        </w:r>
                        <w:r>
                          <w:rPr>
                            <w:rFonts w:ascii="宋体" w:hAnsi="宋体" w:cs="宋体" w:eastAsia="宋体" w:hint="default"/>
                            <w:spacing w:val="-3"/>
                            <w:w w:val="100"/>
                            <w:sz w:val="21"/>
                            <w:szCs w:val="21"/>
                          </w:rPr>
                          <w:t>属</w:t>
                        </w:r>
                        <w:r>
                          <w:rPr>
                            <w:rFonts w:ascii="宋体" w:hAnsi="宋体" w:cs="宋体" w:eastAsia="宋体" w:hint="default"/>
                            <w:w w:val="100"/>
                            <w:sz w:val="21"/>
                            <w:szCs w:val="21"/>
                          </w:rPr>
                          <w:t>于</w:t>
                        </w:r>
                        <w:r>
                          <w:rPr>
                            <w:rFonts w:ascii="宋体" w:hAnsi="宋体" w:cs="宋体" w:eastAsia="宋体" w:hint="default"/>
                            <w:spacing w:val="-3"/>
                            <w:w w:val="100"/>
                            <w:sz w:val="21"/>
                            <w:szCs w:val="21"/>
                          </w:rPr>
                          <w:t>母</w:t>
                        </w:r>
                        <w:r>
                          <w:rPr>
                            <w:rFonts w:ascii="宋体" w:hAnsi="宋体" w:cs="宋体" w:eastAsia="宋体" w:hint="default"/>
                            <w:w w:val="100"/>
                            <w:sz w:val="21"/>
                            <w:szCs w:val="21"/>
                          </w:rPr>
                          <w:t>公</w:t>
                        </w:r>
                        <w:r>
                          <w:rPr>
                            <w:rFonts w:ascii="宋体" w:hAnsi="宋体" w:cs="宋体" w:eastAsia="宋体" w:hint="default"/>
                            <w:spacing w:val="-3"/>
                            <w:w w:val="100"/>
                            <w:sz w:val="21"/>
                            <w:szCs w:val="21"/>
                          </w:rPr>
                          <w:t>司</w:t>
                        </w:r>
                        <w:r>
                          <w:rPr>
                            <w:rFonts w:ascii="宋体" w:hAnsi="宋体" w:cs="宋体" w:eastAsia="宋体" w:hint="default"/>
                            <w:w w:val="100"/>
                            <w:sz w:val="21"/>
                            <w:szCs w:val="21"/>
                          </w:rPr>
                          <w:t>所</w:t>
                        </w:r>
                        <w:r>
                          <w:rPr>
                            <w:rFonts w:ascii="宋体" w:hAnsi="宋体" w:cs="宋体" w:eastAsia="宋体" w:hint="default"/>
                            <w:spacing w:val="-3"/>
                            <w:w w:val="100"/>
                            <w:sz w:val="21"/>
                            <w:szCs w:val="21"/>
                          </w:rPr>
                          <w:t>有</w:t>
                        </w:r>
                        <w:r>
                          <w:rPr>
                            <w:rFonts w:ascii="宋体" w:hAnsi="宋体" w:cs="宋体" w:eastAsia="宋体" w:hint="default"/>
                            <w:w w:val="100"/>
                            <w:sz w:val="21"/>
                            <w:szCs w:val="21"/>
                          </w:rPr>
                          <w:t>者净</w:t>
                        </w:r>
                        <w:r>
                          <w:rPr>
                            <w:rFonts w:ascii="宋体" w:hAnsi="宋体" w:cs="宋体" w:eastAsia="宋体" w:hint="default"/>
                            <w:spacing w:val="-3"/>
                            <w:w w:val="100"/>
                            <w:sz w:val="21"/>
                            <w:szCs w:val="21"/>
                          </w:rPr>
                          <w:t>利</w:t>
                        </w:r>
                        <w:r>
                          <w:rPr>
                            <w:rFonts w:ascii="宋体" w:hAnsi="宋体" w:cs="宋体" w:eastAsia="宋体" w:hint="default"/>
                            <w:w w:val="100"/>
                            <w:sz w:val="21"/>
                            <w:szCs w:val="21"/>
                          </w:rPr>
                          <w:t>润</w:t>
                        </w:r>
                        <w:r>
                          <w:rPr>
                            <w:rFonts w:ascii="宋体" w:hAnsi="宋体" w:cs="宋体" w:eastAsia="宋体" w:hint="default"/>
                            <w:spacing w:val="-53"/>
                            <w:sz w:val="21"/>
                            <w:szCs w:val="21"/>
                          </w:rPr>
                          <w:t> </w:t>
                        </w:r>
                        <w:r>
                          <w:rPr>
                            <w:rFonts w:ascii="宋体" w:hAnsi="宋体" w:cs="宋体" w:eastAsia="宋体" w:hint="default"/>
                            <w:spacing w:val="-3"/>
                            <w:w w:val="100"/>
                            <w:sz w:val="21"/>
                            <w:szCs w:val="21"/>
                          </w:rPr>
                          <w:t>2</w:t>
                        </w:r>
                        <w:r>
                          <w:rPr>
                            <w:rFonts w:ascii="宋体" w:hAnsi="宋体" w:cs="宋体" w:eastAsia="宋体" w:hint="default"/>
                            <w:w w:val="100"/>
                            <w:sz w:val="21"/>
                            <w:szCs w:val="21"/>
                          </w:rPr>
                          <w:t>89,</w:t>
                        </w:r>
                        <w:r>
                          <w:rPr>
                            <w:rFonts w:ascii="宋体" w:hAnsi="宋体" w:cs="宋体" w:eastAsia="宋体" w:hint="default"/>
                            <w:spacing w:val="-3"/>
                            <w:w w:val="100"/>
                            <w:sz w:val="21"/>
                            <w:szCs w:val="21"/>
                          </w:rPr>
                          <w:t>6</w:t>
                        </w:r>
                        <w:r>
                          <w:rPr>
                            <w:rFonts w:ascii="宋体" w:hAnsi="宋体" w:cs="宋体" w:eastAsia="宋体" w:hint="default"/>
                            <w:w w:val="100"/>
                            <w:sz w:val="21"/>
                            <w:szCs w:val="21"/>
                          </w:rPr>
                          <w:t>75,</w:t>
                        </w:r>
                        <w:r>
                          <w:rPr>
                            <w:rFonts w:ascii="宋体" w:hAnsi="宋体" w:cs="宋体" w:eastAsia="宋体" w:hint="default"/>
                            <w:spacing w:val="-3"/>
                            <w:w w:val="100"/>
                            <w:sz w:val="21"/>
                            <w:szCs w:val="21"/>
                          </w:rPr>
                          <w:t>5</w:t>
                        </w:r>
                        <w:r>
                          <w:rPr>
                            <w:rFonts w:ascii="宋体" w:hAnsi="宋体" w:cs="宋体" w:eastAsia="宋体" w:hint="default"/>
                            <w:w w:val="100"/>
                            <w:sz w:val="21"/>
                            <w:szCs w:val="21"/>
                          </w:rPr>
                          <w:t>73.</w:t>
                        </w:r>
                        <w:r>
                          <w:rPr>
                            <w:rFonts w:ascii="宋体" w:hAnsi="宋体" w:cs="宋体" w:eastAsia="宋体" w:hint="default"/>
                            <w:spacing w:val="-3"/>
                            <w:w w:val="100"/>
                            <w:sz w:val="21"/>
                            <w:szCs w:val="21"/>
                          </w:rPr>
                          <w:t>1</w:t>
                        </w:r>
                        <w:r>
                          <w:rPr>
                            <w:rFonts w:ascii="宋体" w:hAnsi="宋体" w:cs="宋体" w:eastAsia="宋体" w:hint="default"/>
                            <w:w w:val="100"/>
                            <w:sz w:val="21"/>
                            <w:szCs w:val="21"/>
                          </w:rPr>
                          <w:t>6</w:t>
                        </w: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元，母公司实现净利润</w:t>
                        </w:r>
                        <w:r>
                          <w:rPr>
                            <w:rFonts w:ascii="宋体" w:hAnsi="宋体" w:cs="宋体" w:eastAsia="宋体" w:hint="default"/>
                            <w:spacing w:val="-56"/>
                            <w:sz w:val="21"/>
                            <w:szCs w:val="21"/>
                          </w:rPr>
                          <w:t> </w:t>
                        </w:r>
                        <w:r>
                          <w:rPr>
                            <w:rFonts w:ascii="宋体" w:hAnsi="宋体" w:cs="宋体" w:eastAsia="宋体" w:hint="default"/>
                            <w:sz w:val="21"/>
                            <w:szCs w:val="21"/>
                          </w:rPr>
                          <w:t>135,208,503.24</w:t>
                        </w:r>
                        <w:r>
                          <w:rPr>
                            <w:rFonts w:ascii="宋体" w:hAnsi="宋体" w:cs="宋体" w:eastAsia="宋体" w:hint="default"/>
                            <w:spacing w:val="-58"/>
                            <w:sz w:val="21"/>
                            <w:szCs w:val="21"/>
                          </w:rPr>
                          <w:t> </w:t>
                        </w:r>
                        <w:r>
                          <w:rPr>
                            <w:rFonts w:ascii="宋体" w:hAnsi="宋体" w:cs="宋体" w:eastAsia="宋体" w:hint="default"/>
                            <w:sz w:val="21"/>
                            <w:szCs w:val="21"/>
                          </w:rPr>
                          <w:t>元，提取</w:t>
                        </w:r>
                        <w:r>
                          <w:rPr>
                            <w:rFonts w:ascii="宋体" w:hAnsi="宋体" w:cs="宋体" w:eastAsia="宋体" w:hint="default"/>
                            <w:spacing w:val="-56"/>
                            <w:sz w:val="21"/>
                            <w:szCs w:val="21"/>
                          </w:rPr>
                          <w:t> </w:t>
                        </w:r>
                        <w:r>
                          <w:rPr>
                            <w:rFonts w:ascii="宋体" w:hAnsi="宋体" w:cs="宋体" w:eastAsia="宋体" w:hint="default"/>
                            <w:sz w:val="21"/>
                            <w:szCs w:val="21"/>
                          </w:rPr>
                          <w:t>10%</w:t>
                        </w:r>
                        <w:r>
                          <w:rPr>
                            <w:rFonts w:ascii="宋体" w:hAnsi="宋体" w:cs="宋体" w:eastAsia="宋体" w:hint="default"/>
                            <w:sz w:val="21"/>
                            <w:szCs w:val="21"/>
                          </w:rPr>
                          <w:t>法定盈余公积</w:t>
                        </w:r>
                        <w:r>
                          <w:rPr>
                            <w:rFonts w:ascii="宋体" w:hAnsi="宋体" w:cs="宋体" w:eastAsia="宋体" w:hint="default"/>
                            <w:spacing w:val="-58"/>
                            <w:sz w:val="21"/>
                            <w:szCs w:val="21"/>
                          </w:rPr>
                          <w:t> </w:t>
                        </w:r>
                        <w:r>
                          <w:rPr>
                            <w:rFonts w:ascii="宋体" w:hAnsi="宋体" w:cs="宋体" w:eastAsia="宋体" w:hint="default"/>
                            <w:sz w:val="21"/>
                            <w:szCs w:val="21"/>
                          </w:rPr>
                          <w:t>13,520,850.32</w:t>
                        </w:r>
                        <w:r>
                          <w:rPr>
                            <w:rFonts w:ascii="宋体" w:hAnsi="宋体" w:cs="宋体" w:eastAsia="宋体" w:hint="default"/>
                            <w:spacing w:val="-58"/>
                            <w:sz w:val="21"/>
                            <w:szCs w:val="21"/>
                          </w:rPr>
                          <w:t> </w:t>
                        </w:r>
                        <w:r>
                          <w:rPr>
                            <w:rFonts w:ascii="宋体" w:hAnsi="宋体" w:cs="宋体" w:eastAsia="宋体" w:hint="default"/>
                            <w:sz w:val="21"/>
                            <w:szCs w:val="21"/>
                          </w:rPr>
                          <w:t>元，当年母公司实现</w:t>
                        </w: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的可供分配利润为</w:t>
                        </w:r>
                        <w:r>
                          <w:rPr>
                            <w:rFonts w:ascii="宋体" w:hAnsi="宋体" w:cs="宋体" w:eastAsia="宋体" w:hint="default"/>
                            <w:spacing w:val="-54"/>
                            <w:sz w:val="21"/>
                            <w:szCs w:val="21"/>
                          </w:rPr>
                          <w:t> </w:t>
                        </w:r>
                        <w:r>
                          <w:rPr>
                            <w:rFonts w:ascii="宋体" w:hAnsi="宋体" w:cs="宋体" w:eastAsia="宋体" w:hint="default"/>
                            <w:sz w:val="21"/>
                            <w:szCs w:val="21"/>
                          </w:rPr>
                          <w:t>121,687,652.92</w:t>
                        </w:r>
                        <w:r>
                          <w:rPr>
                            <w:rFonts w:ascii="宋体" w:hAnsi="宋体" w:cs="宋体" w:eastAsia="宋体" w:hint="default"/>
                            <w:spacing w:val="-56"/>
                            <w:sz w:val="21"/>
                            <w:szCs w:val="21"/>
                          </w:rPr>
                          <w:t> </w:t>
                        </w:r>
                        <w:r>
                          <w:rPr>
                            <w:rFonts w:ascii="宋体" w:hAnsi="宋体" w:cs="宋体" w:eastAsia="宋体" w:hint="default"/>
                            <w:sz w:val="21"/>
                            <w:szCs w:val="21"/>
                          </w:rPr>
                          <w:t>元，加期初未分配利润</w:t>
                        </w:r>
                        <w:r>
                          <w:rPr>
                            <w:rFonts w:ascii="宋体" w:hAnsi="宋体" w:cs="宋体" w:eastAsia="宋体" w:hint="default"/>
                            <w:spacing w:val="-54"/>
                            <w:sz w:val="21"/>
                            <w:szCs w:val="21"/>
                          </w:rPr>
                          <w:t> </w:t>
                        </w:r>
                        <w:r>
                          <w:rPr>
                            <w:rFonts w:ascii="宋体" w:hAnsi="宋体" w:cs="宋体" w:eastAsia="宋体" w:hint="default"/>
                            <w:sz w:val="21"/>
                            <w:szCs w:val="21"/>
                          </w:rPr>
                          <w:t>695,179,458.73</w:t>
                        </w:r>
                        <w:r>
                          <w:rPr>
                            <w:rFonts w:ascii="宋体" w:hAnsi="宋体" w:cs="宋体" w:eastAsia="宋体" w:hint="default"/>
                            <w:spacing w:val="-56"/>
                            <w:sz w:val="21"/>
                            <w:szCs w:val="21"/>
                          </w:rPr>
                          <w:t> </w:t>
                        </w:r>
                        <w:r>
                          <w:rPr>
                            <w:rFonts w:ascii="宋体" w:hAnsi="宋体" w:cs="宋体" w:eastAsia="宋体" w:hint="default"/>
                            <w:sz w:val="21"/>
                            <w:szCs w:val="21"/>
                          </w:rPr>
                          <w:t>元，扣减</w:t>
                        </w:r>
                        <w:r>
                          <w:rPr>
                            <w:rFonts w:ascii="宋体" w:hAnsi="宋体" w:cs="宋体" w:eastAsia="宋体" w:hint="default"/>
                            <w:spacing w:val="-54"/>
                            <w:sz w:val="21"/>
                            <w:szCs w:val="21"/>
                          </w:rPr>
                          <w:t> </w:t>
                        </w: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年已发</w:t>
                        </w:r>
                        <w:r>
                          <w:rPr>
                            <w:rFonts w:ascii="宋体" w:hAnsi="宋体" w:cs="宋体" w:eastAsia="宋体" w:hint="default"/>
                            <w:spacing w:val="-56"/>
                            <w:sz w:val="21"/>
                            <w:szCs w:val="21"/>
                          </w:rPr>
                          <w:t> </w:t>
                        </w:r>
                        <w:r>
                          <w:rPr>
                            <w:rFonts w:ascii="宋体" w:hAnsi="宋体" w:cs="宋体" w:eastAsia="宋体" w:hint="default"/>
                            <w:sz w:val="21"/>
                            <w:szCs w:val="21"/>
                          </w:rPr>
                          <w:t>2018</w:t>
                        </w: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年度现金股利</w:t>
                        </w:r>
                        <w:r>
                          <w:rPr>
                            <w:rFonts w:ascii="宋体" w:hAnsi="宋体" w:cs="宋体" w:eastAsia="宋体" w:hint="default"/>
                            <w:spacing w:val="-42"/>
                            <w:sz w:val="21"/>
                            <w:szCs w:val="21"/>
                          </w:rPr>
                          <w:t> </w:t>
                        </w:r>
                        <w:r>
                          <w:rPr>
                            <w:rFonts w:ascii="宋体" w:hAnsi="宋体" w:cs="宋体" w:eastAsia="宋体" w:hint="default"/>
                            <w:sz w:val="21"/>
                            <w:szCs w:val="21"/>
                          </w:rPr>
                          <w:t>63,586,624.72</w:t>
                        </w:r>
                        <w:r>
                          <w:rPr>
                            <w:rFonts w:ascii="宋体" w:hAnsi="宋体" w:cs="宋体" w:eastAsia="宋体" w:hint="default"/>
                            <w:spacing w:val="-42"/>
                            <w:sz w:val="21"/>
                            <w:szCs w:val="21"/>
                          </w:rPr>
                          <w:t> </w:t>
                        </w:r>
                        <w:r>
                          <w:rPr>
                            <w:rFonts w:ascii="宋体" w:hAnsi="宋体" w:cs="宋体" w:eastAsia="宋体" w:hint="default"/>
                            <w:spacing w:val="-4"/>
                            <w:sz w:val="21"/>
                            <w:szCs w:val="21"/>
                          </w:rPr>
                          <w:t>元，年末累计可供分配利润为</w:t>
                        </w:r>
                        <w:r>
                          <w:rPr>
                            <w:rFonts w:ascii="宋体" w:hAnsi="宋体" w:cs="宋体" w:eastAsia="宋体" w:hint="default"/>
                            <w:spacing w:val="-42"/>
                            <w:sz w:val="21"/>
                            <w:szCs w:val="21"/>
                          </w:rPr>
                          <w:t> </w:t>
                        </w:r>
                        <w:r>
                          <w:rPr>
                            <w:rFonts w:ascii="宋体" w:hAnsi="宋体" w:cs="宋体" w:eastAsia="宋体" w:hint="default"/>
                            <w:sz w:val="21"/>
                            <w:szCs w:val="21"/>
                          </w:rPr>
                          <w:t>753,280,486.93</w:t>
                        </w:r>
                        <w:r>
                          <w:rPr>
                            <w:rFonts w:ascii="宋体" w:hAnsi="宋体" w:cs="宋体" w:eastAsia="宋体" w:hint="default"/>
                            <w:spacing w:val="-44"/>
                            <w:sz w:val="21"/>
                            <w:szCs w:val="21"/>
                          </w:rPr>
                          <w:t> </w:t>
                        </w:r>
                        <w:r>
                          <w:rPr>
                            <w:rFonts w:ascii="宋体" w:hAnsi="宋体" w:cs="宋体" w:eastAsia="宋体" w:hint="default"/>
                            <w:spacing w:val="-4"/>
                            <w:sz w:val="21"/>
                            <w:szCs w:val="21"/>
                          </w:rPr>
                          <w:t>元。根据中国证券监督管理</w:t>
                        </w:r>
                      </w:p>
                      <w:p>
                        <w:pPr>
                          <w:pStyle w:val="TableParagraph"/>
                          <w:spacing w:line="240" w:lineRule="auto" w:before="10"/>
                          <w:ind w:right="0"/>
                          <w:jc w:val="left"/>
                          <w:rPr>
                            <w:rFonts w:ascii="宋体" w:hAnsi="宋体" w:cs="宋体" w:eastAsia="宋体" w:hint="default"/>
                            <w:sz w:val="14"/>
                            <w:szCs w:val="14"/>
                          </w:rPr>
                        </w:pPr>
                      </w:p>
                      <w:p>
                        <w:pPr>
                          <w:pStyle w:val="TableParagraph"/>
                          <w:spacing w:line="408" w:lineRule="auto"/>
                          <w:ind w:left="24" w:right="28"/>
                          <w:jc w:val="left"/>
                          <w:rPr>
                            <w:rFonts w:ascii="宋体" w:hAnsi="宋体" w:cs="宋体" w:eastAsia="宋体" w:hint="default"/>
                            <w:sz w:val="21"/>
                            <w:szCs w:val="21"/>
                          </w:rPr>
                        </w:pPr>
                        <w:r>
                          <w:rPr>
                            <w:rFonts w:ascii="宋体" w:hAnsi="宋体" w:cs="宋体" w:eastAsia="宋体" w:hint="default"/>
                            <w:spacing w:val="-7"/>
                            <w:w w:val="100"/>
                            <w:sz w:val="21"/>
                            <w:szCs w:val="21"/>
                          </w:rPr>
                          <w:t>委员会《关于进一步落实上市公司现金分红有关事项的通知》、《上市公司监管指引第</w:t>
                        </w:r>
                        <w:r>
                          <w:rPr>
                            <w:rFonts w:ascii="宋体" w:hAnsi="宋体" w:cs="宋体" w:eastAsia="宋体" w:hint="default"/>
                            <w:spacing w:val="-51"/>
                            <w:w w:val="100"/>
                            <w:sz w:val="21"/>
                            <w:szCs w:val="21"/>
                          </w:rPr>
                          <w:t> </w:t>
                        </w:r>
                        <w:r>
                          <w:rPr>
                            <w:rFonts w:ascii="宋体" w:hAnsi="宋体" w:cs="宋体" w:eastAsia="宋体" w:hint="default"/>
                            <w:w w:val="100"/>
                            <w:sz w:val="21"/>
                            <w:szCs w:val="21"/>
                          </w:rPr>
                          <w:t>3</w:t>
                        </w:r>
                        <w:r>
                          <w:rPr>
                            <w:rFonts w:ascii="宋体" w:hAnsi="宋体" w:cs="宋体" w:eastAsia="宋体" w:hint="default"/>
                            <w:spacing w:val="-53"/>
                            <w:w w:val="100"/>
                            <w:sz w:val="21"/>
                            <w:szCs w:val="21"/>
                          </w:rPr>
                          <w:t> </w:t>
                        </w:r>
                        <w:r>
                          <w:rPr>
                            <w:rFonts w:ascii="宋体" w:hAnsi="宋体" w:cs="宋体" w:eastAsia="宋体" w:hint="default"/>
                            <w:spacing w:val="-2"/>
                            <w:w w:val="100"/>
                            <w:sz w:val="21"/>
                            <w:szCs w:val="21"/>
                          </w:rPr>
                          <w:t>号</w:t>
                        </w:r>
                        <w:r>
                          <w:rPr>
                            <w:rFonts w:ascii="宋体" w:hAnsi="宋体" w:cs="宋体" w:eastAsia="宋体" w:hint="default"/>
                            <w:spacing w:val="-2"/>
                            <w:w w:val="100"/>
                            <w:sz w:val="21"/>
                            <w:szCs w:val="21"/>
                          </w:rPr>
                          <w:t>—</w:t>
                        </w:r>
                        <w:r>
                          <w:rPr>
                            <w:rFonts w:ascii="宋体" w:hAnsi="宋体" w:cs="宋体" w:eastAsia="宋体" w:hint="default"/>
                            <w:spacing w:val="-2"/>
                            <w:w w:val="100"/>
                            <w:sz w:val="21"/>
                            <w:szCs w:val="21"/>
                          </w:rPr>
                          <w:t>上市公司现</w:t>
                        </w:r>
                        <w:r>
                          <w:rPr>
                            <w:rFonts w:ascii="宋体" w:hAnsi="宋体" w:cs="宋体" w:eastAsia="宋体" w:hint="default"/>
                            <w:spacing w:val="-102"/>
                            <w:w w:val="100"/>
                            <w:sz w:val="21"/>
                            <w:szCs w:val="21"/>
                          </w:rPr>
                          <w:t> </w:t>
                        </w:r>
                        <w:r>
                          <w:rPr>
                            <w:rFonts w:ascii="宋体" w:hAnsi="宋体" w:cs="宋体" w:eastAsia="宋体" w:hint="default"/>
                            <w:spacing w:val="-102"/>
                            <w:w w:val="100"/>
                            <w:sz w:val="21"/>
                            <w:szCs w:val="21"/>
                          </w:rPr>
                        </w:r>
                        <w:r>
                          <w:rPr>
                            <w:rFonts w:ascii="宋体" w:hAnsi="宋体" w:cs="宋体" w:eastAsia="宋体" w:hint="default"/>
                            <w:spacing w:val="-5"/>
                            <w:w w:val="100"/>
                            <w:sz w:val="21"/>
                            <w:szCs w:val="21"/>
                          </w:rPr>
                          <w:t>金分红》及《公司章程》、公司《未来三年（</w:t>
                        </w:r>
                        <w:r>
                          <w:rPr>
                            <w:rFonts w:ascii="宋体" w:hAnsi="宋体" w:cs="宋体" w:eastAsia="宋体" w:hint="default"/>
                            <w:spacing w:val="-5"/>
                            <w:w w:val="100"/>
                            <w:sz w:val="21"/>
                            <w:szCs w:val="21"/>
                          </w:rPr>
                          <w:t>2018-2020</w:t>
                        </w:r>
                        <w:r>
                          <w:rPr>
                            <w:rFonts w:ascii="宋体" w:hAnsi="宋体" w:cs="宋体" w:eastAsia="宋体" w:hint="default"/>
                            <w:spacing w:val="-44"/>
                            <w:w w:val="100"/>
                            <w:sz w:val="21"/>
                            <w:szCs w:val="21"/>
                          </w:rPr>
                          <w:t> </w:t>
                        </w:r>
                        <w:r>
                          <w:rPr>
                            <w:rFonts w:ascii="宋体" w:hAnsi="宋体" w:cs="宋体" w:eastAsia="宋体" w:hint="default"/>
                            <w:spacing w:val="-2"/>
                            <w:w w:val="100"/>
                            <w:sz w:val="21"/>
                            <w:szCs w:val="21"/>
                          </w:rPr>
                          <w:t>年）股东回报规划》等相关规定，为积极回报公</w:t>
                        </w:r>
                        <w:r>
                          <w:rPr>
                            <w:rFonts w:ascii="宋体" w:hAnsi="宋体" w:cs="宋体" w:eastAsia="宋体" w:hint="default"/>
                            <w:spacing w:val="-101"/>
                            <w:w w:val="100"/>
                            <w:sz w:val="21"/>
                            <w:szCs w:val="21"/>
                          </w:rPr>
                          <w:t> </w:t>
                        </w:r>
                        <w:r>
                          <w:rPr>
                            <w:rFonts w:ascii="宋体" w:hAnsi="宋体" w:cs="宋体" w:eastAsia="宋体" w:hint="default"/>
                            <w:spacing w:val="-101"/>
                            <w:w w:val="100"/>
                            <w:sz w:val="21"/>
                            <w:szCs w:val="21"/>
                          </w:rPr>
                        </w:r>
                        <w:r>
                          <w:rPr>
                            <w:rFonts w:ascii="宋体" w:hAnsi="宋体" w:cs="宋体" w:eastAsia="宋体" w:hint="default"/>
                            <w:spacing w:val="-3"/>
                            <w:sz w:val="21"/>
                            <w:szCs w:val="21"/>
                          </w:rPr>
                          <w:t>司股东、与所有股东分享公司经营成果，在符合利润分配原则，保证公司正常经营和长远发展的前提下</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z w:val="21"/>
                            <w:szCs w:val="21"/>
                          </w:rPr>
                          <w:t>公司董事会提出</w:t>
                        </w:r>
                        <w:r>
                          <w:rPr>
                            <w:rFonts w:ascii="宋体" w:hAnsi="宋体" w:cs="宋体" w:eastAsia="宋体" w:hint="default"/>
                            <w:spacing w:val="-54"/>
                            <w:sz w:val="21"/>
                            <w:szCs w:val="21"/>
                          </w:rPr>
                          <w:t> </w:t>
                        </w: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年度利润分配预案如下：拟以公司总股本</w:t>
                        </w:r>
                        <w:r>
                          <w:rPr>
                            <w:rFonts w:ascii="宋体" w:hAnsi="宋体" w:cs="宋体" w:eastAsia="宋体" w:hint="default"/>
                            <w:spacing w:val="-54"/>
                            <w:sz w:val="21"/>
                            <w:szCs w:val="21"/>
                          </w:rPr>
                          <w:t> </w:t>
                        </w:r>
                        <w:r>
                          <w:rPr>
                            <w:rFonts w:ascii="宋体" w:hAnsi="宋体" w:cs="宋体" w:eastAsia="宋体" w:hint="default"/>
                            <w:sz w:val="21"/>
                            <w:szCs w:val="21"/>
                          </w:rPr>
                          <w:t>805,211,317</w:t>
                        </w:r>
                        <w:r>
                          <w:rPr>
                            <w:rFonts w:ascii="宋体" w:hAnsi="宋体" w:cs="宋体" w:eastAsia="宋体" w:hint="default"/>
                            <w:spacing w:val="-56"/>
                            <w:sz w:val="21"/>
                            <w:szCs w:val="21"/>
                          </w:rPr>
                          <w:t> </w:t>
                        </w:r>
                        <w:r>
                          <w:rPr>
                            <w:rFonts w:ascii="宋体" w:hAnsi="宋体" w:cs="宋体" w:eastAsia="宋体" w:hint="default"/>
                            <w:sz w:val="21"/>
                            <w:szCs w:val="21"/>
                          </w:rPr>
                          <w:t>股为基数向全体股东每</w:t>
                        </w:r>
                        <w:r>
                          <w:rPr>
                            <w:rFonts w:ascii="宋体" w:hAnsi="宋体" w:cs="宋体" w:eastAsia="宋体" w:hint="default"/>
                            <w:spacing w:val="-54"/>
                            <w:sz w:val="21"/>
                            <w:szCs w:val="21"/>
                          </w:rPr>
                          <w:t> </w:t>
                        </w:r>
                        <w:r>
                          <w:rPr>
                            <w:rFonts w:ascii="宋体" w:hAnsi="宋体" w:cs="宋体" w:eastAsia="宋体" w:hint="default"/>
                            <w:spacing w:val="-3"/>
                            <w:sz w:val="21"/>
                            <w:szCs w:val="21"/>
                          </w:rPr>
                          <w:t>10</w:t>
                        </w:r>
                        <w:r>
                          <w:rPr>
                            <w:rFonts w:ascii="宋体" w:hAnsi="宋体" w:cs="宋体" w:eastAsia="宋体" w:hint="default"/>
                            <w:sz w:val="21"/>
                            <w:szCs w:val="21"/>
                          </w:rPr>
                        </w:r>
                      </w:p>
                      <w:p>
                        <w:pPr>
                          <w:pStyle w:val="TableParagraph"/>
                          <w:spacing w:line="240" w:lineRule="auto" w:before="46"/>
                          <w:ind w:left="24" w:right="0"/>
                          <w:jc w:val="left"/>
                          <w:rPr>
                            <w:rFonts w:ascii="宋体" w:hAnsi="宋体" w:cs="宋体" w:eastAsia="宋体" w:hint="default"/>
                            <w:sz w:val="21"/>
                            <w:szCs w:val="21"/>
                          </w:rPr>
                        </w:pPr>
                        <w:r>
                          <w:rPr>
                            <w:rFonts w:ascii="宋体" w:hAnsi="宋体" w:cs="宋体" w:eastAsia="宋体" w:hint="default"/>
                            <w:w w:val="100"/>
                            <w:sz w:val="21"/>
                            <w:szCs w:val="21"/>
                          </w:rPr>
                          <w:t>股派</w:t>
                        </w:r>
                        <w:r>
                          <w:rPr>
                            <w:rFonts w:ascii="宋体" w:hAnsi="宋体" w:cs="宋体" w:eastAsia="宋体" w:hint="default"/>
                            <w:spacing w:val="-3"/>
                            <w:w w:val="100"/>
                            <w:sz w:val="21"/>
                            <w:szCs w:val="21"/>
                          </w:rPr>
                          <w:t>发</w:t>
                        </w:r>
                        <w:r>
                          <w:rPr>
                            <w:rFonts w:ascii="宋体" w:hAnsi="宋体" w:cs="宋体" w:eastAsia="宋体" w:hint="default"/>
                            <w:w w:val="100"/>
                            <w:sz w:val="21"/>
                            <w:szCs w:val="21"/>
                          </w:rPr>
                          <w:t>现</w:t>
                        </w:r>
                        <w:r>
                          <w:rPr>
                            <w:rFonts w:ascii="宋体" w:hAnsi="宋体" w:cs="宋体" w:eastAsia="宋体" w:hint="default"/>
                            <w:spacing w:val="-3"/>
                            <w:w w:val="100"/>
                            <w:sz w:val="21"/>
                            <w:szCs w:val="21"/>
                          </w:rPr>
                          <w:t>金股</w:t>
                        </w:r>
                        <w:r>
                          <w:rPr>
                            <w:rFonts w:ascii="宋体" w:hAnsi="宋体" w:cs="宋体" w:eastAsia="宋体" w:hint="default"/>
                            <w:w w:val="100"/>
                            <w:sz w:val="21"/>
                            <w:szCs w:val="21"/>
                          </w:rPr>
                          <w:t>利</w:t>
                        </w:r>
                        <w:r>
                          <w:rPr>
                            <w:rFonts w:ascii="宋体" w:hAnsi="宋体" w:cs="宋体" w:eastAsia="宋体" w:hint="default"/>
                            <w:spacing w:val="-53"/>
                            <w:sz w:val="21"/>
                            <w:szCs w:val="21"/>
                          </w:rPr>
                          <w:t> </w:t>
                        </w:r>
                        <w:r>
                          <w:rPr>
                            <w:rFonts w:ascii="宋体" w:hAnsi="宋体" w:cs="宋体" w:eastAsia="宋体" w:hint="default"/>
                            <w:w w:val="100"/>
                            <w:sz w:val="21"/>
                            <w:szCs w:val="21"/>
                          </w:rPr>
                          <w:t>0.9</w:t>
                        </w:r>
                        <w:r>
                          <w:rPr>
                            <w:rFonts w:ascii="宋体" w:hAnsi="宋体" w:cs="宋体" w:eastAsia="宋体" w:hint="default"/>
                            <w:spacing w:val="-55"/>
                            <w:sz w:val="21"/>
                            <w:szCs w:val="21"/>
                          </w:rPr>
                          <w:t> </w:t>
                        </w:r>
                        <w:r>
                          <w:rPr>
                            <w:rFonts w:ascii="宋体" w:hAnsi="宋体" w:cs="宋体" w:eastAsia="宋体" w:hint="default"/>
                            <w:w w:val="100"/>
                            <w:sz w:val="21"/>
                            <w:szCs w:val="21"/>
                          </w:rPr>
                          <w:t>元</w:t>
                        </w:r>
                        <w:r>
                          <w:rPr>
                            <w:rFonts w:ascii="宋体" w:hAnsi="宋体" w:cs="宋体" w:eastAsia="宋体" w:hint="default"/>
                            <w:spacing w:val="-3"/>
                            <w:w w:val="100"/>
                            <w:sz w:val="21"/>
                            <w:szCs w:val="21"/>
                          </w:rPr>
                          <w:t>人</w:t>
                        </w:r>
                        <w:r>
                          <w:rPr>
                            <w:rFonts w:ascii="宋体" w:hAnsi="宋体" w:cs="宋体" w:eastAsia="宋体" w:hint="default"/>
                            <w:w w:val="100"/>
                            <w:sz w:val="21"/>
                            <w:szCs w:val="21"/>
                          </w:rPr>
                          <w:t>民币</w:t>
                        </w:r>
                        <w:r>
                          <w:rPr>
                            <w:rFonts w:ascii="宋体" w:hAnsi="宋体" w:cs="宋体" w:eastAsia="宋体" w:hint="default"/>
                            <w:spacing w:val="-3"/>
                            <w:w w:val="100"/>
                            <w:sz w:val="21"/>
                            <w:szCs w:val="21"/>
                          </w:rPr>
                          <w:t>（</w:t>
                        </w:r>
                        <w:r>
                          <w:rPr>
                            <w:rFonts w:ascii="宋体" w:hAnsi="宋体" w:cs="宋体" w:eastAsia="宋体" w:hint="default"/>
                            <w:w w:val="100"/>
                            <w:sz w:val="21"/>
                            <w:szCs w:val="21"/>
                          </w:rPr>
                          <w:t>含</w:t>
                        </w:r>
                        <w:r>
                          <w:rPr>
                            <w:rFonts w:ascii="宋体" w:hAnsi="宋体" w:cs="宋体" w:eastAsia="宋体" w:hint="default"/>
                            <w:spacing w:val="-3"/>
                            <w:w w:val="100"/>
                            <w:sz w:val="21"/>
                            <w:szCs w:val="21"/>
                          </w:rPr>
                          <w:t>税</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合</w:t>
                        </w:r>
                        <w:r>
                          <w:rPr>
                            <w:rFonts w:ascii="宋体" w:hAnsi="宋体" w:cs="宋体" w:eastAsia="宋体" w:hint="default"/>
                            <w:spacing w:val="-3"/>
                            <w:w w:val="100"/>
                            <w:sz w:val="21"/>
                            <w:szCs w:val="21"/>
                          </w:rPr>
                          <w:t>计</w:t>
                        </w:r>
                        <w:r>
                          <w:rPr>
                            <w:rFonts w:ascii="宋体" w:hAnsi="宋体" w:cs="宋体" w:eastAsia="宋体" w:hint="default"/>
                            <w:w w:val="100"/>
                            <w:sz w:val="21"/>
                            <w:szCs w:val="21"/>
                          </w:rPr>
                          <w:t>派</w:t>
                        </w:r>
                        <w:r>
                          <w:rPr>
                            <w:rFonts w:ascii="宋体" w:hAnsi="宋体" w:cs="宋体" w:eastAsia="宋体" w:hint="default"/>
                            <w:spacing w:val="-3"/>
                            <w:w w:val="100"/>
                            <w:sz w:val="21"/>
                            <w:szCs w:val="21"/>
                          </w:rPr>
                          <w:t>发现</w:t>
                        </w:r>
                        <w:r>
                          <w:rPr>
                            <w:rFonts w:ascii="宋体" w:hAnsi="宋体" w:cs="宋体" w:eastAsia="宋体" w:hint="default"/>
                            <w:w w:val="100"/>
                            <w:sz w:val="21"/>
                            <w:szCs w:val="21"/>
                          </w:rPr>
                          <w:t>金红</w:t>
                        </w:r>
                        <w:r>
                          <w:rPr>
                            <w:rFonts w:ascii="宋体" w:hAnsi="宋体" w:cs="宋体" w:eastAsia="宋体" w:hint="default"/>
                            <w:spacing w:val="-3"/>
                            <w:w w:val="100"/>
                            <w:sz w:val="21"/>
                            <w:szCs w:val="21"/>
                          </w:rPr>
                          <w:t>利</w:t>
                        </w:r>
                        <w:r>
                          <w:rPr>
                            <w:rFonts w:ascii="宋体" w:hAnsi="宋体" w:cs="宋体" w:eastAsia="宋体" w:hint="default"/>
                            <w:w w:val="100"/>
                            <w:sz w:val="21"/>
                            <w:szCs w:val="21"/>
                          </w:rPr>
                          <w:t>人</w:t>
                        </w:r>
                        <w:r>
                          <w:rPr>
                            <w:rFonts w:ascii="宋体" w:hAnsi="宋体" w:cs="宋体" w:eastAsia="宋体" w:hint="default"/>
                            <w:spacing w:val="-3"/>
                            <w:w w:val="100"/>
                            <w:sz w:val="21"/>
                            <w:szCs w:val="21"/>
                          </w:rPr>
                          <w:t>民</w:t>
                        </w:r>
                        <w:r>
                          <w:rPr>
                            <w:rFonts w:ascii="宋体" w:hAnsi="宋体" w:cs="宋体" w:eastAsia="宋体" w:hint="default"/>
                            <w:w w:val="100"/>
                            <w:sz w:val="21"/>
                            <w:szCs w:val="21"/>
                          </w:rPr>
                          <w:t>币</w:t>
                        </w:r>
                        <w:r>
                          <w:rPr>
                            <w:rFonts w:ascii="宋体" w:hAnsi="宋体" w:cs="宋体" w:eastAsia="宋体" w:hint="default"/>
                            <w:spacing w:val="-53"/>
                            <w:sz w:val="21"/>
                            <w:szCs w:val="21"/>
                          </w:rPr>
                          <w:t> </w:t>
                        </w:r>
                        <w:r>
                          <w:rPr>
                            <w:rFonts w:ascii="宋体" w:hAnsi="宋体" w:cs="宋体" w:eastAsia="宋体" w:hint="default"/>
                            <w:spacing w:val="-3"/>
                            <w:w w:val="100"/>
                            <w:sz w:val="21"/>
                            <w:szCs w:val="21"/>
                          </w:rPr>
                          <w:t>7</w:t>
                        </w:r>
                        <w:r>
                          <w:rPr>
                            <w:rFonts w:ascii="宋体" w:hAnsi="宋体" w:cs="宋体" w:eastAsia="宋体" w:hint="default"/>
                            <w:w w:val="100"/>
                            <w:sz w:val="21"/>
                            <w:szCs w:val="21"/>
                          </w:rPr>
                          <w:t>2,4</w:t>
                        </w:r>
                        <w:r>
                          <w:rPr>
                            <w:rFonts w:ascii="宋体" w:hAnsi="宋体" w:cs="宋体" w:eastAsia="宋体" w:hint="default"/>
                            <w:spacing w:val="-3"/>
                            <w:w w:val="100"/>
                            <w:sz w:val="21"/>
                            <w:szCs w:val="21"/>
                          </w:rPr>
                          <w:t>6</w:t>
                        </w:r>
                        <w:r>
                          <w:rPr>
                            <w:rFonts w:ascii="宋体" w:hAnsi="宋体" w:cs="宋体" w:eastAsia="宋体" w:hint="default"/>
                            <w:w w:val="100"/>
                            <w:sz w:val="21"/>
                            <w:szCs w:val="21"/>
                          </w:rPr>
                          <w:t>9,0</w:t>
                        </w:r>
                        <w:r>
                          <w:rPr>
                            <w:rFonts w:ascii="宋体" w:hAnsi="宋体" w:cs="宋体" w:eastAsia="宋体" w:hint="default"/>
                            <w:spacing w:val="-3"/>
                            <w:w w:val="100"/>
                            <w:sz w:val="21"/>
                            <w:szCs w:val="21"/>
                          </w:rPr>
                          <w:t>18</w:t>
                        </w:r>
                        <w:r>
                          <w:rPr>
                            <w:rFonts w:ascii="宋体" w:hAnsi="宋体" w:cs="宋体" w:eastAsia="宋体" w:hint="default"/>
                            <w:w w:val="100"/>
                            <w:sz w:val="21"/>
                            <w:szCs w:val="21"/>
                          </w:rPr>
                          <w:t>.53</w:t>
                        </w:r>
                        <w:r>
                          <w:rPr>
                            <w:rFonts w:ascii="宋体" w:hAnsi="宋体" w:cs="宋体" w:eastAsia="宋体" w:hint="default"/>
                            <w:spacing w:val="-53"/>
                            <w:sz w:val="21"/>
                            <w:szCs w:val="21"/>
                          </w:rPr>
                          <w:t> </w:t>
                        </w:r>
                        <w:r>
                          <w:rPr>
                            <w:rFonts w:ascii="宋体" w:hAnsi="宋体" w:cs="宋体" w:eastAsia="宋体" w:hint="default"/>
                            <w:spacing w:val="-3"/>
                            <w:w w:val="100"/>
                            <w:sz w:val="21"/>
                            <w:szCs w:val="21"/>
                          </w:rPr>
                          <w:t>元。</w:t>
                        </w:r>
                        <w:r>
                          <w:rPr>
                            <w:rFonts w:ascii="宋体" w:hAnsi="宋体" w:cs="宋体" w:eastAsia="宋体" w:hint="default"/>
                            <w:w w:val="100"/>
                            <w:sz w:val="21"/>
                            <w:szCs w:val="21"/>
                          </w:rPr>
                        </w:r>
                      </w:p>
                    </w:tc>
                  </w:tr>
                </w:tbl>
                <w:p>
                  <w:pPr/>
                </w:p>
              </w:txbxContent>
            </v:textbox>
            <w10:wrap type="none"/>
          </v:shape>
        </w:pict>
      </w:r>
      <w:r>
        <w:rPr>
          <w:w w:val="100"/>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年（包括本报告期</w:t>
      </w:r>
      <w:r>
        <w:rPr>
          <w:rFonts w:ascii="宋体" w:hAnsi="宋体" w:cs="宋体" w:eastAsia="宋体" w:hint="default"/>
          <w:spacing w:val="-3"/>
          <w:sz w:val="18"/>
          <w:szCs w:val="18"/>
        </w:rPr>
        <w:t>）</w:t>
      </w:r>
      <w:r>
        <w:rPr>
          <w:rFonts w:ascii="宋体" w:hAnsi="宋体" w:cs="宋体" w:eastAsia="宋体" w:hint="default"/>
          <w:sz w:val="18"/>
          <w:szCs w:val="18"/>
        </w:rPr>
        <w:t>的普通股股利分配方案（预案</w:t>
      </w:r>
      <w:r>
        <w:rPr>
          <w:rFonts w:ascii="宋体" w:hAnsi="宋体" w:cs="宋体" w:eastAsia="宋体" w:hint="default"/>
          <w:spacing w:val="-89"/>
          <w:sz w:val="18"/>
          <w:szCs w:val="18"/>
        </w:rPr>
        <w:t>）</w:t>
      </w:r>
      <w:r>
        <w:rPr>
          <w:rFonts w:ascii="宋体" w:hAnsi="宋体" w:cs="宋体" w:eastAsia="宋体" w:hint="default"/>
          <w:sz w:val="18"/>
          <w:szCs w:val="18"/>
        </w:rPr>
        <w:t>、资本公积金转增股本方案（预案）情况</w:t>
      </w:r>
    </w:p>
    <w:p>
      <w:pPr>
        <w:pStyle w:val="BodyText"/>
        <w:spacing w:line="408" w:lineRule="auto" w:before="157"/>
        <w:ind w:right="986" w:firstLine="419"/>
        <w:jc w:val="left"/>
      </w:pPr>
      <w:r>
        <w:rPr>
          <w:rFonts w:ascii="宋体" w:hAnsi="宋体" w:cs="宋体" w:eastAsia="宋体" w:hint="default"/>
          <w:spacing w:val="-2"/>
        </w:rPr>
        <w:t>1</w:t>
      </w:r>
      <w:r>
        <w:rPr>
          <w:spacing w:val="-2"/>
        </w:rPr>
        <w:t>、</w:t>
      </w:r>
      <w:r>
        <w:rPr>
          <w:rFonts w:ascii="宋体" w:hAnsi="宋体" w:cs="宋体" w:eastAsia="宋体" w:hint="default"/>
          <w:spacing w:val="-2"/>
        </w:rPr>
        <w:t>2017</w:t>
      </w:r>
      <w:r>
        <w:rPr>
          <w:spacing w:val="-2"/>
        </w:rPr>
        <w:t>年利润分配方案：以公司总股本</w:t>
      </w:r>
      <w:r>
        <w:rPr>
          <w:rFonts w:ascii="宋体" w:hAnsi="宋体" w:cs="宋体" w:eastAsia="宋体" w:hint="default"/>
          <w:spacing w:val="-2"/>
        </w:rPr>
        <w:t>496,803,986</w:t>
      </w:r>
      <w:r>
        <w:rPr>
          <w:spacing w:val="-2"/>
        </w:rPr>
        <w:t>股为基数向全体股东每</w:t>
      </w:r>
      <w:r>
        <w:rPr>
          <w:rFonts w:ascii="宋体" w:hAnsi="宋体" w:cs="宋体" w:eastAsia="宋体" w:hint="default"/>
          <w:spacing w:val="-2"/>
        </w:rPr>
        <w:t>10</w:t>
      </w:r>
      <w:r>
        <w:rPr>
          <w:spacing w:val="-2"/>
        </w:rPr>
        <w:t>股派发现金股利</w:t>
      </w:r>
      <w:r>
        <w:rPr>
          <w:rFonts w:ascii="宋体" w:hAnsi="宋体" w:cs="宋体" w:eastAsia="宋体" w:hint="default"/>
          <w:spacing w:val="-2"/>
        </w:rPr>
        <w:t>2</w:t>
      </w:r>
      <w:r>
        <w:rPr>
          <w:spacing w:val="-2"/>
        </w:rPr>
        <w:t>元人</w:t>
      </w:r>
      <w:r>
        <w:rPr>
          <w:spacing w:val="-3"/>
          <w:w w:val="100"/>
        </w:rPr>
        <w:t> </w:t>
      </w:r>
      <w:r>
        <w:rPr/>
        <w:t>民币（含税），合计派发现金红利人民币</w:t>
      </w:r>
      <w:r>
        <w:rPr>
          <w:rFonts w:ascii="宋体" w:hAnsi="宋体" w:cs="宋体" w:eastAsia="宋体" w:hint="default"/>
        </w:rPr>
        <w:t>99,360,797.2</w:t>
      </w:r>
      <w:r>
        <w:rPr/>
        <w:t>元，同时，进行资本公积金转增股本，以总股本</w:t>
      </w:r>
      <w:r>
        <w:rPr>
          <w:w w:val="100"/>
        </w:rPr>
        <w:t> </w:t>
      </w:r>
      <w:r>
        <w:rPr>
          <w:rFonts w:ascii="宋体" w:hAnsi="宋体" w:cs="宋体" w:eastAsia="宋体" w:hint="default"/>
          <w:spacing w:val="-2"/>
        </w:rPr>
        <w:t>496,803,986</w:t>
      </w:r>
      <w:r>
        <w:rPr>
          <w:spacing w:val="-2"/>
        </w:rPr>
        <w:t>股为基数，向全体股东每</w:t>
      </w:r>
      <w:r>
        <w:rPr>
          <w:rFonts w:ascii="宋体" w:hAnsi="宋体" w:cs="宋体" w:eastAsia="宋体" w:hint="default"/>
          <w:spacing w:val="-2"/>
        </w:rPr>
        <w:t>10</w:t>
      </w:r>
      <w:r>
        <w:rPr>
          <w:spacing w:val="-2"/>
        </w:rPr>
        <w:t>股转增</w:t>
      </w:r>
      <w:r>
        <w:rPr>
          <w:rFonts w:ascii="宋体" w:hAnsi="宋体" w:cs="宋体" w:eastAsia="宋体" w:hint="default"/>
          <w:spacing w:val="-2"/>
        </w:rPr>
        <w:t>6</w:t>
      </w:r>
      <w:r>
        <w:rPr>
          <w:spacing w:val="-2"/>
        </w:rPr>
        <w:t>股，共计转增</w:t>
      </w:r>
      <w:r>
        <w:rPr>
          <w:rFonts w:ascii="宋体" w:hAnsi="宋体" w:cs="宋体" w:eastAsia="宋体" w:hint="default"/>
          <w:spacing w:val="-2"/>
        </w:rPr>
        <w:t>298,082,391</w:t>
      </w:r>
      <w:r>
        <w:rPr>
          <w:spacing w:val="-2"/>
        </w:rPr>
        <w:t>股，转增后公司总股本增加至</w:t>
      </w:r>
    </w:p>
    <w:p>
      <w:pPr>
        <w:pStyle w:val="BodyText"/>
        <w:spacing w:line="240" w:lineRule="auto"/>
        <w:ind w:right="986"/>
        <w:jc w:val="left"/>
      </w:pPr>
      <w:r>
        <w:rPr>
          <w:rFonts w:ascii="宋体" w:hAnsi="宋体" w:cs="宋体" w:eastAsia="宋体" w:hint="default"/>
        </w:rPr>
        <w:t>794,886,377</w:t>
      </w:r>
      <w:r>
        <w:rPr/>
        <w:t>股。</w:t>
      </w:r>
    </w:p>
    <w:p>
      <w:pPr>
        <w:spacing w:line="240" w:lineRule="auto" w:before="10"/>
        <w:rPr>
          <w:rFonts w:ascii="宋体" w:hAnsi="宋体" w:cs="宋体" w:eastAsia="宋体" w:hint="default"/>
          <w:sz w:val="14"/>
          <w:szCs w:val="14"/>
        </w:rPr>
      </w:pPr>
    </w:p>
    <w:p>
      <w:pPr>
        <w:pStyle w:val="BodyText"/>
        <w:spacing w:line="408" w:lineRule="auto" w:before="0"/>
        <w:ind w:left="153" w:right="986" w:firstLine="419"/>
        <w:jc w:val="left"/>
      </w:pPr>
      <w:r>
        <w:rPr>
          <w:rFonts w:ascii="宋体" w:hAnsi="宋体" w:cs="宋体" w:eastAsia="宋体" w:hint="default"/>
          <w:spacing w:val="-2"/>
        </w:rPr>
        <w:t>2</w:t>
      </w:r>
      <w:r>
        <w:rPr>
          <w:spacing w:val="-2"/>
        </w:rPr>
        <w:t>、</w:t>
      </w:r>
      <w:r>
        <w:rPr>
          <w:rFonts w:ascii="宋体" w:hAnsi="宋体" w:cs="宋体" w:eastAsia="宋体" w:hint="default"/>
          <w:spacing w:val="-2"/>
        </w:rPr>
        <w:t>2018</w:t>
      </w:r>
      <w:r>
        <w:rPr>
          <w:spacing w:val="-2"/>
        </w:rPr>
        <w:t>年利润分配方案：以公司总股本</w:t>
      </w:r>
      <w:r>
        <w:rPr>
          <w:rFonts w:ascii="宋体" w:hAnsi="宋体" w:cs="宋体" w:eastAsia="宋体" w:hint="default"/>
          <w:spacing w:val="-2"/>
        </w:rPr>
        <w:t>794,832,809</w:t>
      </w:r>
      <w:r>
        <w:rPr>
          <w:spacing w:val="-2"/>
        </w:rPr>
        <w:t>股为基数向全体股东每</w:t>
      </w:r>
      <w:r>
        <w:rPr>
          <w:rFonts w:ascii="宋体" w:hAnsi="宋体" w:cs="宋体" w:eastAsia="宋体" w:hint="default"/>
          <w:spacing w:val="-2"/>
        </w:rPr>
        <w:t>10</w:t>
      </w:r>
      <w:r>
        <w:rPr>
          <w:spacing w:val="-2"/>
        </w:rPr>
        <w:t>股派发现金股利</w:t>
      </w:r>
      <w:r>
        <w:rPr>
          <w:rFonts w:ascii="宋体" w:hAnsi="宋体" w:cs="宋体" w:eastAsia="宋体" w:hint="default"/>
          <w:spacing w:val="-2"/>
        </w:rPr>
        <w:t>0.8</w:t>
      </w:r>
      <w:r>
        <w:rPr>
          <w:spacing w:val="-2"/>
        </w:rPr>
        <w:t>元</w:t>
      </w:r>
      <w:r>
        <w:rPr>
          <w:w w:val="100"/>
        </w:rPr>
        <w:t> </w:t>
      </w:r>
      <w:r>
        <w:rPr/>
        <w:t>人民币（含税），合计派发现金红利人民币</w:t>
      </w:r>
      <w:r>
        <w:rPr>
          <w:rFonts w:ascii="宋体" w:hAnsi="宋体" w:cs="宋体" w:eastAsia="宋体" w:hint="default"/>
        </w:rPr>
        <w:t>63,586,624.72</w:t>
      </w:r>
      <w:r>
        <w:rPr/>
        <w:t>元。</w:t>
      </w:r>
    </w:p>
    <w:p>
      <w:pPr>
        <w:pStyle w:val="BodyText"/>
        <w:spacing w:line="408" w:lineRule="auto"/>
        <w:ind w:left="153" w:right="986" w:firstLine="419"/>
        <w:jc w:val="left"/>
      </w:pPr>
      <w:r>
        <w:rPr>
          <w:rFonts w:ascii="宋体" w:hAnsi="宋体" w:cs="宋体" w:eastAsia="宋体" w:hint="default"/>
          <w:spacing w:val="-2"/>
        </w:rPr>
        <w:t>3</w:t>
      </w:r>
      <w:r>
        <w:rPr>
          <w:spacing w:val="-2"/>
        </w:rPr>
        <w:t>、</w:t>
      </w:r>
      <w:r>
        <w:rPr>
          <w:rFonts w:ascii="宋体" w:hAnsi="宋体" w:cs="宋体" w:eastAsia="宋体" w:hint="default"/>
          <w:spacing w:val="-2"/>
        </w:rPr>
        <w:t>2019</w:t>
      </w:r>
      <w:r>
        <w:rPr>
          <w:spacing w:val="-2"/>
        </w:rPr>
        <w:t>年利润分配方案：以公司总股本</w:t>
      </w:r>
      <w:r>
        <w:rPr>
          <w:rFonts w:ascii="宋体" w:hAnsi="宋体" w:cs="宋体" w:eastAsia="宋体" w:hint="default"/>
          <w:spacing w:val="-2"/>
        </w:rPr>
        <w:t>805,211,317</w:t>
      </w:r>
      <w:r>
        <w:rPr>
          <w:spacing w:val="-2"/>
        </w:rPr>
        <w:t>股为基数向全体股东每</w:t>
      </w:r>
      <w:r>
        <w:rPr>
          <w:rFonts w:ascii="宋体" w:hAnsi="宋体" w:cs="宋体" w:eastAsia="宋体" w:hint="default"/>
          <w:spacing w:val="-2"/>
        </w:rPr>
        <w:t>10</w:t>
      </w:r>
      <w:r>
        <w:rPr>
          <w:spacing w:val="-2"/>
        </w:rPr>
        <w:t>股派发现金股利</w:t>
      </w:r>
      <w:r>
        <w:rPr>
          <w:rFonts w:ascii="宋体" w:hAnsi="宋体" w:cs="宋体" w:eastAsia="宋体" w:hint="default"/>
          <w:spacing w:val="-2"/>
        </w:rPr>
        <w:t>0.9</w:t>
      </w:r>
      <w:r>
        <w:rPr>
          <w:spacing w:val="-2"/>
        </w:rPr>
        <w:t>元</w:t>
      </w:r>
      <w:r>
        <w:rPr>
          <w:w w:val="100"/>
        </w:rPr>
        <w:t> </w:t>
      </w:r>
      <w:r>
        <w:rPr/>
        <w:t>人民币（含税），合计派发现金红利人民币</w:t>
      </w:r>
      <w:r>
        <w:rPr>
          <w:rFonts w:ascii="宋体" w:hAnsi="宋体" w:cs="宋体" w:eastAsia="宋体" w:hint="default"/>
        </w:rPr>
        <w:t>72,469,018.53</w:t>
      </w:r>
      <w:r>
        <w:rPr/>
        <w:t>元。</w:t>
      </w:r>
    </w:p>
    <w:p>
      <w:pPr>
        <w:spacing w:before="30"/>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公司近三年（包括本报告期）普通股现金分红情况表</w:t>
      </w:r>
    </w:p>
    <w:p>
      <w:pPr>
        <w:spacing w:before="115"/>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85"/>
        <w:gridCol w:w="1231"/>
        <w:gridCol w:w="1301"/>
        <w:gridCol w:w="1218"/>
        <w:gridCol w:w="1020"/>
        <w:gridCol w:w="1338"/>
        <w:gridCol w:w="1139"/>
        <w:gridCol w:w="1525"/>
      </w:tblGrid>
      <w:tr>
        <w:trPr>
          <w:trHeight w:val="161" w:hRule="exact"/>
        </w:trPr>
        <w:tc>
          <w:tcPr>
            <w:tcW w:w="785" w:type="dxa"/>
            <w:vMerge w:val="restart"/>
            <w:tcBorders>
              <w:top w:val="single" w:sz="4" w:space="0" w:color="000000"/>
              <w:left w:val="single" w:sz="4" w:space="0" w:color="000000"/>
              <w:right w:val="single" w:sz="4" w:space="0" w:color="000000"/>
            </w:tcBorders>
            <w:shd w:val="clear" w:color="auto" w:fill="D4D4D4"/>
          </w:tcPr>
          <w:p>
            <w:pPr/>
          </w:p>
        </w:tc>
        <w:tc>
          <w:tcPr>
            <w:tcW w:w="1231" w:type="dxa"/>
            <w:vMerge w:val="restart"/>
            <w:tcBorders>
              <w:top w:val="single" w:sz="4" w:space="0" w:color="000000"/>
              <w:left w:val="single" w:sz="4" w:space="0" w:color="000000"/>
              <w:right w:val="single" w:sz="4" w:space="0" w:color="000000"/>
            </w:tcBorders>
            <w:shd w:val="clear" w:color="auto" w:fill="D4D4D4"/>
          </w:tcPr>
          <w:p>
            <w:pPr/>
          </w:p>
        </w:tc>
        <w:tc>
          <w:tcPr>
            <w:tcW w:w="1301" w:type="dxa"/>
            <w:tcBorders>
              <w:top w:val="single" w:sz="4" w:space="0" w:color="000000"/>
              <w:left w:val="single" w:sz="4" w:space="0" w:color="000000"/>
              <w:bottom w:val="nil" w:sz="6" w:space="0" w:color="auto"/>
              <w:right w:val="single" w:sz="4" w:space="0" w:color="000000"/>
            </w:tcBorders>
            <w:shd w:val="clear" w:color="auto" w:fill="D4D4D4"/>
          </w:tcPr>
          <w:p>
            <w:pPr/>
          </w:p>
        </w:tc>
        <w:tc>
          <w:tcPr>
            <w:tcW w:w="1218"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57" w:right="68"/>
              <w:jc w:val="center"/>
              <w:rPr>
                <w:rFonts w:ascii="宋体" w:hAnsi="宋体" w:cs="宋体" w:eastAsia="宋体" w:hint="default"/>
                <w:sz w:val="18"/>
                <w:szCs w:val="18"/>
              </w:rPr>
            </w:pPr>
            <w:r>
              <w:rPr>
                <w:rFonts w:ascii="宋体" w:hAnsi="宋体" w:cs="宋体" w:eastAsia="宋体" w:hint="default"/>
                <w:sz w:val="18"/>
                <w:szCs w:val="18"/>
              </w:rPr>
              <w:t>现金分红金额 占合并报表中 归属于上市公 司普通股股东 的净利润的比 率</w:t>
            </w:r>
          </w:p>
        </w:tc>
        <w:tc>
          <w:tcPr>
            <w:tcW w:w="1020" w:type="dxa"/>
            <w:vMerge w:val="restart"/>
            <w:tcBorders>
              <w:top w:val="single" w:sz="4" w:space="0" w:color="000000"/>
              <w:left w:val="single" w:sz="4" w:space="0" w:color="000000"/>
              <w:right w:val="single" w:sz="4" w:space="0" w:color="000000"/>
            </w:tcBorders>
            <w:shd w:val="clear" w:color="auto" w:fill="D4D4D4"/>
          </w:tcPr>
          <w:p>
            <w:pPr/>
          </w:p>
        </w:tc>
        <w:tc>
          <w:tcPr>
            <w:tcW w:w="1338"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39" w:right="26"/>
              <w:jc w:val="center"/>
              <w:rPr>
                <w:rFonts w:ascii="宋体" w:hAnsi="宋体" w:cs="宋体" w:eastAsia="宋体" w:hint="default"/>
                <w:sz w:val="18"/>
                <w:szCs w:val="18"/>
              </w:rPr>
            </w:pPr>
            <w:r>
              <w:rPr>
                <w:rFonts w:ascii="宋体" w:hAnsi="宋体" w:cs="宋体" w:eastAsia="宋体" w:hint="default"/>
                <w:sz w:val="18"/>
                <w:szCs w:val="18"/>
              </w:rPr>
              <w:t>以其他方式现金 分红金额占合并 报表中归属于上 市公司普通股股 东的净利润的比 例</w:t>
            </w:r>
          </w:p>
        </w:tc>
        <w:tc>
          <w:tcPr>
            <w:tcW w:w="1139" w:type="dxa"/>
            <w:vMerge w:val="restart"/>
            <w:tcBorders>
              <w:top w:val="single" w:sz="4" w:space="0" w:color="000000"/>
              <w:left w:val="single" w:sz="4" w:space="0" w:color="000000"/>
              <w:right w:val="single" w:sz="4" w:space="0" w:color="000000"/>
            </w:tcBorders>
            <w:shd w:val="clear" w:color="auto" w:fill="D4D4D4"/>
          </w:tcPr>
          <w:p>
            <w:pPr/>
          </w:p>
        </w:tc>
        <w:tc>
          <w:tcPr>
            <w:tcW w:w="1525" w:type="dxa"/>
            <w:tcBorders>
              <w:top w:val="single" w:sz="4" w:space="0" w:color="000000"/>
              <w:left w:val="single" w:sz="4" w:space="0" w:color="000000"/>
              <w:bottom w:val="nil" w:sz="6" w:space="0" w:color="auto"/>
              <w:right w:val="single" w:sz="4" w:space="0" w:color="000000"/>
            </w:tcBorders>
            <w:shd w:val="clear" w:color="auto" w:fill="D4D4D4"/>
          </w:tcPr>
          <w:p>
            <w:pPr/>
          </w:p>
        </w:tc>
      </w:tr>
      <w:tr>
        <w:trPr>
          <w:trHeight w:val="156" w:hRule="exact"/>
        </w:trPr>
        <w:tc>
          <w:tcPr>
            <w:tcW w:w="785" w:type="dxa"/>
            <w:vMerge/>
            <w:tcBorders>
              <w:left w:val="single" w:sz="4" w:space="0" w:color="000000"/>
              <w:right w:val="single" w:sz="4" w:space="0" w:color="000000"/>
            </w:tcBorders>
            <w:shd w:val="clear" w:color="auto" w:fill="D4D4D4"/>
          </w:tcPr>
          <w:p>
            <w:pPr/>
          </w:p>
        </w:tc>
        <w:tc>
          <w:tcPr>
            <w:tcW w:w="1231" w:type="dxa"/>
            <w:vMerge/>
            <w:tcBorders>
              <w:left w:val="single" w:sz="4" w:space="0" w:color="000000"/>
              <w:right w:val="single" w:sz="4" w:space="0" w:color="000000"/>
            </w:tcBorders>
            <w:shd w:val="clear" w:color="auto" w:fill="D4D4D4"/>
          </w:tcPr>
          <w:p>
            <w:pPr/>
          </w:p>
        </w:tc>
        <w:tc>
          <w:tcPr>
            <w:tcW w:w="1301"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49"/>
              <w:ind w:left="100" w:right="108"/>
              <w:jc w:val="center"/>
              <w:rPr>
                <w:rFonts w:ascii="宋体" w:hAnsi="宋体" w:cs="宋体" w:eastAsia="宋体" w:hint="default"/>
                <w:sz w:val="18"/>
                <w:szCs w:val="18"/>
              </w:rPr>
            </w:pPr>
            <w:r>
              <w:rPr>
                <w:rFonts w:ascii="宋体" w:hAnsi="宋体" w:cs="宋体" w:eastAsia="宋体" w:hint="default"/>
                <w:sz w:val="18"/>
                <w:szCs w:val="18"/>
              </w:rPr>
              <w:t>分红年度合并 报表中归属于 上市公司普通 股股东的净利 润</w:t>
            </w:r>
          </w:p>
        </w:tc>
        <w:tc>
          <w:tcPr>
            <w:tcW w:w="1218" w:type="dxa"/>
            <w:vMerge/>
            <w:tcBorders>
              <w:left w:val="single" w:sz="4" w:space="0" w:color="000000"/>
              <w:right w:val="single" w:sz="4" w:space="0" w:color="000000"/>
            </w:tcBorders>
            <w:shd w:val="clear" w:color="auto" w:fill="D4D4D4"/>
          </w:tcPr>
          <w:p>
            <w:pPr/>
          </w:p>
        </w:tc>
        <w:tc>
          <w:tcPr>
            <w:tcW w:w="1020" w:type="dxa"/>
            <w:vMerge/>
            <w:tcBorders>
              <w:left w:val="single" w:sz="4" w:space="0" w:color="000000"/>
              <w:bottom w:val="nil" w:sz="6" w:space="0" w:color="auto"/>
              <w:right w:val="single" w:sz="4" w:space="0" w:color="000000"/>
            </w:tcBorders>
            <w:shd w:val="clear" w:color="auto" w:fill="D4D4D4"/>
          </w:tcPr>
          <w:p>
            <w:pPr/>
          </w:p>
        </w:tc>
        <w:tc>
          <w:tcPr>
            <w:tcW w:w="1338" w:type="dxa"/>
            <w:vMerge/>
            <w:tcBorders>
              <w:left w:val="single" w:sz="4" w:space="0" w:color="000000"/>
              <w:right w:val="single" w:sz="4" w:space="0" w:color="000000"/>
            </w:tcBorders>
            <w:shd w:val="clear" w:color="auto" w:fill="D4D4D4"/>
          </w:tcPr>
          <w:p>
            <w:pPr/>
          </w:p>
        </w:tc>
        <w:tc>
          <w:tcPr>
            <w:tcW w:w="1139" w:type="dxa"/>
            <w:vMerge/>
            <w:tcBorders>
              <w:left w:val="single" w:sz="4" w:space="0" w:color="000000"/>
              <w:right w:val="single" w:sz="4" w:space="0" w:color="000000"/>
            </w:tcBorders>
            <w:shd w:val="clear" w:color="auto" w:fill="D4D4D4"/>
          </w:tcPr>
          <w:p>
            <w:pPr/>
          </w:p>
        </w:tc>
        <w:tc>
          <w:tcPr>
            <w:tcW w:w="1525"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49"/>
              <w:ind w:left="44" w:right="29"/>
              <w:jc w:val="center"/>
              <w:rPr>
                <w:rFonts w:ascii="宋体" w:hAnsi="宋体" w:cs="宋体" w:eastAsia="宋体" w:hint="default"/>
                <w:sz w:val="18"/>
                <w:szCs w:val="18"/>
              </w:rPr>
            </w:pPr>
            <w:r>
              <w:rPr>
                <w:rFonts w:ascii="宋体" w:hAnsi="宋体" w:cs="宋体" w:eastAsia="宋体" w:hint="default"/>
                <w:sz w:val="18"/>
                <w:szCs w:val="18"/>
              </w:rPr>
              <w:t>现金分红总额（含 其他方式）占合并 报表中归属于上市 公司普通股股东的 净利润的比率</w:t>
            </w:r>
          </w:p>
        </w:tc>
      </w:tr>
      <w:tr>
        <w:trPr>
          <w:trHeight w:val="156" w:hRule="exact"/>
        </w:trPr>
        <w:tc>
          <w:tcPr>
            <w:tcW w:w="785" w:type="dxa"/>
            <w:vMerge/>
            <w:tcBorders>
              <w:left w:val="single" w:sz="4" w:space="0" w:color="000000"/>
              <w:right w:val="single" w:sz="4" w:space="0" w:color="000000"/>
            </w:tcBorders>
            <w:shd w:val="clear" w:color="auto" w:fill="D4D4D4"/>
          </w:tcPr>
          <w:p>
            <w:pPr/>
          </w:p>
        </w:tc>
        <w:tc>
          <w:tcPr>
            <w:tcW w:w="1231" w:type="dxa"/>
            <w:vMerge/>
            <w:tcBorders>
              <w:left w:val="single" w:sz="4" w:space="0" w:color="000000"/>
              <w:right w:val="single" w:sz="4" w:space="0" w:color="000000"/>
            </w:tcBorders>
            <w:shd w:val="clear" w:color="auto" w:fill="D4D4D4"/>
          </w:tcPr>
          <w:p>
            <w:pPr/>
          </w:p>
        </w:tc>
        <w:tc>
          <w:tcPr>
            <w:tcW w:w="1301" w:type="dxa"/>
            <w:vMerge/>
            <w:tcBorders>
              <w:left w:val="single" w:sz="4" w:space="0" w:color="000000"/>
              <w:right w:val="single" w:sz="4" w:space="0" w:color="000000"/>
            </w:tcBorders>
            <w:shd w:val="clear" w:color="auto" w:fill="D4D4D4"/>
          </w:tcPr>
          <w:p>
            <w:pPr/>
          </w:p>
        </w:tc>
        <w:tc>
          <w:tcPr>
            <w:tcW w:w="1218" w:type="dxa"/>
            <w:vMerge/>
            <w:tcBorders>
              <w:left w:val="single" w:sz="4" w:space="0" w:color="000000"/>
              <w:right w:val="single" w:sz="4" w:space="0" w:color="000000"/>
            </w:tcBorders>
            <w:shd w:val="clear" w:color="auto" w:fill="D4D4D4"/>
          </w:tcPr>
          <w:p>
            <w:pPr/>
          </w:p>
        </w:tc>
        <w:tc>
          <w:tcPr>
            <w:tcW w:w="1020"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53" w:right="0"/>
              <w:jc w:val="both"/>
              <w:rPr>
                <w:rFonts w:ascii="宋体" w:hAnsi="宋体" w:cs="宋体" w:eastAsia="宋体" w:hint="default"/>
                <w:sz w:val="18"/>
                <w:szCs w:val="18"/>
              </w:rPr>
            </w:pPr>
            <w:r>
              <w:rPr>
                <w:rFonts w:ascii="宋体" w:hAnsi="宋体" w:cs="宋体" w:eastAsia="宋体" w:hint="default"/>
                <w:sz w:val="18"/>
                <w:szCs w:val="18"/>
              </w:rPr>
              <w:t>以其他方式</w:t>
            </w:r>
          </w:p>
          <w:p>
            <w:pPr>
              <w:pStyle w:val="TableParagraph"/>
              <w:spacing w:line="316" w:lineRule="auto" w:before="76"/>
              <w:ind w:left="53" w:right="54"/>
              <w:jc w:val="both"/>
              <w:rPr>
                <w:rFonts w:ascii="宋体" w:hAnsi="宋体" w:cs="宋体" w:eastAsia="宋体" w:hint="default"/>
                <w:sz w:val="18"/>
                <w:szCs w:val="18"/>
              </w:rPr>
            </w:pPr>
            <w:r>
              <w:rPr>
                <w:rFonts w:ascii="宋体" w:hAnsi="宋体" w:cs="宋体" w:eastAsia="宋体" w:hint="default"/>
                <w:sz w:val="18"/>
                <w:szCs w:val="18"/>
              </w:rPr>
              <w:t>（如回购股 份）现金分 红的金额</w:t>
            </w:r>
          </w:p>
        </w:tc>
        <w:tc>
          <w:tcPr>
            <w:tcW w:w="1338" w:type="dxa"/>
            <w:vMerge/>
            <w:tcBorders>
              <w:left w:val="single" w:sz="4" w:space="0" w:color="000000"/>
              <w:right w:val="single" w:sz="4" w:space="0" w:color="000000"/>
            </w:tcBorders>
            <w:shd w:val="clear" w:color="auto" w:fill="D4D4D4"/>
          </w:tcPr>
          <w:p>
            <w:pPr/>
          </w:p>
        </w:tc>
        <w:tc>
          <w:tcPr>
            <w:tcW w:w="1139" w:type="dxa"/>
            <w:vMerge/>
            <w:tcBorders>
              <w:left w:val="single" w:sz="4" w:space="0" w:color="000000"/>
              <w:bottom w:val="nil" w:sz="6" w:space="0" w:color="auto"/>
              <w:right w:val="single" w:sz="4" w:space="0" w:color="000000"/>
            </w:tcBorders>
            <w:shd w:val="clear" w:color="auto" w:fill="D4D4D4"/>
          </w:tcPr>
          <w:p>
            <w:pPr/>
          </w:p>
        </w:tc>
        <w:tc>
          <w:tcPr>
            <w:tcW w:w="1525" w:type="dxa"/>
            <w:vMerge/>
            <w:tcBorders>
              <w:left w:val="single" w:sz="4" w:space="0" w:color="000000"/>
              <w:right w:val="single" w:sz="4" w:space="0" w:color="000000"/>
            </w:tcBorders>
            <w:shd w:val="clear" w:color="auto" w:fill="D4D4D4"/>
          </w:tcPr>
          <w:p>
            <w:pPr/>
          </w:p>
        </w:tc>
      </w:tr>
      <w:tr>
        <w:trPr>
          <w:trHeight w:val="156" w:hRule="exact"/>
        </w:trPr>
        <w:tc>
          <w:tcPr>
            <w:tcW w:w="785" w:type="dxa"/>
            <w:vMerge/>
            <w:tcBorders>
              <w:left w:val="single" w:sz="4" w:space="0" w:color="000000"/>
              <w:right w:val="single" w:sz="4" w:space="0" w:color="000000"/>
            </w:tcBorders>
            <w:shd w:val="clear" w:color="auto" w:fill="D4D4D4"/>
          </w:tcPr>
          <w:p>
            <w:pPr/>
          </w:p>
        </w:tc>
        <w:tc>
          <w:tcPr>
            <w:tcW w:w="1231" w:type="dxa"/>
            <w:vMerge/>
            <w:tcBorders>
              <w:left w:val="single" w:sz="4" w:space="0" w:color="000000"/>
              <w:bottom w:val="nil" w:sz="6" w:space="0" w:color="auto"/>
              <w:right w:val="single" w:sz="4" w:space="0" w:color="000000"/>
            </w:tcBorders>
            <w:shd w:val="clear" w:color="auto" w:fill="D4D4D4"/>
          </w:tcPr>
          <w:p>
            <w:pPr/>
          </w:p>
        </w:tc>
        <w:tc>
          <w:tcPr>
            <w:tcW w:w="1301" w:type="dxa"/>
            <w:vMerge/>
            <w:tcBorders>
              <w:left w:val="single" w:sz="4" w:space="0" w:color="000000"/>
              <w:right w:val="single" w:sz="4" w:space="0" w:color="000000"/>
            </w:tcBorders>
            <w:shd w:val="clear" w:color="auto" w:fill="D4D4D4"/>
          </w:tcPr>
          <w:p>
            <w:pPr/>
          </w:p>
        </w:tc>
        <w:tc>
          <w:tcPr>
            <w:tcW w:w="1218" w:type="dxa"/>
            <w:vMerge/>
            <w:tcBorders>
              <w:left w:val="single" w:sz="4" w:space="0" w:color="000000"/>
              <w:right w:val="single" w:sz="4" w:space="0" w:color="000000"/>
            </w:tcBorders>
            <w:shd w:val="clear" w:color="auto" w:fill="D4D4D4"/>
          </w:tcPr>
          <w:p>
            <w:pPr/>
          </w:p>
        </w:tc>
        <w:tc>
          <w:tcPr>
            <w:tcW w:w="1020" w:type="dxa"/>
            <w:vMerge/>
            <w:tcBorders>
              <w:left w:val="single" w:sz="4" w:space="0" w:color="000000"/>
              <w:right w:val="single" w:sz="4" w:space="0" w:color="000000"/>
            </w:tcBorders>
            <w:shd w:val="clear" w:color="auto" w:fill="D4D4D4"/>
          </w:tcPr>
          <w:p>
            <w:pPr/>
          </w:p>
        </w:tc>
        <w:tc>
          <w:tcPr>
            <w:tcW w:w="1338" w:type="dxa"/>
            <w:vMerge/>
            <w:tcBorders>
              <w:left w:val="single" w:sz="4" w:space="0" w:color="000000"/>
              <w:right w:val="single" w:sz="4" w:space="0" w:color="000000"/>
            </w:tcBorders>
            <w:shd w:val="clear" w:color="auto" w:fill="D4D4D4"/>
          </w:tcPr>
          <w:p>
            <w:pPr/>
          </w:p>
        </w:tc>
        <w:tc>
          <w:tcPr>
            <w:tcW w:w="1139"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49"/>
              <w:ind w:left="36" w:right="20" w:hanging="3"/>
              <w:jc w:val="center"/>
              <w:rPr>
                <w:rFonts w:ascii="宋体" w:hAnsi="宋体" w:cs="宋体" w:eastAsia="宋体" w:hint="default"/>
                <w:sz w:val="18"/>
                <w:szCs w:val="18"/>
              </w:rPr>
            </w:pPr>
            <w:r>
              <w:rPr>
                <w:rFonts w:ascii="宋体" w:hAnsi="宋体" w:cs="宋体" w:eastAsia="宋体" w:hint="default"/>
                <w:sz w:val="18"/>
                <w:szCs w:val="18"/>
              </w:rPr>
              <w:t>现金分红总 </w:t>
            </w:r>
            <w:r>
              <w:rPr>
                <w:rFonts w:ascii="宋体" w:hAnsi="宋体" w:cs="宋体" w:eastAsia="宋体" w:hint="default"/>
                <w:spacing w:val="-2"/>
                <w:sz w:val="18"/>
                <w:szCs w:val="18"/>
              </w:rPr>
              <w:t>额（含其他方</w:t>
            </w:r>
            <w:r>
              <w:rPr>
                <w:rFonts w:ascii="宋体" w:hAnsi="宋体" w:cs="宋体" w:eastAsia="宋体" w:hint="default"/>
                <w:sz w:val="18"/>
                <w:szCs w:val="18"/>
              </w:rPr>
              <w:t> 式）</w:t>
            </w:r>
          </w:p>
        </w:tc>
        <w:tc>
          <w:tcPr>
            <w:tcW w:w="1525" w:type="dxa"/>
            <w:vMerge/>
            <w:tcBorders>
              <w:left w:val="single" w:sz="4" w:space="0" w:color="000000"/>
              <w:right w:val="single" w:sz="4" w:space="0" w:color="000000"/>
            </w:tcBorders>
            <w:shd w:val="clear" w:color="auto" w:fill="D4D4D4"/>
          </w:tcPr>
          <w:p>
            <w:pPr/>
          </w:p>
        </w:tc>
      </w:tr>
      <w:tr>
        <w:trPr>
          <w:trHeight w:val="156" w:hRule="exact"/>
        </w:trPr>
        <w:tc>
          <w:tcPr>
            <w:tcW w:w="785" w:type="dxa"/>
            <w:vMerge/>
            <w:tcBorders>
              <w:left w:val="single" w:sz="4" w:space="0" w:color="000000"/>
              <w:bottom w:val="nil" w:sz="6" w:space="0" w:color="auto"/>
              <w:right w:val="single" w:sz="4" w:space="0" w:color="000000"/>
            </w:tcBorders>
            <w:shd w:val="clear" w:color="auto" w:fill="D4D4D4"/>
          </w:tcPr>
          <w:p>
            <w:pPr/>
          </w:p>
        </w:tc>
        <w:tc>
          <w:tcPr>
            <w:tcW w:w="1231"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现金分红金额</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（含税）</w:t>
            </w:r>
          </w:p>
        </w:tc>
        <w:tc>
          <w:tcPr>
            <w:tcW w:w="1301" w:type="dxa"/>
            <w:vMerge/>
            <w:tcBorders>
              <w:left w:val="single" w:sz="4" w:space="0" w:color="000000"/>
              <w:right w:val="single" w:sz="4" w:space="0" w:color="000000"/>
            </w:tcBorders>
            <w:shd w:val="clear" w:color="auto" w:fill="D4D4D4"/>
          </w:tcPr>
          <w:p>
            <w:pPr/>
          </w:p>
        </w:tc>
        <w:tc>
          <w:tcPr>
            <w:tcW w:w="1218" w:type="dxa"/>
            <w:vMerge/>
            <w:tcBorders>
              <w:left w:val="single" w:sz="4" w:space="0" w:color="000000"/>
              <w:right w:val="single" w:sz="4" w:space="0" w:color="000000"/>
            </w:tcBorders>
            <w:shd w:val="clear" w:color="auto" w:fill="D4D4D4"/>
          </w:tcPr>
          <w:p>
            <w:pPr/>
          </w:p>
        </w:tc>
        <w:tc>
          <w:tcPr>
            <w:tcW w:w="1020" w:type="dxa"/>
            <w:vMerge/>
            <w:tcBorders>
              <w:left w:val="single" w:sz="4" w:space="0" w:color="000000"/>
              <w:right w:val="single" w:sz="4" w:space="0" w:color="000000"/>
            </w:tcBorders>
            <w:shd w:val="clear" w:color="auto" w:fill="D4D4D4"/>
          </w:tcPr>
          <w:p>
            <w:pPr/>
          </w:p>
        </w:tc>
        <w:tc>
          <w:tcPr>
            <w:tcW w:w="1338" w:type="dxa"/>
            <w:vMerge/>
            <w:tcBorders>
              <w:left w:val="single" w:sz="4" w:space="0" w:color="000000"/>
              <w:right w:val="single" w:sz="4" w:space="0" w:color="000000"/>
            </w:tcBorders>
            <w:shd w:val="clear" w:color="auto" w:fill="D4D4D4"/>
          </w:tcPr>
          <w:p>
            <w:pPr/>
          </w:p>
        </w:tc>
        <w:tc>
          <w:tcPr>
            <w:tcW w:w="1139" w:type="dxa"/>
            <w:vMerge/>
            <w:tcBorders>
              <w:left w:val="single" w:sz="4" w:space="0" w:color="000000"/>
              <w:right w:val="single" w:sz="4" w:space="0" w:color="000000"/>
            </w:tcBorders>
            <w:shd w:val="clear" w:color="auto" w:fill="D4D4D4"/>
          </w:tcPr>
          <w:p>
            <w:pPr/>
          </w:p>
        </w:tc>
        <w:tc>
          <w:tcPr>
            <w:tcW w:w="1525" w:type="dxa"/>
            <w:vMerge/>
            <w:tcBorders>
              <w:left w:val="single" w:sz="4" w:space="0" w:color="000000"/>
              <w:right w:val="single" w:sz="4" w:space="0" w:color="000000"/>
            </w:tcBorders>
            <w:shd w:val="clear" w:color="auto" w:fill="D4D4D4"/>
          </w:tcPr>
          <w:p>
            <w:pPr/>
          </w:p>
        </w:tc>
      </w:tr>
      <w:tr>
        <w:trPr>
          <w:trHeight w:val="391" w:hRule="exact"/>
        </w:trPr>
        <w:tc>
          <w:tcPr>
            <w:tcW w:w="785"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231" w:type="dxa"/>
            <w:vMerge/>
            <w:tcBorders>
              <w:left w:val="single" w:sz="4" w:space="0" w:color="000000"/>
              <w:right w:val="single" w:sz="4" w:space="0" w:color="000000"/>
            </w:tcBorders>
            <w:shd w:val="clear" w:color="auto" w:fill="D4D4D4"/>
          </w:tcPr>
          <w:p>
            <w:pPr/>
          </w:p>
        </w:tc>
        <w:tc>
          <w:tcPr>
            <w:tcW w:w="1301" w:type="dxa"/>
            <w:vMerge/>
            <w:tcBorders>
              <w:left w:val="single" w:sz="4" w:space="0" w:color="000000"/>
              <w:right w:val="single" w:sz="4" w:space="0" w:color="000000"/>
            </w:tcBorders>
            <w:shd w:val="clear" w:color="auto" w:fill="D4D4D4"/>
          </w:tcPr>
          <w:p>
            <w:pPr/>
          </w:p>
        </w:tc>
        <w:tc>
          <w:tcPr>
            <w:tcW w:w="1218" w:type="dxa"/>
            <w:vMerge/>
            <w:tcBorders>
              <w:left w:val="single" w:sz="4" w:space="0" w:color="000000"/>
              <w:right w:val="single" w:sz="4" w:space="0" w:color="000000"/>
            </w:tcBorders>
            <w:shd w:val="clear" w:color="auto" w:fill="D4D4D4"/>
          </w:tcPr>
          <w:p>
            <w:pPr/>
          </w:p>
        </w:tc>
        <w:tc>
          <w:tcPr>
            <w:tcW w:w="1020" w:type="dxa"/>
            <w:vMerge/>
            <w:tcBorders>
              <w:left w:val="single" w:sz="4" w:space="0" w:color="000000"/>
              <w:right w:val="single" w:sz="4" w:space="0" w:color="000000"/>
            </w:tcBorders>
            <w:shd w:val="clear" w:color="auto" w:fill="D4D4D4"/>
          </w:tcPr>
          <w:p>
            <w:pPr/>
          </w:p>
        </w:tc>
        <w:tc>
          <w:tcPr>
            <w:tcW w:w="1338" w:type="dxa"/>
            <w:vMerge/>
            <w:tcBorders>
              <w:left w:val="single" w:sz="4" w:space="0" w:color="000000"/>
              <w:right w:val="single" w:sz="4" w:space="0" w:color="000000"/>
            </w:tcBorders>
            <w:shd w:val="clear" w:color="auto" w:fill="D4D4D4"/>
          </w:tcPr>
          <w:p>
            <w:pPr/>
          </w:p>
        </w:tc>
        <w:tc>
          <w:tcPr>
            <w:tcW w:w="1139" w:type="dxa"/>
            <w:vMerge/>
            <w:tcBorders>
              <w:left w:val="single" w:sz="4" w:space="0" w:color="000000"/>
              <w:right w:val="single" w:sz="4" w:space="0" w:color="000000"/>
            </w:tcBorders>
            <w:shd w:val="clear" w:color="auto" w:fill="D4D4D4"/>
          </w:tcPr>
          <w:p>
            <w:pPr/>
          </w:p>
        </w:tc>
        <w:tc>
          <w:tcPr>
            <w:tcW w:w="1525" w:type="dxa"/>
            <w:vMerge/>
            <w:tcBorders>
              <w:left w:val="single" w:sz="4" w:space="0" w:color="000000"/>
              <w:right w:val="single" w:sz="4" w:space="0" w:color="000000"/>
            </w:tcBorders>
            <w:shd w:val="clear" w:color="auto" w:fill="D4D4D4"/>
          </w:tcPr>
          <w:p>
            <w:pPr/>
          </w:p>
        </w:tc>
      </w:tr>
      <w:tr>
        <w:trPr>
          <w:trHeight w:val="156" w:hRule="exact"/>
        </w:trPr>
        <w:tc>
          <w:tcPr>
            <w:tcW w:w="785" w:type="dxa"/>
            <w:vMerge w:val="restart"/>
            <w:tcBorders>
              <w:top w:val="nil" w:sz="6" w:space="0" w:color="auto"/>
              <w:left w:val="single" w:sz="4" w:space="0" w:color="000000"/>
              <w:right w:val="single" w:sz="4" w:space="0" w:color="000000"/>
            </w:tcBorders>
            <w:shd w:val="clear" w:color="auto" w:fill="D4D4D4"/>
          </w:tcPr>
          <w:p>
            <w:pPr/>
          </w:p>
        </w:tc>
        <w:tc>
          <w:tcPr>
            <w:tcW w:w="1231" w:type="dxa"/>
            <w:vMerge/>
            <w:tcBorders>
              <w:left w:val="single" w:sz="4" w:space="0" w:color="000000"/>
              <w:bottom w:val="nil" w:sz="6" w:space="0" w:color="auto"/>
              <w:right w:val="single" w:sz="4" w:space="0" w:color="000000"/>
            </w:tcBorders>
            <w:shd w:val="clear" w:color="auto" w:fill="D4D4D4"/>
          </w:tcPr>
          <w:p>
            <w:pPr/>
          </w:p>
        </w:tc>
        <w:tc>
          <w:tcPr>
            <w:tcW w:w="1301" w:type="dxa"/>
            <w:vMerge/>
            <w:tcBorders>
              <w:left w:val="single" w:sz="4" w:space="0" w:color="000000"/>
              <w:right w:val="single" w:sz="4" w:space="0" w:color="000000"/>
            </w:tcBorders>
            <w:shd w:val="clear" w:color="auto" w:fill="D4D4D4"/>
          </w:tcPr>
          <w:p>
            <w:pPr/>
          </w:p>
        </w:tc>
        <w:tc>
          <w:tcPr>
            <w:tcW w:w="1218" w:type="dxa"/>
            <w:vMerge/>
            <w:tcBorders>
              <w:left w:val="single" w:sz="4" w:space="0" w:color="000000"/>
              <w:right w:val="single" w:sz="4" w:space="0" w:color="000000"/>
            </w:tcBorders>
            <w:shd w:val="clear" w:color="auto" w:fill="D4D4D4"/>
          </w:tcPr>
          <w:p>
            <w:pPr/>
          </w:p>
        </w:tc>
        <w:tc>
          <w:tcPr>
            <w:tcW w:w="1020" w:type="dxa"/>
            <w:vMerge/>
            <w:tcBorders>
              <w:left w:val="single" w:sz="4" w:space="0" w:color="000000"/>
              <w:right w:val="single" w:sz="4" w:space="0" w:color="000000"/>
            </w:tcBorders>
            <w:shd w:val="clear" w:color="auto" w:fill="D4D4D4"/>
          </w:tcPr>
          <w:p>
            <w:pPr/>
          </w:p>
        </w:tc>
        <w:tc>
          <w:tcPr>
            <w:tcW w:w="1338" w:type="dxa"/>
            <w:vMerge/>
            <w:tcBorders>
              <w:left w:val="single" w:sz="4" w:space="0" w:color="000000"/>
              <w:right w:val="single" w:sz="4" w:space="0" w:color="000000"/>
            </w:tcBorders>
            <w:shd w:val="clear" w:color="auto" w:fill="D4D4D4"/>
          </w:tcPr>
          <w:p>
            <w:pPr/>
          </w:p>
        </w:tc>
        <w:tc>
          <w:tcPr>
            <w:tcW w:w="1139" w:type="dxa"/>
            <w:vMerge/>
            <w:tcBorders>
              <w:left w:val="single" w:sz="4" w:space="0" w:color="000000"/>
              <w:right w:val="single" w:sz="4" w:space="0" w:color="000000"/>
            </w:tcBorders>
            <w:shd w:val="clear" w:color="auto" w:fill="D4D4D4"/>
          </w:tcPr>
          <w:p>
            <w:pPr/>
          </w:p>
        </w:tc>
        <w:tc>
          <w:tcPr>
            <w:tcW w:w="1525" w:type="dxa"/>
            <w:vMerge/>
            <w:tcBorders>
              <w:left w:val="single" w:sz="4" w:space="0" w:color="000000"/>
              <w:right w:val="single" w:sz="4" w:space="0" w:color="000000"/>
            </w:tcBorders>
            <w:shd w:val="clear" w:color="auto" w:fill="D4D4D4"/>
          </w:tcPr>
          <w:p>
            <w:pPr/>
          </w:p>
        </w:tc>
      </w:tr>
      <w:tr>
        <w:trPr>
          <w:trHeight w:val="156" w:hRule="exact"/>
        </w:trPr>
        <w:tc>
          <w:tcPr>
            <w:tcW w:w="785" w:type="dxa"/>
            <w:vMerge/>
            <w:tcBorders>
              <w:left w:val="single" w:sz="4" w:space="0" w:color="000000"/>
              <w:right w:val="single" w:sz="4" w:space="0" w:color="000000"/>
            </w:tcBorders>
            <w:shd w:val="clear" w:color="auto" w:fill="D4D4D4"/>
          </w:tcPr>
          <w:p>
            <w:pPr/>
          </w:p>
        </w:tc>
        <w:tc>
          <w:tcPr>
            <w:tcW w:w="1231" w:type="dxa"/>
            <w:vMerge w:val="restart"/>
            <w:tcBorders>
              <w:top w:val="nil" w:sz="6" w:space="0" w:color="auto"/>
              <w:left w:val="single" w:sz="4" w:space="0" w:color="000000"/>
              <w:right w:val="single" w:sz="4" w:space="0" w:color="000000"/>
            </w:tcBorders>
            <w:shd w:val="clear" w:color="auto" w:fill="D4D4D4"/>
          </w:tcPr>
          <w:p>
            <w:pPr/>
          </w:p>
        </w:tc>
        <w:tc>
          <w:tcPr>
            <w:tcW w:w="1301" w:type="dxa"/>
            <w:vMerge/>
            <w:tcBorders>
              <w:left w:val="single" w:sz="4" w:space="0" w:color="000000"/>
              <w:right w:val="single" w:sz="4" w:space="0" w:color="000000"/>
            </w:tcBorders>
            <w:shd w:val="clear" w:color="auto" w:fill="D4D4D4"/>
          </w:tcPr>
          <w:p>
            <w:pPr/>
          </w:p>
        </w:tc>
        <w:tc>
          <w:tcPr>
            <w:tcW w:w="1218" w:type="dxa"/>
            <w:vMerge/>
            <w:tcBorders>
              <w:left w:val="single" w:sz="4" w:space="0" w:color="000000"/>
              <w:right w:val="single" w:sz="4" w:space="0" w:color="000000"/>
            </w:tcBorders>
            <w:shd w:val="clear" w:color="auto" w:fill="D4D4D4"/>
          </w:tcPr>
          <w:p>
            <w:pPr/>
          </w:p>
        </w:tc>
        <w:tc>
          <w:tcPr>
            <w:tcW w:w="1020" w:type="dxa"/>
            <w:vMerge/>
            <w:tcBorders>
              <w:left w:val="single" w:sz="4" w:space="0" w:color="000000"/>
              <w:right w:val="single" w:sz="4" w:space="0" w:color="000000"/>
            </w:tcBorders>
            <w:shd w:val="clear" w:color="auto" w:fill="D4D4D4"/>
          </w:tcPr>
          <w:p>
            <w:pPr/>
          </w:p>
        </w:tc>
        <w:tc>
          <w:tcPr>
            <w:tcW w:w="1338" w:type="dxa"/>
            <w:vMerge/>
            <w:tcBorders>
              <w:left w:val="single" w:sz="4" w:space="0" w:color="000000"/>
              <w:right w:val="single" w:sz="4" w:space="0" w:color="000000"/>
            </w:tcBorders>
            <w:shd w:val="clear" w:color="auto" w:fill="D4D4D4"/>
          </w:tcPr>
          <w:p>
            <w:pPr/>
          </w:p>
        </w:tc>
        <w:tc>
          <w:tcPr>
            <w:tcW w:w="1139" w:type="dxa"/>
            <w:vMerge/>
            <w:tcBorders>
              <w:left w:val="single" w:sz="4" w:space="0" w:color="000000"/>
              <w:bottom w:val="nil" w:sz="6" w:space="0" w:color="auto"/>
              <w:right w:val="single" w:sz="4" w:space="0" w:color="000000"/>
            </w:tcBorders>
            <w:shd w:val="clear" w:color="auto" w:fill="D4D4D4"/>
          </w:tcPr>
          <w:p>
            <w:pPr/>
          </w:p>
        </w:tc>
        <w:tc>
          <w:tcPr>
            <w:tcW w:w="1525" w:type="dxa"/>
            <w:vMerge/>
            <w:tcBorders>
              <w:left w:val="single" w:sz="4" w:space="0" w:color="000000"/>
              <w:right w:val="single" w:sz="4" w:space="0" w:color="000000"/>
            </w:tcBorders>
            <w:shd w:val="clear" w:color="auto" w:fill="D4D4D4"/>
          </w:tcPr>
          <w:p>
            <w:pPr/>
          </w:p>
        </w:tc>
      </w:tr>
      <w:tr>
        <w:trPr>
          <w:trHeight w:val="156" w:hRule="exact"/>
        </w:trPr>
        <w:tc>
          <w:tcPr>
            <w:tcW w:w="785" w:type="dxa"/>
            <w:vMerge/>
            <w:tcBorders>
              <w:left w:val="single" w:sz="4" w:space="0" w:color="000000"/>
              <w:right w:val="single" w:sz="4" w:space="0" w:color="000000"/>
            </w:tcBorders>
            <w:shd w:val="clear" w:color="auto" w:fill="D4D4D4"/>
          </w:tcPr>
          <w:p>
            <w:pPr/>
          </w:p>
        </w:tc>
        <w:tc>
          <w:tcPr>
            <w:tcW w:w="1231" w:type="dxa"/>
            <w:vMerge/>
            <w:tcBorders>
              <w:left w:val="single" w:sz="4" w:space="0" w:color="000000"/>
              <w:right w:val="single" w:sz="4" w:space="0" w:color="000000"/>
            </w:tcBorders>
            <w:shd w:val="clear" w:color="auto" w:fill="D4D4D4"/>
          </w:tcPr>
          <w:p>
            <w:pPr/>
          </w:p>
        </w:tc>
        <w:tc>
          <w:tcPr>
            <w:tcW w:w="1301" w:type="dxa"/>
            <w:vMerge/>
            <w:tcBorders>
              <w:left w:val="single" w:sz="4" w:space="0" w:color="000000"/>
              <w:right w:val="single" w:sz="4" w:space="0" w:color="000000"/>
            </w:tcBorders>
            <w:shd w:val="clear" w:color="auto" w:fill="D4D4D4"/>
          </w:tcPr>
          <w:p>
            <w:pPr/>
          </w:p>
        </w:tc>
        <w:tc>
          <w:tcPr>
            <w:tcW w:w="1218" w:type="dxa"/>
            <w:vMerge/>
            <w:tcBorders>
              <w:left w:val="single" w:sz="4" w:space="0" w:color="000000"/>
              <w:right w:val="single" w:sz="4" w:space="0" w:color="000000"/>
            </w:tcBorders>
            <w:shd w:val="clear" w:color="auto" w:fill="D4D4D4"/>
          </w:tcPr>
          <w:p>
            <w:pPr/>
          </w:p>
        </w:tc>
        <w:tc>
          <w:tcPr>
            <w:tcW w:w="1020" w:type="dxa"/>
            <w:vMerge/>
            <w:tcBorders>
              <w:left w:val="single" w:sz="4" w:space="0" w:color="000000"/>
              <w:bottom w:val="nil" w:sz="6" w:space="0" w:color="auto"/>
              <w:right w:val="single" w:sz="4" w:space="0" w:color="000000"/>
            </w:tcBorders>
            <w:shd w:val="clear" w:color="auto" w:fill="D4D4D4"/>
          </w:tcPr>
          <w:p>
            <w:pPr/>
          </w:p>
        </w:tc>
        <w:tc>
          <w:tcPr>
            <w:tcW w:w="1338" w:type="dxa"/>
            <w:vMerge/>
            <w:tcBorders>
              <w:left w:val="single" w:sz="4" w:space="0" w:color="000000"/>
              <w:right w:val="single" w:sz="4" w:space="0" w:color="000000"/>
            </w:tcBorders>
            <w:shd w:val="clear" w:color="auto" w:fill="D4D4D4"/>
          </w:tcPr>
          <w:p>
            <w:pPr/>
          </w:p>
        </w:tc>
        <w:tc>
          <w:tcPr>
            <w:tcW w:w="1139" w:type="dxa"/>
            <w:vMerge w:val="restart"/>
            <w:tcBorders>
              <w:top w:val="nil" w:sz="6" w:space="0" w:color="auto"/>
              <w:left w:val="single" w:sz="4" w:space="0" w:color="000000"/>
              <w:right w:val="single" w:sz="4" w:space="0" w:color="000000"/>
            </w:tcBorders>
            <w:shd w:val="clear" w:color="auto" w:fill="D4D4D4"/>
          </w:tcPr>
          <w:p>
            <w:pPr/>
          </w:p>
        </w:tc>
        <w:tc>
          <w:tcPr>
            <w:tcW w:w="1525" w:type="dxa"/>
            <w:vMerge/>
            <w:tcBorders>
              <w:left w:val="single" w:sz="4" w:space="0" w:color="000000"/>
              <w:right w:val="single" w:sz="4" w:space="0" w:color="000000"/>
            </w:tcBorders>
            <w:shd w:val="clear" w:color="auto" w:fill="D4D4D4"/>
          </w:tcPr>
          <w:p>
            <w:pPr/>
          </w:p>
        </w:tc>
      </w:tr>
      <w:tr>
        <w:trPr>
          <w:trHeight w:val="156" w:hRule="exact"/>
        </w:trPr>
        <w:tc>
          <w:tcPr>
            <w:tcW w:w="785" w:type="dxa"/>
            <w:vMerge/>
            <w:tcBorders>
              <w:left w:val="single" w:sz="4" w:space="0" w:color="000000"/>
              <w:right w:val="single" w:sz="4" w:space="0" w:color="000000"/>
            </w:tcBorders>
            <w:shd w:val="clear" w:color="auto" w:fill="D4D4D4"/>
          </w:tcPr>
          <w:p>
            <w:pPr/>
          </w:p>
        </w:tc>
        <w:tc>
          <w:tcPr>
            <w:tcW w:w="1231" w:type="dxa"/>
            <w:vMerge/>
            <w:tcBorders>
              <w:left w:val="single" w:sz="4" w:space="0" w:color="000000"/>
              <w:right w:val="single" w:sz="4" w:space="0" w:color="000000"/>
            </w:tcBorders>
            <w:shd w:val="clear" w:color="auto" w:fill="D4D4D4"/>
          </w:tcPr>
          <w:p>
            <w:pPr/>
          </w:p>
        </w:tc>
        <w:tc>
          <w:tcPr>
            <w:tcW w:w="1301" w:type="dxa"/>
            <w:vMerge/>
            <w:tcBorders>
              <w:left w:val="single" w:sz="4" w:space="0" w:color="000000"/>
              <w:bottom w:val="nil" w:sz="6" w:space="0" w:color="auto"/>
              <w:right w:val="single" w:sz="4" w:space="0" w:color="000000"/>
            </w:tcBorders>
            <w:shd w:val="clear" w:color="auto" w:fill="D4D4D4"/>
          </w:tcPr>
          <w:p>
            <w:pPr/>
          </w:p>
        </w:tc>
        <w:tc>
          <w:tcPr>
            <w:tcW w:w="1218" w:type="dxa"/>
            <w:vMerge/>
            <w:tcBorders>
              <w:left w:val="single" w:sz="4" w:space="0" w:color="000000"/>
              <w:right w:val="single" w:sz="4" w:space="0" w:color="000000"/>
            </w:tcBorders>
            <w:shd w:val="clear" w:color="auto" w:fill="D4D4D4"/>
          </w:tcPr>
          <w:p>
            <w:pPr/>
          </w:p>
        </w:tc>
        <w:tc>
          <w:tcPr>
            <w:tcW w:w="1020" w:type="dxa"/>
            <w:vMerge w:val="restart"/>
            <w:tcBorders>
              <w:top w:val="nil" w:sz="6" w:space="0" w:color="auto"/>
              <w:left w:val="single" w:sz="4" w:space="0" w:color="000000"/>
              <w:right w:val="single" w:sz="4" w:space="0" w:color="000000"/>
            </w:tcBorders>
            <w:shd w:val="clear" w:color="auto" w:fill="D4D4D4"/>
          </w:tcPr>
          <w:p>
            <w:pPr/>
          </w:p>
        </w:tc>
        <w:tc>
          <w:tcPr>
            <w:tcW w:w="1338" w:type="dxa"/>
            <w:vMerge/>
            <w:tcBorders>
              <w:left w:val="single" w:sz="4" w:space="0" w:color="000000"/>
              <w:right w:val="single" w:sz="4" w:space="0" w:color="000000"/>
            </w:tcBorders>
            <w:shd w:val="clear" w:color="auto" w:fill="D4D4D4"/>
          </w:tcPr>
          <w:p>
            <w:pPr/>
          </w:p>
        </w:tc>
        <w:tc>
          <w:tcPr>
            <w:tcW w:w="1139" w:type="dxa"/>
            <w:vMerge/>
            <w:tcBorders>
              <w:left w:val="single" w:sz="4" w:space="0" w:color="000000"/>
              <w:right w:val="single" w:sz="4" w:space="0" w:color="000000"/>
            </w:tcBorders>
            <w:shd w:val="clear" w:color="auto" w:fill="D4D4D4"/>
          </w:tcPr>
          <w:p>
            <w:pPr/>
          </w:p>
        </w:tc>
        <w:tc>
          <w:tcPr>
            <w:tcW w:w="1525" w:type="dxa"/>
            <w:vMerge/>
            <w:tcBorders>
              <w:left w:val="single" w:sz="4" w:space="0" w:color="000000"/>
              <w:bottom w:val="nil" w:sz="6" w:space="0" w:color="auto"/>
              <w:right w:val="single" w:sz="4" w:space="0" w:color="000000"/>
            </w:tcBorders>
            <w:shd w:val="clear" w:color="auto" w:fill="D4D4D4"/>
          </w:tcPr>
          <w:p>
            <w:pPr/>
          </w:p>
        </w:tc>
      </w:tr>
      <w:tr>
        <w:trPr>
          <w:trHeight w:val="161" w:hRule="exact"/>
        </w:trPr>
        <w:tc>
          <w:tcPr>
            <w:tcW w:w="785" w:type="dxa"/>
            <w:vMerge/>
            <w:tcBorders>
              <w:left w:val="single" w:sz="4" w:space="0" w:color="000000"/>
              <w:bottom w:val="single" w:sz="4" w:space="0" w:color="000000"/>
              <w:right w:val="single" w:sz="4" w:space="0" w:color="000000"/>
            </w:tcBorders>
            <w:shd w:val="clear" w:color="auto" w:fill="D4D4D4"/>
          </w:tcPr>
          <w:p>
            <w:pPr/>
          </w:p>
        </w:tc>
        <w:tc>
          <w:tcPr>
            <w:tcW w:w="1231" w:type="dxa"/>
            <w:vMerge/>
            <w:tcBorders>
              <w:left w:val="single" w:sz="4" w:space="0" w:color="000000"/>
              <w:bottom w:val="single" w:sz="4" w:space="0" w:color="000000"/>
              <w:right w:val="single" w:sz="4" w:space="0" w:color="000000"/>
            </w:tcBorders>
            <w:shd w:val="clear" w:color="auto" w:fill="D4D4D4"/>
          </w:tcPr>
          <w:p>
            <w:pPr/>
          </w:p>
        </w:tc>
        <w:tc>
          <w:tcPr>
            <w:tcW w:w="1301" w:type="dxa"/>
            <w:tcBorders>
              <w:top w:val="nil" w:sz="6" w:space="0" w:color="auto"/>
              <w:left w:val="single" w:sz="4" w:space="0" w:color="000000"/>
              <w:bottom w:val="single" w:sz="4" w:space="0" w:color="000000"/>
              <w:right w:val="single" w:sz="4" w:space="0" w:color="000000"/>
            </w:tcBorders>
            <w:shd w:val="clear" w:color="auto" w:fill="D4D4D4"/>
          </w:tcPr>
          <w:p>
            <w:pPr/>
          </w:p>
        </w:tc>
        <w:tc>
          <w:tcPr>
            <w:tcW w:w="1218" w:type="dxa"/>
            <w:vMerge/>
            <w:tcBorders>
              <w:left w:val="single" w:sz="4" w:space="0" w:color="000000"/>
              <w:bottom w:val="single" w:sz="4" w:space="0" w:color="000000"/>
              <w:right w:val="single" w:sz="4" w:space="0" w:color="000000"/>
            </w:tcBorders>
            <w:shd w:val="clear" w:color="auto" w:fill="D4D4D4"/>
          </w:tcPr>
          <w:p>
            <w:pPr/>
          </w:p>
        </w:tc>
        <w:tc>
          <w:tcPr>
            <w:tcW w:w="1020" w:type="dxa"/>
            <w:vMerge/>
            <w:tcBorders>
              <w:left w:val="single" w:sz="4" w:space="0" w:color="000000"/>
              <w:bottom w:val="single" w:sz="4" w:space="0" w:color="000000"/>
              <w:right w:val="single" w:sz="4" w:space="0" w:color="000000"/>
            </w:tcBorders>
            <w:shd w:val="clear" w:color="auto" w:fill="D4D4D4"/>
          </w:tcPr>
          <w:p>
            <w:pPr/>
          </w:p>
        </w:tc>
        <w:tc>
          <w:tcPr>
            <w:tcW w:w="1338" w:type="dxa"/>
            <w:vMerge/>
            <w:tcBorders>
              <w:left w:val="single" w:sz="4" w:space="0" w:color="000000"/>
              <w:bottom w:val="single" w:sz="4" w:space="0" w:color="000000"/>
              <w:right w:val="single" w:sz="4" w:space="0" w:color="000000"/>
            </w:tcBorders>
            <w:shd w:val="clear" w:color="auto" w:fill="D4D4D4"/>
          </w:tcPr>
          <w:p>
            <w:pPr/>
          </w:p>
        </w:tc>
        <w:tc>
          <w:tcPr>
            <w:tcW w:w="1139" w:type="dxa"/>
            <w:vMerge/>
            <w:tcBorders>
              <w:left w:val="single" w:sz="4" w:space="0" w:color="000000"/>
              <w:bottom w:val="single" w:sz="4" w:space="0" w:color="000000"/>
              <w:right w:val="single" w:sz="4" w:space="0" w:color="000000"/>
            </w:tcBorders>
            <w:shd w:val="clear" w:color="auto" w:fill="D4D4D4"/>
          </w:tcPr>
          <w:p>
            <w:pPr/>
          </w:p>
        </w:tc>
        <w:tc>
          <w:tcPr>
            <w:tcW w:w="1525" w:type="dxa"/>
            <w:tcBorders>
              <w:top w:val="nil" w:sz="6" w:space="0" w:color="auto"/>
              <w:left w:val="single" w:sz="4" w:space="0" w:color="000000"/>
              <w:bottom w:val="single" w:sz="4" w:space="0" w:color="000000"/>
              <w:right w:val="single" w:sz="4" w:space="0" w:color="000000"/>
            </w:tcBorders>
            <w:shd w:val="clear" w:color="auto" w:fill="D4D4D4"/>
          </w:tcPr>
          <w:p>
            <w:pPr/>
          </w:p>
        </w:tc>
      </w:tr>
      <w:tr>
        <w:trPr>
          <w:trHeight w:val="403" w:hRule="exact"/>
        </w:trPr>
        <w:tc>
          <w:tcPr>
            <w:tcW w:w="78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3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72,469,018.53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8"/>
              <w:jc w:val="right"/>
              <w:rPr>
                <w:rFonts w:ascii="Times New Roman" w:hAnsi="Times New Roman" w:cs="Times New Roman" w:eastAsia="Times New Roman" w:hint="default"/>
                <w:sz w:val="18"/>
                <w:szCs w:val="18"/>
              </w:rPr>
            </w:pPr>
            <w:r>
              <w:rPr>
                <w:rFonts w:ascii="Times New Roman"/>
                <w:spacing w:val="-1"/>
                <w:sz w:val="18"/>
              </w:rPr>
              <w:t>289,675,573.16</w:t>
            </w:r>
            <w:r>
              <w:rPr>
                <w:rFonts w:ascii="Times New Roman"/>
                <w:sz w:val="18"/>
              </w:rPr>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5"/>
              <w:jc w:val="right"/>
              <w:rPr>
                <w:rFonts w:ascii="Times New Roman" w:hAnsi="Times New Roman" w:cs="Times New Roman" w:eastAsia="Times New Roman" w:hint="default"/>
                <w:sz w:val="18"/>
                <w:szCs w:val="18"/>
              </w:rPr>
            </w:pPr>
            <w:r>
              <w:rPr>
                <w:rFonts w:ascii="Times New Roman"/>
                <w:sz w:val="18"/>
              </w:rPr>
              <w:t>25.02%</w:t>
            </w:r>
          </w:p>
        </w:tc>
        <w:tc>
          <w:tcPr>
            <w:tcW w:w="1020" w:type="dxa"/>
            <w:tcBorders>
              <w:top w:val="single" w:sz="4" w:space="0" w:color="000000"/>
              <w:left w:val="single" w:sz="4" w:space="0" w:color="000000"/>
              <w:bottom w:val="single" w:sz="4" w:space="0" w:color="000000"/>
              <w:right w:val="single" w:sz="4" w:space="0" w:color="000000"/>
            </w:tcBorders>
          </w:tcPr>
          <w:p>
            <w:pPr/>
          </w:p>
        </w:tc>
        <w:tc>
          <w:tcPr>
            <w:tcW w:w="1338" w:type="dxa"/>
            <w:tcBorders>
              <w:top w:val="single" w:sz="4" w:space="0" w:color="000000"/>
              <w:left w:val="single" w:sz="4" w:space="0" w:color="000000"/>
              <w:bottom w:val="single" w:sz="4" w:space="0" w:color="000000"/>
              <w:right w:val="single" w:sz="4" w:space="0" w:color="000000"/>
            </w:tcBorders>
          </w:tcPr>
          <w:p>
            <w:pP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0" w:right="0"/>
              <w:jc w:val="center"/>
              <w:rPr>
                <w:rFonts w:ascii="Times New Roman" w:hAnsi="Times New Roman" w:cs="Times New Roman" w:eastAsia="Times New Roman" w:hint="default"/>
                <w:sz w:val="18"/>
                <w:szCs w:val="18"/>
              </w:rPr>
            </w:pPr>
            <w:r>
              <w:rPr>
                <w:rFonts w:ascii="Times New Roman"/>
                <w:sz w:val="18"/>
              </w:rPr>
              <w:t>72,469,018.53</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
              <w:jc w:val="right"/>
              <w:rPr>
                <w:rFonts w:ascii="Times New Roman" w:hAnsi="Times New Roman" w:cs="Times New Roman" w:eastAsia="Times New Roman" w:hint="default"/>
                <w:sz w:val="18"/>
                <w:szCs w:val="18"/>
              </w:rPr>
            </w:pPr>
            <w:r>
              <w:rPr>
                <w:rFonts w:ascii="Times New Roman"/>
                <w:sz w:val="18"/>
              </w:rPr>
              <w:t>25.02%</w:t>
            </w:r>
          </w:p>
        </w:tc>
      </w:tr>
      <w:tr>
        <w:trPr>
          <w:trHeight w:val="403" w:hRule="exact"/>
        </w:trPr>
        <w:tc>
          <w:tcPr>
            <w:tcW w:w="78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3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63,586,624.72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8"/>
              <w:jc w:val="right"/>
              <w:rPr>
                <w:rFonts w:ascii="Times New Roman" w:hAnsi="Times New Roman" w:cs="Times New Roman" w:eastAsia="Times New Roman" w:hint="default"/>
                <w:sz w:val="18"/>
                <w:szCs w:val="18"/>
              </w:rPr>
            </w:pPr>
            <w:r>
              <w:rPr>
                <w:rFonts w:ascii="Times New Roman"/>
                <w:spacing w:val="-1"/>
                <w:sz w:val="18"/>
              </w:rPr>
              <w:t>303,214,679.83</w:t>
            </w:r>
            <w:r>
              <w:rPr>
                <w:rFonts w:ascii="Times New Roman"/>
                <w:sz w:val="18"/>
              </w:rPr>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z w:val="18"/>
              </w:rPr>
              <w:t>20.97%</w:t>
            </w:r>
          </w:p>
        </w:tc>
        <w:tc>
          <w:tcPr>
            <w:tcW w:w="1020" w:type="dxa"/>
            <w:tcBorders>
              <w:top w:val="single" w:sz="4" w:space="0" w:color="000000"/>
              <w:left w:val="single" w:sz="4" w:space="0" w:color="000000"/>
              <w:bottom w:val="single" w:sz="4" w:space="0" w:color="000000"/>
              <w:right w:val="single" w:sz="4" w:space="0" w:color="000000"/>
            </w:tcBorders>
          </w:tcPr>
          <w:p>
            <w:pPr/>
          </w:p>
        </w:tc>
        <w:tc>
          <w:tcPr>
            <w:tcW w:w="1338" w:type="dxa"/>
            <w:tcBorders>
              <w:top w:val="single" w:sz="4" w:space="0" w:color="000000"/>
              <w:left w:val="single" w:sz="4" w:space="0" w:color="000000"/>
              <w:bottom w:val="single" w:sz="4" w:space="0" w:color="000000"/>
              <w:right w:val="single" w:sz="4" w:space="0" w:color="000000"/>
            </w:tcBorders>
          </w:tcPr>
          <w:p>
            <w:pP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center"/>
              <w:rPr>
                <w:rFonts w:ascii="Times New Roman" w:hAnsi="Times New Roman" w:cs="Times New Roman" w:eastAsia="Times New Roman" w:hint="default"/>
                <w:sz w:val="18"/>
                <w:szCs w:val="18"/>
              </w:rPr>
            </w:pPr>
            <w:r>
              <w:rPr>
                <w:rFonts w:ascii="Times New Roman"/>
                <w:sz w:val="18"/>
              </w:rPr>
              <w:t>63,586,624.72</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
              <w:jc w:val="right"/>
              <w:rPr>
                <w:rFonts w:ascii="Times New Roman" w:hAnsi="Times New Roman" w:cs="Times New Roman" w:eastAsia="Times New Roman" w:hint="default"/>
                <w:sz w:val="18"/>
                <w:szCs w:val="18"/>
              </w:rPr>
            </w:pPr>
            <w:r>
              <w:rPr>
                <w:rFonts w:ascii="Times New Roman"/>
                <w:sz w:val="18"/>
              </w:rPr>
              <w:t>20.97%</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r>
        <w:rPr/>
        <w:pict>
          <v:group style="position:absolute;margin-left:423.959991pt;margin-top:598.919983pt;width:36.5pt;height:164.8pt;mso-position-horizontal-relative:page;mso-position-vertical-relative:page;z-index:-1348888" coordorigin="8479,11978" coordsize="730,3296">
            <v:group style="position:absolute;left:8479;top:12329;width:730;height:2945" coordorigin="8479,12329" coordsize="730,2945">
              <v:shape style="position:absolute;left:8479;top:12329;width:730;height:2945" coordorigin="8479,12329" coordsize="730,2945" path="m8479,15274l9209,15274,9209,12329,8479,12329,8479,15274xe" filled="true" fillcolor="#ffffff" stroked="false">
                <v:path arrowok="t"/>
                <v:fill type="solid"/>
              </v:shape>
            </v:group>
            <v:group style="position:absolute;left:8501;top:11978;width:684;height:351" coordorigin="8501,11978" coordsize="684,351">
              <v:shape style="position:absolute;left:8501;top:11978;width:684;height:351" coordorigin="8501,11978" coordsize="684,351" path="m8501,12329l9185,12329,9185,11978,8501,11978,8501,12329xe" filled="true" fillcolor="#ffffff" stroked="false">
                <v:path arrowok="t"/>
                <v:fill type="solid"/>
              </v:shape>
            </v:group>
            <w10:wrap type="none"/>
          </v:group>
        </w:pict>
      </w:r>
    </w:p>
    <w:tbl>
      <w:tblPr>
        <w:tblW w:w="0" w:type="auto"/>
        <w:jc w:val="left"/>
        <w:tblInd w:w="149" w:type="dxa"/>
        <w:tblLayout w:type="fixed"/>
        <w:tblCellMar>
          <w:top w:w="0" w:type="dxa"/>
          <w:left w:w="0" w:type="dxa"/>
          <w:bottom w:w="0" w:type="dxa"/>
          <w:right w:w="0" w:type="dxa"/>
        </w:tblCellMar>
        <w:tblLook w:val="01E0"/>
      </w:tblPr>
      <w:tblGrid>
        <w:gridCol w:w="784"/>
        <w:gridCol w:w="1231"/>
        <w:gridCol w:w="1289"/>
        <w:gridCol w:w="1229"/>
        <w:gridCol w:w="1020"/>
        <w:gridCol w:w="1351"/>
        <w:gridCol w:w="1126"/>
        <w:gridCol w:w="1538"/>
      </w:tblGrid>
      <w:tr>
        <w:trPr>
          <w:trHeight w:val="403" w:hRule="exact"/>
        </w:trPr>
        <w:tc>
          <w:tcPr>
            <w:tcW w:w="78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3" w:right="0"/>
              <w:jc w:val="left"/>
              <w:rPr>
                <w:rFonts w:ascii="Times New Roman" w:hAnsi="Times New Roman" w:cs="Times New Roman" w:eastAsia="Times New Roman" w:hint="default"/>
                <w:sz w:val="18"/>
                <w:szCs w:val="18"/>
              </w:rPr>
            </w:pPr>
            <w:r>
              <w:rPr>
                <w:rFonts w:ascii="Times New Roman"/>
                <w:sz w:val="18"/>
              </w:rPr>
              <w:t>99,360,797.20</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1" w:right="0"/>
              <w:jc w:val="left"/>
              <w:rPr>
                <w:rFonts w:ascii="Times New Roman" w:hAnsi="Times New Roman" w:cs="Times New Roman" w:eastAsia="Times New Roman" w:hint="default"/>
                <w:sz w:val="18"/>
                <w:szCs w:val="18"/>
              </w:rPr>
            </w:pPr>
            <w:r>
              <w:rPr>
                <w:rFonts w:ascii="Times New Roman"/>
                <w:sz w:val="18"/>
              </w:rPr>
              <w:t>271,716,271.45</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3" w:right="0"/>
              <w:jc w:val="left"/>
              <w:rPr>
                <w:rFonts w:ascii="Times New Roman" w:hAnsi="Times New Roman" w:cs="Times New Roman" w:eastAsia="Times New Roman" w:hint="default"/>
                <w:sz w:val="18"/>
                <w:szCs w:val="18"/>
              </w:rPr>
            </w:pPr>
            <w:r>
              <w:rPr>
                <w:rFonts w:ascii="Times New Roman"/>
                <w:sz w:val="18"/>
              </w:rPr>
              <w:t>36.57%</w:t>
            </w:r>
          </w:p>
        </w:tc>
        <w:tc>
          <w:tcPr>
            <w:tcW w:w="1020"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0" w:right="0"/>
              <w:jc w:val="left"/>
              <w:rPr>
                <w:rFonts w:ascii="Times New Roman" w:hAnsi="Times New Roman" w:cs="Times New Roman" w:eastAsia="Times New Roman" w:hint="default"/>
                <w:sz w:val="18"/>
                <w:szCs w:val="18"/>
              </w:rPr>
            </w:pPr>
            <w:r>
              <w:rPr>
                <w:rFonts w:ascii="Times New Roman"/>
                <w:sz w:val="18"/>
              </w:rPr>
              <w:t>99,360,797.20</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52" w:right="0"/>
              <w:jc w:val="left"/>
              <w:rPr>
                <w:rFonts w:ascii="Times New Roman" w:hAnsi="Times New Roman" w:cs="Times New Roman" w:eastAsia="Times New Roman" w:hint="default"/>
                <w:sz w:val="18"/>
                <w:szCs w:val="18"/>
              </w:rPr>
            </w:pPr>
            <w:r>
              <w:rPr>
                <w:rFonts w:ascii="Times New Roman"/>
                <w:sz w:val="18"/>
              </w:rPr>
              <w:t>36.57%</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公司报告期内盈利且母公司可供普通股股东分配利润为正但未提出普通股现金红利分配预案</w:t>
      </w:r>
    </w:p>
    <w:p>
      <w:pPr>
        <w:spacing w:before="115"/>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986"/>
        <w:jc w:val="left"/>
        <w:rPr>
          <w:b w:val="0"/>
          <w:bCs w:val="0"/>
        </w:rPr>
      </w:pPr>
      <w:bookmarkStart w:name="二、承诺事项履行情况" w:id="63"/>
      <w:bookmarkEnd w:id="63"/>
      <w:r>
        <w:rPr>
          <w:b w:val="0"/>
          <w:bCs w:val="0"/>
        </w:rPr>
      </w:r>
      <w:r>
        <w:rPr/>
        <w:t>二、承诺事项履行情况</w:t>
      </w:r>
      <w:r>
        <w:rPr>
          <w:b w:val="0"/>
          <w:bCs w:val="0"/>
        </w:rPr>
      </w:r>
    </w:p>
    <w:p>
      <w:pPr>
        <w:spacing w:line="240" w:lineRule="auto" w:before="12"/>
        <w:rPr>
          <w:rFonts w:ascii="宋体" w:hAnsi="宋体" w:cs="宋体" w:eastAsia="宋体" w:hint="default"/>
          <w:b/>
          <w:bCs/>
          <w:sz w:val="24"/>
          <w:szCs w:val="24"/>
        </w:rPr>
      </w:pPr>
    </w:p>
    <w:p>
      <w:pPr>
        <w:pStyle w:val="Heading4"/>
        <w:spacing w:line="256" w:lineRule="auto"/>
        <w:ind w:right="986"/>
        <w:jc w:val="left"/>
        <w:rPr>
          <w:b w:val="0"/>
          <w:bCs w:val="0"/>
        </w:rPr>
      </w:pPr>
      <w:bookmarkStart w:name="1、公司实际控制人、股东、关联方、收购人以及公司等承诺相关方在报告期内履行完毕及" w:id="64"/>
      <w:bookmarkEnd w:id="64"/>
      <w:r>
        <w:rPr>
          <w:b w:val="0"/>
          <w:bCs w:val="0"/>
        </w:rPr>
      </w:r>
      <w:r>
        <w:rPr>
          <w:rFonts w:ascii="Times New Roman" w:hAnsi="Times New Roman" w:cs="Times New Roman" w:eastAsia="Times New Roman" w:hint="default"/>
        </w:rPr>
        <w:t>1</w:t>
      </w:r>
      <w:r>
        <w:rPr/>
        <w:t>、公司实际控制人、股东、关联方、收购人以及公司等承诺相关方在报告期内履行完毕及截至报告期末</w:t>
      </w:r>
      <w:r>
        <w:rPr>
          <w:spacing w:val="-65"/>
        </w:rPr>
        <w:t> </w:t>
      </w:r>
      <w:r>
        <w:rPr>
          <w:spacing w:val="-65"/>
        </w:rPr>
      </w:r>
      <w:r>
        <w:rPr/>
        <w:t>尚未履行完毕的承诺事项</w:t>
      </w:r>
      <w:r>
        <w:rPr>
          <w:b w:val="0"/>
          <w:bCs w:val="0"/>
        </w:rPr>
      </w:r>
    </w:p>
    <w:p>
      <w:pPr>
        <w:spacing w:line="240" w:lineRule="auto" w:before="5"/>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295"/>
        <w:gridCol w:w="883"/>
        <w:gridCol w:w="586"/>
        <w:gridCol w:w="4574"/>
        <w:gridCol w:w="742"/>
        <w:gridCol w:w="758"/>
        <w:gridCol w:w="727"/>
      </w:tblGrid>
      <w:tr>
        <w:trPr>
          <w:trHeight w:val="161" w:hRule="exact"/>
        </w:trPr>
        <w:tc>
          <w:tcPr>
            <w:tcW w:w="1295" w:type="dxa"/>
            <w:tcBorders>
              <w:top w:val="single" w:sz="4" w:space="0" w:color="000000"/>
              <w:left w:val="single" w:sz="4" w:space="0" w:color="000000"/>
              <w:bottom w:val="nil" w:sz="6" w:space="0" w:color="auto"/>
              <w:right w:val="single" w:sz="4" w:space="0" w:color="000000"/>
            </w:tcBorders>
            <w:shd w:val="clear" w:color="auto" w:fill="D4D4D4"/>
          </w:tcPr>
          <w:p>
            <w:pPr/>
          </w:p>
        </w:tc>
        <w:tc>
          <w:tcPr>
            <w:tcW w:w="883" w:type="dxa"/>
            <w:tcBorders>
              <w:top w:val="single" w:sz="4" w:space="0" w:color="000000"/>
              <w:left w:val="single" w:sz="4" w:space="0" w:color="000000"/>
              <w:bottom w:val="nil" w:sz="6" w:space="0" w:color="auto"/>
              <w:right w:val="single" w:sz="4" w:space="0" w:color="000000"/>
            </w:tcBorders>
            <w:shd w:val="clear" w:color="auto" w:fill="D4D4D4"/>
          </w:tcPr>
          <w:p>
            <w:pPr/>
          </w:p>
        </w:tc>
        <w:tc>
          <w:tcPr>
            <w:tcW w:w="586"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107" w:right="107"/>
              <w:jc w:val="left"/>
              <w:rPr>
                <w:rFonts w:ascii="宋体" w:hAnsi="宋体" w:cs="宋体" w:eastAsia="宋体" w:hint="default"/>
                <w:sz w:val="18"/>
                <w:szCs w:val="18"/>
              </w:rPr>
            </w:pPr>
            <w:r>
              <w:rPr>
                <w:rFonts w:ascii="宋体" w:hAnsi="宋体" w:cs="宋体" w:eastAsia="宋体" w:hint="default"/>
                <w:sz w:val="18"/>
                <w:szCs w:val="18"/>
              </w:rPr>
              <w:t>承诺 类型</w:t>
            </w:r>
          </w:p>
        </w:tc>
        <w:tc>
          <w:tcPr>
            <w:tcW w:w="4574" w:type="dxa"/>
            <w:tcBorders>
              <w:top w:val="single" w:sz="4" w:space="0" w:color="000000"/>
              <w:left w:val="single" w:sz="4" w:space="0" w:color="000000"/>
              <w:bottom w:val="nil" w:sz="6" w:space="0" w:color="auto"/>
              <w:right w:val="single" w:sz="4" w:space="0" w:color="000000"/>
            </w:tcBorders>
            <w:shd w:val="clear" w:color="auto" w:fill="D4D4D4"/>
          </w:tcPr>
          <w:p>
            <w:pPr/>
          </w:p>
        </w:tc>
        <w:tc>
          <w:tcPr>
            <w:tcW w:w="742"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49"/>
              <w:ind w:left="275" w:right="95" w:hanging="180"/>
              <w:jc w:val="left"/>
              <w:rPr>
                <w:rFonts w:ascii="宋体" w:hAnsi="宋体" w:cs="宋体" w:eastAsia="宋体" w:hint="default"/>
                <w:sz w:val="18"/>
                <w:szCs w:val="18"/>
              </w:rPr>
            </w:pPr>
            <w:r>
              <w:rPr>
                <w:rFonts w:ascii="宋体" w:hAnsi="宋体" w:cs="宋体" w:eastAsia="宋体" w:hint="default"/>
                <w:sz w:val="18"/>
                <w:szCs w:val="18"/>
              </w:rPr>
              <w:t>承诺时 间</w:t>
            </w:r>
          </w:p>
        </w:tc>
        <w:tc>
          <w:tcPr>
            <w:tcW w:w="758"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285" w:right="101" w:hanging="180"/>
              <w:jc w:val="left"/>
              <w:rPr>
                <w:rFonts w:ascii="宋体" w:hAnsi="宋体" w:cs="宋体" w:eastAsia="宋体" w:hint="default"/>
                <w:sz w:val="18"/>
                <w:szCs w:val="18"/>
              </w:rPr>
            </w:pPr>
            <w:r>
              <w:rPr>
                <w:rFonts w:ascii="宋体" w:hAnsi="宋体" w:cs="宋体" w:eastAsia="宋体" w:hint="default"/>
                <w:sz w:val="18"/>
                <w:szCs w:val="18"/>
              </w:rPr>
              <w:t>承诺期 限</w:t>
            </w:r>
          </w:p>
        </w:tc>
        <w:tc>
          <w:tcPr>
            <w:tcW w:w="727"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268" w:right="86" w:hanging="180"/>
              <w:jc w:val="left"/>
              <w:rPr>
                <w:rFonts w:ascii="宋体" w:hAnsi="宋体" w:cs="宋体" w:eastAsia="宋体" w:hint="default"/>
                <w:sz w:val="18"/>
                <w:szCs w:val="18"/>
              </w:rPr>
            </w:pPr>
            <w:r>
              <w:rPr>
                <w:rFonts w:ascii="宋体" w:hAnsi="宋体" w:cs="宋体" w:eastAsia="宋体" w:hint="default"/>
                <w:sz w:val="18"/>
                <w:szCs w:val="18"/>
              </w:rPr>
              <w:t>履行情 况</w:t>
            </w:r>
          </w:p>
        </w:tc>
      </w:tr>
      <w:tr>
        <w:trPr>
          <w:trHeight w:val="394" w:hRule="exact"/>
        </w:trPr>
        <w:tc>
          <w:tcPr>
            <w:tcW w:w="1295"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282" w:right="0"/>
              <w:jc w:val="left"/>
              <w:rPr>
                <w:rFonts w:ascii="宋体" w:hAnsi="宋体" w:cs="宋体" w:eastAsia="宋体" w:hint="default"/>
                <w:sz w:val="18"/>
                <w:szCs w:val="18"/>
              </w:rPr>
            </w:pPr>
            <w:r>
              <w:rPr>
                <w:rFonts w:ascii="宋体" w:hAnsi="宋体" w:cs="宋体" w:eastAsia="宋体" w:hint="default"/>
                <w:sz w:val="18"/>
                <w:szCs w:val="18"/>
              </w:rPr>
              <w:t>承诺来源</w:t>
            </w:r>
          </w:p>
        </w:tc>
        <w:tc>
          <w:tcPr>
            <w:tcW w:w="883"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168"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586" w:type="dxa"/>
            <w:vMerge/>
            <w:tcBorders>
              <w:left w:val="single" w:sz="4" w:space="0" w:color="000000"/>
              <w:right w:val="single" w:sz="4" w:space="0" w:color="000000"/>
            </w:tcBorders>
            <w:shd w:val="clear" w:color="auto" w:fill="D4D4D4"/>
          </w:tcPr>
          <w:p>
            <w:pPr/>
          </w:p>
        </w:tc>
        <w:tc>
          <w:tcPr>
            <w:tcW w:w="4574"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742" w:type="dxa"/>
            <w:vMerge/>
            <w:tcBorders>
              <w:left w:val="single" w:sz="4" w:space="0" w:color="000000"/>
              <w:right w:val="single" w:sz="4" w:space="0" w:color="000000"/>
            </w:tcBorders>
            <w:shd w:val="clear" w:color="auto" w:fill="D4D4D4"/>
          </w:tcPr>
          <w:p>
            <w:pPr/>
          </w:p>
        </w:tc>
        <w:tc>
          <w:tcPr>
            <w:tcW w:w="758" w:type="dxa"/>
            <w:vMerge/>
            <w:tcBorders>
              <w:left w:val="single" w:sz="4" w:space="0" w:color="000000"/>
              <w:right w:val="single" w:sz="4" w:space="0" w:color="000000"/>
            </w:tcBorders>
            <w:shd w:val="clear" w:color="auto" w:fill="D4D4D4"/>
          </w:tcPr>
          <w:p>
            <w:pPr/>
          </w:p>
        </w:tc>
        <w:tc>
          <w:tcPr>
            <w:tcW w:w="727" w:type="dxa"/>
            <w:vMerge/>
            <w:tcBorders>
              <w:left w:val="single" w:sz="4" w:space="0" w:color="000000"/>
              <w:right w:val="single" w:sz="4" w:space="0" w:color="000000"/>
            </w:tcBorders>
            <w:shd w:val="clear" w:color="auto" w:fill="D4D4D4"/>
          </w:tcPr>
          <w:p>
            <w:pPr/>
          </w:p>
        </w:tc>
      </w:tr>
      <w:tr>
        <w:trPr>
          <w:trHeight w:val="161" w:hRule="exact"/>
        </w:trPr>
        <w:tc>
          <w:tcPr>
            <w:tcW w:w="1295" w:type="dxa"/>
            <w:tcBorders>
              <w:top w:val="nil" w:sz="6" w:space="0" w:color="auto"/>
              <w:left w:val="single" w:sz="4" w:space="0" w:color="000000"/>
              <w:bottom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single" w:sz="4" w:space="0" w:color="000000"/>
              <w:right w:val="single" w:sz="4" w:space="0" w:color="000000"/>
            </w:tcBorders>
            <w:shd w:val="clear" w:color="auto" w:fill="D4D4D4"/>
          </w:tcPr>
          <w:p>
            <w:pPr/>
          </w:p>
        </w:tc>
        <w:tc>
          <w:tcPr>
            <w:tcW w:w="586" w:type="dxa"/>
            <w:vMerge/>
            <w:tcBorders>
              <w:left w:val="single" w:sz="4" w:space="0" w:color="000000"/>
              <w:bottom w:val="single" w:sz="4" w:space="0" w:color="000000"/>
              <w:right w:val="single" w:sz="4" w:space="0" w:color="000000"/>
            </w:tcBorders>
            <w:shd w:val="clear" w:color="auto" w:fill="D4D4D4"/>
          </w:tcPr>
          <w:p>
            <w:pPr/>
          </w:p>
        </w:tc>
        <w:tc>
          <w:tcPr>
            <w:tcW w:w="4574" w:type="dxa"/>
            <w:tcBorders>
              <w:top w:val="nil" w:sz="6" w:space="0" w:color="auto"/>
              <w:left w:val="single" w:sz="4" w:space="0" w:color="000000"/>
              <w:bottom w:val="single" w:sz="4" w:space="0" w:color="000000"/>
              <w:right w:val="single" w:sz="4" w:space="0" w:color="000000"/>
            </w:tcBorders>
            <w:shd w:val="clear" w:color="auto" w:fill="D4D4D4"/>
          </w:tcPr>
          <w:p>
            <w:pPr/>
          </w:p>
        </w:tc>
        <w:tc>
          <w:tcPr>
            <w:tcW w:w="742" w:type="dxa"/>
            <w:vMerge/>
            <w:tcBorders>
              <w:left w:val="single" w:sz="4" w:space="0" w:color="000000"/>
              <w:bottom w:val="single" w:sz="4" w:space="0" w:color="000000"/>
              <w:right w:val="single" w:sz="4" w:space="0" w:color="000000"/>
            </w:tcBorders>
            <w:shd w:val="clear" w:color="auto" w:fill="D4D4D4"/>
          </w:tcPr>
          <w:p>
            <w:pPr/>
          </w:p>
        </w:tc>
        <w:tc>
          <w:tcPr>
            <w:tcW w:w="758" w:type="dxa"/>
            <w:vMerge/>
            <w:tcBorders>
              <w:left w:val="single" w:sz="4" w:space="0" w:color="000000"/>
              <w:bottom w:val="single" w:sz="4" w:space="0" w:color="000000"/>
              <w:right w:val="single" w:sz="4" w:space="0" w:color="000000"/>
            </w:tcBorders>
            <w:shd w:val="clear" w:color="auto" w:fill="D4D4D4"/>
          </w:tcPr>
          <w:p>
            <w:pPr/>
          </w:p>
        </w:tc>
        <w:tc>
          <w:tcPr>
            <w:tcW w:w="727" w:type="dxa"/>
            <w:vMerge/>
            <w:tcBorders>
              <w:left w:val="single" w:sz="4" w:space="0" w:color="000000"/>
              <w:bottom w:val="single" w:sz="4" w:space="0" w:color="000000"/>
              <w:right w:val="single" w:sz="4" w:space="0" w:color="000000"/>
            </w:tcBorders>
            <w:shd w:val="clear" w:color="auto" w:fill="D4D4D4"/>
          </w:tcPr>
          <w:p>
            <w:pPr/>
          </w:p>
        </w:tc>
      </w:tr>
      <w:tr>
        <w:trPr>
          <w:trHeight w:val="2897" w:hRule="exact"/>
        </w:trPr>
        <w:tc>
          <w:tcPr>
            <w:tcW w:w="1295" w:type="dxa"/>
            <w:vMerge w:val="restart"/>
            <w:tcBorders>
              <w:top w:val="single" w:sz="4" w:space="0" w:color="000000"/>
              <w:left w:val="single" w:sz="4" w:space="0" w:color="000000"/>
              <w:right w:val="single" w:sz="4" w:space="0" w:color="000000"/>
            </w:tcBorders>
            <w:shd w:val="clear" w:color="auto" w:fill="D4D4D4"/>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316" w:lineRule="auto"/>
              <w:ind w:left="23" w:right="19"/>
              <w:jc w:val="left"/>
              <w:rPr>
                <w:rFonts w:ascii="宋体" w:hAnsi="宋体" w:cs="宋体" w:eastAsia="宋体" w:hint="default"/>
                <w:sz w:val="18"/>
                <w:szCs w:val="18"/>
              </w:rPr>
            </w:pPr>
            <w:r>
              <w:rPr>
                <w:rFonts w:ascii="宋体" w:hAnsi="宋体" w:cs="宋体" w:eastAsia="宋体" w:hint="default"/>
                <w:spacing w:val="-15"/>
                <w:sz w:val="18"/>
                <w:szCs w:val="18"/>
              </w:rPr>
              <w:t>郭永芳、滕</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达</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316" w:lineRule="auto"/>
              <w:ind w:left="23" w:right="191"/>
              <w:jc w:val="left"/>
              <w:rPr>
                <w:rFonts w:ascii="宋体" w:hAnsi="宋体" w:cs="宋体" w:eastAsia="宋体" w:hint="default"/>
                <w:sz w:val="18"/>
                <w:szCs w:val="18"/>
              </w:rPr>
            </w:pPr>
            <w:r>
              <w:rPr>
                <w:rFonts w:ascii="宋体" w:hAnsi="宋体" w:cs="宋体" w:eastAsia="宋体" w:hint="default"/>
                <w:sz w:val="18"/>
                <w:szCs w:val="18"/>
              </w:rPr>
              <w:t>其他 承诺</w:t>
            </w:r>
          </w:p>
        </w:tc>
        <w:tc>
          <w:tcPr>
            <w:tcW w:w="457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18"/>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自</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日起至《股份转让协议》生效之日起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年期限届满之日止，承诺人减少美亚柏科的股份合计不得 超过</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39,741,641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股（占《股份转让协议》签署日美亚柏科 总股本的</w:t>
            </w:r>
            <w:r>
              <w:rPr>
                <w:rFonts w:ascii="宋体" w:hAnsi="宋体" w:cs="宋体" w:eastAsia="宋体" w:hint="default"/>
                <w:spacing w:val="-45"/>
                <w:sz w:val="18"/>
                <w:szCs w:val="18"/>
              </w:rPr>
              <w:t> </w:t>
            </w:r>
            <w:r>
              <w:rPr>
                <w:rFonts w:ascii="Times New Roman" w:hAnsi="Times New Roman" w:cs="Times New Roman" w:eastAsia="Times New Roman" w:hint="default"/>
                <w:spacing w:val="-4"/>
                <w:sz w:val="18"/>
                <w:szCs w:val="18"/>
              </w:rPr>
              <w:t>5%</w:t>
            </w:r>
            <w:r>
              <w:rPr>
                <w:rFonts w:ascii="宋体" w:hAnsi="宋体" w:cs="宋体" w:eastAsia="宋体" w:hint="default"/>
                <w:spacing w:val="-4"/>
                <w:sz w:val="18"/>
                <w:szCs w:val="18"/>
              </w:rPr>
              <w:t>（承诺人之间的股份转移不计入减少的股份和</w:t>
            </w:r>
            <w:r>
              <w:rPr>
                <w:rFonts w:ascii="宋体" w:hAnsi="宋体" w:cs="宋体" w:eastAsia="宋体" w:hint="default"/>
                <w:sz w:val="18"/>
                <w:szCs w:val="18"/>
              </w:rPr>
              <w:t> </w:t>
            </w:r>
            <w:r>
              <w:rPr>
                <w:rFonts w:ascii="宋体" w:hAnsi="宋体" w:cs="宋体" w:eastAsia="宋体" w:hint="default"/>
                <w:spacing w:val="-7"/>
                <w:sz w:val="18"/>
                <w:szCs w:val="18"/>
              </w:rPr>
              <w:t>比例），如美亚柏科以累计未分配利润派发股票红利（仅限</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送红股）或者以资本公积金或盈余公积金转增股本，则可 转让的股份数量相应进行增加，经过增加后的可转让股份 为：承诺人持有的美亚柏科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39,741,641 </w:t>
            </w:r>
            <w:r>
              <w:rPr>
                <w:rFonts w:ascii="宋体" w:hAnsi="宋体" w:cs="宋体" w:eastAsia="宋体" w:hint="default"/>
                <w:sz w:val="18"/>
                <w:szCs w:val="18"/>
              </w:rPr>
              <w:t>股股份与该等股份 </w:t>
            </w:r>
            <w:r>
              <w:rPr>
                <w:rFonts w:ascii="宋体" w:hAnsi="宋体" w:cs="宋体" w:eastAsia="宋体" w:hint="default"/>
                <w:spacing w:val="-6"/>
                <w:w w:val="99"/>
                <w:sz w:val="18"/>
                <w:szCs w:val="18"/>
              </w:rPr>
              <w:t>所分得或增加持有的新增股份之和）。</w:t>
            </w:r>
            <w:r>
              <w:rPr>
                <w:rFonts w:ascii="Times New Roman" w:hAnsi="Times New Roman" w:cs="Times New Roman" w:eastAsia="Times New Roman" w:hint="default"/>
                <w:spacing w:val="-6"/>
                <w:w w:val="99"/>
                <w:sz w:val="18"/>
                <w:szCs w:val="18"/>
              </w:rPr>
              <w:t>"</w:t>
            </w:r>
            <w:r>
              <w:rPr>
                <w:rFonts w:ascii="Times New Roman" w:hAnsi="Times New Roman" w:cs="Times New Roman" w:eastAsia="Times New Roman" w:hint="default"/>
                <w:spacing w:val="-6"/>
                <w:sz w:val="18"/>
                <w:szCs w:val="18"/>
              </w:rPr>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29</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2024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316" w:lineRule="auto"/>
              <w:ind w:left="23" w:right="151"/>
              <w:jc w:val="left"/>
              <w:rPr>
                <w:rFonts w:ascii="宋体" w:hAnsi="宋体" w:cs="宋体" w:eastAsia="宋体" w:hint="default"/>
                <w:sz w:val="18"/>
                <w:szCs w:val="18"/>
              </w:rPr>
            </w:pPr>
            <w:r>
              <w:rPr>
                <w:rFonts w:ascii="宋体" w:hAnsi="宋体" w:cs="宋体" w:eastAsia="宋体" w:hint="default"/>
                <w:sz w:val="18"/>
                <w:szCs w:val="18"/>
              </w:rPr>
              <w:t>正常履 行中</w:t>
            </w:r>
          </w:p>
        </w:tc>
      </w:tr>
      <w:tr>
        <w:trPr>
          <w:trHeight w:val="1500" w:hRule="exact"/>
        </w:trPr>
        <w:tc>
          <w:tcPr>
            <w:tcW w:w="1295" w:type="dxa"/>
            <w:vMerge/>
            <w:tcBorders>
              <w:left w:val="single" w:sz="4" w:space="0" w:color="000000"/>
              <w:bottom w:val="nil" w:sz="6" w:space="0" w:color="auto"/>
              <w:right w:val="single" w:sz="4" w:space="0" w:color="000000"/>
            </w:tcBorders>
            <w:shd w:val="clear" w:color="auto" w:fill="D4D4D4"/>
          </w:tcPr>
          <w:p>
            <w:pPr/>
          </w:p>
        </w:tc>
        <w:tc>
          <w:tcPr>
            <w:tcW w:w="883" w:type="dxa"/>
            <w:vMerge w:val="restart"/>
            <w:tcBorders>
              <w:top w:val="single" w:sz="4" w:space="0" w:color="000000"/>
              <w:left w:val="single" w:sz="10" w:space="0" w:color="D4D4D4"/>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4"/>
                <w:szCs w:val="24"/>
              </w:rPr>
            </w:pPr>
          </w:p>
          <w:p>
            <w:pPr>
              <w:pStyle w:val="TableParagraph"/>
              <w:spacing w:line="316" w:lineRule="auto"/>
              <w:ind w:left="16" w:right="19"/>
              <w:jc w:val="left"/>
              <w:rPr>
                <w:rFonts w:ascii="宋体" w:hAnsi="宋体" w:cs="宋体" w:eastAsia="宋体" w:hint="default"/>
                <w:sz w:val="18"/>
                <w:szCs w:val="18"/>
              </w:rPr>
            </w:pPr>
            <w:r>
              <w:rPr>
                <w:rFonts w:ascii="宋体" w:hAnsi="宋体" w:cs="宋体" w:eastAsia="宋体" w:hint="default"/>
                <w:spacing w:val="-15"/>
                <w:sz w:val="18"/>
                <w:szCs w:val="18"/>
              </w:rPr>
              <w:t>郭永芳、滕</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达</w:t>
            </w:r>
          </w:p>
        </w:tc>
        <w:tc>
          <w:tcPr>
            <w:tcW w:w="58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316" w:lineRule="auto"/>
              <w:ind w:left="23" w:right="191"/>
              <w:jc w:val="both"/>
              <w:rPr>
                <w:rFonts w:ascii="宋体" w:hAnsi="宋体" w:cs="宋体" w:eastAsia="宋体" w:hint="default"/>
                <w:sz w:val="18"/>
                <w:szCs w:val="18"/>
              </w:rPr>
            </w:pPr>
            <w:r>
              <w:rPr>
                <w:rFonts w:ascii="宋体" w:hAnsi="宋体" w:cs="宋体" w:eastAsia="宋体" w:hint="default"/>
                <w:sz w:val="18"/>
                <w:szCs w:val="18"/>
              </w:rPr>
              <w:t>业绩 承诺 及补 偿安 排</w:t>
            </w:r>
          </w:p>
        </w:tc>
        <w:tc>
          <w:tcPr>
            <w:tcW w:w="4574" w:type="dxa"/>
            <w:vMerge w:val="restart"/>
            <w:tcBorders>
              <w:top w:val="single" w:sz="4" w:space="0" w:color="000000"/>
              <w:left w:val="single" w:sz="4" w:space="0" w:color="000000"/>
              <w:right w:val="single" w:sz="9" w:space="0" w:color="FFFFFF"/>
            </w:tcBorders>
          </w:tcPr>
          <w:p>
            <w:pPr>
              <w:pStyle w:val="TableParagraph"/>
              <w:spacing w:line="309" w:lineRule="auto" w:before="49"/>
              <w:ind w:left="23" w:right="32"/>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、承诺美亚柏科在现有经营方针、计划、模式及经营团 队的基础上继续经营，提高核心产品市场占有率，保持电 子数据取证行业龙头地位，并承诺美亚柏科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pStyle w:val="TableParagraph"/>
              <w:spacing w:line="314" w:lineRule="auto" w:before="5"/>
              <w:ind w:left="23" w:right="13"/>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年度和</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年度三个年度累计实现的扣除非经常性 损益后的净利润（指美亚柏科经审计的合并财务报表范围 内归属于母公司所有者的扣除非经常性损益后的净利润， 员工股权激励费用以及现有商誉因中国会计政策的变更所 需进行的摊销，应给予加回；如果是实际经营期间出现的 承诺人不可预见且不能控制的因素导致上述净利润减少 </w:t>
            </w:r>
            <w:r>
              <w:rPr>
                <w:rFonts w:ascii="Times New Roman" w:hAnsi="Times New Roman" w:cs="Times New Roman" w:eastAsia="Times New Roman" w:hint="default"/>
                <w:spacing w:val="-1"/>
                <w:sz w:val="18"/>
                <w:szCs w:val="18"/>
              </w:rPr>
              <w:t>500</w:t>
            </w:r>
            <w:r>
              <w:rPr>
                <w:rFonts w:ascii="Times New Roman" w:hAnsi="Times New Roman" w:cs="Times New Roman" w:eastAsia="Times New Roman" w:hint="default"/>
                <w:spacing w:val="4"/>
                <w:sz w:val="18"/>
                <w:szCs w:val="18"/>
              </w:rPr>
              <w:t> </w:t>
            </w:r>
            <w:r>
              <w:rPr>
                <w:rFonts w:ascii="宋体" w:hAnsi="宋体" w:cs="宋体" w:eastAsia="宋体" w:hint="default"/>
                <w:spacing w:val="-2"/>
                <w:sz w:val="18"/>
                <w:szCs w:val="18"/>
              </w:rPr>
              <w:t>万元以上（含</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500</w:t>
            </w:r>
            <w:r>
              <w:rPr>
                <w:rFonts w:ascii="Times New Roman" w:hAnsi="Times New Roman" w:cs="Times New Roman" w:eastAsia="Times New Roman" w:hint="default"/>
                <w:spacing w:val="4"/>
                <w:sz w:val="18"/>
                <w:szCs w:val="18"/>
              </w:rPr>
              <w:t> </w:t>
            </w:r>
            <w:r>
              <w:rPr>
                <w:rFonts w:ascii="宋体" w:hAnsi="宋体" w:cs="宋体" w:eastAsia="宋体" w:hint="default"/>
                <w:spacing w:val="-7"/>
                <w:sz w:val="18"/>
                <w:szCs w:val="18"/>
              </w:rPr>
              <w:t>万元），经国投智能书面同意并认可</w:t>
            </w:r>
          </w:p>
          <w:p>
            <w:pPr>
              <w:pStyle w:val="TableParagraph"/>
              <w:spacing w:line="307" w:lineRule="auto" w:before="1"/>
              <w:ind w:left="23" w:right="8"/>
              <w:jc w:val="left"/>
              <w:rPr>
                <w:rFonts w:ascii="宋体" w:hAnsi="宋体" w:cs="宋体" w:eastAsia="宋体" w:hint="default"/>
                <w:sz w:val="18"/>
                <w:szCs w:val="18"/>
              </w:rPr>
            </w:pPr>
            <w:r>
              <w:rPr>
                <w:rFonts w:ascii="宋体" w:hAnsi="宋体" w:cs="宋体" w:eastAsia="宋体" w:hint="default"/>
                <w:spacing w:val="-6"/>
                <w:sz w:val="18"/>
                <w:szCs w:val="18"/>
              </w:rPr>
              <w:t>之后，可以给予加回。以下简称</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扣非净利润</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）不低于</w:t>
            </w:r>
            <w:r>
              <w:rPr>
                <w:rFonts w:ascii="宋体" w:hAnsi="宋体" w:cs="宋体" w:eastAsia="宋体" w:hint="default"/>
                <w:spacing w:val="-31"/>
                <w:sz w:val="18"/>
                <w:szCs w:val="18"/>
              </w:rPr>
              <w:t> </w:t>
            </w:r>
            <w:r>
              <w:rPr>
                <w:rFonts w:ascii="Times New Roman" w:hAnsi="Times New Roman" w:cs="Times New Roman" w:eastAsia="Times New Roman" w:hint="default"/>
                <w:sz w:val="18"/>
                <w:szCs w:val="18"/>
              </w:rPr>
              <w:t>9.03</w:t>
            </w:r>
            <w:r>
              <w:rPr>
                <w:rFonts w:ascii="Times New Roman" w:hAnsi="Times New Roman" w:cs="Times New Roman" w:eastAsia="Times New Roman" w:hint="default"/>
                <w:spacing w:val="-38"/>
                <w:sz w:val="18"/>
                <w:szCs w:val="18"/>
              </w:rPr>
              <w:t> </w:t>
            </w:r>
            <w:r>
              <w:rPr>
                <w:rFonts w:ascii="Times New Roman" w:hAnsi="Times New Roman" w:cs="Times New Roman" w:eastAsia="Times New Roman" w:hint="default"/>
                <w:spacing w:val="-38"/>
                <w:sz w:val="18"/>
                <w:szCs w:val="18"/>
              </w:rPr>
            </w:r>
            <w:r>
              <w:rPr>
                <w:rFonts w:ascii="宋体" w:hAnsi="宋体" w:cs="宋体" w:eastAsia="宋体" w:hint="default"/>
                <w:spacing w:val="-4"/>
                <w:w w:val="99"/>
                <w:sz w:val="18"/>
                <w:szCs w:val="18"/>
              </w:rPr>
              <w:t>亿元（以下简称</w:t>
            </w:r>
            <w:r>
              <w:rPr>
                <w:rFonts w:ascii="Times New Roman" w:hAnsi="Times New Roman" w:cs="Times New Roman" w:eastAsia="Times New Roman" w:hint="default"/>
                <w:spacing w:val="-4"/>
                <w:w w:val="99"/>
                <w:sz w:val="18"/>
                <w:szCs w:val="18"/>
              </w:rPr>
              <w:t>"</w:t>
            </w:r>
            <w:r>
              <w:rPr>
                <w:rFonts w:ascii="宋体" w:hAnsi="宋体" w:cs="宋体" w:eastAsia="宋体" w:hint="default"/>
                <w:spacing w:val="-4"/>
                <w:w w:val="99"/>
                <w:sz w:val="18"/>
                <w:szCs w:val="18"/>
              </w:rPr>
              <w:t>承诺累计扣非净利润数</w:t>
            </w:r>
            <w:r>
              <w:rPr>
                <w:rFonts w:ascii="Times New Roman" w:hAnsi="Times New Roman" w:cs="Times New Roman" w:eastAsia="Times New Roman" w:hint="default"/>
                <w:spacing w:val="-4"/>
                <w:w w:val="99"/>
                <w:sz w:val="18"/>
                <w:szCs w:val="18"/>
              </w:rPr>
              <w:t>"</w:t>
            </w:r>
            <w:r>
              <w:rPr>
                <w:rFonts w:ascii="宋体" w:hAnsi="宋体" w:cs="宋体" w:eastAsia="宋体" w:hint="default"/>
                <w:spacing w:val="-4"/>
                <w:w w:val="99"/>
                <w:sz w:val="18"/>
                <w:szCs w:val="18"/>
              </w:rPr>
              <w:t>）。</w:t>
            </w:r>
            <w:r>
              <w:rPr>
                <w:rFonts w:ascii="Times New Roman" w:hAnsi="Times New Roman" w:cs="Times New Roman" w:eastAsia="Times New Roman" w:hint="default"/>
                <w:spacing w:val="-4"/>
                <w:w w:val="99"/>
                <w:sz w:val="18"/>
                <w:szCs w:val="18"/>
              </w:rPr>
              <w:t>2</w:t>
            </w:r>
            <w:r>
              <w:rPr>
                <w:rFonts w:ascii="宋体" w:hAnsi="宋体" w:cs="宋体" w:eastAsia="宋体" w:hint="default"/>
                <w:spacing w:val="-4"/>
                <w:w w:val="99"/>
                <w:sz w:val="18"/>
                <w:szCs w:val="18"/>
              </w:rPr>
              <w:t>、承诺美亚</w:t>
            </w:r>
            <w:r>
              <w:rPr>
                <w:rFonts w:ascii="宋体" w:hAnsi="宋体" w:cs="宋体" w:eastAsia="宋体" w:hint="default"/>
                <w:spacing w:val="-75"/>
                <w:w w:val="99"/>
                <w:sz w:val="18"/>
                <w:szCs w:val="18"/>
              </w:rPr>
              <w:t> </w:t>
            </w:r>
            <w:r>
              <w:rPr>
                <w:rFonts w:ascii="宋体" w:hAnsi="宋体" w:cs="宋体" w:eastAsia="宋体" w:hint="default"/>
                <w:spacing w:val="-3"/>
                <w:sz w:val="18"/>
                <w:szCs w:val="18"/>
              </w:rPr>
              <w:t>柏科财务报告的编制应符合《企业会计准则》及其他法律</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法规、规章和规范性文件的规定及上市公司财务报告编制 规范、标准和指引，美亚柏科应当保持会计政策、会计估 计的连续和稳定，不得任意变更会计政策、会计估计。美 亚柏科在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pacing w:val="-5"/>
                <w:sz w:val="18"/>
                <w:szCs w:val="18"/>
              </w:rPr>
              <w:t>年度、</w:t>
            </w:r>
            <w:r>
              <w:rPr>
                <w:rFonts w:ascii="Times New Roman" w:hAnsi="Times New Roman" w:cs="Times New Roman" w:eastAsia="Times New Roman" w:hint="default"/>
                <w:spacing w:val="-5"/>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年度和</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年度三个年度累计 </w:t>
            </w:r>
            <w:r>
              <w:rPr>
                <w:rFonts w:ascii="宋体" w:hAnsi="宋体" w:cs="宋体" w:eastAsia="宋体" w:hint="default"/>
                <w:spacing w:val="-3"/>
                <w:sz w:val="18"/>
                <w:szCs w:val="18"/>
              </w:rPr>
              <w:t>实现的实际扣非净利润数（以下简称</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实际累计扣非净利润</w:t>
            </w:r>
            <w:r>
              <w:rPr>
                <w:rFonts w:ascii="宋体" w:hAnsi="宋体" w:cs="宋体" w:eastAsia="宋体" w:hint="default"/>
                <w:spacing w:val="-71"/>
                <w:sz w:val="18"/>
                <w:szCs w:val="18"/>
              </w:rPr>
              <w:t> </w:t>
            </w:r>
            <w:r>
              <w:rPr>
                <w:rFonts w:ascii="宋体" w:hAnsi="宋体" w:cs="宋体" w:eastAsia="宋体" w:hint="default"/>
                <w:spacing w:val="-3"/>
                <w:sz w:val="18"/>
                <w:szCs w:val="18"/>
              </w:rPr>
              <w:t>数</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）低于承诺累计扣非净利润数的，承诺人同意以现金方</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4"/>
                <w:sz w:val="18"/>
                <w:szCs w:val="18"/>
              </w:rPr>
              <w:t>式对国投智能进行补偿，现金补偿金额</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（承诺累计扣非净</w:t>
            </w:r>
            <w:r>
              <w:rPr>
                <w:rFonts w:ascii="宋体" w:hAnsi="宋体" w:cs="宋体" w:eastAsia="宋体" w:hint="default"/>
                <w:spacing w:val="-69"/>
                <w:sz w:val="18"/>
                <w:szCs w:val="18"/>
              </w:rPr>
              <w:t> </w:t>
            </w:r>
            <w:r>
              <w:rPr>
                <w:rFonts w:ascii="宋体" w:hAnsi="宋体" w:cs="宋体" w:eastAsia="宋体" w:hint="default"/>
                <w:spacing w:val="-4"/>
                <w:sz w:val="18"/>
                <w:szCs w:val="18"/>
              </w:rPr>
              <w:t>利润数－实际累计扣非净利润数）</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承诺累计扣非净利润数</w:t>
            </w:r>
          </w:p>
          <w:p>
            <w:pPr>
              <w:pStyle w:val="TableParagraph"/>
              <w:spacing w:line="240" w:lineRule="auto" w:before="7"/>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承诺人实收股份转让价款。国投智能在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2021 </w:t>
            </w:r>
            <w:r>
              <w:rPr>
                <w:rFonts w:ascii="宋体" w:hAnsi="宋体" w:cs="宋体" w:eastAsia="宋体" w:hint="default"/>
                <w:sz w:val="18"/>
                <w:szCs w:val="18"/>
              </w:rPr>
              <w:t>年度的年度</w:t>
            </w:r>
          </w:p>
        </w:tc>
        <w:tc>
          <w:tcPr>
            <w:tcW w:w="742" w:type="dxa"/>
            <w:vMerge w:val="restart"/>
            <w:tcBorders>
              <w:top w:val="single" w:sz="4" w:space="0" w:color="000000"/>
              <w:left w:val="single" w:sz="9" w:space="0" w:color="FFFFFF"/>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29</w:t>
            </w:r>
          </w:p>
          <w:p>
            <w:pPr>
              <w:pStyle w:val="TableParagraph"/>
              <w:spacing w:line="205" w:lineRule="exact" w:before="63"/>
              <w:ind w:left="18" w:right="0"/>
              <w:jc w:val="left"/>
              <w:rPr>
                <w:rFonts w:ascii="宋体" w:hAnsi="宋体" w:cs="宋体" w:eastAsia="宋体" w:hint="default"/>
                <w:sz w:val="18"/>
                <w:szCs w:val="18"/>
              </w:rPr>
            </w:pPr>
            <w:r>
              <w:rPr>
                <w:rFonts w:ascii="宋体" w:hAnsi="宋体" w:cs="宋体" w:eastAsia="宋体" w:hint="default"/>
                <w:sz w:val="18"/>
                <w:szCs w:val="18"/>
              </w:rPr>
              <w:t>日</w:t>
            </w:r>
          </w:p>
          <w:p>
            <w:pPr>
              <w:pStyle w:val="TableParagraph"/>
              <w:spacing w:line="205" w:lineRule="exact"/>
              <w:ind w:left="-129" w:right="0"/>
              <w:jc w:val="left"/>
              <w:rPr>
                <w:rFonts w:ascii="宋体" w:hAnsi="宋体" w:cs="宋体" w:eastAsia="宋体" w:hint="default"/>
                <w:sz w:val="18"/>
                <w:szCs w:val="18"/>
              </w:rPr>
            </w:pPr>
            <w:r>
              <w:rPr>
                <w:rFonts w:ascii="宋体" w:hAnsi="宋体" w:cs="宋体" w:eastAsia="宋体" w:hint="default"/>
                <w:sz w:val="18"/>
                <w:szCs w:val="18"/>
              </w:rPr>
              <w:t>、</w:t>
            </w:r>
          </w:p>
        </w:tc>
        <w:tc>
          <w:tcPr>
            <w:tcW w:w="75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316" w:lineRule="auto" w:before="63"/>
              <w:ind w:left="23" w:right="134"/>
              <w:jc w:val="both"/>
              <w:rPr>
                <w:rFonts w:ascii="宋体" w:hAnsi="宋体" w:cs="宋体" w:eastAsia="宋体" w:hint="default"/>
                <w:sz w:val="18"/>
                <w:szCs w:val="18"/>
              </w:rPr>
            </w:pPr>
            <w:r>
              <w:rPr>
                <w:rFonts w:ascii="宋体" w:hAnsi="宋体" w:cs="宋体" w:eastAsia="宋体" w:hint="default"/>
                <w:sz w:val="18"/>
                <w:szCs w:val="18"/>
              </w:rPr>
              <w:t>度的年 度报告 披露后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日内</w:t>
            </w:r>
          </w:p>
        </w:tc>
        <w:tc>
          <w:tcPr>
            <w:tcW w:w="72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4"/>
                <w:szCs w:val="24"/>
              </w:rPr>
            </w:pPr>
          </w:p>
          <w:p>
            <w:pPr>
              <w:pStyle w:val="TableParagraph"/>
              <w:spacing w:line="316" w:lineRule="auto"/>
              <w:ind w:left="23" w:right="151"/>
              <w:jc w:val="left"/>
              <w:rPr>
                <w:rFonts w:ascii="宋体" w:hAnsi="宋体" w:cs="宋体" w:eastAsia="宋体" w:hint="default"/>
                <w:sz w:val="18"/>
                <w:szCs w:val="18"/>
              </w:rPr>
            </w:pPr>
            <w:r>
              <w:rPr>
                <w:rFonts w:ascii="宋体" w:hAnsi="宋体" w:cs="宋体" w:eastAsia="宋体" w:hint="default"/>
                <w:sz w:val="18"/>
                <w:szCs w:val="18"/>
              </w:rPr>
              <w:t>正常履 行中</w:t>
            </w:r>
          </w:p>
        </w:tc>
      </w:tr>
      <w:tr>
        <w:trPr>
          <w:trHeight w:val="1018" w:hRule="exact"/>
        </w:trPr>
        <w:tc>
          <w:tcPr>
            <w:tcW w:w="1295"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316" w:lineRule="auto" w:before="49"/>
              <w:ind w:left="22" w:right="180"/>
              <w:jc w:val="both"/>
              <w:rPr>
                <w:rFonts w:ascii="宋体" w:hAnsi="宋体" w:cs="宋体" w:eastAsia="宋体" w:hint="default"/>
                <w:sz w:val="18"/>
                <w:szCs w:val="18"/>
              </w:rPr>
            </w:pPr>
            <w:r>
              <w:rPr>
                <w:rFonts w:ascii="宋体" w:hAnsi="宋体" w:cs="宋体" w:eastAsia="宋体" w:hint="default"/>
                <w:sz w:val="18"/>
                <w:szCs w:val="18"/>
              </w:rPr>
              <w:t>收购报告书或 权益变动报告 书中所作承诺</w:t>
            </w:r>
          </w:p>
        </w:tc>
        <w:tc>
          <w:tcPr>
            <w:tcW w:w="883" w:type="dxa"/>
            <w:vMerge/>
            <w:tcBorders>
              <w:left w:val="single" w:sz="10" w:space="0" w:color="D4D4D4"/>
              <w:right w:val="single" w:sz="4" w:space="0" w:color="000000"/>
            </w:tcBorders>
          </w:tcPr>
          <w:p>
            <w:pPr/>
          </w:p>
        </w:tc>
        <w:tc>
          <w:tcPr>
            <w:tcW w:w="586" w:type="dxa"/>
            <w:vMerge/>
            <w:tcBorders>
              <w:left w:val="single" w:sz="4" w:space="0" w:color="000000"/>
              <w:right w:val="single" w:sz="4" w:space="0" w:color="000000"/>
            </w:tcBorders>
          </w:tcPr>
          <w:p>
            <w:pPr/>
          </w:p>
        </w:tc>
        <w:tc>
          <w:tcPr>
            <w:tcW w:w="4574" w:type="dxa"/>
            <w:vMerge/>
            <w:tcBorders>
              <w:left w:val="single" w:sz="4" w:space="0" w:color="000000"/>
              <w:right w:val="single" w:sz="9" w:space="0" w:color="FFFFFF"/>
            </w:tcBorders>
          </w:tcPr>
          <w:p>
            <w:pPr/>
          </w:p>
        </w:tc>
        <w:tc>
          <w:tcPr>
            <w:tcW w:w="742" w:type="dxa"/>
            <w:vMerge/>
            <w:tcBorders>
              <w:left w:val="single" w:sz="9" w:space="0" w:color="FFFFFF"/>
              <w:right w:val="single" w:sz="4" w:space="0" w:color="000000"/>
            </w:tcBorders>
          </w:tcPr>
          <w:p>
            <w:pPr/>
          </w:p>
        </w:tc>
        <w:tc>
          <w:tcPr>
            <w:tcW w:w="758"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r>
      <w:tr>
        <w:trPr>
          <w:trHeight w:val="4397" w:hRule="exact"/>
        </w:trPr>
        <w:tc>
          <w:tcPr>
            <w:tcW w:w="1295" w:type="dxa"/>
            <w:tcBorders>
              <w:top w:val="nil" w:sz="6" w:space="0" w:color="auto"/>
              <w:left w:val="single" w:sz="4" w:space="0" w:color="000000"/>
              <w:bottom w:val="single" w:sz="4" w:space="0" w:color="000000"/>
              <w:right w:val="single" w:sz="4" w:space="0" w:color="000000"/>
            </w:tcBorders>
            <w:shd w:val="clear" w:color="auto" w:fill="D4D4D4"/>
          </w:tcPr>
          <w:p>
            <w:pPr/>
          </w:p>
        </w:tc>
        <w:tc>
          <w:tcPr>
            <w:tcW w:w="883" w:type="dxa"/>
            <w:vMerge/>
            <w:tcBorders>
              <w:left w:val="single" w:sz="10" w:space="0" w:color="D4D4D4"/>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4574" w:type="dxa"/>
            <w:vMerge/>
            <w:tcBorders>
              <w:left w:val="single" w:sz="4" w:space="0" w:color="000000"/>
              <w:bottom w:val="single" w:sz="4" w:space="0" w:color="000000"/>
              <w:right w:val="single" w:sz="9" w:space="0" w:color="FFFFFF"/>
            </w:tcBorders>
          </w:tcPr>
          <w:p>
            <w:pPr/>
          </w:p>
        </w:tc>
        <w:tc>
          <w:tcPr>
            <w:tcW w:w="742" w:type="dxa"/>
            <w:vMerge/>
            <w:tcBorders>
              <w:left w:val="single" w:sz="9" w:space="0" w:color="FFFFFF"/>
              <w:bottom w:val="single" w:sz="4" w:space="0" w:color="000000"/>
              <w:right w:val="single" w:sz="4" w:space="0" w:color="000000"/>
            </w:tcBorders>
          </w:tcPr>
          <w:p>
            <w:pPr/>
          </w:p>
        </w:tc>
        <w:tc>
          <w:tcPr>
            <w:tcW w:w="758"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95"/>
        <w:gridCol w:w="883"/>
        <w:gridCol w:w="586"/>
        <w:gridCol w:w="4574"/>
        <w:gridCol w:w="742"/>
        <w:gridCol w:w="758"/>
        <w:gridCol w:w="730"/>
      </w:tblGrid>
      <w:tr>
        <w:trPr>
          <w:trHeight w:val="986" w:hRule="exact"/>
        </w:trPr>
        <w:tc>
          <w:tcPr>
            <w:tcW w:w="1295" w:type="dxa"/>
            <w:vMerge w:val="restart"/>
            <w:tcBorders>
              <w:top w:val="single" w:sz="4" w:space="0" w:color="000000"/>
              <w:left w:val="single" w:sz="4" w:space="0" w:color="000000"/>
              <w:right w:val="single" w:sz="4" w:space="0" w:color="000000"/>
            </w:tcBorders>
            <w:shd w:val="clear" w:color="auto" w:fill="D4D4D4"/>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457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8"/>
              <w:ind w:left="23" w:right="38"/>
              <w:jc w:val="left"/>
              <w:rPr>
                <w:rFonts w:ascii="Times New Roman" w:hAnsi="Times New Roman" w:cs="Times New Roman" w:eastAsia="Times New Roman" w:hint="default"/>
                <w:sz w:val="18"/>
                <w:szCs w:val="18"/>
              </w:rPr>
            </w:pPr>
            <w:r>
              <w:rPr>
                <w:rFonts w:ascii="宋体" w:hAnsi="宋体" w:cs="宋体" w:eastAsia="宋体" w:hint="default"/>
                <w:sz w:val="18"/>
                <w:szCs w:val="18"/>
              </w:rPr>
              <w:t>报告披露后，以书面方式通知转让方履行业绩补偿义务， 承诺人于收到书面通知后的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个工作日内完成业绩补偿 事项。</w:t>
            </w:r>
            <w:r>
              <w:rPr>
                <w:rFonts w:ascii="Times New Roman" w:hAnsi="Times New Roman" w:cs="Times New Roman" w:eastAsia="Times New Roman" w:hint="default"/>
                <w:sz w:val="18"/>
                <w:szCs w:val="18"/>
              </w:rPr>
              <w:t>"</w:t>
            </w:r>
          </w:p>
        </w:tc>
        <w:tc>
          <w:tcPr>
            <w:tcW w:w="742" w:type="dxa"/>
            <w:tcBorders>
              <w:top w:val="single" w:sz="4" w:space="0" w:color="000000"/>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r>
      <w:tr>
        <w:trPr>
          <w:trHeight w:val="9137" w:hRule="exact"/>
        </w:trPr>
        <w:tc>
          <w:tcPr>
            <w:tcW w:w="1295" w:type="dxa"/>
            <w:vMerge/>
            <w:tcBorders>
              <w:left w:val="single" w:sz="4" w:space="0" w:color="000000"/>
              <w:right w:val="single" w:sz="4" w:space="0" w:color="000000"/>
            </w:tcBorders>
            <w:shd w:val="clear" w:color="auto" w:fill="D4D4D4"/>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21"/>
              <w:ind w:left="23" w:right="19"/>
              <w:jc w:val="left"/>
              <w:rPr>
                <w:rFonts w:ascii="宋体" w:hAnsi="宋体" w:cs="宋体" w:eastAsia="宋体" w:hint="default"/>
                <w:sz w:val="18"/>
                <w:szCs w:val="18"/>
              </w:rPr>
            </w:pPr>
            <w:r>
              <w:rPr>
                <w:rFonts w:ascii="宋体" w:hAnsi="宋体" w:cs="宋体" w:eastAsia="宋体" w:hint="default"/>
                <w:spacing w:val="-15"/>
                <w:sz w:val="18"/>
                <w:szCs w:val="18"/>
              </w:rPr>
              <w:t>郭永芳、滕</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达</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21"/>
              <w:ind w:left="23" w:right="191"/>
              <w:jc w:val="left"/>
              <w:rPr>
                <w:rFonts w:ascii="宋体" w:hAnsi="宋体" w:cs="宋体" w:eastAsia="宋体" w:hint="default"/>
                <w:sz w:val="18"/>
                <w:szCs w:val="18"/>
              </w:rPr>
            </w:pPr>
            <w:r>
              <w:rPr>
                <w:rFonts w:ascii="宋体" w:hAnsi="宋体" w:cs="宋体" w:eastAsia="宋体" w:hint="default"/>
                <w:sz w:val="18"/>
                <w:szCs w:val="18"/>
              </w:rPr>
              <w:t>其他 承诺</w:t>
            </w:r>
          </w:p>
        </w:tc>
        <w:tc>
          <w:tcPr>
            <w:tcW w:w="4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314" w:lineRule="auto"/>
              <w:ind w:left="23" w:right="17"/>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w w:val="99"/>
                <w:sz w:val="18"/>
                <w:szCs w:val="18"/>
              </w:rPr>
              <w:t>"</w:t>
            </w:r>
            <w:r>
              <w:rPr>
                <w:rFonts w:ascii="宋体" w:hAnsi="宋体" w:cs="宋体" w:eastAsia="宋体" w:hint="default"/>
                <w:spacing w:val="-1"/>
                <w:w w:val="99"/>
                <w:sz w:val="18"/>
                <w:szCs w:val="18"/>
              </w:rPr>
              <w:t>自</w:t>
            </w:r>
            <w:r>
              <w:rPr>
                <w:rFonts w:ascii="宋体" w:hAnsi="宋体" w:cs="宋体" w:eastAsia="宋体" w:hint="default"/>
                <w:spacing w:val="-43"/>
                <w:w w:val="99"/>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3"/>
                <w:sz w:val="18"/>
                <w:szCs w:val="18"/>
              </w:rPr>
              <w:t> </w:t>
            </w:r>
            <w:r>
              <w:rPr>
                <w:rFonts w:ascii="宋体" w:hAnsi="宋体" w:cs="宋体" w:eastAsia="宋体" w:hint="default"/>
                <w:spacing w:val="-9"/>
                <w:sz w:val="18"/>
                <w:szCs w:val="18"/>
              </w:rPr>
              <w:t>日起至下述孰早时间止：（</w:t>
            </w:r>
            <w:r>
              <w:rPr>
                <w:rFonts w:ascii="Times New Roman" w:hAnsi="Times New Roman" w:cs="Times New Roman" w:eastAsia="Times New Roman" w:hint="default"/>
                <w:spacing w:val="-9"/>
                <w:sz w:val="18"/>
                <w:szCs w:val="18"/>
              </w:rPr>
              <w:t>1</w:t>
            </w:r>
            <w:r>
              <w:rPr>
                <w:rFonts w:ascii="宋体" w:hAnsi="宋体" w:cs="宋体" w:eastAsia="宋体" w:hint="default"/>
                <w:spacing w:val="-9"/>
                <w:sz w:val="18"/>
                <w:szCs w:val="18"/>
              </w:rPr>
              <w:t>）国投智能</w:t>
            </w:r>
            <w:r>
              <w:rPr>
                <w:rFonts w:ascii="宋体" w:hAnsi="宋体" w:cs="宋体" w:eastAsia="宋体" w:hint="default"/>
                <w:sz w:val="18"/>
                <w:szCs w:val="18"/>
              </w:rPr>
              <w:t> 仅通过其所持有的有表决权的股份成为美亚柏科第一大股 </w:t>
            </w:r>
            <w:r>
              <w:rPr>
                <w:rFonts w:ascii="宋体" w:hAnsi="宋体" w:cs="宋体" w:eastAsia="宋体" w:hint="default"/>
                <w:spacing w:val="-4"/>
                <w:sz w:val="18"/>
                <w:szCs w:val="18"/>
              </w:rPr>
              <w:t>东且获得美亚柏科实际控制权之日；（</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）自《股份转让协</w:t>
            </w:r>
            <w:r>
              <w:rPr>
                <w:rFonts w:ascii="宋体" w:hAnsi="宋体" w:cs="宋体" w:eastAsia="宋体" w:hint="default"/>
                <w:spacing w:val="-77"/>
                <w:sz w:val="18"/>
                <w:szCs w:val="18"/>
              </w:rPr>
              <w:t> </w:t>
            </w:r>
            <w:r>
              <w:rPr>
                <w:rFonts w:ascii="宋体" w:hAnsi="宋体" w:cs="宋体" w:eastAsia="宋体" w:hint="default"/>
                <w:sz w:val="18"/>
                <w:szCs w:val="18"/>
              </w:rPr>
              <w:t>议》生效之日起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年期限届满之日，承诺人将尽全力协助 国投智能按照《股份转让协议》及其他有关安排维持美亚 柏科的实际控制权并全力协助国投智能增持美亚柏科有表 决权股份以进一步巩固国投智能在美亚柏科中的实际控制 权。在国投智能通过有表决权股份取得美亚柏科的实际控 制权之后，承诺人将在法定范围内协助国投智能维持其对 美亚柏科的实际控制权，承诺人不会以任何方式自主或协 助任何第三方谋求对美亚柏科的实际控制权。未经国投智 能事先书面同意，承诺人不可以任何方式直接或间接增持 美亚柏科的股份。</w:t>
            </w:r>
            <w:r>
              <w:rPr>
                <w:rFonts w:ascii="Times New Roman" w:hAnsi="Times New Roman" w:cs="Times New Roman" w:eastAsia="Times New Roman" w:hint="default"/>
                <w:sz w:val="18"/>
                <w:szCs w:val="18"/>
              </w:rPr>
              <w:t>"</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29</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自</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2019</w:t>
            </w:r>
          </w:p>
          <w:p>
            <w:pPr>
              <w:pStyle w:val="TableParagraph"/>
              <w:spacing w:line="316" w:lineRule="auto" w:before="63"/>
              <w:ind w:left="23" w:right="2"/>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日起至 下述孰 早时间 </w:t>
            </w:r>
            <w:r>
              <w:rPr>
                <w:rFonts w:ascii="宋体" w:hAnsi="宋体" w:cs="宋体" w:eastAsia="宋体" w:hint="default"/>
                <w:spacing w:val="-19"/>
                <w:sz w:val="18"/>
                <w:szCs w:val="18"/>
              </w:rPr>
              <w:t>止：（</w:t>
            </w:r>
            <w:r>
              <w:rPr>
                <w:rFonts w:ascii="Times New Roman" w:hAnsi="Times New Roman" w:cs="Times New Roman" w:eastAsia="Times New Roman" w:hint="default"/>
                <w:spacing w:val="-19"/>
                <w:sz w:val="18"/>
                <w:szCs w:val="18"/>
              </w:rPr>
              <w:t>1</w:t>
            </w:r>
            <w:r>
              <w:rPr>
                <w:rFonts w:ascii="宋体" w:hAnsi="宋体" w:cs="宋体" w:eastAsia="宋体" w:hint="default"/>
                <w:spacing w:val="-19"/>
                <w:sz w:val="18"/>
                <w:szCs w:val="18"/>
              </w:rPr>
              <w:t>）</w:t>
            </w:r>
            <w:r>
              <w:rPr>
                <w:rFonts w:ascii="宋体" w:hAnsi="宋体" w:cs="宋体" w:eastAsia="宋体" w:hint="default"/>
                <w:spacing w:val="-86"/>
                <w:sz w:val="18"/>
                <w:szCs w:val="18"/>
              </w:rPr>
              <w:t> </w:t>
            </w:r>
            <w:r>
              <w:rPr>
                <w:rFonts w:ascii="宋体" w:hAnsi="宋体" w:cs="宋体" w:eastAsia="宋体" w:hint="default"/>
                <w:sz w:val="18"/>
                <w:szCs w:val="18"/>
              </w:rPr>
              <w:t>国投智 能仅通 过其所 持有的 有表决 权的股 份成为 美亚柏 科第一 大股东 且获得 美亚柏 科实际 控制权 之日；</w:t>
            </w:r>
          </w:p>
          <w:p>
            <w:pPr>
              <w:pStyle w:val="TableParagraph"/>
              <w:spacing w:line="240" w:lineRule="auto" w:before="19"/>
              <w:ind w:left="2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）自</w:t>
            </w:r>
          </w:p>
          <w:p>
            <w:pPr>
              <w:pStyle w:val="TableParagraph"/>
              <w:spacing w:line="314" w:lineRule="auto" w:before="63"/>
              <w:ind w:left="23" w:right="19"/>
              <w:jc w:val="left"/>
              <w:rPr>
                <w:rFonts w:ascii="宋体" w:hAnsi="宋体" w:cs="宋体" w:eastAsia="宋体" w:hint="default"/>
                <w:sz w:val="18"/>
                <w:szCs w:val="18"/>
              </w:rPr>
            </w:pPr>
            <w:r>
              <w:rPr>
                <w:rFonts w:ascii="宋体" w:hAnsi="宋体" w:cs="宋体" w:eastAsia="宋体" w:hint="default"/>
                <w:sz w:val="18"/>
                <w:szCs w:val="18"/>
              </w:rPr>
              <w:t>《股份 转让协 </w:t>
            </w:r>
            <w:r>
              <w:rPr>
                <w:rFonts w:ascii="宋体" w:hAnsi="宋体" w:cs="宋体" w:eastAsia="宋体" w:hint="default"/>
                <w:spacing w:val="-5"/>
                <w:sz w:val="18"/>
                <w:szCs w:val="18"/>
              </w:rPr>
              <w:t>议》生效</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年期限 届满之 日。</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21"/>
              <w:ind w:left="23" w:right="154"/>
              <w:jc w:val="left"/>
              <w:rPr>
                <w:rFonts w:ascii="宋体" w:hAnsi="宋体" w:cs="宋体" w:eastAsia="宋体" w:hint="default"/>
                <w:sz w:val="18"/>
                <w:szCs w:val="18"/>
              </w:rPr>
            </w:pPr>
            <w:r>
              <w:rPr>
                <w:rFonts w:ascii="宋体" w:hAnsi="宋体" w:cs="宋体" w:eastAsia="宋体" w:hint="default"/>
                <w:sz w:val="18"/>
                <w:szCs w:val="18"/>
              </w:rPr>
              <w:t>正常履 行中</w:t>
            </w:r>
          </w:p>
        </w:tc>
      </w:tr>
      <w:tr>
        <w:trPr>
          <w:trHeight w:val="3794" w:hRule="exact"/>
        </w:trPr>
        <w:tc>
          <w:tcPr>
            <w:tcW w:w="1295" w:type="dxa"/>
            <w:vMerge/>
            <w:tcBorders>
              <w:left w:val="single" w:sz="4" w:space="0" w:color="000000"/>
              <w:bottom w:val="single" w:sz="4" w:space="0" w:color="000000"/>
              <w:right w:val="single" w:sz="4" w:space="0" w:color="000000"/>
            </w:tcBorders>
            <w:shd w:val="clear" w:color="auto" w:fill="D4D4D4"/>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41"/>
              <w:ind w:left="23" w:right="19"/>
              <w:jc w:val="left"/>
              <w:rPr>
                <w:rFonts w:ascii="宋体" w:hAnsi="宋体" w:cs="宋体" w:eastAsia="宋体" w:hint="default"/>
                <w:sz w:val="18"/>
                <w:szCs w:val="18"/>
              </w:rPr>
            </w:pPr>
            <w:r>
              <w:rPr>
                <w:rFonts w:ascii="宋体" w:hAnsi="宋体" w:cs="宋体" w:eastAsia="宋体" w:hint="default"/>
                <w:spacing w:val="-15"/>
                <w:sz w:val="18"/>
                <w:szCs w:val="18"/>
              </w:rPr>
              <w:t>苏学武、韦</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玉荣</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41"/>
              <w:ind w:left="23" w:right="191"/>
              <w:jc w:val="left"/>
              <w:rPr>
                <w:rFonts w:ascii="宋体" w:hAnsi="宋体" w:cs="宋体" w:eastAsia="宋体" w:hint="default"/>
                <w:sz w:val="18"/>
                <w:szCs w:val="18"/>
              </w:rPr>
            </w:pPr>
            <w:r>
              <w:rPr>
                <w:rFonts w:ascii="宋体" w:hAnsi="宋体" w:cs="宋体" w:eastAsia="宋体" w:hint="default"/>
                <w:sz w:val="18"/>
                <w:szCs w:val="18"/>
              </w:rPr>
              <w:t>其他 承诺</w:t>
            </w:r>
          </w:p>
        </w:tc>
        <w:tc>
          <w:tcPr>
            <w:tcW w:w="4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2" w:lineRule="auto" w:before="134"/>
              <w:ind w:left="23" w:right="17"/>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w w:val="99"/>
                <w:sz w:val="18"/>
                <w:szCs w:val="18"/>
              </w:rPr>
              <w:t>"</w:t>
            </w:r>
            <w:r>
              <w:rPr>
                <w:rFonts w:ascii="宋体" w:hAnsi="宋体" w:cs="宋体" w:eastAsia="宋体" w:hint="default"/>
                <w:spacing w:val="-1"/>
                <w:w w:val="99"/>
                <w:sz w:val="18"/>
                <w:szCs w:val="18"/>
              </w:rPr>
              <w:t>自</w:t>
            </w:r>
            <w:r>
              <w:rPr>
                <w:rFonts w:ascii="宋体" w:hAnsi="宋体" w:cs="宋体" w:eastAsia="宋体" w:hint="default"/>
                <w:spacing w:val="-43"/>
                <w:w w:val="99"/>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3"/>
                <w:sz w:val="18"/>
                <w:szCs w:val="18"/>
              </w:rPr>
              <w:t> </w:t>
            </w:r>
            <w:r>
              <w:rPr>
                <w:rFonts w:ascii="宋体" w:hAnsi="宋体" w:cs="宋体" w:eastAsia="宋体" w:hint="default"/>
                <w:spacing w:val="-9"/>
                <w:sz w:val="18"/>
                <w:szCs w:val="18"/>
              </w:rPr>
              <w:t>日起至下述孰早时间止：（</w:t>
            </w:r>
            <w:r>
              <w:rPr>
                <w:rFonts w:ascii="Times New Roman" w:hAnsi="Times New Roman" w:cs="Times New Roman" w:eastAsia="Times New Roman" w:hint="default"/>
                <w:spacing w:val="-9"/>
                <w:sz w:val="18"/>
                <w:szCs w:val="18"/>
              </w:rPr>
              <w:t>1</w:t>
            </w:r>
            <w:r>
              <w:rPr>
                <w:rFonts w:ascii="宋体" w:hAnsi="宋体" w:cs="宋体" w:eastAsia="宋体" w:hint="default"/>
                <w:spacing w:val="-9"/>
                <w:sz w:val="18"/>
                <w:szCs w:val="18"/>
              </w:rPr>
              <w:t>）国投智能</w:t>
            </w:r>
            <w:r>
              <w:rPr>
                <w:rFonts w:ascii="宋体" w:hAnsi="宋体" w:cs="宋体" w:eastAsia="宋体" w:hint="default"/>
                <w:sz w:val="18"/>
                <w:szCs w:val="18"/>
              </w:rPr>
              <w:t> 仅通过其所持有的有表决权的股份成为美亚柏科第一大股 </w:t>
            </w:r>
            <w:r>
              <w:rPr>
                <w:rFonts w:ascii="宋体" w:hAnsi="宋体" w:cs="宋体" w:eastAsia="宋体" w:hint="default"/>
                <w:spacing w:val="-4"/>
                <w:sz w:val="18"/>
                <w:szCs w:val="18"/>
              </w:rPr>
              <w:t>东且获得美亚柏科实际控制权之日；（</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）自《股份转让协</w:t>
            </w:r>
            <w:r>
              <w:rPr>
                <w:rFonts w:ascii="宋体" w:hAnsi="宋体" w:cs="宋体" w:eastAsia="宋体" w:hint="default"/>
                <w:spacing w:val="-77"/>
                <w:sz w:val="18"/>
                <w:szCs w:val="18"/>
              </w:rPr>
              <w:t> </w:t>
            </w:r>
            <w:r>
              <w:rPr>
                <w:rFonts w:ascii="宋体" w:hAnsi="宋体" w:cs="宋体" w:eastAsia="宋体" w:hint="default"/>
                <w:sz w:val="18"/>
                <w:szCs w:val="18"/>
              </w:rPr>
              <w:t>议》生效之日起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年期限届满之日，承诺人将尽全力协助 国投智能按照《股份转让协议》及其他有关安排维持美亚 柏科的实际控制权并全力协助国投智能增持美亚柏科有表 决权股份以进一步巩固国投智能在美亚柏科中的实际控制 权。除《股份转让协议》或承诺人已签署的书面文件（如 有）明确规定的合同义务以外，前述协助或其他安排的履 行不应损害承诺人自身的公平利益。</w:t>
            </w:r>
            <w:r>
              <w:rPr>
                <w:rFonts w:ascii="Times New Roman" w:hAnsi="Times New Roman" w:cs="Times New Roman" w:eastAsia="Times New Roman" w:hint="default"/>
                <w:sz w:val="18"/>
                <w:szCs w:val="18"/>
              </w:rPr>
              <w:t>"</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29</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自</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2019</w:t>
            </w:r>
          </w:p>
          <w:p>
            <w:pPr>
              <w:pStyle w:val="TableParagraph"/>
              <w:spacing w:line="314" w:lineRule="auto" w:before="63"/>
              <w:ind w:left="23" w:right="2"/>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日起至 下述孰 早时间 </w:t>
            </w:r>
            <w:r>
              <w:rPr>
                <w:rFonts w:ascii="宋体" w:hAnsi="宋体" w:cs="宋体" w:eastAsia="宋体" w:hint="default"/>
                <w:spacing w:val="-19"/>
                <w:sz w:val="18"/>
                <w:szCs w:val="18"/>
              </w:rPr>
              <w:t>止：（</w:t>
            </w:r>
            <w:r>
              <w:rPr>
                <w:rFonts w:ascii="Times New Roman" w:hAnsi="Times New Roman" w:cs="Times New Roman" w:eastAsia="Times New Roman" w:hint="default"/>
                <w:spacing w:val="-19"/>
                <w:sz w:val="18"/>
                <w:szCs w:val="18"/>
              </w:rPr>
              <w:t>1</w:t>
            </w:r>
            <w:r>
              <w:rPr>
                <w:rFonts w:ascii="宋体" w:hAnsi="宋体" w:cs="宋体" w:eastAsia="宋体" w:hint="default"/>
                <w:spacing w:val="-19"/>
                <w:sz w:val="18"/>
                <w:szCs w:val="18"/>
              </w:rPr>
              <w:t>）</w:t>
            </w:r>
            <w:r>
              <w:rPr>
                <w:rFonts w:ascii="宋体" w:hAnsi="宋体" w:cs="宋体" w:eastAsia="宋体" w:hint="default"/>
                <w:spacing w:val="-86"/>
                <w:sz w:val="18"/>
                <w:szCs w:val="18"/>
              </w:rPr>
              <w:t> </w:t>
            </w:r>
            <w:r>
              <w:rPr>
                <w:rFonts w:ascii="宋体" w:hAnsi="宋体" w:cs="宋体" w:eastAsia="宋体" w:hint="default"/>
                <w:sz w:val="18"/>
                <w:szCs w:val="18"/>
              </w:rPr>
              <w:t>国投智 能仅通 过其所 持有的 有表决 权的股</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41"/>
              <w:ind w:left="23" w:right="154"/>
              <w:jc w:val="left"/>
              <w:rPr>
                <w:rFonts w:ascii="宋体" w:hAnsi="宋体" w:cs="宋体" w:eastAsia="宋体" w:hint="default"/>
                <w:sz w:val="18"/>
                <w:szCs w:val="18"/>
              </w:rPr>
            </w:pPr>
            <w:r>
              <w:rPr>
                <w:rFonts w:ascii="宋体" w:hAnsi="宋体" w:cs="宋体" w:eastAsia="宋体" w:hint="default"/>
                <w:sz w:val="18"/>
                <w:szCs w:val="18"/>
              </w:rPr>
              <w:t>正常履 行中</w:t>
            </w:r>
          </w:p>
        </w:tc>
      </w:tr>
    </w:tbl>
    <w:p>
      <w:pPr>
        <w:spacing w:after="0" w:line="316"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228.720001pt;margin-top:340.199982pt;width:231.75pt;height:187.2pt;mso-position-horizontal-relative:page;mso-position-vertical-relative:page;z-index:-1348864"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1"/>
                    <w:rPr>
                      <w:rFonts w:ascii="Times New Roman" w:hAnsi="Times New Roman" w:cs="Times New Roman" w:eastAsia="Times New Roman" w:hint="default"/>
                      <w:sz w:val="23"/>
                      <w:szCs w:val="2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在违反承诺的行为发生前取得国投智能书面谅解。</w:t>
                  </w:r>
                </w:p>
              </w:txbxContent>
            </v:textbox>
            <w10:wrap type="none"/>
          </v:shape>
        </w:pict>
      </w:r>
      <w:r>
        <w:rPr/>
        <w:pict>
          <v:group style="position:absolute;margin-left:423.959991pt;margin-top:340.199982pt;width:36.5pt;height:187.2pt;mso-position-horizontal-relative:page;mso-position-vertical-relative:page;z-index:-1348840" coordorigin="8479,6804" coordsize="730,3744">
            <v:shape style="position:absolute;left:8479;top:6804;width:730;height:3744" coordorigin="8479,6804" coordsize="730,3744" path="m8479,10548l9209,10548,9209,6804,8479,6804,8479,10548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95"/>
        <w:gridCol w:w="883"/>
        <w:gridCol w:w="586"/>
        <w:gridCol w:w="4574"/>
        <w:gridCol w:w="742"/>
        <w:gridCol w:w="758"/>
        <w:gridCol w:w="727"/>
      </w:tblGrid>
      <w:tr>
        <w:trPr>
          <w:trHeight w:val="315" w:hRule="exact"/>
        </w:trPr>
        <w:tc>
          <w:tcPr>
            <w:tcW w:w="1295" w:type="dxa"/>
            <w:vMerge w:val="restart"/>
            <w:tcBorders>
              <w:top w:val="single" w:sz="4" w:space="0" w:color="000000"/>
              <w:left w:val="single" w:sz="4" w:space="0" w:color="000000"/>
              <w:right w:val="single" w:sz="4" w:space="0" w:color="000000"/>
            </w:tcBorders>
            <w:shd w:val="clear" w:color="auto" w:fill="D4D4D4"/>
          </w:tcPr>
          <w:p>
            <w:pPr/>
          </w:p>
        </w:tc>
        <w:tc>
          <w:tcPr>
            <w:tcW w:w="883" w:type="dxa"/>
            <w:vMerge w:val="restart"/>
            <w:tcBorders>
              <w:top w:val="single" w:sz="4" w:space="0" w:color="000000"/>
              <w:left w:val="single" w:sz="4" w:space="0" w:color="000000"/>
              <w:right w:val="single" w:sz="4" w:space="0" w:color="000000"/>
            </w:tcBorders>
          </w:tcPr>
          <w:p>
            <w:pPr/>
          </w:p>
        </w:tc>
        <w:tc>
          <w:tcPr>
            <w:tcW w:w="586" w:type="dxa"/>
            <w:vMerge w:val="restart"/>
            <w:tcBorders>
              <w:top w:val="single" w:sz="4" w:space="0" w:color="000000"/>
              <w:left w:val="single" w:sz="4" w:space="0" w:color="000000"/>
              <w:right w:val="single" w:sz="4" w:space="0" w:color="000000"/>
            </w:tcBorders>
          </w:tcPr>
          <w:p>
            <w:pPr/>
          </w:p>
        </w:tc>
        <w:tc>
          <w:tcPr>
            <w:tcW w:w="4574" w:type="dxa"/>
            <w:vMerge w:val="restart"/>
            <w:tcBorders>
              <w:top w:val="single" w:sz="4" w:space="0" w:color="000000"/>
              <w:left w:val="single" w:sz="4" w:space="0" w:color="000000"/>
              <w:right w:val="single" w:sz="4" w:space="0" w:color="000000"/>
            </w:tcBorders>
          </w:tcPr>
          <w:p>
            <w:pPr/>
          </w:p>
        </w:tc>
        <w:tc>
          <w:tcPr>
            <w:tcW w:w="742" w:type="dxa"/>
            <w:vMerge w:val="restart"/>
            <w:tcBorders>
              <w:top w:val="single" w:sz="4" w:space="0" w:color="000000"/>
              <w:left w:val="single" w:sz="4" w:space="0" w:color="000000"/>
              <w:right w:val="single" w:sz="4" w:space="0" w:color="000000"/>
            </w:tcBorders>
          </w:tcPr>
          <w:p>
            <w:pPr/>
          </w:p>
        </w:tc>
        <w:tc>
          <w:tcPr>
            <w:tcW w:w="75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份成为</w:t>
            </w:r>
          </w:p>
        </w:tc>
        <w:tc>
          <w:tcPr>
            <w:tcW w:w="727" w:type="dxa"/>
            <w:vMerge w:val="restart"/>
            <w:tcBorders>
              <w:top w:val="single" w:sz="4" w:space="0" w:color="000000"/>
              <w:left w:val="single" w:sz="4" w:space="0" w:color="000000"/>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4574" w:type="dxa"/>
            <w:vMerge/>
            <w:tcBorders>
              <w:left w:val="single" w:sz="4" w:space="0" w:color="000000"/>
              <w:right w:val="single" w:sz="4" w:space="0" w:color="000000"/>
            </w:tcBorders>
          </w:tcPr>
          <w:p>
            <w:pPr/>
          </w:p>
        </w:tc>
        <w:tc>
          <w:tcPr>
            <w:tcW w:w="742" w:type="dxa"/>
            <w:vMerge/>
            <w:tcBorders>
              <w:left w:val="single" w:sz="4" w:space="0" w:color="000000"/>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美亚柏</w:t>
            </w:r>
          </w:p>
        </w:tc>
        <w:tc>
          <w:tcPr>
            <w:tcW w:w="727" w:type="dxa"/>
            <w:vMerge/>
            <w:tcBorders>
              <w:left w:val="single" w:sz="4" w:space="0" w:color="000000"/>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4574" w:type="dxa"/>
            <w:vMerge/>
            <w:tcBorders>
              <w:left w:val="single" w:sz="4" w:space="0" w:color="000000"/>
              <w:right w:val="single" w:sz="4" w:space="0" w:color="000000"/>
            </w:tcBorders>
          </w:tcPr>
          <w:p>
            <w:pPr/>
          </w:p>
        </w:tc>
        <w:tc>
          <w:tcPr>
            <w:tcW w:w="742" w:type="dxa"/>
            <w:vMerge/>
            <w:tcBorders>
              <w:left w:val="single" w:sz="4" w:space="0" w:color="000000"/>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科第一</w:t>
            </w:r>
          </w:p>
        </w:tc>
        <w:tc>
          <w:tcPr>
            <w:tcW w:w="727" w:type="dxa"/>
            <w:vMerge/>
            <w:tcBorders>
              <w:left w:val="single" w:sz="4" w:space="0" w:color="000000"/>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4574" w:type="dxa"/>
            <w:vMerge/>
            <w:tcBorders>
              <w:left w:val="single" w:sz="4" w:space="0" w:color="000000"/>
              <w:right w:val="single" w:sz="4" w:space="0" w:color="000000"/>
            </w:tcBorders>
          </w:tcPr>
          <w:p>
            <w:pPr/>
          </w:p>
        </w:tc>
        <w:tc>
          <w:tcPr>
            <w:tcW w:w="742" w:type="dxa"/>
            <w:vMerge/>
            <w:tcBorders>
              <w:left w:val="single" w:sz="4" w:space="0" w:color="000000"/>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大股东</w:t>
            </w:r>
          </w:p>
        </w:tc>
        <w:tc>
          <w:tcPr>
            <w:tcW w:w="727" w:type="dxa"/>
            <w:vMerge/>
            <w:tcBorders>
              <w:left w:val="single" w:sz="4" w:space="0" w:color="000000"/>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4574" w:type="dxa"/>
            <w:vMerge/>
            <w:tcBorders>
              <w:left w:val="single" w:sz="4" w:space="0" w:color="000000"/>
              <w:right w:val="single" w:sz="4" w:space="0" w:color="000000"/>
            </w:tcBorders>
          </w:tcPr>
          <w:p>
            <w:pPr/>
          </w:p>
        </w:tc>
        <w:tc>
          <w:tcPr>
            <w:tcW w:w="742" w:type="dxa"/>
            <w:vMerge/>
            <w:tcBorders>
              <w:left w:val="single" w:sz="4" w:space="0" w:color="000000"/>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且获得</w:t>
            </w:r>
          </w:p>
        </w:tc>
        <w:tc>
          <w:tcPr>
            <w:tcW w:w="727" w:type="dxa"/>
            <w:vMerge/>
            <w:tcBorders>
              <w:left w:val="single" w:sz="4" w:space="0" w:color="000000"/>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4574" w:type="dxa"/>
            <w:vMerge/>
            <w:tcBorders>
              <w:left w:val="single" w:sz="4" w:space="0" w:color="000000"/>
              <w:right w:val="single" w:sz="4" w:space="0" w:color="000000"/>
            </w:tcBorders>
          </w:tcPr>
          <w:p>
            <w:pPr/>
          </w:p>
        </w:tc>
        <w:tc>
          <w:tcPr>
            <w:tcW w:w="742" w:type="dxa"/>
            <w:vMerge/>
            <w:tcBorders>
              <w:left w:val="single" w:sz="4" w:space="0" w:color="000000"/>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美亚柏</w:t>
            </w:r>
          </w:p>
        </w:tc>
        <w:tc>
          <w:tcPr>
            <w:tcW w:w="727" w:type="dxa"/>
            <w:vMerge/>
            <w:tcBorders>
              <w:left w:val="single" w:sz="4" w:space="0" w:color="000000"/>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4574" w:type="dxa"/>
            <w:vMerge/>
            <w:tcBorders>
              <w:left w:val="single" w:sz="4" w:space="0" w:color="000000"/>
              <w:right w:val="single" w:sz="4" w:space="0" w:color="000000"/>
            </w:tcBorders>
          </w:tcPr>
          <w:p>
            <w:pPr/>
          </w:p>
        </w:tc>
        <w:tc>
          <w:tcPr>
            <w:tcW w:w="742" w:type="dxa"/>
            <w:vMerge/>
            <w:tcBorders>
              <w:left w:val="single" w:sz="4" w:space="0" w:color="000000"/>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科实际</w:t>
            </w:r>
          </w:p>
        </w:tc>
        <w:tc>
          <w:tcPr>
            <w:tcW w:w="727" w:type="dxa"/>
            <w:vMerge/>
            <w:tcBorders>
              <w:left w:val="single" w:sz="4" w:space="0" w:color="000000"/>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4574" w:type="dxa"/>
            <w:vMerge/>
            <w:tcBorders>
              <w:left w:val="single" w:sz="4" w:space="0" w:color="000000"/>
              <w:right w:val="single" w:sz="4" w:space="0" w:color="000000"/>
            </w:tcBorders>
          </w:tcPr>
          <w:p>
            <w:pPr/>
          </w:p>
        </w:tc>
        <w:tc>
          <w:tcPr>
            <w:tcW w:w="742" w:type="dxa"/>
            <w:vMerge/>
            <w:tcBorders>
              <w:left w:val="single" w:sz="4" w:space="0" w:color="000000"/>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控制权</w:t>
            </w:r>
          </w:p>
        </w:tc>
        <w:tc>
          <w:tcPr>
            <w:tcW w:w="727" w:type="dxa"/>
            <w:vMerge/>
            <w:tcBorders>
              <w:left w:val="single" w:sz="4" w:space="0" w:color="000000"/>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4574" w:type="dxa"/>
            <w:vMerge/>
            <w:tcBorders>
              <w:left w:val="single" w:sz="4" w:space="0" w:color="000000"/>
              <w:right w:val="single" w:sz="4" w:space="0" w:color="000000"/>
            </w:tcBorders>
          </w:tcPr>
          <w:p>
            <w:pPr/>
          </w:p>
        </w:tc>
        <w:tc>
          <w:tcPr>
            <w:tcW w:w="742" w:type="dxa"/>
            <w:vMerge/>
            <w:tcBorders>
              <w:left w:val="single" w:sz="4" w:space="0" w:color="000000"/>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之日；</w:t>
            </w:r>
          </w:p>
        </w:tc>
        <w:tc>
          <w:tcPr>
            <w:tcW w:w="727" w:type="dxa"/>
            <w:vMerge/>
            <w:tcBorders>
              <w:left w:val="single" w:sz="4" w:space="0" w:color="000000"/>
              <w:right w:val="single" w:sz="4" w:space="0" w:color="000000"/>
            </w:tcBorders>
          </w:tcPr>
          <w:p>
            <w:pPr/>
          </w:p>
        </w:tc>
      </w:tr>
      <w:tr>
        <w:trPr>
          <w:trHeight w:val="317"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4574" w:type="dxa"/>
            <w:vMerge/>
            <w:tcBorders>
              <w:left w:val="single" w:sz="4" w:space="0" w:color="000000"/>
              <w:right w:val="single" w:sz="4" w:space="0" w:color="000000"/>
            </w:tcBorders>
          </w:tcPr>
          <w:p>
            <w:pPr/>
          </w:p>
        </w:tc>
        <w:tc>
          <w:tcPr>
            <w:tcW w:w="742" w:type="dxa"/>
            <w:vMerge/>
            <w:tcBorders>
              <w:left w:val="single" w:sz="4" w:space="0" w:color="000000"/>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）自</w:t>
            </w:r>
          </w:p>
        </w:tc>
        <w:tc>
          <w:tcPr>
            <w:tcW w:w="727" w:type="dxa"/>
            <w:vMerge/>
            <w:tcBorders>
              <w:left w:val="single" w:sz="4" w:space="0" w:color="000000"/>
              <w:right w:val="single" w:sz="4" w:space="0" w:color="000000"/>
            </w:tcBorders>
          </w:tcPr>
          <w:p>
            <w:pPr/>
          </w:p>
        </w:tc>
      </w:tr>
      <w:tr>
        <w:trPr>
          <w:trHeight w:val="307"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4574" w:type="dxa"/>
            <w:vMerge/>
            <w:tcBorders>
              <w:left w:val="single" w:sz="4" w:space="0" w:color="000000"/>
              <w:right w:val="single" w:sz="4" w:space="0" w:color="000000"/>
            </w:tcBorders>
          </w:tcPr>
          <w:p>
            <w:pPr/>
          </w:p>
        </w:tc>
        <w:tc>
          <w:tcPr>
            <w:tcW w:w="742" w:type="dxa"/>
            <w:vMerge/>
            <w:tcBorders>
              <w:left w:val="single" w:sz="4" w:space="0" w:color="000000"/>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《股份</w:t>
            </w:r>
          </w:p>
        </w:tc>
        <w:tc>
          <w:tcPr>
            <w:tcW w:w="727" w:type="dxa"/>
            <w:vMerge/>
            <w:tcBorders>
              <w:left w:val="single" w:sz="4" w:space="0" w:color="000000"/>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4574" w:type="dxa"/>
            <w:vMerge/>
            <w:tcBorders>
              <w:left w:val="single" w:sz="4" w:space="0" w:color="000000"/>
              <w:right w:val="single" w:sz="4" w:space="0" w:color="000000"/>
            </w:tcBorders>
          </w:tcPr>
          <w:p>
            <w:pPr/>
          </w:p>
        </w:tc>
        <w:tc>
          <w:tcPr>
            <w:tcW w:w="742" w:type="dxa"/>
            <w:vMerge/>
            <w:tcBorders>
              <w:left w:val="single" w:sz="4" w:space="0" w:color="000000"/>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转让协</w:t>
            </w:r>
          </w:p>
        </w:tc>
        <w:tc>
          <w:tcPr>
            <w:tcW w:w="727" w:type="dxa"/>
            <w:vMerge/>
            <w:tcBorders>
              <w:left w:val="single" w:sz="4" w:space="0" w:color="000000"/>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4574" w:type="dxa"/>
            <w:vMerge/>
            <w:tcBorders>
              <w:left w:val="single" w:sz="4" w:space="0" w:color="000000"/>
              <w:right w:val="single" w:sz="4" w:space="0" w:color="000000"/>
            </w:tcBorders>
          </w:tcPr>
          <w:p>
            <w:pPr/>
          </w:p>
        </w:tc>
        <w:tc>
          <w:tcPr>
            <w:tcW w:w="742" w:type="dxa"/>
            <w:vMerge/>
            <w:tcBorders>
              <w:left w:val="single" w:sz="4" w:space="0" w:color="000000"/>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5"/>
                <w:sz w:val="18"/>
                <w:szCs w:val="18"/>
              </w:rPr>
              <w:t>议》生效</w:t>
            </w:r>
          </w:p>
        </w:tc>
        <w:tc>
          <w:tcPr>
            <w:tcW w:w="727" w:type="dxa"/>
            <w:vMerge/>
            <w:tcBorders>
              <w:left w:val="single" w:sz="4" w:space="0" w:color="000000"/>
              <w:right w:val="single" w:sz="4" w:space="0" w:color="000000"/>
            </w:tcBorders>
          </w:tcPr>
          <w:p>
            <w:pPr/>
          </w:p>
        </w:tc>
      </w:tr>
      <w:tr>
        <w:trPr>
          <w:trHeight w:val="317"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4574" w:type="dxa"/>
            <w:vMerge/>
            <w:tcBorders>
              <w:left w:val="single" w:sz="4" w:space="0" w:color="000000"/>
              <w:right w:val="single" w:sz="4" w:space="0" w:color="000000"/>
            </w:tcBorders>
          </w:tcPr>
          <w:p>
            <w:pPr/>
          </w:p>
        </w:tc>
        <w:tc>
          <w:tcPr>
            <w:tcW w:w="742" w:type="dxa"/>
            <w:vMerge/>
            <w:tcBorders>
              <w:left w:val="single" w:sz="4" w:space="0" w:color="000000"/>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p>
        </w:tc>
        <w:tc>
          <w:tcPr>
            <w:tcW w:w="727" w:type="dxa"/>
            <w:vMerge/>
            <w:tcBorders>
              <w:left w:val="single" w:sz="4" w:space="0" w:color="000000"/>
              <w:right w:val="single" w:sz="4" w:space="0" w:color="000000"/>
            </w:tcBorders>
          </w:tcPr>
          <w:p>
            <w:pPr/>
          </w:p>
        </w:tc>
      </w:tr>
      <w:tr>
        <w:trPr>
          <w:trHeight w:val="307"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4574" w:type="dxa"/>
            <w:vMerge/>
            <w:tcBorders>
              <w:left w:val="single" w:sz="4" w:space="0" w:color="000000"/>
              <w:right w:val="single" w:sz="4" w:space="0" w:color="000000"/>
            </w:tcBorders>
          </w:tcPr>
          <w:p>
            <w:pPr/>
          </w:p>
        </w:tc>
        <w:tc>
          <w:tcPr>
            <w:tcW w:w="742" w:type="dxa"/>
            <w:vMerge/>
            <w:tcBorders>
              <w:left w:val="single" w:sz="4" w:space="0" w:color="000000"/>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年期限</w:t>
            </w:r>
          </w:p>
        </w:tc>
        <w:tc>
          <w:tcPr>
            <w:tcW w:w="727" w:type="dxa"/>
            <w:vMerge/>
            <w:tcBorders>
              <w:left w:val="single" w:sz="4" w:space="0" w:color="000000"/>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4574" w:type="dxa"/>
            <w:vMerge/>
            <w:tcBorders>
              <w:left w:val="single" w:sz="4" w:space="0" w:color="000000"/>
              <w:right w:val="single" w:sz="4" w:space="0" w:color="000000"/>
            </w:tcBorders>
          </w:tcPr>
          <w:p>
            <w:pPr/>
          </w:p>
        </w:tc>
        <w:tc>
          <w:tcPr>
            <w:tcW w:w="742" w:type="dxa"/>
            <w:vMerge/>
            <w:tcBorders>
              <w:left w:val="single" w:sz="4" w:space="0" w:color="000000"/>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届满之</w:t>
            </w:r>
          </w:p>
        </w:tc>
        <w:tc>
          <w:tcPr>
            <w:tcW w:w="727" w:type="dxa"/>
            <w:vMerge/>
            <w:tcBorders>
              <w:left w:val="single" w:sz="4" w:space="0" w:color="000000"/>
              <w:right w:val="single" w:sz="4" w:space="0" w:color="000000"/>
            </w:tcBorders>
          </w:tcPr>
          <w:p>
            <w:pPr/>
          </w:p>
        </w:tc>
      </w:tr>
      <w:tr>
        <w:trPr>
          <w:trHeight w:val="360"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4574" w:type="dxa"/>
            <w:vMerge/>
            <w:tcBorders>
              <w:left w:val="single" w:sz="4" w:space="0" w:color="000000"/>
              <w:bottom w:val="single" w:sz="4" w:space="0" w:color="000000"/>
              <w:right w:val="single" w:sz="4" w:space="0" w:color="000000"/>
            </w:tcBorders>
          </w:tcPr>
          <w:p>
            <w:pPr/>
          </w:p>
        </w:tc>
        <w:tc>
          <w:tcPr>
            <w:tcW w:w="742" w:type="dxa"/>
            <w:vMerge/>
            <w:tcBorders>
              <w:left w:val="single" w:sz="4" w:space="0" w:color="000000"/>
              <w:bottom w:val="single" w:sz="4" w:space="0" w:color="000000"/>
              <w:right w:val="single" w:sz="4" w:space="0" w:color="000000"/>
            </w:tcBorders>
          </w:tcPr>
          <w:p>
            <w:pPr/>
          </w:p>
        </w:tc>
        <w:tc>
          <w:tcPr>
            <w:tcW w:w="7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27" w:type="dxa"/>
            <w:vMerge/>
            <w:tcBorders>
              <w:left w:val="single" w:sz="4" w:space="0" w:color="000000"/>
              <w:bottom w:val="single" w:sz="4" w:space="0" w:color="000000"/>
              <w:right w:val="single" w:sz="4" w:space="0" w:color="000000"/>
            </w:tcBorders>
          </w:tcPr>
          <w:p>
            <w:pPr/>
          </w:p>
        </w:tc>
      </w:tr>
      <w:tr>
        <w:trPr>
          <w:trHeight w:val="360" w:hRule="exact"/>
        </w:trPr>
        <w:tc>
          <w:tcPr>
            <w:tcW w:w="1295" w:type="dxa"/>
            <w:vMerge/>
            <w:tcBorders>
              <w:left w:val="single" w:sz="4" w:space="0" w:color="000000"/>
              <w:right w:val="single" w:sz="4" w:space="0" w:color="000000"/>
            </w:tcBorders>
            <w:shd w:val="clear" w:color="auto" w:fill="D4D4D4"/>
          </w:tcPr>
          <w:p>
            <w:pPr/>
          </w:p>
        </w:tc>
        <w:tc>
          <w:tcPr>
            <w:tcW w:w="883" w:type="dxa"/>
            <w:tcBorders>
              <w:top w:val="single" w:sz="4" w:space="0" w:color="000000"/>
              <w:left w:val="single" w:sz="4" w:space="0" w:color="000000"/>
              <w:bottom w:val="nil" w:sz="6" w:space="0" w:color="auto"/>
              <w:right w:val="single" w:sz="4" w:space="0" w:color="000000"/>
            </w:tcBorders>
          </w:tcPr>
          <w:p>
            <w:pPr/>
          </w:p>
        </w:tc>
        <w:tc>
          <w:tcPr>
            <w:tcW w:w="586" w:type="dxa"/>
            <w:tcBorders>
              <w:top w:val="single" w:sz="4" w:space="0" w:color="000000"/>
              <w:left w:val="single" w:sz="4" w:space="0" w:color="000000"/>
              <w:bottom w:val="nil" w:sz="6" w:space="0" w:color="auto"/>
              <w:right w:val="single" w:sz="4" w:space="0" w:color="000000"/>
            </w:tcBorders>
          </w:tcPr>
          <w:p>
            <w:pPr/>
          </w:p>
        </w:tc>
        <w:tc>
          <w:tcPr>
            <w:tcW w:w="45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宋体" w:hAnsi="宋体" w:cs="宋体" w:eastAsia="宋体" w:hint="default"/>
                <w:spacing w:val="-58"/>
                <w:sz w:val="18"/>
                <w:szCs w:val="18"/>
              </w:rPr>
              <w:t> </w:t>
            </w:r>
            <w:r>
              <w:rPr>
                <w:rFonts w:ascii="宋体" w:hAnsi="宋体" w:cs="宋体" w:eastAsia="宋体" w:hint="default"/>
                <w:sz w:val="18"/>
                <w:szCs w:val="18"/>
              </w:rPr>
              <w:t>本人承诺在职期间，遵守法律、行政法规和公司章程</w:t>
            </w:r>
          </w:p>
        </w:tc>
        <w:tc>
          <w:tcPr>
            <w:tcW w:w="742" w:type="dxa"/>
            <w:tcBorders>
              <w:top w:val="single" w:sz="4" w:space="0" w:color="000000"/>
              <w:left w:val="single" w:sz="4" w:space="0" w:color="000000"/>
              <w:bottom w:val="nil" w:sz="6" w:space="0" w:color="auto"/>
              <w:right w:val="single" w:sz="4" w:space="0" w:color="000000"/>
            </w:tcBorders>
          </w:tcPr>
          <w:p>
            <w:pPr/>
          </w:p>
        </w:tc>
        <w:tc>
          <w:tcPr>
            <w:tcW w:w="758" w:type="dxa"/>
            <w:tcBorders>
              <w:top w:val="single" w:sz="4" w:space="0" w:color="000000"/>
              <w:left w:val="single" w:sz="4" w:space="0" w:color="000000"/>
              <w:bottom w:val="nil" w:sz="6" w:space="0" w:color="auto"/>
              <w:right w:val="single" w:sz="4" w:space="0" w:color="000000"/>
            </w:tcBorders>
          </w:tcPr>
          <w:p>
            <w:pPr/>
          </w:p>
        </w:tc>
        <w:tc>
          <w:tcPr>
            <w:tcW w:w="727" w:type="dxa"/>
            <w:tcBorders>
              <w:top w:val="single" w:sz="4" w:space="0" w:color="000000"/>
              <w:left w:val="single" w:sz="4" w:space="0" w:color="000000"/>
              <w:bottom w:val="nil" w:sz="6" w:space="0" w:color="auto"/>
              <w:right w:val="single" w:sz="4" w:space="0" w:color="000000"/>
            </w:tcBorders>
          </w:tcPr>
          <w:p>
            <w:pPr/>
          </w:p>
        </w:tc>
      </w:tr>
      <w:tr>
        <w:trPr>
          <w:trHeight w:val="307"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的规定，严格遵守公司内部的规章制度。本人已与美亚柏</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科签署</w:t>
            </w:r>
            <w:r>
              <w:rPr>
                <w:rFonts w:ascii="宋体" w:hAnsi="宋体" w:cs="宋体" w:eastAsia="宋体" w:hint="default"/>
                <w:spacing w:val="-17"/>
                <w:sz w:val="18"/>
                <w:szCs w:val="18"/>
              </w:rPr>
              <w:t>了</w:t>
            </w:r>
            <w:r>
              <w:rPr>
                <w:rFonts w:ascii="宋体" w:hAnsi="宋体" w:cs="宋体" w:eastAsia="宋体" w:hint="default"/>
                <w:sz w:val="18"/>
                <w:szCs w:val="18"/>
              </w:rPr>
              <w:t>《劳动合同</w:t>
            </w:r>
            <w:r>
              <w:rPr>
                <w:rFonts w:ascii="宋体" w:hAnsi="宋体" w:cs="宋体" w:eastAsia="宋体" w:hint="default"/>
                <w:spacing w:val="-92"/>
                <w:sz w:val="18"/>
                <w:szCs w:val="18"/>
              </w:rPr>
              <w:t>》</w:t>
            </w:r>
            <w:r>
              <w:rPr>
                <w:rFonts w:ascii="宋体" w:hAnsi="宋体" w:cs="宋体" w:eastAsia="宋体" w:hint="default"/>
                <w:spacing w:val="-17"/>
                <w:sz w:val="18"/>
                <w:szCs w:val="18"/>
              </w:rPr>
              <w:t>，</w:t>
            </w:r>
            <w:r>
              <w:rPr>
                <w:rFonts w:ascii="宋体" w:hAnsi="宋体" w:cs="宋体" w:eastAsia="宋体" w:hint="default"/>
                <w:sz w:val="18"/>
                <w:szCs w:val="18"/>
              </w:rPr>
              <w:t>并承诺</w:t>
            </w:r>
            <w:r>
              <w:rPr>
                <w:rFonts w:ascii="宋体" w:hAnsi="宋体" w:cs="宋体" w:eastAsia="宋体" w:hint="default"/>
                <w:spacing w:val="-17"/>
                <w:sz w:val="18"/>
                <w:szCs w:val="18"/>
              </w:rPr>
              <w:t>自</w:t>
            </w:r>
            <w:r>
              <w:rPr>
                <w:rFonts w:ascii="宋体" w:hAnsi="宋体" w:cs="宋体" w:eastAsia="宋体" w:hint="default"/>
                <w:sz w:val="18"/>
                <w:szCs w:val="18"/>
              </w:rPr>
              <w:t>《股份转让协议</w:t>
            </w:r>
            <w:r>
              <w:rPr>
                <w:rFonts w:ascii="宋体" w:hAnsi="宋体" w:cs="宋体" w:eastAsia="宋体" w:hint="default"/>
                <w:spacing w:val="-17"/>
                <w:sz w:val="18"/>
                <w:szCs w:val="18"/>
              </w:rPr>
              <w:t>》</w:t>
            </w:r>
            <w:r>
              <w:rPr>
                <w:rFonts w:ascii="宋体" w:hAnsi="宋体" w:cs="宋体" w:eastAsia="宋体" w:hint="default"/>
                <w:sz w:val="18"/>
                <w:szCs w:val="18"/>
              </w:rPr>
              <w:t>项下所</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约定的标的股份过户之日起三年内不从美亚柏科离职（本</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人在美亚柏科及其子公司之间进行调动的除外</w:t>
            </w:r>
            <w:r>
              <w:rPr>
                <w:rFonts w:ascii="宋体" w:hAnsi="宋体" w:cs="宋体" w:eastAsia="宋体" w:hint="default"/>
                <w:spacing w:val="-92"/>
                <w:sz w:val="18"/>
                <w:szCs w:val="18"/>
              </w:rPr>
              <w:t>）</w:t>
            </w:r>
            <w:r>
              <w:rPr>
                <w:rFonts w:ascii="宋体" w:hAnsi="宋体" w:cs="宋体" w:eastAsia="宋体" w:hint="default"/>
                <w:spacing w:val="-72"/>
                <w:sz w:val="18"/>
                <w:szCs w:val="18"/>
              </w:rPr>
              <w:t>。</w:t>
            </w:r>
            <w:r>
              <w:rPr>
                <w:rFonts w:ascii="宋体" w:hAnsi="宋体" w:cs="宋体" w:eastAsia="宋体" w:hint="default"/>
                <w:sz w:val="18"/>
                <w:szCs w:val="18"/>
              </w:rPr>
              <w:t>若因特殊</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原因，导致本人无法履行上述承诺，本人将与国投智能提</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前沟通，</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5"/>
                <w:sz w:val="18"/>
                <w:szCs w:val="18"/>
              </w:rPr>
              <w:t>在取得国投智能书面谅解后，不视为本人违反承诺。</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w:t>
            </w:r>
            <w:r>
              <w:rPr>
                <w:rFonts w:ascii="宋体" w:hAnsi="宋体" w:cs="宋体" w:eastAsia="宋体" w:hint="default"/>
                <w:spacing w:val="-35"/>
                <w:sz w:val="18"/>
                <w:szCs w:val="18"/>
              </w:rPr>
              <w:t> </w:t>
            </w:r>
            <w:r>
              <w:rPr>
                <w:rFonts w:ascii="宋体" w:hAnsi="宋体" w:cs="宋体" w:eastAsia="宋体" w:hint="default"/>
                <w:sz w:val="18"/>
                <w:szCs w:val="18"/>
              </w:rPr>
              <w:t>本</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pacing w:val="-3"/>
                <w:sz w:val="18"/>
                <w:szCs w:val="18"/>
              </w:rPr>
              <w:t>人承诺（</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）在美亚柏科任职期间，不以任何形式从事或帮</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2808"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Style w:val="TableParagraph"/>
              <w:spacing w:line="316" w:lineRule="auto" w:before="161"/>
              <w:ind w:left="23" w:right="19"/>
              <w:jc w:val="both"/>
              <w:rPr>
                <w:rFonts w:ascii="宋体" w:hAnsi="宋体" w:cs="宋体" w:eastAsia="宋体" w:hint="default"/>
                <w:sz w:val="18"/>
                <w:szCs w:val="18"/>
              </w:rPr>
            </w:pPr>
            <w:r>
              <w:rPr>
                <w:rFonts w:ascii="宋体" w:hAnsi="宋体" w:cs="宋体" w:eastAsia="宋体" w:hint="default"/>
                <w:sz w:val="18"/>
                <w:szCs w:val="18"/>
              </w:rPr>
              <w:t>滕达、申 强、苏学 武、韦玉 荣、吴鸿 伟、张雪 峰、蔡志 评、栾江 </w:t>
            </w:r>
            <w:r>
              <w:rPr>
                <w:rFonts w:ascii="宋体" w:hAnsi="宋体" w:cs="宋体" w:eastAsia="宋体" w:hint="default"/>
                <w:spacing w:val="-15"/>
                <w:sz w:val="18"/>
                <w:szCs w:val="18"/>
              </w:rPr>
              <w:t>霞、张乃军</w:t>
            </w:r>
          </w:p>
        </w:tc>
        <w:tc>
          <w:tcPr>
            <w:tcW w:w="58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316" w:lineRule="auto"/>
              <w:ind w:left="23" w:right="191"/>
              <w:jc w:val="left"/>
              <w:rPr>
                <w:rFonts w:ascii="宋体" w:hAnsi="宋体" w:cs="宋体" w:eastAsia="宋体" w:hint="default"/>
                <w:sz w:val="18"/>
                <w:szCs w:val="18"/>
              </w:rPr>
            </w:pPr>
            <w:r>
              <w:rPr>
                <w:rFonts w:ascii="宋体" w:hAnsi="宋体" w:cs="宋体" w:eastAsia="宋体" w:hint="default"/>
                <w:sz w:val="18"/>
                <w:szCs w:val="18"/>
              </w:rPr>
              <w:t>其他 承诺</w:t>
            </w:r>
          </w:p>
        </w:tc>
        <w:tc>
          <w:tcPr>
            <w:tcW w:w="4574" w:type="dxa"/>
            <w:tcBorders>
              <w:top w:val="nil" w:sz="6" w:space="0" w:color="auto"/>
              <w:left w:val="single" w:sz="4" w:space="0" w:color="000000"/>
              <w:bottom w:val="nil" w:sz="6" w:space="0" w:color="auto"/>
              <w:right w:val="single" w:sz="13" w:space="0" w:color="FFFFFF"/>
            </w:tcBorders>
          </w:tcPr>
          <w:p>
            <w:pPr>
              <w:pStyle w:val="TableParagraph"/>
              <w:spacing w:line="314" w:lineRule="auto" w:before="5"/>
              <w:ind w:left="23" w:right="25"/>
              <w:jc w:val="left"/>
              <w:rPr>
                <w:rFonts w:ascii="Times New Roman" w:hAnsi="Times New Roman" w:cs="Times New Roman" w:eastAsia="Times New Roman" w:hint="default"/>
                <w:sz w:val="18"/>
                <w:szCs w:val="18"/>
              </w:rPr>
            </w:pPr>
            <w:r>
              <w:rPr>
                <w:rFonts w:ascii="宋体" w:hAnsi="宋体" w:cs="宋体" w:eastAsia="宋体" w:hint="default"/>
                <w:sz w:val="18"/>
                <w:szCs w:val="18"/>
              </w:rPr>
              <w:t>助他人从事与美亚柏科构成竞争关系的业务经营活动或其 </w:t>
            </w:r>
            <w:r>
              <w:rPr>
                <w:rFonts w:ascii="宋体" w:hAnsi="宋体" w:cs="宋体" w:eastAsia="宋体" w:hint="default"/>
                <w:spacing w:val="-4"/>
                <w:sz w:val="18"/>
                <w:szCs w:val="18"/>
              </w:rPr>
              <w:t>他活动；（</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）在从美亚柏科离职后两年内，不得直接或间</w:t>
            </w:r>
            <w:r>
              <w:rPr>
                <w:rFonts w:ascii="宋体" w:hAnsi="宋体" w:cs="宋体" w:eastAsia="宋体" w:hint="default"/>
                <w:spacing w:val="-77"/>
                <w:sz w:val="18"/>
                <w:szCs w:val="18"/>
              </w:rPr>
              <w:t> </w:t>
            </w:r>
            <w:r>
              <w:rPr>
                <w:rFonts w:ascii="宋体" w:hAnsi="宋体" w:cs="宋体" w:eastAsia="宋体" w:hint="default"/>
                <w:sz w:val="18"/>
                <w:szCs w:val="18"/>
              </w:rPr>
              <w:t>接从事与美亚柏科构成竞争关系的业务或者在与美亚柏科 构成竞争关系的企业中担任职务或为其提供咨询、顾问等 </w:t>
            </w:r>
            <w:r>
              <w:rPr>
                <w:rFonts w:ascii="宋体" w:hAnsi="宋体" w:cs="宋体" w:eastAsia="宋体" w:hint="default"/>
                <w:spacing w:val="-4"/>
                <w:sz w:val="18"/>
                <w:szCs w:val="18"/>
              </w:rPr>
              <w:t>服务。本人已与美亚柏科签署了《保密及竞业限制协议》</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并将切实履行该协议项下的竞业限制义务。</w:t>
            </w:r>
            <w:r>
              <w:rPr>
                <w:rFonts w:ascii="Times New Roman" w:hAnsi="Times New Roman" w:cs="Times New Roman" w:eastAsia="Times New Roman" w:hint="default"/>
                <w:sz w:val="18"/>
                <w:szCs w:val="18"/>
              </w:rPr>
              <w:t>3</w:t>
            </w:r>
            <w:r>
              <w:rPr>
                <w:rFonts w:ascii="宋体" w:hAnsi="宋体" w:cs="宋体" w:eastAsia="宋体" w:hint="default"/>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p>
          <w:p>
            <w:pPr>
              <w:pStyle w:val="TableParagraph"/>
              <w:spacing w:line="309" w:lineRule="auto" w:before="1"/>
              <w:ind w:left="23" w:right="7"/>
              <w:jc w:val="both"/>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pacing w:val="-6"/>
                <w:sz w:val="18"/>
                <w:szCs w:val="18"/>
              </w:rPr>
              <w:t>日期间，本人减少所持有的美亚</w:t>
            </w:r>
            <w:r>
              <w:rPr>
                <w:rFonts w:ascii="宋体" w:hAnsi="宋体" w:cs="宋体" w:eastAsia="宋体" w:hint="default"/>
                <w:sz w:val="18"/>
                <w:szCs w:val="18"/>
              </w:rPr>
              <w:t> 柏科的股份不得超过本人在《股份转让协议》项下所约定 的标的股份过户之后所持有的美亚柏科股份数量的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w:t>
            </w:r>
          </w:p>
        </w:tc>
        <w:tc>
          <w:tcPr>
            <w:tcW w:w="742" w:type="dxa"/>
            <w:tcBorders>
              <w:top w:val="nil" w:sz="6" w:space="0" w:color="auto"/>
              <w:left w:val="single" w:sz="13" w:space="0" w:color="FFFFFF"/>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54" w:right="72"/>
              <w:jc w:val="center"/>
              <w:rPr>
                <w:rFonts w:ascii="Times New Roman" w:hAnsi="Times New Roman" w:cs="Times New Roman" w:eastAsia="Times New Roman"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03 </w:t>
            </w:r>
            <w:r>
              <w:rPr>
                <w:rFonts w:ascii="宋体" w:hAnsi="宋体" w:cs="宋体" w:eastAsia="宋体" w:hint="default"/>
                <w:sz w:val="18"/>
                <w:szCs w:val="18"/>
              </w:rPr>
              <w:t>月</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29</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2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316" w:lineRule="auto"/>
              <w:ind w:left="23" w:right="151"/>
              <w:jc w:val="left"/>
              <w:rPr>
                <w:rFonts w:ascii="宋体" w:hAnsi="宋体" w:cs="宋体" w:eastAsia="宋体" w:hint="default"/>
                <w:sz w:val="18"/>
                <w:szCs w:val="18"/>
              </w:rPr>
            </w:pPr>
            <w:r>
              <w:rPr>
                <w:rFonts w:ascii="宋体" w:hAnsi="宋体" w:cs="宋体" w:eastAsia="宋体" w:hint="default"/>
                <w:sz w:val="18"/>
                <w:szCs w:val="18"/>
              </w:rPr>
              <w:t>正常履 行中</w:t>
            </w: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宋体" w:hAnsi="宋体" w:cs="宋体" w:eastAsia="宋体" w:hint="default"/>
                <w:spacing w:val="-1"/>
                <w:sz w:val="18"/>
                <w:szCs w:val="18"/>
              </w:rPr>
              <w:t> </w:t>
            </w:r>
            <w:r>
              <w:rPr>
                <w:rFonts w:ascii="宋体" w:hAnsi="宋体" w:cs="宋体" w:eastAsia="宋体" w:hint="default"/>
                <w:sz w:val="18"/>
                <w:szCs w:val="18"/>
              </w:rPr>
              <w:t>为进一步表明本人与美亚柏科共创美好未来的信心，</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本人同意，如果本人违反以上承诺，本人将失去股权激励</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计划的资</w:t>
            </w:r>
            <w:r>
              <w:rPr>
                <w:rFonts w:ascii="宋体" w:hAnsi="宋体" w:cs="宋体" w:eastAsia="宋体" w:hint="default"/>
                <w:spacing w:val="-36"/>
                <w:sz w:val="18"/>
                <w:szCs w:val="18"/>
              </w:rPr>
              <w:t>格</w:t>
            </w:r>
            <w:r>
              <w:rPr>
                <w:rFonts w:ascii="宋体" w:hAnsi="宋体" w:cs="宋体" w:eastAsia="宋体" w:hint="default"/>
                <w:sz w:val="18"/>
                <w:szCs w:val="18"/>
              </w:rPr>
              <w:t>（不包含原始股和发股收购形成的限售股</w:t>
            </w:r>
            <w:r>
              <w:rPr>
                <w:rFonts w:ascii="宋体" w:hAnsi="宋体" w:cs="宋体" w:eastAsia="宋体" w:hint="default"/>
                <w:spacing w:val="-92"/>
                <w:sz w:val="18"/>
                <w:szCs w:val="18"/>
              </w:rPr>
              <w:t>）</w:t>
            </w:r>
            <w:r>
              <w:rPr>
                <w:rFonts w:ascii="宋体" w:hAnsi="宋体" w:cs="宋体" w:eastAsia="宋体" w:hint="default"/>
                <w:spacing w:val="-36"/>
                <w:sz w:val="18"/>
                <w:szCs w:val="18"/>
              </w:rPr>
              <w:t>，</w:t>
            </w:r>
            <w:r>
              <w:rPr>
                <w:rFonts w:ascii="宋体" w:hAnsi="宋体" w:cs="宋体" w:eastAsia="宋体" w:hint="default"/>
                <w:sz w:val="18"/>
                <w:szCs w:val="18"/>
              </w:rPr>
              <w:t>对</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于本人在违反承诺的行为发生时已获授但尚未行权的股票</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期权和尚未解除限售的限制性股票，美亚柏科有权注销和</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回购注销，回购价格为授予价格，已行权的股票期权</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已解</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除限售的限制性股票继续有效。如因本人的行为给美亚柏</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科的经营造成损失的，本人愿意依法向美亚柏科承担赔偿</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1295" w:type="dxa"/>
            <w:vMerge/>
            <w:tcBorders>
              <w:left w:val="single" w:sz="4" w:space="0" w:color="000000"/>
              <w:bottom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single" w:sz="4" w:space="0" w:color="000000"/>
              <w:right w:val="single" w:sz="4" w:space="0" w:color="000000"/>
            </w:tcBorders>
          </w:tcPr>
          <w:p>
            <w:pPr/>
          </w:p>
        </w:tc>
        <w:tc>
          <w:tcPr>
            <w:tcW w:w="586" w:type="dxa"/>
            <w:tcBorders>
              <w:top w:val="nil" w:sz="6" w:space="0" w:color="auto"/>
              <w:left w:val="single" w:sz="4" w:space="0" w:color="000000"/>
              <w:bottom w:val="single" w:sz="4" w:space="0" w:color="000000"/>
              <w:right w:val="single" w:sz="4" w:space="0" w:color="000000"/>
            </w:tcBorders>
          </w:tcPr>
          <w:p>
            <w:pPr/>
          </w:p>
        </w:tc>
        <w:tc>
          <w:tcPr>
            <w:tcW w:w="45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责任。</w:t>
            </w:r>
            <w:r>
              <w:rPr>
                <w:rFonts w:ascii="Times New Roman" w:hAnsi="Times New Roman" w:cs="Times New Roman" w:eastAsia="Times New Roman" w:hint="default"/>
                <w:sz w:val="18"/>
                <w:szCs w:val="18"/>
              </w:rPr>
              <w:t>"</w:t>
            </w:r>
          </w:p>
        </w:tc>
        <w:tc>
          <w:tcPr>
            <w:tcW w:w="742" w:type="dxa"/>
            <w:tcBorders>
              <w:top w:val="nil" w:sz="6" w:space="0" w:color="auto"/>
              <w:left w:val="single" w:sz="4" w:space="0" w:color="000000"/>
              <w:bottom w:val="single" w:sz="4" w:space="0" w:color="000000"/>
              <w:right w:val="single" w:sz="4" w:space="0" w:color="000000"/>
            </w:tcBorders>
          </w:tcPr>
          <w:p>
            <w:pPr/>
          </w:p>
        </w:tc>
        <w:tc>
          <w:tcPr>
            <w:tcW w:w="758" w:type="dxa"/>
            <w:tcBorders>
              <w:top w:val="nil" w:sz="6" w:space="0" w:color="auto"/>
              <w:left w:val="single" w:sz="4" w:space="0" w:color="000000"/>
              <w:bottom w:val="single" w:sz="4" w:space="0" w:color="000000"/>
              <w:right w:val="single" w:sz="4" w:space="0" w:color="000000"/>
            </w:tcBorders>
          </w:tcPr>
          <w:p>
            <w:pPr/>
          </w:p>
        </w:tc>
        <w:tc>
          <w:tcPr>
            <w:tcW w:w="727"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after="0" w:line="240" w:lineRule="auto"/>
        <w:rPr>
          <w:rFonts w:ascii="Times New Roman" w:hAnsi="Times New Roman" w:cs="Times New Roman" w:eastAsia="Times New Roman" w:hint="default"/>
          <w:sz w:val="20"/>
          <w:szCs w:val="20"/>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2"/>
        <w:rPr>
          <w:rFonts w:ascii="Times New Roman" w:hAnsi="Times New Roman" w:cs="Times New Roman" w:eastAsia="Times New Roman" w:hint="default"/>
          <w:sz w:val="14"/>
          <w:szCs w:val="14"/>
        </w:rPr>
      </w:pPr>
    </w:p>
    <w:p>
      <w:pPr>
        <w:spacing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苏学武</w:t>
      </w:r>
    </w:p>
    <w:p>
      <w:pPr>
        <w:spacing w:line="240" w:lineRule="auto" w:before="5"/>
        <w:rPr>
          <w:rFonts w:ascii="宋体" w:hAnsi="宋体" w:cs="宋体" w:eastAsia="宋体" w:hint="default"/>
          <w:sz w:val="15"/>
          <w:szCs w:val="15"/>
        </w:rPr>
      </w:pPr>
      <w:r>
        <w:rPr/>
        <w:br w:type="column"/>
      </w:r>
      <w:r>
        <w:rPr>
          <w:rFonts w:ascii="宋体"/>
          <w:sz w:val="15"/>
        </w:rPr>
      </w:r>
    </w:p>
    <w:p>
      <w:pPr>
        <w:spacing w:before="0"/>
        <w:ind w:left="888"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标的资产历史沿革事项的承诺</w:t>
      </w:r>
      <w:r>
        <w:rPr>
          <w:rFonts w:ascii="宋体" w:hAnsi="宋体" w:cs="宋体" w:eastAsia="宋体" w:hint="default"/>
          <w:spacing w:val="-46"/>
          <w:sz w:val="18"/>
          <w:szCs w:val="18"/>
        </w:rPr>
        <w:t> </w:t>
      </w:r>
      <w:r>
        <w:rPr>
          <w:rFonts w:ascii="Times New Roman" w:hAnsi="Times New Roman" w:cs="Times New Roman" w:eastAsia="Times New Roman" w:hint="default"/>
          <w:spacing w:val="-7"/>
          <w:sz w:val="18"/>
          <w:szCs w:val="18"/>
        </w:rPr>
        <w:t>1</w:t>
      </w:r>
      <w:r>
        <w:rPr>
          <w:rFonts w:ascii="宋体" w:hAnsi="宋体" w:cs="宋体" w:eastAsia="宋体" w:hint="default"/>
          <w:spacing w:val="-7"/>
          <w:sz w:val="18"/>
          <w:szCs w:val="18"/>
        </w:rPr>
        <w:t>、新德汇成立于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1994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7</w:t>
      </w:r>
    </w:p>
    <w:p>
      <w:pPr>
        <w:spacing w:before="63"/>
        <w:ind w:left="888" w:right="0" w:firstLine="0"/>
        <w:jc w:val="both"/>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日，成立时股东为贺湘</w:t>
      </w:r>
      <w:r>
        <w:rPr>
          <w:rFonts w:ascii="宋体" w:hAnsi="宋体" w:cs="宋体" w:eastAsia="宋体" w:hint="default"/>
          <w:spacing w:val="-3"/>
          <w:sz w:val="18"/>
          <w:szCs w:val="18"/>
        </w:rPr>
        <w:t>权</w:t>
      </w:r>
      <w:r>
        <w:rPr>
          <w:rFonts w:ascii="宋体" w:hAnsi="宋体" w:cs="宋体" w:eastAsia="宋体" w:hint="default"/>
          <w:sz w:val="18"/>
          <w:szCs w:val="18"/>
        </w:rPr>
        <w:t>（现已更名为贺湘荃</w:t>
      </w:r>
      <w:r>
        <w:rPr>
          <w:rFonts w:ascii="宋体" w:hAnsi="宋体" w:cs="宋体" w:eastAsia="宋体" w:hint="default"/>
          <w:spacing w:val="-92"/>
          <w:sz w:val="18"/>
          <w:szCs w:val="18"/>
        </w:rPr>
        <w:t>）</w:t>
      </w:r>
      <w:r>
        <w:rPr>
          <w:rFonts w:ascii="宋体" w:hAnsi="宋体" w:cs="宋体" w:eastAsia="宋体" w:hint="default"/>
          <w:sz w:val="18"/>
          <w:szCs w:val="18"/>
        </w:rPr>
        <w:t>、贺</w:t>
      </w:r>
    </w:p>
    <w:p>
      <w:pPr>
        <w:spacing w:before="63"/>
        <w:ind w:left="888" w:right="0" w:firstLine="0"/>
        <w:jc w:val="both"/>
        <w:rPr>
          <w:rFonts w:ascii="宋体" w:hAnsi="宋体" w:cs="宋体" w:eastAsia="宋体" w:hint="default"/>
          <w:sz w:val="18"/>
          <w:szCs w:val="18"/>
        </w:rPr>
      </w:pPr>
      <w:r>
        <w:rPr>
          <w:rFonts w:ascii="宋体" w:hAnsi="宋体" w:cs="宋体" w:eastAsia="宋体" w:hint="default"/>
          <w:spacing w:val="-3"/>
          <w:sz w:val="18"/>
          <w:szCs w:val="18"/>
        </w:rPr>
        <w:t>湘生、崔丹梅，贺湘生、贺湘荃各以现金出资</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6"/>
          <w:sz w:val="18"/>
          <w:szCs w:val="18"/>
        </w:rPr>
        <w:t> </w:t>
      </w:r>
      <w:r>
        <w:rPr>
          <w:rFonts w:ascii="宋体" w:hAnsi="宋体" w:cs="宋体" w:eastAsia="宋体" w:hint="default"/>
          <w:spacing w:val="-10"/>
          <w:sz w:val="18"/>
          <w:szCs w:val="18"/>
        </w:rPr>
        <w:t>万元，崔</w:t>
      </w:r>
      <w:r>
        <w:rPr>
          <w:rFonts w:ascii="宋体" w:hAnsi="宋体" w:cs="宋体" w:eastAsia="宋体" w:hint="default"/>
          <w:sz w:val="18"/>
          <w:szCs w:val="18"/>
        </w:rPr>
      </w:r>
    </w:p>
    <w:p>
      <w:pPr>
        <w:spacing w:line="314" w:lineRule="auto" w:before="63"/>
        <w:ind w:left="888" w:right="7" w:firstLine="0"/>
        <w:jc w:val="both"/>
        <w:rPr>
          <w:rFonts w:ascii="宋体" w:hAnsi="宋体" w:cs="宋体" w:eastAsia="宋体" w:hint="default"/>
          <w:sz w:val="18"/>
          <w:szCs w:val="18"/>
        </w:rPr>
      </w:pPr>
      <w:r>
        <w:rPr>
          <w:rFonts w:ascii="宋体" w:hAnsi="宋体" w:cs="宋体" w:eastAsia="宋体" w:hint="default"/>
          <w:sz w:val="18"/>
          <w:szCs w:val="18"/>
        </w:rPr>
        <w:t>丹梅以房产作价出资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万元。</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1995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pacing w:val="-7"/>
          <w:sz w:val="18"/>
          <w:szCs w:val="18"/>
        </w:rPr>
        <w:t>日，贺</w:t>
      </w:r>
      <w:r>
        <w:rPr>
          <w:rFonts w:ascii="宋体" w:hAnsi="宋体" w:cs="宋体" w:eastAsia="宋体" w:hint="default"/>
          <w:spacing w:val="-10"/>
          <w:sz w:val="18"/>
          <w:szCs w:val="18"/>
        </w:rPr>
        <w:t> </w:t>
      </w:r>
      <w:r>
        <w:rPr>
          <w:rFonts w:ascii="宋体" w:hAnsi="宋体" w:cs="宋体" w:eastAsia="宋体" w:hint="default"/>
          <w:sz w:val="18"/>
          <w:szCs w:val="18"/>
        </w:rPr>
        <w:t>湘生与苏学武签订《珠海经济特区新德汇企业有限公司法</w:t>
      </w:r>
      <w:r>
        <w:rPr>
          <w:rFonts w:ascii="宋体" w:hAnsi="宋体" w:cs="宋体" w:eastAsia="宋体" w:hint="default"/>
          <w:sz w:val="18"/>
          <w:szCs w:val="18"/>
        </w:rPr>
        <w:t> 定代表人、经营场所变更协议书》将新德汇法定代表人由 贺湘生变更为苏学武，贺湘荃作为股东在该协议书下方签 字。同时，三位原股东即将新德汇股权全部转让给苏学武</w:t>
      </w:r>
    </w:p>
    <w:p>
      <w:pPr>
        <w:tabs>
          <w:tab w:pos="888" w:val="left" w:leader="none"/>
        </w:tabs>
        <w:spacing w:line="312" w:lineRule="auto" w:before="20"/>
        <w:ind w:left="303" w:right="0" w:firstLine="0"/>
        <w:jc w:val="right"/>
        <w:rPr>
          <w:rFonts w:ascii="宋体" w:hAnsi="宋体" w:cs="宋体" w:eastAsia="宋体" w:hint="default"/>
          <w:sz w:val="18"/>
          <w:szCs w:val="18"/>
        </w:rPr>
      </w:pPr>
      <w:r>
        <w:rPr>
          <w:rFonts w:ascii="宋体" w:hAnsi="宋体" w:cs="宋体" w:eastAsia="宋体" w:hint="default"/>
          <w:sz w:val="18"/>
          <w:szCs w:val="18"/>
        </w:rPr>
        <w:t>其他</w:t>
        <w:tab/>
        <w:t>和钟鹰，苏学武、钟鹰各受让新德汇</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的股权。但相关 承诺</w:t>
        <w:tab/>
        <w:t>转股工商档案由于主管工商机关变更时遗失且年代久远， 现已无法取得。该次股权转让的转让价款已经全部由苏学 武、钟鹰付清，股权已经全部过户给苏学武、钟鹰，交易 </w:t>
      </w:r>
      <w:r>
        <w:rPr>
          <w:rFonts w:ascii="宋体" w:hAnsi="宋体" w:cs="宋体" w:eastAsia="宋体" w:hint="default"/>
          <w:spacing w:val="-3"/>
          <w:sz w:val="18"/>
          <w:szCs w:val="18"/>
        </w:rPr>
        <w:t>各方没有争议。</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、自受让股权至今，本人及新德汇从未收</w:t>
      </w:r>
      <w:r>
        <w:rPr>
          <w:rFonts w:ascii="宋体" w:hAnsi="宋体" w:cs="宋体" w:eastAsia="宋体" w:hint="default"/>
          <w:sz w:val="18"/>
          <w:szCs w:val="18"/>
        </w:rPr>
        <w:t> 到且亦未预见将收到任何第三方对新德汇股权的任何权利 主张或异议。</w:t>
      </w:r>
      <w:r>
        <w:rPr>
          <w:rFonts w:ascii="Times New Roman" w:hAnsi="Times New Roman" w:cs="Times New Roman" w:eastAsia="Times New Roman" w:hint="default"/>
          <w:sz w:val="18"/>
          <w:szCs w:val="18"/>
        </w:rPr>
        <w:t>4</w:t>
      </w:r>
      <w:r>
        <w:rPr>
          <w:rFonts w:ascii="宋体" w:hAnsi="宋体" w:cs="宋体" w:eastAsia="宋体" w:hint="default"/>
          <w:sz w:val="18"/>
          <w:szCs w:val="18"/>
        </w:rPr>
        <w:t>、本人承诺若新德汇及</w:t>
      </w:r>
      <w:r>
        <w:rPr>
          <w:rFonts w:ascii="Times New Roman" w:hAnsi="Times New Roman" w:cs="Times New Roman" w:eastAsia="Times New Roman" w:hint="default"/>
          <w:sz w:val="18"/>
          <w:szCs w:val="18"/>
        </w:rPr>
        <w:t>/</w:t>
      </w:r>
      <w:r>
        <w:rPr>
          <w:rFonts w:ascii="宋体" w:hAnsi="宋体" w:cs="宋体" w:eastAsia="宋体" w:hint="default"/>
          <w:sz w:val="18"/>
          <w:szCs w:val="18"/>
        </w:rPr>
        <w:t>或美亚柏科因上述 股东变更的相关资料缺失而造成受到任何损失，本人将就 </w:t>
      </w:r>
      <w:r>
        <w:rPr>
          <w:rFonts w:ascii="宋体" w:hAnsi="宋体" w:cs="宋体" w:eastAsia="宋体" w:hint="default"/>
          <w:spacing w:val="-2"/>
          <w:sz w:val="18"/>
          <w:szCs w:val="18"/>
        </w:rPr>
        <w:t>该等损失向新德汇及</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或美亚柏科予以及时、充分补偿，使</w:t>
      </w:r>
    </w:p>
    <w:p>
      <w:pPr>
        <w:spacing w:before="3"/>
        <w:ind w:left="888" w:right="0" w:firstLine="0"/>
        <w:jc w:val="both"/>
        <w:rPr>
          <w:rFonts w:ascii="Times New Roman" w:hAnsi="Times New Roman" w:cs="Times New Roman" w:eastAsia="Times New Roman" w:hint="default"/>
          <w:sz w:val="18"/>
          <w:szCs w:val="18"/>
        </w:rPr>
      </w:pPr>
      <w:r>
        <w:rPr/>
        <w:pict>
          <v:shape style="position:absolute;margin-left:381.720001pt;margin-top:17.861717pt;width:78.75pt;height:54.6pt;mso-position-horizontal-relative:page;mso-position-vertical-relative:paragraph;z-index:-1348816" type="#_x0000_t202" filled="false" stroked="false">
            <v:textbox inset="0,0,0,0">
              <w:txbxContent>
                <w:p>
                  <w:pPr>
                    <w:spacing w:line="240" w:lineRule="auto" w:before="0"/>
                    <w:rPr>
                      <w:rFonts w:ascii="宋体" w:hAnsi="宋体" w:cs="宋体" w:eastAsia="宋体" w:hint="default"/>
                      <w:sz w:val="18"/>
                      <w:szCs w:val="18"/>
                    </w:rPr>
                  </w:pPr>
                </w:p>
                <w:p>
                  <w:pPr>
                    <w:spacing w:before="123"/>
                    <w:ind w:left="0" w:right="0" w:firstLine="0"/>
                    <w:jc w:val="left"/>
                    <w:rPr>
                      <w:rFonts w:ascii="宋体" w:hAnsi="宋体" w:cs="宋体" w:eastAsia="宋体" w:hint="default"/>
                      <w:sz w:val="18"/>
                      <w:szCs w:val="18"/>
                    </w:rPr>
                  </w:pPr>
                  <w:r>
                    <w:rPr>
                      <w:rFonts w:ascii="宋体" w:hAnsi="宋体" w:cs="宋体" w:eastAsia="宋体" w:hint="default"/>
                      <w:sz w:val="18"/>
                      <w:szCs w:val="18"/>
                    </w:rPr>
                    <w:t>业务独立，</w:t>
                  </w:r>
                </w:p>
              </w:txbxContent>
            </v:textbox>
            <w10:wrap type="none"/>
          </v:shape>
        </w:pict>
      </w:r>
      <w:r>
        <w:rPr>
          <w:rFonts w:ascii="宋体" w:hAnsi="宋体" w:cs="宋体" w:eastAsia="宋体" w:hint="default"/>
          <w:sz w:val="18"/>
          <w:szCs w:val="18"/>
        </w:rPr>
        <w:t>新德汇及美亚柏科不受损失。</w:t>
      </w:r>
      <w:r>
        <w:rPr>
          <w:rFonts w:ascii="Times New Roman" w:hAnsi="Times New Roman" w:cs="Times New Roman" w:eastAsia="Times New Roman" w:hint="default"/>
          <w:sz w:val="18"/>
          <w:szCs w:val="18"/>
        </w:rPr>
        <w:t>"</w:t>
      </w:r>
    </w:p>
    <w:p>
      <w:pPr>
        <w:spacing w:line="240" w:lineRule="auto" w:before="0"/>
        <w:rPr>
          <w:rFonts w:ascii="Times New Roman" w:hAnsi="Times New Roman" w:cs="Times New Roman" w:eastAsia="Times New Roman" w:hint="default"/>
          <w:sz w:val="18"/>
          <w:szCs w:val="18"/>
        </w:rPr>
      </w:pPr>
      <w:r>
        <w:rPr/>
        <w:br w:type="column"/>
      </w:r>
      <w:r>
        <w:rPr>
          <w:rFonts w:ascii="Times New Roman"/>
          <w:sz w:val="18"/>
        </w:rPr>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23"/>
          <w:szCs w:val="23"/>
        </w:rPr>
      </w:pPr>
    </w:p>
    <w:p>
      <w:pPr>
        <w:spacing w:before="0"/>
        <w:ind w:left="12" w:right="-1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before="63"/>
        <w:ind w:left="12" w:right="-1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14</w:t>
      </w:r>
    </w:p>
    <w:p>
      <w:pPr>
        <w:spacing w:before="63"/>
        <w:ind w:left="12" w:right="-18" w:firstLine="0"/>
        <w:jc w:val="left"/>
        <w:rPr>
          <w:rFonts w:ascii="宋体" w:hAnsi="宋体" w:cs="宋体" w:eastAsia="宋体" w:hint="default"/>
          <w:sz w:val="18"/>
          <w:szCs w:val="18"/>
        </w:rPr>
      </w:pPr>
      <w:r>
        <w:rPr>
          <w:rFonts w:ascii="宋体" w:hAnsi="宋体" w:cs="宋体" w:eastAsia="宋体" w:hint="default"/>
          <w:sz w:val="18"/>
          <w:szCs w:val="18"/>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14"/>
          <w:szCs w:val="14"/>
        </w:rPr>
      </w:pPr>
    </w:p>
    <w:p>
      <w:pPr>
        <w:spacing w:before="0"/>
        <w:ind w:left="67" w:right="-1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9999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before="63"/>
        <w:ind w:left="67" w:right="-1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p>
    <w:p>
      <w:pPr>
        <w:spacing w:before="63"/>
        <w:ind w:left="67" w:right="-18" w:firstLine="0"/>
        <w:jc w:val="left"/>
        <w:rPr>
          <w:rFonts w:ascii="宋体" w:hAnsi="宋体" w:cs="宋体" w:eastAsia="宋体" w:hint="default"/>
          <w:sz w:val="18"/>
          <w:szCs w:val="18"/>
        </w:rPr>
      </w:pPr>
      <w:r>
        <w:rPr>
          <w:rFonts w:ascii="宋体" w:hAnsi="宋体" w:cs="宋体" w:eastAsia="宋体" w:hint="default"/>
          <w:sz w:val="18"/>
          <w:szCs w:val="18"/>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6"/>
          <w:szCs w:val="26"/>
        </w:rPr>
      </w:pPr>
    </w:p>
    <w:p>
      <w:pPr>
        <w:spacing w:line="316" w:lineRule="auto" w:before="0"/>
        <w:ind w:left="84" w:right="1346" w:firstLine="0"/>
        <w:jc w:val="left"/>
        <w:rPr>
          <w:rFonts w:ascii="宋体" w:hAnsi="宋体" w:cs="宋体" w:eastAsia="宋体" w:hint="default"/>
          <w:sz w:val="18"/>
          <w:szCs w:val="18"/>
        </w:rPr>
      </w:pPr>
      <w:r>
        <w:rPr>
          <w:rFonts w:ascii="宋体" w:hAnsi="宋体" w:cs="宋体" w:eastAsia="宋体" w:hint="default"/>
          <w:sz w:val="18"/>
          <w:szCs w:val="18"/>
        </w:rPr>
        <w:t>正常履 行中</w:t>
      </w:r>
    </w:p>
    <w:p>
      <w:pPr>
        <w:spacing w:after="0" w:line="316" w:lineRule="auto"/>
        <w:jc w:val="left"/>
        <w:rPr>
          <w:rFonts w:ascii="宋体" w:hAnsi="宋体" w:cs="宋体" w:eastAsia="宋体" w:hint="default"/>
          <w:sz w:val="18"/>
          <w:szCs w:val="18"/>
        </w:rPr>
        <w:sectPr>
          <w:type w:val="continuous"/>
          <w:pgSz w:w="11910" w:h="16840"/>
          <w:pgMar w:top="1060" w:bottom="1180" w:left="980" w:right="0"/>
          <w:cols w:num="5" w:equalWidth="0">
            <w:col w:w="2018" w:space="40"/>
            <w:col w:w="5411" w:space="40"/>
            <w:col w:w="647" w:space="40"/>
            <w:col w:w="702" w:space="40"/>
            <w:col w:w="1992"/>
          </w:cols>
        </w:sectPr>
      </w:pPr>
    </w:p>
    <w:p>
      <w:pPr>
        <w:spacing w:line="240" w:lineRule="auto" w:before="5"/>
        <w:rPr>
          <w:rFonts w:ascii="宋体" w:hAnsi="宋体" w:cs="宋体" w:eastAsia="宋体" w:hint="default"/>
          <w:sz w:val="8"/>
          <w:szCs w:val="8"/>
        </w:rPr>
      </w:pPr>
    </w:p>
    <w:p>
      <w:pPr>
        <w:spacing w:after="0" w:line="240" w:lineRule="auto"/>
        <w:rPr>
          <w:rFonts w:ascii="宋体" w:hAnsi="宋体" w:cs="宋体" w:eastAsia="宋体" w:hint="default"/>
          <w:sz w:val="8"/>
          <w:szCs w:val="8"/>
        </w:rPr>
        <w:sectPr>
          <w:type w:val="continuous"/>
          <w:pgSz w:w="11910" w:h="16840"/>
          <w:pgMar w:top="1060" w:bottom="1180" w:left="980" w:right="0"/>
        </w:sect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25"/>
          <w:szCs w:val="25"/>
        </w:rPr>
      </w:pPr>
    </w:p>
    <w:p>
      <w:pPr>
        <w:spacing w:line="316" w:lineRule="auto" w:before="0"/>
        <w:ind w:left="181" w:right="-20" w:firstLine="0"/>
        <w:jc w:val="left"/>
        <w:rPr>
          <w:rFonts w:ascii="宋体" w:hAnsi="宋体" w:cs="宋体" w:eastAsia="宋体" w:hint="default"/>
          <w:sz w:val="18"/>
          <w:szCs w:val="18"/>
        </w:rPr>
      </w:pPr>
      <w:r>
        <w:rPr>
          <w:rFonts w:ascii="宋体" w:hAnsi="宋体" w:cs="宋体" w:eastAsia="宋体" w:hint="default"/>
          <w:sz w:val="18"/>
          <w:szCs w:val="18"/>
        </w:rPr>
        <w:t>资产重组时所 作承诺</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6"/>
          <w:szCs w:val="26"/>
        </w:rPr>
      </w:pPr>
    </w:p>
    <w:p>
      <w:pPr>
        <w:spacing w:before="0"/>
        <w:ind w:left="175" w:right="-19" w:firstLine="0"/>
        <w:jc w:val="left"/>
        <w:rPr>
          <w:rFonts w:ascii="宋体" w:hAnsi="宋体" w:cs="宋体" w:eastAsia="宋体" w:hint="default"/>
          <w:sz w:val="18"/>
          <w:szCs w:val="18"/>
        </w:rPr>
      </w:pPr>
      <w:r>
        <w:rPr>
          <w:rFonts w:ascii="宋体" w:hAnsi="宋体" w:cs="宋体" w:eastAsia="宋体" w:hint="default"/>
          <w:spacing w:val="-15"/>
          <w:sz w:val="18"/>
          <w:szCs w:val="18"/>
        </w:rPr>
        <w:t>郭永芳；滕</w:t>
      </w:r>
      <w:r>
        <w:rPr>
          <w:rFonts w:ascii="宋体" w:hAnsi="宋体" w:cs="宋体" w:eastAsia="宋体" w:hint="default"/>
          <w:spacing w:val="-32"/>
          <w:sz w:val="18"/>
          <w:szCs w:val="18"/>
        </w:rPr>
        <w:t> </w:t>
      </w:r>
      <w:r>
        <w:rPr>
          <w:rFonts w:ascii="宋体" w:hAnsi="宋体" w:cs="宋体" w:eastAsia="宋体" w:hint="default"/>
          <w:sz w:val="18"/>
          <w:szCs w:val="18"/>
        </w:rPr>
        <w:t>其他</w:t>
      </w:r>
    </w:p>
    <w:p>
      <w:pPr>
        <w:spacing w:line="312" w:lineRule="auto" w:before="44"/>
        <w:ind w:left="181" w:right="-18"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w:t>
      </w:r>
      <w:r>
        <w:rPr>
          <w:rFonts w:ascii="宋体" w:hAnsi="宋体" w:cs="宋体" w:eastAsia="宋体" w:hint="default"/>
          <w:sz w:val="18"/>
          <w:szCs w:val="18"/>
        </w:rPr>
        <w:t>保证上市公司独立性的承诺</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、本人（包括本人的一致行 </w:t>
      </w:r>
      <w:r>
        <w:rPr>
          <w:rFonts w:ascii="宋体" w:hAnsi="宋体" w:cs="宋体" w:eastAsia="宋体" w:hint="default"/>
          <w:spacing w:val="-3"/>
          <w:sz w:val="18"/>
          <w:szCs w:val="18"/>
        </w:rPr>
        <w:t>动人）与公司的人员、资产、财务分开，机构、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公司能够自主经营管理。公司最近十二个月内不存在违规 对外提供担保或者资金被本人（包括本人的一致行动人） 及其控制的其他企业以借款、代偿债务、代垫款项或者其</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spacing w:before="0"/>
        <w:ind w:left="15" w:right="-1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line="212" w:lineRule="exact" w:before="60"/>
        <w:ind w:left="15" w:right="-19"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14</w:t>
      </w:r>
    </w:p>
    <w:p>
      <w:pPr>
        <w:spacing w:line="240" w:lineRule="auto" w:before="0"/>
        <w:rPr>
          <w:rFonts w:ascii="Times New Roman" w:hAnsi="Times New Roman" w:cs="Times New Roman" w:eastAsia="Times New Roman" w:hint="default"/>
          <w:sz w:val="18"/>
          <w:szCs w:val="18"/>
        </w:rPr>
      </w:pPr>
      <w:r>
        <w:rPr/>
        <w:br w:type="column"/>
      </w:r>
      <w:r>
        <w:rPr>
          <w:rFonts w:ascii="Times New Roman"/>
          <w:sz w:val="18"/>
        </w:rPr>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10"/>
        <w:rPr>
          <w:rFonts w:ascii="Times New Roman" w:hAnsi="Times New Roman" w:cs="Times New Roman" w:eastAsia="Times New Roman" w:hint="default"/>
          <w:sz w:val="26"/>
          <w:szCs w:val="26"/>
        </w:rPr>
      </w:pPr>
    </w:p>
    <w:p>
      <w:pPr>
        <w:spacing w:before="0"/>
        <w:ind w:left="67" w:right="-1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9999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line="212" w:lineRule="exact" w:before="60"/>
        <w:ind w:left="67" w:right="-1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p>
    <w:p>
      <w:pPr>
        <w:spacing w:line="240" w:lineRule="auto" w:before="0"/>
        <w:rPr>
          <w:rFonts w:ascii="Times New Roman" w:hAnsi="Times New Roman" w:cs="Times New Roman" w:eastAsia="Times New Roman" w:hint="default"/>
          <w:sz w:val="18"/>
          <w:szCs w:val="18"/>
        </w:rPr>
      </w:pPr>
      <w:r>
        <w:rPr/>
        <w:br w:type="column"/>
      </w:r>
      <w:r>
        <w:rPr>
          <w:rFonts w:ascii="Times New Roman"/>
          <w:sz w:val="18"/>
        </w:rPr>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5"/>
        <w:rPr>
          <w:rFonts w:ascii="Times New Roman" w:hAnsi="Times New Roman" w:cs="Times New Roman" w:eastAsia="Times New Roman" w:hint="default"/>
          <w:sz w:val="22"/>
          <w:szCs w:val="22"/>
        </w:rPr>
      </w:pPr>
    </w:p>
    <w:p>
      <w:pPr>
        <w:spacing w:before="0"/>
        <w:ind w:left="84" w:right="0" w:firstLine="0"/>
        <w:jc w:val="left"/>
        <w:rPr>
          <w:rFonts w:ascii="宋体" w:hAnsi="宋体" w:cs="宋体" w:eastAsia="宋体" w:hint="default"/>
          <w:sz w:val="18"/>
          <w:szCs w:val="18"/>
        </w:rPr>
      </w:pPr>
      <w:r>
        <w:rPr>
          <w:rFonts w:ascii="宋体" w:hAnsi="宋体" w:cs="宋体" w:eastAsia="宋体" w:hint="default"/>
          <w:sz w:val="18"/>
          <w:szCs w:val="18"/>
        </w:rPr>
        <w:t>正常履</w:t>
      </w:r>
    </w:p>
    <w:p>
      <w:pPr>
        <w:spacing w:after="0"/>
        <w:jc w:val="left"/>
        <w:rPr>
          <w:rFonts w:ascii="宋体" w:hAnsi="宋体" w:cs="宋体" w:eastAsia="宋体" w:hint="default"/>
          <w:sz w:val="18"/>
          <w:szCs w:val="18"/>
        </w:rPr>
        <w:sectPr>
          <w:type w:val="continuous"/>
          <w:pgSz w:w="11910" w:h="16840"/>
          <w:pgMar w:top="1060" w:bottom="1180" w:left="980" w:right="0"/>
          <w:cols w:num="6" w:equalWidth="0">
            <w:col w:w="1262" w:space="40"/>
            <w:col w:w="1420" w:space="43"/>
            <w:col w:w="4701" w:space="40"/>
            <w:col w:w="649" w:space="40"/>
            <w:col w:w="702" w:space="40"/>
            <w:col w:w="1993"/>
          </w:cols>
        </w:sectPr>
      </w:pPr>
    </w:p>
    <w:p>
      <w:pPr>
        <w:tabs>
          <w:tab w:pos="2360" w:val="left" w:leader="none"/>
        </w:tabs>
        <w:spacing w:line="180" w:lineRule="exact" w:before="0"/>
        <w:ind w:left="1477" w:right="-20" w:firstLine="0"/>
        <w:jc w:val="left"/>
        <w:rPr>
          <w:rFonts w:ascii="宋体" w:hAnsi="宋体" w:cs="宋体" w:eastAsia="宋体" w:hint="default"/>
          <w:sz w:val="18"/>
          <w:szCs w:val="18"/>
        </w:rPr>
      </w:pPr>
      <w:r>
        <w:rPr>
          <w:rFonts w:ascii="宋体" w:hAnsi="宋体" w:cs="宋体" w:eastAsia="宋体" w:hint="default"/>
          <w:sz w:val="18"/>
          <w:szCs w:val="18"/>
        </w:rPr>
        <w:t>达</w:t>
        <w:tab/>
        <w:t>承诺</w:t>
      </w:r>
    </w:p>
    <w:p>
      <w:pPr>
        <w:tabs>
          <w:tab w:pos="5501" w:val="left" w:leader="none"/>
          <w:tab w:pos="6259" w:val="left" w:leader="none"/>
        </w:tabs>
        <w:spacing w:line="151" w:lineRule="auto" w:before="22"/>
        <w:ind w:left="4759" w:right="1543" w:hanging="4575"/>
        <w:jc w:val="left"/>
        <w:rPr>
          <w:rFonts w:ascii="宋体" w:hAnsi="宋体" w:cs="宋体" w:eastAsia="宋体" w:hint="default"/>
          <w:sz w:val="18"/>
          <w:szCs w:val="18"/>
        </w:rPr>
      </w:pPr>
      <w:r>
        <w:rPr>
          <w:spacing w:val="-3"/>
        </w:rPr>
        <w:br w:type="column"/>
      </w:r>
      <w:r>
        <w:rPr>
          <w:rFonts w:ascii="宋体" w:hAnsi="宋体" w:cs="宋体" w:eastAsia="宋体" w:hint="default"/>
          <w:spacing w:val="-3"/>
          <w:sz w:val="18"/>
          <w:szCs w:val="18"/>
        </w:rPr>
        <w:t>他方式占用的情形。</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、在本次交易完成后，将保证美亚柏</w:t>
        <w:tab/>
        <w:tab/>
        <w:tab/>
      </w:r>
      <w:r>
        <w:rPr>
          <w:rFonts w:ascii="宋体" w:hAnsi="宋体" w:cs="宋体" w:eastAsia="宋体" w:hint="default"/>
          <w:sz w:val="18"/>
          <w:szCs w:val="18"/>
        </w:rPr>
        <w:t>行中</w:t>
      </w:r>
      <w:r>
        <w:rPr>
          <w:rFonts w:ascii="宋体" w:hAnsi="宋体" w:cs="宋体" w:eastAsia="宋体" w:hint="default"/>
          <w:sz w:val="18"/>
          <w:szCs w:val="18"/>
        </w:rPr>
        <w:t> 日</w:t>
        <w:tab/>
        <w:t>日</w:t>
      </w:r>
    </w:p>
    <w:p>
      <w:pPr>
        <w:spacing w:line="165" w:lineRule="exact" w:before="0"/>
        <w:ind w:left="185" w:right="1543" w:firstLine="0"/>
        <w:jc w:val="left"/>
        <w:rPr>
          <w:rFonts w:ascii="宋体" w:hAnsi="宋体" w:cs="宋体" w:eastAsia="宋体" w:hint="default"/>
          <w:sz w:val="18"/>
          <w:szCs w:val="18"/>
        </w:rPr>
      </w:pPr>
      <w:r>
        <w:rPr/>
        <w:pict>
          <v:shape style="position:absolute;margin-left:399.839691pt;margin-top:5.922659pt;width:60.6pt;height:54.6pt;mso-position-horizontal-relative:page;mso-position-vertical-relative:paragraph;z-index:-1348792"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15"/>
                      <w:szCs w:val="15"/>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（一）</w:t>
                  </w:r>
                </w:p>
              </w:txbxContent>
            </v:textbox>
            <w10:wrap type="none"/>
          </v:shape>
        </w:pict>
      </w:r>
      <w:r>
        <w:rPr>
          <w:rFonts w:ascii="宋体" w:hAnsi="宋体" w:cs="宋体" w:eastAsia="宋体" w:hint="default"/>
          <w:sz w:val="18"/>
          <w:szCs w:val="18"/>
        </w:rPr>
        <w:t>科的人员独立性、资产独立性、财务独立性、机构独立性</w:t>
      </w:r>
    </w:p>
    <w:p>
      <w:pPr>
        <w:spacing w:line="316" w:lineRule="auto" w:before="76"/>
        <w:ind w:left="185" w:right="346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和业务独立性，使之符合《上市公司重大资产重组管理办 </w:t>
      </w:r>
      <w:r>
        <w:rPr>
          <w:rFonts w:ascii="宋体" w:hAnsi="宋体" w:cs="宋体" w:eastAsia="宋体" w:hint="default"/>
          <w:spacing w:val="-8"/>
          <w:sz w:val="18"/>
          <w:szCs w:val="18"/>
        </w:rPr>
        <w:t>法》第十一条第（六）项之规定和第四十三条第一款第</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项之规定。</w:t>
      </w:r>
      <w:r>
        <w:rPr>
          <w:rFonts w:ascii="Times New Roman" w:hAnsi="Times New Roman" w:cs="Times New Roman" w:eastAsia="Times New Roman" w:hint="default"/>
          <w:sz w:val="18"/>
          <w:szCs w:val="18"/>
        </w:rPr>
        <w:t>"</w:t>
      </w:r>
    </w:p>
    <w:p>
      <w:pPr>
        <w:spacing w:after="0" w:line="316" w:lineRule="auto"/>
        <w:jc w:val="left"/>
        <w:rPr>
          <w:rFonts w:ascii="Times New Roman" w:hAnsi="Times New Roman" w:cs="Times New Roman" w:eastAsia="Times New Roman" w:hint="default"/>
          <w:sz w:val="18"/>
          <w:szCs w:val="18"/>
        </w:rPr>
        <w:sectPr>
          <w:type w:val="continuous"/>
          <w:pgSz w:w="11910" w:h="16840"/>
          <w:pgMar w:top="1060" w:bottom="1180" w:left="980" w:right="0"/>
          <w:cols w:num="2" w:equalWidth="0">
            <w:col w:w="2721" w:space="40"/>
            <w:col w:w="8169"/>
          </w:cols>
        </w:sectPr>
      </w:pPr>
    </w:p>
    <w:p>
      <w:pPr>
        <w:spacing w:line="310" w:lineRule="atLeast" w:before="15"/>
        <w:ind w:left="1477" w:right="323" w:firstLine="0"/>
        <w:jc w:val="left"/>
        <w:rPr>
          <w:rFonts w:ascii="宋体" w:hAnsi="宋体" w:cs="宋体" w:eastAsia="宋体" w:hint="default"/>
          <w:sz w:val="18"/>
          <w:szCs w:val="18"/>
        </w:rPr>
      </w:pPr>
      <w:r>
        <w:rPr/>
        <w:pict>
          <v:group style="position:absolute;margin-left:56.400002pt;margin-top:71.758484pt;width:478.85pt;height:683.3pt;mso-position-horizontal-relative:page;mso-position-vertical-relative:page;z-index:-1348768" coordorigin="1128,1435" coordsize="9577,13666">
            <v:group style="position:absolute;left:1140;top:1450;width:1284;height:6466" coordorigin="1140,1450" coordsize="1284,6466">
              <v:shape style="position:absolute;left:1140;top:1450;width:1284;height:6466" coordorigin="1140,1450" coordsize="1284,6466" path="m1140,7915l2424,7915,2424,1450,1140,1450,1140,7915xe" filled="true" fillcolor="#d4d4d4" stroked="false">
                <v:path arrowok="t"/>
                <v:fill type="solid"/>
              </v:shape>
            </v:group>
            <v:group style="position:absolute;left:1151;top:7915;width:2;height:706" coordorigin="1151,7915" coordsize="2,706">
              <v:shape style="position:absolute;left:1151;top:7915;width:2;height:706" coordorigin="1151,7915" coordsize="0,706" path="m1151,7915l1151,8621e" filled="false" stroked="true" strokeweight="1.08pt" strokecolor="#d4d4d4">
                <v:path arrowok="t"/>
              </v:shape>
            </v:group>
            <v:group style="position:absolute;left:2412;top:7915;width:2;height:706" coordorigin="2412,7915" coordsize="2,706">
              <v:shape style="position:absolute;left:2412;top:7915;width:2;height:706" coordorigin="2412,7915" coordsize="0,706" path="m2412,7915l2412,8621e" filled="false" stroked="true" strokeweight="1.2pt" strokecolor="#d4d4d4">
                <v:path arrowok="t"/>
              </v:shape>
            </v:group>
            <v:group style="position:absolute;left:1140;top:8621;width:1284;height:6466" coordorigin="1140,8621" coordsize="1284,6466">
              <v:shape style="position:absolute;left:1140;top:8621;width:1284;height:6466" coordorigin="1140,8621" coordsize="1284,6466" path="m1140,15086l2424,15086,2424,8621,1140,8621,1140,15086xe" filled="true" fillcolor="#d4d4d4" stroked="false">
                <v:path arrowok="t"/>
                <v:fill type="solid"/>
              </v:shape>
            </v:group>
            <v:group style="position:absolute;left:1162;top:7915;width:1239;height:353" coordorigin="1162,7915" coordsize="1239,353">
              <v:shape style="position:absolute;left:1162;top:7915;width:1239;height:353" coordorigin="1162,7915" coordsize="1239,353" path="m1162,8268l2400,8268,2400,7915,1162,7915,1162,8268xe" filled="true" fillcolor="#d4d4d4" stroked="false">
                <v:path arrowok="t"/>
                <v:fill type="solid"/>
              </v:shape>
            </v:group>
            <v:group style="position:absolute;left:1162;top:8268;width:1239;height:353" coordorigin="1162,8268" coordsize="1239,353">
              <v:shape style="position:absolute;left:1162;top:8268;width:1239;height:353" coordorigin="1162,8268" coordsize="1239,353" path="m1162,8621l2400,8621,2400,8268,1162,8268,1162,8621xe" filled="true" fillcolor="#d4d4d4" stroked="false">
                <v:path arrowok="t"/>
                <v:fill type="solid"/>
              </v:shape>
            </v:group>
            <v:group style="position:absolute;left:1138;top:1445;width:1287;height:2" coordorigin="1138,1445" coordsize="1287,2">
              <v:shape style="position:absolute;left:1138;top:1445;width:1287;height:2" coordorigin="1138,1445" coordsize="1287,0" path="m1138,1445l2424,1445e" filled="false" stroked="true" strokeweight=".481pt" strokecolor="#000000">
                <v:path arrowok="t"/>
              </v:shape>
            </v:group>
            <v:group style="position:absolute;left:2434;top:1445;width:874;height:2" coordorigin="2434,1445" coordsize="874,2">
              <v:shape style="position:absolute;left:2434;top:1445;width:874;height:2" coordorigin="2434,1445" coordsize="874,0" path="m2434,1445l3307,1445e" filled="false" stroked="true" strokeweight=".481pt" strokecolor="#000000">
                <v:path arrowok="t"/>
              </v:shape>
            </v:group>
            <v:group style="position:absolute;left:3317;top:1445;width:576;height:2" coordorigin="3317,1445" coordsize="576,2">
              <v:shape style="position:absolute;left:3317;top:1445;width:576;height:2" coordorigin="3317,1445" coordsize="576,0" path="m3317,1445l3893,1445e" filled="false" stroked="true" strokeweight=".481pt" strokecolor="#000000">
                <v:path arrowok="t"/>
              </v:shape>
            </v:group>
            <v:group style="position:absolute;left:3902;top:1445;width:4565;height:2" coordorigin="3902,1445" coordsize="4565,2">
              <v:shape style="position:absolute;left:3902;top:1445;width:4565;height:2" coordorigin="3902,1445" coordsize="4565,0" path="m3902,1445l8467,1445e" filled="false" stroked="true" strokeweight=".481pt" strokecolor="#000000">
                <v:path arrowok="t"/>
              </v:shape>
            </v:group>
            <v:group style="position:absolute;left:8477;top:1445;width:732;height:2" coordorigin="8477,1445" coordsize="732,2">
              <v:shape style="position:absolute;left:8477;top:1445;width:732;height:2" coordorigin="8477,1445" coordsize="732,0" path="m8477,1445l9209,1445e" filled="false" stroked="true" strokeweight=".481pt" strokecolor="#000000">
                <v:path arrowok="t"/>
              </v:shape>
            </v:group>
            <v:group style="position:absolute;left:9218;top:1445;width:749;height:2" coordorigin="9218,1445" coordsize="749,2">
              <v:shape style="position:absolute;left:9218;top:1445;width:749;height:2" coordorigin="9218,1445" coordsize="749,0" path="m9218,1445l9967,1445e" filled="false" stroked="true" strokeweight=".481pt" strokecolor="#000000">
                <v:path arrowok="t"/>
              </v:shape>
            </v:group>
            <v:group style="position:absolute;left:9977;top:1445;width:718;height:2" coordorigin="9977,1445" coordsize="718,2">
              <v:shape style="position:absolute;left:9977;top:1445;width:718;height:2" coordorigin="9977,1445" coordsize="718,0" path="m9977,1445l10694,1445e" filled="false" stroked="true" strokeweight=".481pt" strokecolor="#000000">
                <v:path arrowok="t"/>
              </v:shape>
            </v:group>
            <v:group style="position:absolute;left:8479;top:7157;width:730;height:1092" coordorigin="8479,7157" coordsize="730,1092">
              <v:shape style="position:absolute;left:8479;top:7157;width:730;height:1092" coordorigin="8479,7157" coordsize="730,1092" path="m8479,8249l9209,8249,9209,7157,8479,7157,8479,8249xe" filled="true" fillcolor="#ffffff" stroked="false">
                <v:path arrowok="t"/>
                <v:fill type="solid"/>
              </v:shape>
            </v:group>
            <v:group style="position:absolute;left:8479;top:9264;width:730;height:1092" coordorigin="8479,9264" coordsize="730,1092">
              <v:shape style="position:absolute;left:8479;top:9264;width:730;height:1092" coordorigin="8479,9264" coordsize="730,1092" path="m8479,10356l9209,10356,9209,9264,8479,9264,8479,10356xe" filled="true" fillcolor="#ffffff" stroked="false">
                <v:path arrowok="t"/>
                <v:fill type="solid"/>
              </v:shape>
            </v:group>
            <v:group style="position:absolute;left:2434;top:7150;width:874;height:2" coordorigin="2434,7150" coordsize="874,2">
              <v:shape style="position:absolute;left:2434;top:7150;width:874;height:2" coordorigin="2434,7150" coordsize="874,0" path="m2434,7150l3307,7150e" filled="false" stroked="true" strokeweight=".48pt" strokecolor="#000000">
                <v:path arrowok="t"/>
              </v:shape>
            </v:group>
            <v:group style="position:absolute;left:3317;top:7150;width:576;height:2" coordorigin="3317,7150" coordsize="576,2">
              <v:shape style="position:absolute;left:3317;top:7150;width:576;height:2" coordorigin="3317,7150" coordsize="576,0" path="m3317,7150l3893,7150e" filled="false" stroked="true" strokeweight=".48pt" strokecolor="#000000">
                <v:path arrowok="t"/>
              </v:shape>
            </v:group>
            <v:group style="position:absolute;left:3902;top:7150;width:4565;height:2" coordorigin="3902,7150" coordsize="4565,2">
              <v:shape style="position:absolute;left:3902;top:7150;width:4565;height:2" coordorigin="3902,7150" coordsize="4565,0" path="m3902,7150l8467,7150e" filled="false" stroked="true" strokeweight=".48pt" strokecolor="#000000">
                <v:path arrowok="t"/>
              </v:shape>
            </v:group>
            <v:group style="position:absolute;left:8477;top:7150;width:732;height:2" coordorigin="8477,7150" coordsize="732,2">
              <v:shape style="position:absolute;left:8477;top:7150;width:732;height:2" coordorigin="8477,7150" coordsize="732,0" path="m8477,7150l9209,7150e" filled="false" stroked="true" strokeweight=".48pt" strokecolor="#000000">
                <v:path arrowok="t"/>
              </v:shape>
            </v:group>
            <v:group style="position:absolute;left:9218;top:7150;width:749;height:2" coordorigin="9218,7150" coordsize="749,2">
              <v:shape style="position:absolute;left:9218;top:7150;width:749;height:2" coordorigin="9218,7150" coordsize="749,0" path="m9218,7150l9967,7150e" filled="false" stroked="true" strokeweight=".48pt" strokecolor="#000000">
                <v:path arrowok="t"/>
              </v:shape>
            </v:group>
            <v:group style="position:absolute;left:9977;top:7150;width:718;height:2" coordorigin="9977,7150" coordsize="718,2">
              <v:shape style="position:absolute;left:9977;top:7150;width:718;height:2" coordorigin="9977,7150" coordsize="718,0" path="m9977,7150l10694,7150e" filled="false" stroked="true" strokeweight=".48pt" strokecolor="#000000">
                <v:path arrowok="t"/>
              </v:shape>
            </v:group>
            <v:group style="position:absolute;left:3319;top:10366;width:574;height:2009" coordorigin="3319,10366" coordsize="574,2009">
              <v:shape style="position:absolute;left:3319;top:10366;width:574;height:2009" coordorigin="3319,10366" coordsize="574,2009" path="m3319,12374l3893,12374,3893,10366,3319,10366,3319,12374xe" filled="true" fillcolor="#ffffff" stroked="false">
                <v:path arrowok="t"/>
                <v:fill type="solid"/>
              </v:shape>
            </v:group>
            <v:group style="position:absolute;left:3330;top:12374;width:2;height:704" coordorigin="3330,12374" coordsize="2,704">
              <v:shape style="position:absolute;left:3330;top:12374;width:2;height:704" coordorigin="3330,12374" coordsize="0,704" path="m3330,12374l3330,13078e" filled="false" stroked="true" strokeweight="1.08pt" strokecolor="#ffffff">
                <v:path arrowok="t"/>
              </v:shape>
            </v:group>
            <v:group style="position:absolute;left:3319;top:13078;width:574;height:2009" coordorigin="3319,13078" coordsize="574,2009">
              <v:shape style="position:absolute;left:3319;top:13078;width:574;height:2009" coordorigin="3319,13078" coordsize="574,2009" path="m3319,15086l3893,15086,3893,13078,3319,13078,3319,15086xe" filled="true" fillcolor="#ffffff" stroked="false">
                <v:path arrowok="t"/>
                <v:fill type="solid"/>
              </v:shape>
            </v:group>
            <v:group style="position:absolute;left:2434;top:10361;width:874;height:2" coordorigin="2434,10361" coordsize="874,2">
              <v:shape style="position:absolute;left:2434;top:10361;width:874;height:2" coordorigin="2434,10361" coordsize="874,0" path="m2434,10361l3307,10361e" filled="false" stroked="true" strokeweight=".48pt" strokecolor="#000000">
                <v:path arrowok="t"/>
              </v:shape>
            </v:group>
            <v:group style="position:absolute;left:3317;top:10361;width:576;height:2" coordorigin="3317,10361" coordsize="576,2">
              <v:shape style="position:absolute;left:3317;top:10361;width:576;height:2" coordorigin="3317,10361" coordsize="576,0" path="m3317,10361l3893,10361e" filled="false" stroked="true" strokeweight=".48pt" strokecolor="#000000">
                <v:path arrowok="t"/>
              </v:shape>
            </v:group>
            <v:group style="position:absolute;left:3902;top:10361;width:4565;height:2" coordorigin="3902,10361" coordsize="4565,2">
              <v:shape style="position:absolute;left:3902;top:10361;width:4565;height:2" coordorigin="3902,10361" coordsize="4565,0" path="m3902,10361l8467,10361e" filled="false" stroked="true" strokeweight=".48pt" strokecolor="#000000">
                <v:path arrowok="t"/>
              </v:shape>
            </v:group>
            <v:group style="position:absolute;left:8477;top:10361;width:732;height:2" coordorigin="8477,10361" coordsize="732,2">
              <v:shape style="position:absolute;left:8477;top:10361;width:732;height:2" coordorigin="8477,10361" coordsize="732,0" path="m8477,10361l9209,10361e" filled="false" stroked="true" strokeweight=".48pt" strokecolor="#000000">
                <v:path arrowok="t"/>
              </v:shape>
            </v:group>
            <v:group style="position:absolute;left:9218;top:10361;width:749;height:2" coordorigin="9218,10361" coordsize="749,2">
              <v:shape style="position:absolute;left:9218;top:10361;width:749;height:2" coordorigin="9218,10361" coordsize="749,0" path="m9218,10361l9967,10361e" filled="false" stroked="true" strokeweight=".48pt" strokecolor="#000000">
                <v:path arrowok="t"/>
              </v:shape>
            </v:group>
            <v:group style="position:absolute;left:9977;top:10361;width:718;height:2" coordorigin="9977,10361" coordsize="718,2">
              <v:shape style="position:absolute;left:9977;top:10361;width:718;height:2" coordorigin="9977,10361" coordsize="718,0" path="m9977,10361l10694,10361e" filled="false" stroked="true" strokeweight=".48pt" strokecolor="#000000">
                <v:path arrowok="t"/>
              </v:shape>
            </v:group>
            <v:group style="position:absolute;left:1133;top:1440;width:2;height:13657" coordorigin="1133,1440" coordsize="2,13657">
              <v:shape style="position:absolute;left:1133;top:1440;width:2;height:13657" coordorigin="1133,1440" coordsize="0,13657" path="m1133,1440l1133,15096e" filled="false" stroked="true" strokeweight=".48pt" strokecolor="#000000">
                <v:path arrowok="t"/>
              </v:shape>
            </v:group>
            <v:group style="position:absolute;left:1138;top:15091;width:1287;height:2" coordorigin="1138,15091" coordsize="1287,2">
              <v:shape style="position:absolute;left:1138;top:15091;width:1287;height:2" coordorigin="1138,15091" coordsize="1287,0" path="m1138,15091l2424,15091e" filled="false" stroked="true" strokeweight=".48pt" strokecolor="#000000">
                <v:path arrowok="t"/>
              </v:shape>
            </v:group>
            <v:group style="position:absolute;left:2429;top:1440;width:2;height:13657" coordorigin="2429,1440" coordsize="2,13657">
              <v:shape style="position:absolute;left:2429;top:1440;width:2;height:13657" coordorigin="2429,1440" coordsize="0,13657" path="m2429,1440l2429,15096e" filled="false" stroked="true" strokeweight=".48pt" strokecolor="#000000">
                <v:path arrowok="t"/>
              </v:shape>
            </v:group>
            <v:group style="position:absolute;left:2434;top:15091;width:874;height:2" coordorigin="2434,15091" coordsize="874,2">
              <v:shape style="position:absolute;left:2434;top:15091;width:874;height:2" coordorigin="2434,15091" coordsize="874,0" path="m2434,15091l3307,15091e" filled="false" stroked="true" strokeweight=".48pt" strokecolor="#000000">
                <v:path arrowok="t"/>
              </v:shape>
            </v:group>
            <v:group style="position:absolute;left:3312;top:1440;width:2;height:13657" coordorigin="3312,1440" coordsize="2,13657">
              <v:shape style="position:absolute;left:3312;top:1440;width:2;height:13657" coordorigin="3312,1440" coordsize="0,13657" path="m3312,1440l3312,15096e" filled="false" stroked="true" strokeweight=".481pt" strokecolor="#000000">
                <v:path arrowok="t"/>
              </v:shape>
            </v:group>
            <v:group style="position:absolute;left:3317;top:15091;width:576;height:2" coordorigin="3317,15091" coordsize="576,2">
              <v:shape style="position:absolute;left:3317;top:15091;width:576;height:2" coordorigin="3317,15091" coordsize="576,0" path="m3317,15091l3893,15091e" filled="false" stroked="true" strokeweight=".48pt" strokecolor="#000000">
                <v:path arrowok="t"/>
              </v:shape>
            </v:group>
            <v:group style="position:absolute;left:3898;top:1440;width:2;height:13657" coordorigin="3898,1440" coordsize="2,13657">
              <v:shape style="position:absolute;left:3898;top:1440;width:2;height:13657" coordorigin="3898,1440" coordsize="0,13657" path="m3898,1440l3898,15096e" filled="false" stroked="true" strokeweight=".48pt" strokecolor="#000000">
                <v:path arrowok="t"/>
              </v:shape>
            </v:group>
            <v:group style="position:absolute;left:3902;top:15091;width:4565;height:2" coordorigin="3902,15091" coordsize="4565,2">
              <v:shape style="position:absolute;left:3902;top:15091;width:4565;height:2" coordorigin="3902,15091" coordsize="4565,0" path="m3902,15091l8467,15091e" filled="false" stroked="true" strokeweight=".48pt" strokecolor="#000000">
                <v:path arrowok="t"/>
              </v:shape>
            </v:group>
            <v:group style="position:absolute;left:8472;top:1440;width:2;height:13657" coordorigin="8472,1440" coordsize="2,13657">
              <v:shape style="position:absolute;left:8472;top:1440;width:2;height:13657" coordorigin="8472,1440" coordsize="0,13657" path="m8472,1440l8472,15096e" filled="false" stroked="true" strokeweight=".48pt" strokecolor="#000000">
                <v:path arrowok="t"/>
              </v:shape>
            </v:group>
            <v:group style="position:absolute;left:8477;top:15091;width:732;height:2" coordorigin="8477,15091" coordsize="732,2">
              <v:shape style="position:absolute;left:8477;top:15091;width:732;height:2" coordorigin="8477,15091" coordsize="732,0" path="m8477,15091l9209,15091e" filled="false" stroked="true" strokeweight=".48pt" strokecolor="#000000">
                <v:path arrowok="t"/>
              </v:shape>
            </v:group>
            <v:group style="position:absolute;left:9214;top:1440;width:2;height:13657" coordorigin="9214,1440" coordsize="2,13657">
              <v:shape style="position:absolute;left:9214;top:1440;width:2;height:13657" coordorigin="9214,1440" coordsize="0,13657" path="m9214,1440l9214,15096e" filled="false" stroked="true" strokeweight=".48pt" strokecolor="#000000">
                <v:path arrowok="t"/>
              </v:shape>
            </v:group>
            <v:group style="position:absolute;left:9218;top:15091;width:749;height:2" coordorigin="9218,15091" coordsize="749,2">
              <v:shape style="position:absolute;left:9218;top:15091;width:749;height:2" coordorigin="9218,15091" coordsize="749,0" path="m9218,15091l9967,15091e" filled="false" stroked="true" strokeweight=".48pt" strokecolor="#000000">
                <v:path arrowok="t"/>
              </v:shape>
            </v:group>
            <v:group style="position:absolute;left:9972;top:1440;width:2;height:13657" coordorigin="9972,1440" coordsize="2,13657">
              <v:shape style="position:absolute;left:9972;top:1440;width:2;height:13657" coordorigin="9972,1440" coordsize="0,13657" path="m9972,1440l9972,15096e" filled="false" stroked="true" strokeweight=".481pt" strokecolor="#000000">
                <v:path arrowok="t"/>
              </v:shape>
            </v:group>
            <v:group style="position:absolute;left:9977;top:15091;width:718;height:2" coordorigin="9977,15091" coordsize="718,2">
              <v:shape style="position:absolute;left:9977;top:15091;width:718;height:2" coordorigin="9977,15091" coordsize="718,0" path="m9977,15091l10694,15091e" filled="false" stroked="true" strokeweight=".48pt" strokecolor="#000000">
                <v:path arrowok="t"/>
              </v:shape>
            </v:group>
            <v:group style="position:absolute;left:10699;top:1440;width:2;height:13657" coordorigin="10699,1440" coordsize="2,13657">
              <v:shape style="position:absolute;left:10699;top:1440;width:2;height:13657" coordorigin="10699,1440" coordsize="0,13657" path="m10699,1440l10699,15096e" filled="false" stroked="true" strokeweight=".481pt" strokecolor="#000000">
                <v:path arrowok="t"/>
              </v:shape>
            </v:group>
            <w10:wrap type="none"/>
          </v:group>
        </w:pict>
      </w:r>
      <w:r>
        <w:rPr>
          <w:rFonts w:ascii="宋体" w:hAnsi="宋体" w:cs="宋体" w:eastAsia="宋体" w:hint="default"/>
          <w:sz w:val="18"/>
          <w:szCs w:val="18"/>
        </w:rPr>
        <w:t>厦门市美 亚柏科信 息股份有 </w:t>
      </w:r>
      <w:r>
        <w:rPr>
          <w:rFonts w:ascii="宋体" w:hAnsi="宋体" w:cs="宋体" w:eastAsia="宋体" w:hint="default"/>
          <w:spacing w:val="-15"/>
          <w:sz w:val="18"/>
          <w:szCs w:val="18"/>
        </w:rPr>
        <w:t>限公司；郭</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永芳；滕 达；李国 林；申强；</w:t>
      </w:r>
    </w:p>
    <w:p>
      <w:pPr>
        <w:spacing w:line="107" w:lineRule="exact" w:before="0"/>
        <w:ind w:left="2360" w:right="-20" w:firstLine="0"/>
        <w:jc w:val="left"/>
        <w:rPr>
          <w:rFonts w:ascii="宋体" w:hAnsi="宋体" w:cs="宋体" w:eastAsia="宋体" w:hint="default"/>
          <w:sz w:val="18"/>
          <w:szCs w:val="18"/>
        </w:rPr>
      </w:pPr>
      <w:r>
        <w:rPr>
          <w:rFonts w:ascii="宋体" w:hAnsi="宋体" w:cs="宋体" w:eastAsia="宋体" w:hint="default"/>
          <w:sz w:val="18"/>
          <w:szCs w:val="18"/>
        </w:rPr>
        <w:t>其他</w:t>
      </w:r>
    </w:p>
    <w:p>
      <w:pPr>
        <w:spacing w:line="155" w:lineRule="exact" w:before="0"/>
        <w:ind w:left="1477" w:right="-20" w:firstLine="0"/>
        <w:jc w:val="left"/>
        <w:rPr>
          <w:rFonts w:ascii="宋体" w:hAnsi="宋体" w:cs="宋体" w:eastAsia="宋体" w:hint="default"/>
          <w:sz w:val="18"/>
          <w:szCs w:val="18"/>
        </w:rPr>
      </w:pPr>
      <w:r>
        <w:rPr>
          <w:rFonts w:ascii="宋体" w:hAnsi="宋体" w:cs="宋体" w:eastAsia="宋体" w:hint="default"/>
          <w:spacing w:val="-15"/>
          <w:sz w:val="18"/>
          <w:szCs w:val="18"/>
        </w:rPr>
        <w:t>卢永华；曲</w:t>
      </w:r>
    </w:p>
    <w:p>
      <w:pPr>
        <w:spacing w:line="156"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承诺</w:t>
      </w:r>
    </w:p>
    <w:p>
      <w:pPr>
        <w:spacing w:line="207" w:lineRule="exact" w:before="0"/>
        <w:ind w:left="1477" w:right="-20" w:firstLine="0"/>
        <w:jc w:val="left"/>
        <w:rPr>
          <w:rFonts w:ascii="宋体" w:hAnsi="宋体" w:cs="宋体" w:eastAsia="宋体" w:hint="default"/>
          <w:sz w:val="18"/>
          <w:szCs w:val="18"/>
        </w:rPr>
      </w:pPr>
      <w:r>
        <w:rPr>
          <w:rFonts w:ascii="宋体" w:hAnsi="宋体" w:cs="宋体" w:eastAsia="宋体" w:hint="default"/>
          <w:spacing w:val="-15"/>
          <w:sz w:val="18"/>
          <w:szCs w:val="18"/>
        </w:rPr>
        <w:t>晓辉；仲丽</w:t>
      </w:r>
    </w:p>
    <w:p>
      <w:pPr>
        <w:spacing w:line="316" w:lineRule="auto" w:before="76"/>
        <w:ind w:left="1477" w:right="323" w:firstLine="0"/>
        <w:jc w:val="left"/>
        <w:rPr>
          <w:rFonts w:ascii="宋体" w:hAnsi="宋体" w:cs="宋体" w:eastAsia="宋体" w:hint="default"/>
          <w:sz w:val="18"/>
          <w:szCs w:val="18"/>
        </w:rPr>
      </w:pPr>
      <w:r>
        <w:rPr>
          <w:rFonts w:ascii="宋体" w:hAnsi="宋体" w:cs="宋体" w:eastAsia="宋体" w:hint="default"/>
          <w:sz w:val="18"/>
          <w:szCs w:val="18"/>
        </w:rPr>
        <w:t>华；刘冬 颖；屈文 洲；吴鸿 伟；张乃 军；张雪 峰；赵庸；</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7"/>
          <w:szCs w:val="17"/>
        </w:rPr>
      </w:pPr>
    </w:p>
    <w:p>
      <w:pPr>
        <w:spacing w:line="314" w:lineRule="auto" w:before="0"/>
        <w:ind w:left="185" w:right="28" w:firstLine="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美亚柏科及其全体董事、监事及高级管理人员：关于提供</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材料真实性、准确性、完整性的承诺本公司及董事会全体 成员、监事会全体成员、全部高级管理人员保证本次交易 的信息披露和申请文件的内容真实、准确和完整，不存在 虚假记载、误导性陈述或重大遗漏，并对本次交易的信息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p>
    <w:p>
      <w:pPr>
        <w:spacing w:line="314" w:lineRule="auto" w:before="0"/>
        <w:ind w:left="185" w:right="-17"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披露和申请文件中的虚假记载、误导性陈述或者重大遗漏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承担个别及连带的法律责任。如本次交易因涉嫌所提供或</w:t>
      </w:r>
      <w:r>
        <w:rPr>
          <w:rFonts w:ascii="宋体" w:hAnsi="宋体" w:cs="宋体" w:eastAsia="宋体" w:hint="default"/>
          <w:spacing w:val="-16"/>
          <w:sz w:val="18"/>
          <w:szCs w:val="18"/>
        </w:rPr>
        <w:t> </w:t>
      </w:r>
      <w:r>
        <w:rPr>
          <w:rFonts w:ascii="宋体" w:hAnsi="宋体" w:cs="宋体" w:eastAsia="宋体" w:hint="default"/>
          <w:sz w:val="18"/>
          <w:szCs w:val="18"/>
        </w:rPr>
        <w:t>日</w:t>
      </w:r>
      <w:r>
        <w:rPr>
          <w:rFonts w:ascii="宋体" w:hAnsi="宋体" w:cs="宋体" w:eastAsia="宋体" w:hint="default"/>
          <w:sz w:val="18"/>
          <w:szCs w:val="18"/>
        </w:rPr>
        <w:t> 者披露的信息存在虚假记载、误导性陈述或者重大遗漏， 被司法机关立案侦查或者被中国证监会立案调查的，在案 件调查结论明确之前，将暂停转让其在上市公司拥有权益 的股份。</w:t>
      </w:r>
      <w:r>
        <w:rPr>
          <w:rFonts w:ascii="Times New Roman" w:hAnsi="Times New Roman" w:cs="Times New Roman" w:eastAsia="Times New Roman" w:hint="default"/>
          <w:sz w:val="18"/>
          <w:szCs w:val="18"/>
        </w:rPr>
        <w:t>"</w:t>
      </w:r>
    </w:p>
    <w:p>
      <w:pPr>
        <w:spacing w:line="240" w:lineRule="auto" w:before="0"/>
        <w:rPr>
          <w:rFonts w:ascii="Times New Roman" w:hAnsi="Times New Roman" w:cs="Times New Roman" w:eastAsia="Times New Roman" w:hint="default"/>
          <w:sz w:val="18"/>
          <w:szCs w:val="18"/>
        </w:rPr>
      </w:pPr>
      <w:r>
        <w:rPr/>
        <w:br w:type="column"/>
      </w:r>
      <w:r>
        <w:rPr>
          <w:rFonts w:ascii="Times New Roman"/>
          <w:sz w:val="18"/>
        </w:rPr>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11"/>
        <w:rPr>
          <w:rFonts w:ascii="Times New Roman" w:hAnsi="Times New Roman" w:cs="Times New Roman" w:eastAsia="Times New Roman" w:hint="default"/>
          <w:sz w:val="24"/>
          <w:szCs w:val="24"/>
        </w:rPr>
      </w:pPr>
    </w:p>
    <w:p>
      <w:pPr>
        <w:spacing w:before="0"/>
        <w:ind w:left="67" w:right="-1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9999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before="60"/>
        <w:ind w:left="67" w:right="-1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p>
    <w:p>
      <w:pPr>
        <w:spacing w:before="63"/>
        <w:ind w:left="67" w:right="-18" w:firstLine="0"/>
        <w:jc w:val="left"/>
        <w:rPr>
          <w:rFonts w:ascii="宋体" w:hAnsi="宋体" w:cs="宋体" w:eastAsia="宋体" w:hint="default"/>
          <w:sz w:val="18"/>
          <w:szCs w:val="18"/>
        </w:rPr>
      </w:pPr>
      <w:r>
        <w:rPr>
          <w:rFonts w:ascii="宋体" w:hAnsi="宋体" w:cs="宋体" w:eastAsia="宋体" w:hint="default"/>
          <w:sz w:val="18"/>
          <w:szCs w:val="18"/>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6"/>
          <w:szCs w:val="16"/>
        </w:rPr>
      </w:pPr>
    </w:p>
    <w:p>
      <w:pPr>
        <w:spacing w:line="314" w:lineRule="auto" w:before="0"/>
        <w:ind w:left="84" w:right="1346" w:firstLine="0"/>
        <w:jc w:val="left"/>
        <w:rPr>
          <w:rFonts w:ascii="宋体" w:hAnsi="宋体" w:cs="宋体" w:eastAsia="宋体" w:hint="default"/>
          <w:sz w:val="18"/>
          <w:szCs w:val="18"/>
        </w:rPr>
      </w:pPr>
      <w:r>
        <w:rPr>
          <w:rFonts w:ascii="宋体" w:hAnsi="宋体" w:cs="宋体" w:eastAsia="宋体" w:hint="default"/>
          <w:sz w:val="18"/>
          <w:szCs w:val="18"/>
        </w:rPr>
        <w:t>正常履 行中</w:t>
      </w:r>
    </w:p>
    <w:p>
      <w:pPr>
        <w:spacing w:after="0" w:line="314" w:lineRule="auto"/>
        <w:jc w:val="left"/>
        <w:rPr>
          <w:rFonts w:ascii="宋体" w:hAnsi="宋体" w:cs="宋体" w:eastAsia="宋体" w:hint="default"/>
          <w:sz w:val="18"/>
          <w:szCs w:val="18"/>
        </w:rPr>
        <w:sectPr>
          <w:type w:val="continuous"/>
          <w:pgSz w:w="11910" w:h="16840"/>
          <w:pgMar w:top="1060" w:bottom="1180" w:left="980" w:right="0"/>
          <w:cols w:num="4" w:equalWidth="0">
            <w:col w:w="2721" w:space="40"/>
            <w:col w:w="5394" w:space="40"/>
            <w:col w:w="702" w:space="40"/>
            <w:col w:w="1993"/>
          </w:cols>
        </w:sectPr>
      </w:pPr>
    </w:p>
    <w:p>
      <w:pPr>
        <w:spacing w:line="240" w:lineRule="auto" w:before="6"/>
        <w:rPr>
          <w:rFonts w:ascii="宋体" w:hAnsi="宋体" w:cs="宋体" w:eastAsia="宋体" w:hint="default"/>
          <w:sz w:val="26"/>
          <w:szCs w:val="26"/>
        </w:rPr>
      </w:pPr>
    </w:p>
    <w:p>
      <w:pPr>
        <w:spacing w:line="316" w:lineRule="auto" w:before="44"/>
        <w:ind w:left="1477" w:right="8604" w:firstLine="0"/>
        <w:jc w:val="left"/>
        <w:rPr>
          <w:rFonts w:ascii="宋体" w:hAnsi="宋体" w:cs="宋体" w:eastAsia="宋体" w:hint="default"/>
          <w:sz w:val="18"/>
          <w:szCs w:val="18"/>
        </w:rPr>
      </w:pPr>
      <w:r>
        <w:rPr>
          <w:rFonts w:ascii="宋体" w:hAnsi="宋体" w:cs="宋体" w:eastAsia="宋体" w:hint="default"/>
          <w:spacing w:val="-15"/>
          <w:sz w:val="18"/>
          <w:szCs w:val="18"/>
        </w:rPr>
        <w:t>葛鹏；栾江</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霞</w:t>
      </w:r>
    </w:p>
    <w:p>
      <w:pPr>
        <w:spacing w:after="0" w:line="316"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宋体" w:hAnsi="宋体" w:cs="宋体" w:eastAsia="宋体" w:hint="default"/>
          <w:sz w:val="18"/>
          <w:szCs w:val="18"/>
        </w:rPr>
      </w:pPr>
      <w:r>
        <w:rPr/>
        <w:pict>
          <v:group style="position:absolute;margin-left:56.400002pt;margin-top:71.758484pt;width:478.85pt;height:692.45pt;mso-position-horizontal-relative:page;mso-position-vertical-relative:page;z-index:-1348720" coordorigin="1128,1435" coordsize="9577,13849">
            <v:group style="position:absolute;left:1140;top:1450;width:1284;height:665" coordorigin="1140,1450" coordsize="1284,665">
              <v:shape style="position:absolute;left:1140;top:1450;width:1284;height:665" coordorigin="1140,1450" coordsize="1284,665" path="m1140,2114l2424,2114,2424,1450,1140,1450,1140,2114xe" filled="true" fillcolor="#d4d4d4" stroked="false">
                <v:path arrowok="t"/>
                <v:fill type="solid"/>
              </v:shape>
            </v:group>
            <v:group style="position:absolute;left:1138;top:1445;width:1287;height:2" coordorigin="1138,1445" coordsize="1287,2">
              <v:shape style="position:absolute;left:1138;top:1445;width:1287;height:2" coordorigin="1138,1445" coordsize="1287,0" path="m1138,1445l2424,1445e" filled="false" stroked="true" strokeweight=".481pt" strokecolor="#000000">
                <v:path arrowok="t"/>
              </v:shape>
            </v:group>
            <v:group style="position:absolute;left:2434;top:1445;width:874;height:2" coordorigin="2434,1445" coordsize="874,2">
              <v:shape style="position:absolute;left:2434;top:1445;width:874;height:2" coordorigin="2434,1445" coordsize="874,0" path="m2434,1445l3307,1445e" filled="false" stroked="true" strokeweight=".481pt" strokecolor="#000000">
                <v:path arrowok="t"/>
              </v:shape>
            </v:group>
            <v:group style="position:absolute;left:3317;top:1445;width:576;height:2" coordorigin="3317,1445" coordsize="576,2">
              <v:shape style="position:absolute;left:3317;top:1445;width:576;height:2" coordorigin="3317,1445" coordsize="576,0" path="m3317,1445l3893,1445e" filled="false" stroked="true" strokeweight=".481pt" strokecolor="#000000">
                <v:path arrowok="t"/>
              </v:shape>
            </v:group>
            <v:group style="position:absolute;left:3902;top:1445;width:4565;height:2" coordorigin="3902,1445" coordsize="4565,2">
              <v:shape style="position:absolute;left:3902;top:1445;width:4565;height:2" coordorigin="3902,1445" coordsize="4565,0" path="m3902,1445l8467,1445e" filled="false" stroked="true" strokeweight=".481pt" strokecolor="#000000">
                <v:path arrowok="t"/>
              </v:shape>
            </v:group>
            <v:group style="position:absolute;left:8477;top:1445;width:732;height:2" coordorigin="8477,1445" coordsize="732,2">
              <v:shape style="position:absolute;left:8477;top:1445;width:732;height:2" coordorigin="8477,1445" coordsize="732,0" path="m8477,1445l9209,1445e" filled="false" stroked="true" strokeweight=".481pt" strokecolor="#000000">
                <v:path arrowok="t"/>
              </v:shape>
            </v:group>
            <v:group style="position:absolute;left:9218;top:1445;width:749;height:2" coordorigin="9218,1445" coordsize="749,2">
              <v:shape style="position:absolute;left:9218;top:1445;width:749;height:2" coordorigin="9218,1445" coordsize="749,0" path="m9218,1445l9967,1445e" filled="false" stroked="true" strokeweight=".481pt" strokecolor="#000000">
                <v:path arrowok="t"/>
              </v:shape>
            </v:group>
            <v:group style="position:absolute;left:9977;top:1445;width:718;height:2" coordorigin="9977,1445" coordsize="718,2">
              <v:shape style="position:absolute;left:9977;top:1445;width:718;height:2" coordorigin="9977,1445" coordsize="718,0" path="m9977,1445l10694,1445e" filled="false" stroked="true" strokeweight=".481pt" strokecolor="#000000">
                <v:path arrowok="t"/>
              </v:shape>
            </v:group>
            <v:group style="position:absolute;left:1140;top:2114;width:1284;height:13155" coordorigin="1140,2114" coordsize="1284,13155">
              <v:shape style="position:absolute;left:1140;top:2114;width:1284;height:13155" coordorigin="1140,2114" coordsize="1284,13155" path="m1140,15269l2424,15269,2424,2114,1140,2114,1140,15269xe" filled="true" fillcolor="#d4d4d4" stroked="false">
                <v:path arrowok="t"/>
                <v:fill type="solid"/>
              </v:shape>
            </v:group>
            <v:group style="position:absolute;left:3319;top:2124;width:574;height:6065" coordorigin="3319,2124" coordsize="574,6065">
              <v:shape style="position:absolute;left:3319;top:2124;width:574;height:6065" coordorigin="3319,2124" coordsize="574,6065" path="m3319,8189l3893,8189,3893,2124,3319,2124,3319,8189xe" filled="true" fillcolor="#ffffff" stroked="false">
                <v:path arrowok="t"/>
                <v:fill type="solid"/>
              </v:shape>
            </v:group>
            <v:group style="position:absolute;left:3330;top:8189;width:2;height:1016" coordorigin="3330,8189" coordsize="2,1016">
              <v:shape style="position:absolute;left:3330;top:8189;width:2;height:1016" coordorigin="3330,8189" coordsize="0,1016" path="m3330,8189l3330,9204e" filled="false" stroked="true" strokeweight="1.08pt" strokecolor="#ffffff">
                <v:path arrowok="t"/>
              </v:shape>
            </v:group>
            <v:group style="position:absolute;left:3319;top:9204;width:574;height:6065" coordorigin="3319,9204" coordsize="574,6065">
              <v:shape style="position:absolute;left:3319;top:9204;width:574;height:6065" coordorigin="3319,9204" coordsize="574,6065" path="m3319,15269l3893,15269,3893,9204,3319,9204,3319,15269xe" filled="true" fillcolor="#ffffff" stroked="false">
                <v:path arrowok="t"/>
                <v:fill type="solid"/>
              </v:shape>
            </v:group>
            <v:group style="position:absolute;left:8479;top:2124;width:730;height:6065" coordorigin="8479,2124" coordsize="730,6065">
              <v:shape style="position:absolute;left:8479;top:2124;width:730;height:6065" coordorigin="8479,2124" coordsize="730,6065" path="m8479,8189l9209,8189,9209,2124,8479,2124,8479,8189xe" filled="true" fillcolor="#ffffff" stroked="false">
                <v:path arrowok="t"/>
                <v:fill type="solid"/>
              </v:shape>
            </v:group>
            <v:group style="position:absolute;left:8490;top:8189;width:2;height:1016" coordorigin="8490,8189" coordsize="2,1016">
              <v:shape style="position:absolute;left:8490;top:8189;width:2;height:1016" coordorigin="8490,8189" coordsize="0,1016" path="m8490,8189l8490,9204e" filled="false" stroked="true" strokeweight="1.08pt" strokecolor="#ffffff">
                <v:path arrowok="t"/>
              </v:shape>
            </v:group>
            <v:group style="position:absolute;left:8479;top:9204;width:730;height:6065" coordorigin="8479,9204" coordsize="730,6065">
              <v:shape style="position:absolute;left:8479;top:9204;width:730;height:6065" coordorigin="8479,9204" coordsize="730,6065" path="m8479,15269l9209,15269,9209,9204,8479,9204,8479,15269xe" filled="true" fillcolor="#ffffff" stroked="false">
                <v:path arrowok="t"/>
                <v:fill type="solid"/>
              </v:shape>
            </v:group>
            <v:group style="position:absolute;left:8501;top:8189;width:684;height:351" coordorigin="8501,8189" coordsize="684,351">
              <v:shape style="position:absolute;left:8501;top:8189;width:684;height:351" coordorigin="8501,8189" coordsize="684,351" path="m8501,8539l9185,8539,9185,8189,8501,8189,8501,8539xe" filled="true" fillcolor="#ffffff" stroked="false">
                <v:path arrowok="t"/>
                <v:fill type="solid"/>
              </v:shape>
            </v:group>
            <v:group style="position:absolute;left:2434;top:2119;width:874;height:2" coordorigin="2434,2119" coordsize="874,2">
              <v:shape style="position:absolute;left:2434;top:2119;width:874;height:2" coordorigin="2434,2119" coordsize="874,0" path="m2434,2119l3307,2119e" filled="false" stroked="true" strokeweight=".48pt" strokecolor="#000000">
                <v:path arrowok="t"/>
              </v:shape>
            </v:group>
            <v:group style="position:absolute;left:3317;top:2119;width:576;height:2" coordorigin="3317,2119" coordsize="576,2">
              <v:shape style="position:absolute;left:3317;top:2119;width:576;height:2" coordorigin="3317,2119" coordsize="576,0" path="m3317,2119l3893,2119e" filled="false" stroked="true" strokeweight=".48pt" strokecolor="#000000">
                <v:path arrowok="t"/>
              </v:shape>
            </v:group>
            <v:group style="position:absolute;left:3902;top:2119;width:4565;height:2" coordorigin="3902,2119" coordsize="4565,2">
              <v:shape style="position:absolute;left:3902;top:2119;width:4565;height:2" coordorigin="3902,2119" coordsize="4565,0" path="m3902,2119l8467,2119e" filled="false" stroked="true" strokeweight=".48pt" strokecolor="#000000">
                <v:path arrowok="t"/>
              </v:shape>
            </v:group>
            <v:group style="position:absolute;left:8477;top:2119;width:732;height:2" coordorigin="8477,2119" coordsize="732,2">
              <v:shape style="position:absolute;left:8477;top:2119;width:732;height:2" coordorigin="8477,2119" coordsize="732,0" path="m8477,2119l9209,2119e" filled="false" stroked="true" strokeweight=".48pt" strokecolor="#000000">
                <v:path arrowok="t"/>
              </v:shape>
            </v:group>
            <v:group style="position:absolute;left:9218;top:2119;width:749;height:2" coordorigin="9218,2119" coordsize="749,2">
              <v:shape style="position:absolute;left:9218;top:2119;width:749;height:2" coordorigin="9218,2119" coordsize="749,0" path="m9218,2119l9967,2119e" filled="false" stroked="true" strokeweight=".48pt" strokecolor="#000000">
                <v:path arrowok="t"/>
              </v:shape>
            </v:group>
            <v:group style="position:absolute;left:9977;top:2119;width:718;height:2" coordorigin="9977,2119" coordsize="718,2">
              <v:shape style="position:absolute;left:9977;top:2119;width:718;height:2" coordorigin="9977,2119" coordsize="718,0" path="m9977,2119l10694,2119e" filled="false" stroked="true" strokeweight=".48pt" strokecolor="#000000">
                <v:path arrowok="t"/>
              </v:shape>
            </v:group>
            <v:group style="position:absolute;left:1133;top:1440;width:2;height:13839" coordorigin="1133,1440" coordsize="2,13839">
              <v:shape style="position:absolute;left:1133;top:1440;width:2;height:13839" coordorigin="1133,1440" coordsize="0,13839" path="m1133,1440l1133,15278e" filled="false" stroked="true" strokeweight=".48pt" strokecolor="#000000">
                <v:path arrowok="t"/>
              </v:shape>
            </v:group>
            <v:group style="position:absolute;left:1138;top:15274;width:1287;height:2" coordorigin="1138,15274" coordsize="1287,2">
              <v:shape style="position:absolute;left:1138;top:15274;width:1287;height:2" coordorigin="1138,15274" coordsize="1287,0" path="m1138,15274l2424,15274e" filled="false" stroked="true" strokeweight=".48pt" strokecolor="#000000">
                <v:path arrowok="t"/>
              </v:shape>
            </v:group>
            <v:group style="position:absolute;left:2429;top:1440;width:2;height:13839" coordorigin="2429,1440" coordsize="2,13839">
              <v:shape style="position:absolute;left:2429;top:1440;width:2;height:13839" coordorigin="2429,1440" coordsize="0,13839" path="m2429,1440l2429,15278e" filled="false" stroked="true" strokeweight=".48pt" strokecolor="#000000">
                <v:path arrowok="t"/>
              </v:shape>
            </v:group>
            <v:group style="position:absolute;left:2434;top:15274;width:874;height:2" coordorigin="2434,15274" coordsize="874,2">
              <v:shape style="position:absolute;left:2434;top:15274;width:874;height:2" coordorigin="2434,15274" coordsize="874,0" path="m2434,15274l3307,15274e" filled="false" stroked="true" strokeweight=".48pt" strokecolor="#000000">
                <v:path arrowok="t"/>
              </v:shape>
            </v:group>
            <v:group style="position:absolute;left:3312;top:1440;width:2;height:13839" coordorigin="3312,1440" coordsize="2,13839">
              <v:shape style="position:absolute;left:3312;top:1440;width:2;height:13839" coordorigin="3312,1440" coordsize="0,13839" path="m3312,1440l3312,15278e" filled="false" stroked="true" strokeweight=".481pt" strokecolor="#000000">
                <v:path arrowok="t"/>
              </v:shape>
            </v:group>
            <v:group style="position:absolute;left:3317;top:15274;width:576;height:2" coordorigin="3317,15274" coordsize="576,2">
              <v:shape style="position:absolute;left:3317;top:15274;width:576;height:2" coordorigin="3317,15274" coordsize="576,0" path="m3317,15274l3893,15274e" filled="false" stroked="true" strokeweight=".48pt" strokecolor="#000000">
                <v:path arrowok="t"/>
              </v:shape>
            </v:group>
            <v:group style="position:absolute;left:3898;top:1440;width:2;height:13839" coordorigin="3898,1440" coordsize="2,13839">
              <v:shape style="position:absolute;left:3898;top:1440;width:2;height:13839" coordorigin="3898,1440" coordsize="0,13839" path="m3898,1440l3898,15278e" filled="false" stroked="true" strokeweight=".48pt" strokecolor="#000000">
                <v:path arrowok="t"/>
              </v:shape>
            </v:group>
            <v:group style="position:absolute;left:3902;top:15274;width:4565;height:2" coordorigin="3902,15274" coordsize="4565,2">
              <v:shape style="position:absolute;left:3902;top:15274;width:4565;height:2" coordorigin="3902,15274" coordsize="4565,0" path="m3902,15274l8467,15274e" filled="false" stroked="true" strokeweight=".48pt" strokecolor="#000000">
                <v:path arrowok="t"/>
              </v:shape>
            </v:group>
            <v:group style="position:absolute;left:8472;top:1440;width:2;height:13839" coordorigin="8472,1440" coordsize="2,13839">
              <v:shape style="position:absolute;left:8472;top:1440;width:2;height:13839" coordorigin="8472,1440" coordsize="0,13839" path="m8472,1440l8472,15278e" filled="false" stroked="true" strokeweight=".48pt" strokecolor="#000000">
                <v:path arrowok="t"/>
              </v:shape>
            </v:group>
            <v:group style="position:absolute;left:8477;top:15274;width:732;height:2" coordorigin="8477,15274" coordsize="732,2">
              <v:shape style="position:absolute;left:8477;top:15274;width:732;height:2" coordorigin="8477,15274" coordsize="732,0" path="m8477,15274l9209,15274e" filled="false" stroked="true" strokeweight=".48pt" strokecolor="#000000">
                <v:path arrowok="t"/>
              </v:shape>
            </v:group>
            <v:group style="position:absolute;left:9214;top:1440;width:2;height:13839" coordorigin="9214,1440" coordsize="2,13839">
              <v:shape style="position:absolute;left:9214;top:1440;width:2;height:13839" coordorigin="9214,1440" coordsize="0,13839" path="m9214,1440l9214,15278e" filled="false" stroked="true" strokeweight=".48pt" strokecolor="#000000">
                <v:path arrowok="t"/>
              </v:shape>
            </v:group>
            <v:group style="position:absolute;left:9218;top:15274;width:749;height:2" coordorigin="9218,15274" coordsize="749,2">
              <v:shape style="position:absolute;left:9218;top:15274;width:749;height:2" coordorigin="9218,15274" coordsize="749,0" path="m9218,15274l9967,15274e" filled="false" stroked="true" strokeweight=".48pt" strokecolor="#000000">
                <v:path arrowok="t"/>
              </v:shape>
            </v:group>
            <v:group style="position:absolute;left:9972;top:1440;width:2;height:13839" coordorigin="9972,1440" coordsize="2,13839">
              <v:shape style="position:absolute;left:9972;top:1440;width:2;height:13839" coordorigin="9972,1440" coordsize="0,13839" path="m9972,1440l9972,15278e" filled="false" stroked="true" strokeweight=".481pt" strokecolor="#000000">
                <v:path arrowok="t"/>
              </v:shape>
            </v:group>
            <v:group style="position:absolute;left:9977;top:15274;width:718;height:2" coordorigin="9977,15274" coordsize="718,2">
              <v:shape style="position:absolute;left:9977;top:15274;width:718;height:2" coordorigin="9977,15274" coordsize="718,0" path="m9977,15274l10694,15274e" filled="false" stroked="true" strokeweight=".48pt" strokecolor="#000000">
                <v:path arrowok="t"/>
              </v:shape>
            </v:group>
            <v:group style="position:absolute;left:10699;top:1440;width:2;height:13839" coordorigin="10699,1440" coordsize="2,13839">
              <v:shape style="position:absolute;left:10699;top:1440;width:2;height:13839" coordorigin="10699,1440" coordsize="0,13839" path="m10699,1440l10699,15278e" filled="false" stroked="true" strokeweight=".481pt" strokecolor="#000000">
                <v:path arrowok="t"/>
              </v:shape>
            </v:group>
            <w10:wrap type="none"/>
          </v:group>
        </w:pic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316" w:lineRule="auto" w:before="142"/>
        <w:ind w:left="1477" w:right="-20" w:firstLine="0"/>
        <w:jc w:val="left"/>
        <w:rPr>
          <w:rFonts w:ascii="宋体" w:hAnsi="宋体" w:cs="宋体" w:eastAsia="宋体" w:hint="default"/>
          <w:sz w:val="18"/>
          <w:szCs w:val="18"/>
        </w:rPr>
      </w:pPr>
      <w:r>
        <w:rPr>
          <w:rFonts w:ascii="宋体" w:hAnsi="宋体" w:cs="宋体" w:eastAsia="宋体" w:hint="default"/>
          <w:spacing w:val="-15"/>
          <w:sz w:val="18"/>
          <w:szCs w:val="18"/>
        </w:rPr>
        <w:t>安林冲；包</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志翔；陈 燕；仇宏 远；邓炽 成；郭玉 智；韩海</w:t>
      </w:r>
    </w:p>
    <w:p>
      <w:pPr>
        <w:spacing w:line="197" w:lineRule="exact" w:before="19"/>
        <w:ind w:left="1477" w:right="-20" w:firstLine="0"/>
        <w:jc w:val="left"/>
        <w:rPr>
          <w:rFonts w:ascii="宋体" w:hAnsi="宋体" w:cs="宋体" w:eastAsia="宋体" w:hint="default"/>
          <w:sz w:val="18"/>
          <w:szCs w:val="18"/>
        </w:rPr>
      </w:pPr>
      <w:r>
        <w:rPr>
          <w:rFonts w:ascii="宋体" w:hAnsi="宋体" w:cs="宋体" w:eastAsia="宋体" w:hint="default"/>
          <w:sz w:val="18"/>
          <w:szCs w:val="18"/>
        </w:rPr>
        <w:t>青；黄新；</w:t>
      </w:r>
    </w:p>
    <w:p>
      <w:pPr>
        <w:spacing w:line="156"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股份</w:t>
      </w:r>
    </w:p>
    <w:p>
      <w:pPr>
        <w:spacing w:line="155" w:lineRule="exact" w:before="0"/>
        <w:ind w:left="1477" w:right="-20" w:firstLine="0"/>
        <w:jc w:val="left"/>
        <w:rPr>
          <w:rFonts w:ascii="宋体" w:hAnsi="宋体" w:cs="宋体" w:eastAsia="宋体" w:hint="default"/>
          <w:sz w:val="18"/>
          <w:szCs w:val="18"/>
        </w:rPr>
      </w:pPr>
      <w:r>
        <w:rPr>
          <w:rFonts w:ascii="宋体" w:hAnsi="宋体" w:cs="宋体" w:eastAsia="宋体" w:hint="default"/>
          <w:sz w:val="18"/>
          <w:szCs w:val="18"/>
        </w:rPr>
        <w:t>李佳；李</w:t>
      </w:r>
    </w:p>
    <w:p>
      <w:pPr>
        <w:spacing w:line="156"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限售</w:t>
      </w:r>
    </w:p>
    <w:p>
      <w:pPr>
        <w:spacing w:line="156" w:lineRule="exact" w:before="0"/>
        <w:ind w:left="1477" w:right="-20" w:firstLine="0"/>
        <w:jc w:val="left"/>
        <w:rPr>
          <w:rFonts w:ascii="宋体" w:hAnsi="宋体" w:cs="宋体" w:eastAsia="宋体" w:hint="default"/>
          <w:sz w:val="18"/>
          <w:szCs w:val="18"/>
        </w:rPr>
      </w:pPr>
      <w:r>
        <w:rPr>
          <w:rFonts w:ascii="宋体" w:hAnsi="宋体" w:cs="宋体" w:eastAsia="宋体" w:hint="default"/>
          <w:sz w:val="18"/>
          <w:szCs w:val="18"/>
        </w:rPr>
        <w:t>江；卢晓</w:t>
      </w:r>
    </w:p>
    <w:p>
      <w:pPr>
        <w:spacing w:line="158" w:lineRule="auto" w:before="31"/>
        <w:ind w:left="1477" w:right="-20" w:firstLine="883"/>
        <w:jc w:val="left"/>
        <w:rPr>
          <w:rFonts w:ascii="宋体" w:hAnsi="宋体" w:cs="宋体" w:eastAsia="宋体" w:hint="default"/>
          <w:sz w:val="18"/>
          <w:szCs w:val="18"/>
        </w:rPr>
      </w:pPr>
      <w:r>
        <w:rPr>
          <w:rFonts w:ascii="宋体" w:hAnsi="宋体" w:cs="宋体" w:eastAsia="宋体" w:hint="default"/>
          <w:sz w:val="18"/>
          <w:szCs w:val="18"/>
        </w:rPr>
        <w:t>承诺 英；任炜；</w:t>
      </w:r>
    </w:p>
    <w:p>
      <w:pPr>
        <w:spacing w:line="316" w:lineRule="auto" w:before="85"/>
        <w:ind w:left="1477" w:right="398" w:firstLine="0"/>
        <w:jc w:val="left"/>
        <w:rPr>
          <w:rFonts w:ascii="宋体" w:hAnsi="宋体" w:cs="宋体" w:eastAsia="宋体" w:hint="default"/>
          <w:sz w:val="18"/>
          <w:szCs w:val="18"/>
        </w:rPr>
      </w:pPr>
      <w:r>
        <w:rPr>
          <w:rFonts w:ascii="宋体" w:hAnsi="宋体" w:cs="宋体" w:eastAsia="宋体" w:hint="default"/>
          <w:spacing w:val="-15"/>
          <w:sz w:val="18"/>
          <w:szCs w:val="18"/>
        </w:rPr>
        <w:t>水军；苏学</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武；孙士 玉；王亚 明；韦玉 荣；叶树 </w:t>
      </w:r>
      <w:r>
        <w:rPr>
          <w:rFonts w:ascii="宋体" w:hAnsi="宋体" w:cs="宋体" w:eastAsia="宋体" w:hint="default"/>
          <w:spacing w:val="-15"/>
          <w:sz w:val="18"/>
          <w:szCs w:val="18"/>
        </w:rPr>
        <w:t>军；张红光</w:t>
      </w:r>
    </w:p>
    <w:p>
      <w:pPr>
        <w:spacing w:line="309" w:lineRule="auto" w:before="110"/>
        <w:ind w:left="185" w:right="667"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w:t>
      </w:r>
      <w:r>
        <w:rPr>
          <w:rFonts w:ascii="宋体" w:hAnsi="宋体" w:cs="宋体" w:eastAsia="宋体" w:hint="default"/>
          <w:sz w:val="18"/>
          <w:szCs w:val="18"/>
        </w:rPr>
        <w:t>一、江苏税软交易对方：</w:t>
      </w:r>
      <w:r>
        <w:rPr>
          <w:rFonts w:ascii="Times New Roman" w:hAnsi="Times New Roman" w:cs="Times New Roman" w:eastAsia="Times New Roman" w:hint="default"/>
          <w:sz w:val="18"/>
          <w:szCs w:val="18"/>
        </w:rPr>
        <w:t>1</w:t>
      </w:r>
      <w:r>
        <w:rPr>
          <w:rFonts w:ascii="宋体" w:hAnsi="宋体" w:cs="宋体" w:eastAsia="宋体" w:hint="default"/>
          <w:sz w:val="18"/>
          <w:szCs w:val="18"/>
        </w:rPr>
        <w:t>、本人通过本次交易获得的美 亚柏科增发股份自本次发行完成之日起</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pacing w:val="-11"/>
          <w:sz w:val="18"/>
          <w:szCs w:val="18"/>
        </w:rPr>
        <w:t>个月内，本人将</w:t>
      </w:r>
      <w:r>
        <w:rPr>
          <w:rFonts w:ascii="宋体" w:hAnsi="宋体" w:cs="宋体" w:eastAsia="宋体" w:hint="default"/>
          <w:sz w:val="18"/>
          <w:szCs w:val="18"/>
        </w:rPr>
        <w:t> 不通过任何方式转让。此后分步解锁，具体为：</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个月后 至</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9"/>
          <w:sz w:val="18"/>
          <w:szCs w:val="18"/>
        </w:rPr>
        <w:t> </w:t>
      </w:r>
      <w:r>
        <w:rPr>
          <w:rFonts w:ascii="宋体" w:hAnsi="宋体" w:cs="宋体" w:eastAsia="宋体" w:hint="default"/>
          <w:spacing w:val="-4"/>
          <w:sz w:val="18"/>
          <w:szCs w:val="18"/>
        </w:rPr>
        <w:t>个月内，累计可转让股票数量不超过其在本次发行中</w:t>
      </w:r>
      <w:r>
        <w:rPr>
          <w:rFonts w:ascii="宋体" w:hAnsi="宋体" w:cs="宋体" w:eastAsia="宋体" w:hint="default"/>
          <w:sz w:val="18"/>
          <w:szCs w:val="18"/>
        </w:rPr>
        <w:t> 所认购总数的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个月后至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 </w:t>
      </w:r>
      <w:r>
        <w:rPr>
          <w:rFonts w:ascii="宋体" w:hAnsi="宋体" w:cs="宋体" w:eastAsia="宋体" w:hint="default"/>
          <w:sz w:val="18"/>
          <w:szCs w:val="18"/>
        </w:rPr>
        <w:t>个月内，累计可转让 股票数量不超过其在本次发行中所认购总数的</w:t>
      </w:r>
      <w:r>
        <w:rPr>
          <w:rFonts w:ascii="宋体" w:hAnsi="宋体" w:cs="宋体" w:eastAsia="宋体" w:hint="default"/>
          <w:spacing w:val="-43"/>
          <w:sz w:val="18"/>
          <w:szCs w:val="18"/>
        </w:rPr>
        <w:t> </w:t>
      </w:r>
      <w:r>
        <w:rPr>
          <w:rFonts w:ascii="Times New Roman" w:hAnsi="Times New Roman" w:cs="Times New Roman" w:eastAsia="Times New Roman" w:hint="default"/>
          <w:spacing w:val="-8"/>
          <w:sz w:val="18"/>
          <w:szCs w:val="18"/>
        </w:rPr>
        <w:t>50%</w:t>
      </w:r>
      <w:r>
        <w:rPr>
          <w:rFonts w:ascii="宋体" w:hAnsi="宋体" w:cs="宋体" w:eastAsia="宋体" w:hint="default"/>
          <w:spacing w:val="-8"/>
          <w:sz w:val="18"/>
          <w:szCs w:val="18"/>
        </w:rPr>
        <w:t>，</w:t>
      </w:r>
      <w:r>
        <w:rPr>
          <w:rFonts w:ascii="Times New Roman" w:hAnsi="Times New Roman" w:cs="Times New Roman" w:eastAsia="Times New Roman" w:hint="default"/>
          <w:spacing w:val="-8"/>
          <w:sz w:val="18"/>
          <w:szCs w:val="18"/>
        </w:rPr>
        <w:t>36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个 月后， 本人实际解锁股份数须扣除因盈利预测补偿而需由美亚柏 </w:t>
      </w:r>
      <w:r>
        <w:rPr>
          <w:rFonts w:ascii="宋体" w:hAnsi="宋体" w:cs="宋体" w:eastAsia="宋体" w:hint="default"/>
          <w:spacing w:val="-7"/>
          <w:sz w:val="18"/>
          <w:szCs w:val="18"/>
        </w:rPr>
        <w:t>科回购的股份数（若有）。本次重组实施完成后，本人由于</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美亚柏科配股、转增股本等原因增持的美亚柏科股份，亦 应遵守上述承诺。本人如担任美亚柏科董监高，则会同时 </w:t>
      </w:r>
      <w:r>
        <w:rPr>
          <w:rFonts w:ascii="宋体" w:hAnsi="宋体" w:cs="宋体" w:eastAsia="宋体" w:hint="default"/>
          <w:spacing w:val="-7"/>
          <w:sz w:val="18"/>
          <w:szCs w:val="18"/>
        </w:rPr>
        <w:t>遵守美亚柏科章程以及公司法、《中华人民共和国证券法》</w:t>
      </w:r>
    </w:p>
    <w:p>
      <w:pPr>
        <w:spacing w:line="312" w:lineRule="auto" w:before="24"/>
        <w:ind w:left="185" w:right="28" w:firstLine="0"/>
        <w:jc w:val="left"/>
        <w:rPr>
          <w:rFonts w:ascii="宋体" w:hAnsi="宋体" w:cs="宋体" w:eastAsia="宋体" w:hint="default"/>
          <w:sz w:val="18"/>
          <w:szCs w:val="18"/>
        </w:rPr>
      </w:pPr>
      <w:r>
        <w:rPr/>
        <w:pict>
          <v:shape style="position:absolute;margin-left:219.720001pt;margin-top:-188.448288pt;width:240.75pt;height:303.25pt;mso-position-horizontal-relative:page;mso-position-vertical-relative:paragraph;z-index:-1348744"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0"/>
                      <w:szCs w:val="20"/>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可自由转让其在本次发行中所认购的全部股份数量。</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46"/>
                    <w:ind w:left="2160" w:right="0" w:firstLine="1800"/>
                    <w:jc w:val="lef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46"/>
                    <w:ind w:left="2160" w:right="0" w:firstLine="0"/>
                    <w:jc w:val="left"/>
                    <w:rPr>
                      <w:rFonts w:ascii="宋体" w:hAnsi="宋体" w:cs="宋体" w:eastAsia="宋体" w:hint="default"/>
                      <w:sz w:val="18"/>
                      <w:szCs w:val="18"/>
                    </w:rPr>
                  </w:pPr>
                  <w:r>
                    <w:rPr>
                      <w:rFonts w:ascii="宋体" w:hAnsi="宋体" w:cs="宋体" w:eastAsia="宋体" w:hint="default"/>
                      <w:sz w:val="18"/>
                      <w:szCs w:val="18"/>
                    </w:rPr>
                    <w:t>亦遵守上述锁定期承诺。</w:t>
                  </w:r>
                </w:p>
              </w:txbxContent>
            </v:textbox>
            <w10:wrap type="none"/>
          </v:shape>
        </w:pict>
      </w:r>
      <w:r>
        <w:rPr>
          <w:rFonts w:ascii="宋体" w:hAnsi="宋体" w:cs="宋体" w:eastAsia="宋体" w:hint="default"/>
          <w:sz w:val="18"/>
          <w:szCs w:val="18"/>
        </w:rPr>
        <w:t>《深圳证券交易所股票上市规则》等法律、法规、规章、 规范性文件有关股份有限公司及上市公司董事、监事、高 </w:t>
      </w:r>
      <w:r>
        <w:rPr>
          <w:rFonts w:ascii="宋体" w:hAnsi="宋体" w:cs="宋体" w:eastAsia="宋体" w:hint="default"/>
          <w:spacing w:val="-3"/>
          <w:sz w:val="18"/>
          <w:szCs w:val="18"/>
        </w:rPr>
        <w:t>级管理人员买卖公司股票的限制性规定。</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、本次发行结束</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后，就本次重组本人获得的美亚柏科增发股份因美亚柏科 发生除权除息事项而增加的股份， </w:t>
      </w:r>
      <w:r>
        <w:rPr>
          <w:rFonts w:ascii="Times New Roman" w:hAnsi="Times New Roman" w:cs="Times New Roman" w:eastAsia="Times New Roman" w:hint="default"/>
          <w:sz w:val="18"/>
          <w:szCs w:val="18"/>
        </w:rPr>
        <w:t>3</w:t>
      </w:r>
      <w:r>
        <w:rPr>
          <w:rFonts w:ascii="宋体" w:hAnsi="宋体" w:cs="宋体" w:eastAsia="宋体" w:hint="default"/>
          <w:sz w:val="18"/>
          <w:szCs w:val="18"/>
        </w:rPr>
        <w:t>、除上述锁定期之外，如本人未来在美亚柏科担任董事</w:t>
      </w:r>
      <w:r>
        <w:rPr>
          <w:rFonts w:ascii="Times New Roman" w:hAnsi="Times New Roman" w:cs="Times New Roman" w:eastAsia="Times New Roman" w:hint="default"/>
          <w:sz w:val="18"/>
          <w:szCs w:val="18"/>
        </w:rPr>
        <w:t>/ </w:t>
      </w:r>
      <w:r>
        <w:rPr>
          <w:rFonts w:ascii="宋体" w:hAnsi="宋体" w:cs="宋体" w:eastAsia="宋体" w:hint="default"/>
          <w:sz w:val="18"/>
          <w:szCs w:val="18"/>
        </w:rPr>
        <w:t>监事</w:t>
      </w:r>
      <w:r>
        <w:rPr>
          <w:rFonts w:ascii="Times New Roman" w:hAnsi="Times New Roman" w:cs="Times New Roman" w:eastAsia="Times New Roman" w:hint="default"/>
          <w:sz w:val="18"/>
          <w:szCs w:val="18"/>
        </w:rPr>
        <w:t>/</w:t>
      </w:r>
      <w:r>
        <w:rPr>
          <w:rFonts w:ascii="宋体" w:hAnsi="宋体" w:cs="宋体" w:eastAsia="宋体" w:hint="default"/>
          <w:sz w:val="18"/>
          <w:szCs w:val="18"/>
        </w:rPr>
        <w:t>高级管理人员，则本人在任期内每年转让的股份不超</w:t>
      </w:r>
    </w:p>
    <w:p>
      <w:pPr>
        <w:spacing w:line="193" w:lineRule="exact" w:before="3"/>
        <w:ind w:left="185" w:right="28" w:firstLine="0"/>
        <w:jc w:val="left"/>
        <w:rPr>
          <w:rFonts w:ascii="宋体" w:hAnsi="宋体" w:cs="宋体" w:eastAsia="宋体" w:hint="default"/>
          <w:sz w:val="18"/>
          <w:szCs w:val="18"/>
        </w:rPr>
      </w:pPr>
      <w:r>
        <w:rPr>
          <w:rFonts w:ascii="宋体" w:hAnsi="宋体" w:cs="宋体" w:eastAsia="宋体" w:hint="default"/>
          <w:sz w:val="18"/>
          <w:szCs w:val="18"/>
        </w:rPr>
        <w:t>过本人所持有的美亚柏科股份总数的</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25</w:t>
      </w:r>
      <w:r>
        <w:rPr>
          <w:rFonts w:ascii="Times New Roman" w:hAnsi="Times New Roman" w:cs="Times New Roman" w:eastAsia="Times New Roman" w:hint="default"/>
          <w:spacing w:val="-2"/>
          <w:sz w:val="18"/>
          <w:szCs w:val="18"/>
        </w:rPr>
        <w:t>%</w:t>
      </w:r>
      <w:r>
        <w:rPr>
          <w:rFonts w:ascii="宋体" w:hAnsi="宋体" w:cs="宋体" w:eastAsia="宋体" w:hint="default"/>
          <w:spacing w:val="-87"/>
          <w:sz w:val="18"/>
          <w:szCs w:val="18"/>
        </w:rPr>
        <w:t>；</w:t>
      </w:r>
      <w:r>
        <w:rPr>
          <w:rFonts w:ascii="宋体" w:hAnsi="宋体" w:cs="宋体" w:eastAsia="宋体" w:hint="default"/>
          <w:sz w:val="18"/>
          <w:szCs w:val="18"/>
        </w:rPr>
        <w:t>离职后半年内，</w:t>
      </w:r>
    </w:p>
    <w:p>
      <w:pPr>
        <w:spacing w:line="156" w:lineRule="exact" w:before="0"/>
        <w:ind w:left="0" w:right="43" w:firstLine="0"/>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line="155" w:lineRule="exact" w:before="0"/>
        <w:ind w:left="185" w:right="28" w:firstLine="0"/>
        <w:jc w:val="left"/>
        <w:rPr>
          <w:rFonts w:ascii="宋体" w:hAnsi="宋体" w:cs="宋体" w:eastAsia="宋体" w:hint="default"/>
          <w:sz w:val="18"/>
          <w:szCs w:val="18"/>
        </w:rPr>
      </w:pPr>
      <w:r>
        <w:rPr>
          <w:rFonts w:ascii="宋体" w:hAnsi="宋体" w:cs="宋体" w:eastAsia="宋体" w:hint="default"/>
          <w:spacing w:val="-3"/>
          <w:sz w:val="18"/>
          <w:szCs w:val="18"/>
        </w:rPr>
        <w:t>不转让本人所持有的美亚柏科股份。</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、如截至本次发行完</w:t>
      </w:r>
    </w:p>
    <w:p>
      <w:pPr>
        <w:spacing w:line="156" w:lineRule="exact" w:before="0"/>
        <w:ind w:left="0" w:right="0" w:firstLine="0"/>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spacing w:line="149" w:lineRule="exact" w:before="0"/>
        <w:ind w:left="185" w:right="28" w:firstLine="0"/>
        <w:jc w:val="left"/>
        <w:rPr>
          <w:rFonts w:ascii="宋体" w:hAnsi="宋体" w:cs="宋体" w:eastAsia="宋体" w:hint="default"/>
          <w:sz w:val="18"/>
          <w:szCs w:val="18"/>
        </w:rPr>
      </w:pPr>
      <w:r>
        <w:rPr>
          <w:rFonts w:ascii="宋体" w:hAnsi="宋体" w:cs="宋体" w:eastAsia="宋体" w:hint="default"/>
          <w:sz w:val="18"/>
          <w:szCs w:val="18"/>
        </w:rPr>
        <w:t>成之日，本人对用于认购对价股份的资产持续拥有权益的</w:t>
      </w:r>
    </w:p>
    <w:p>
      <w:pPr>
        <w:spacing w:line="156" w:lineRule="exact" w:before="0"/>
        <w:ind w:left="0" w:right="451" w:firstLine="0"/>
        <w:jc w:val="right"/>
        <w:rPr>
          <w:rFonts w:ascii="宋体" w:hAnsi="宋体" w:cs="宋体" w:eastAsia="宋体" w:hint="default"/>
          <w:sz w:val="18"/>
          <w:szCs w:val="18"/>
        </w:rPr>
      </w:pPr>
      <w:r>
        <w:rPr>
          <w:rFonts w:ascii="宋体" w:hAnsi="宋体" w:cs="宋体" w:eastAsia="宋体" w:hint="default"/>
          <w:sz w:val="18"/>
          <w:szCs w:val="18"/>
        </w:rPr>
        <w:t>日</w:t>
      </w:r>
    </w:p>
    <w:p>
      <w:pPr>
        <w:spacing w:line="220" w:lineRule="exact" w:before="0"/>
        <w:ind w:left="185" w:right="28" w:firstLine="0"/>
        <w:jc w:val="left"/>
        <w:rPr>
          <w:rFonts w:ascii="宋体" w:hAnsi="宋体" w:cs="宋体" w:eastAsia="宋体" w:hint="default"/>
          <w:sz w:val="18"/>
          <w:szCs w:val="18"/>
        </w:rPr>
      </w:pPr>
      <w:r>
        <w:rPr>
          <w:rFonts w:ascii="宋体" w:hAnsi="宋体" w:cs="宋体" w:eastAsia="宋体" w:hint="default"/>
          <w:sz w:val="18"/>
          <w:szCs w:val="18"/>
        </w:rPr>
        <w:t>时间不足</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pacing w:val="-4"/>
          <w:sz w:val="18"/>
          <w:szCs w:val="18"/>
        </w:rPr>
        <w:t>个月，则本人须按照适用法律的规定，从本次</w:t>
      </w:r>
    </w:p>
    <w:p>
      <w:pPr>
        <w:spacing w:line="309" w:lineRule="auto" w:before="63"/>
        <w:ind w:left="185" w:right="598" w:firstLine="0"/>
        <w:jc w:val="left"/>
        <w:rPr>
          <w:rFonts w:ascii="宋体" w:hAnsi="宋体" w:cs="宋体" w:eastAsia="宋体" w:hint="default"/>
          <w:sz w:val="18"/>
          <w:szCs w:val="18"/>
        </w:rPr>
      </w:pPr>
      <w:r>
        <w:rPr>
          <w:rFonts w:ascii="宋体" w:hAnsi="宋体" w:cs="宋体" w:eastAsia="宋体" w:hint="default"/>
          <w:sz w:val="18"/>
          <w:szCs w:val="18"/>
        </w:rPr>
        <w:t>发行完成日起</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5"/>
          <w:sz w:val="18"/>
          <w:szCs w:val="18"/>
        </w:rPr>
        <w:t> </w:t>
      </w:r>
      <w:r>
        <w:rPr>
          <w:rFonts w:ascii="宋体" w:hAnsi="宋体" w:cs="宋体" w:eastAsia="宋体" w:hint="default"/>
          <w:spacing w:val="-5"/>
          <w:sz w:val="18"/>
          <w:szCs w:val="18"/>
        </w:rPr>
        <w:t>个月内不得转让对价股份。二、新德汇交</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易对方</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、本人通过本次交易获得的美亚柏科增发股份自 本次发行完成之日起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pacing w:val="-5"/>
          <w:sz w:val="18"/>
          <w:szCs w:val="18"/>
        </w:rPr>
        <w:t>个月内，本人将不通过任何方式转</w:t>
      </w:r>
      <w:r>
        <w:rPr>
          <w:rFonts w:ascii="宋体" w:hAnsi="宋体" w:cs="宋体" w:eastAsia="宋体" w:hint="default"/>
          <w:sz w:val="18"/>
          <w:szCs w:val="18"/>
        </w:rPr>
        <w:t> 让。此后分步解锁，具体为：</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个月后至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个月内，累 计转让股票数量不超过本人在本次发行中所认购股票总数 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个月后至</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36 </w:t>
      </w:r>
      <w:r>
        <w:rPr>
          <w:rFonts w:ascii="宋体" w:hAnsi="宋体" w:cs="宋体" w:eastAsia="宋体" w:hint="default"/>
          <w:sz w:val="18"/>
          <w:szCs w:val="18"/>
        </w:rPr>
        <w:t>个月内，累计转让股票数量不超 过本人在本次发行中所认购股票总数的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60%</w:t>
      </w:r>
      <w:r>
        <w:rPr>
          <w:rFonts w:ascii="宋体" w:hAnsi="宋体" w:cs="宋体" w:eastAsia="宋体" w:hint="default"/>
          <w:sz w:val="18"/>
          <w:szCs w:val="18"/>
        </w:rPr>
        <w:t>，</w:t>
      </w:r>
      <w:r>
        <w:rPr>
          <w:rFonts w:ascii="Times New Roman" w:hAnsi="Times New Roman" w:cs="Times New Roman" w:eastAsia="Times New Roman" w:hint="default"/>
          <w:sz w:val="18"/>
          <w:szCs w:val="18"/>
        </w:rPr>
        <w:t>36 </w:t>
      </w:r>
      <w:r>
        <w:rPr>
          <w:rFonts w:ascii="宋体" w:hAnsi="宋体" w:cs="宋体" w:eastAsia="宋体" w:hint="default"/>
          <w:sz w:val="18"/>
          <w:szCs w:val="18"/>
        </w:rPr>
        <w:t>个月后， 可自由转让其在本次发行中所认购的全部股份数量。本人 实际解锁股份数须扣除因盈利预测补偿而需由美亚柏科回 </w:t>
      </w:r>
      <w:r>
        <w:rPr>
          <w:rFonts w:ascii="宋体" w:hAnsi="宋体" w:cs="宋体" w:eastAsia="宋体" w:hint="default"/>
          <w:spacing w:val="-7"/>
          <w:sz w:val="18"/>
          <w:szCs w:val="18"/>
        </w:rPr>
        <w:t>购的股份数（若有）。本次重组实施完成后，本人由于美亚</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柏科配股、转增股本等原因增持的美亚柏科股份，亦应遵 守上述承诺。本人如担任美亚柏科董监高，则会同时遵守 </w:t>
      </w:r>
      <w:r>
        <w:rPr>
          <w:rFonts w:ascii="宋体" w:hAnsi="宋体" w:cs="宋体" w:eastAsia="宋体" w:hint="default"/>
          <w:spacing w:val="-13"/>
          <w:sz w:val="18"/>
          <w:szCs w:val="18"/>
        </w:rPr>
        <w:t>美亚柏科章程以及公司法、《中华人民共和国证券法》、《深</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圳证券交易所股票上市规则》等法律、法规、规章、规范 性文件有关股份有限公司及上市公司董事、监事、高级管 理人员买卖公司股票的限制性规定。</w:t>
      </w:r>
      <w:r>
        <w:rPr>
          <w:rFonts w:ascii="Times New Roman" w:hAnsi="Times New Roman" w:cs="Times New Roman" w:eastAsia="Times New Roman" w:hint="default"/>
          <w:sz w:val="18"/>
          <w:szCs w:val="18"/>
        </w:rPr>
        <w:t>2</w:t>
      </w:r>
      <w:r>
        <w:rPr>
          <w:rFonts w:ascii="宋体" w:hAnsi="宋体" w:cs="宋体" w:eastAsia="宋体" w:hint="default"/>
          <w:sz w:val="18"/>
          <w:szCs w:val="18"/>
        </w:rPr>
        <w:t>、本次发行结束后， 就本次重组本人获得的美亚柏科增发股份因美亚柏科发生 除权除息事项而增加的股份，亦遵守上述锁定期承诺。</w:t>
      </w:r>
      <w:r>
        <w:rPr>
          <w:rFonts w:ascii="Times New Roman" w:hAnsi="Times New Roman" w:cs="Times New Roman" w:eastAsia="Times New Roman" w:hint="default"/>
          <w:sz w:val="18"/>
          <w:szCs w:val="18"/>
        </w:rPr>
        <w:t>3</w:t>
      </w:r>
      <w:r>
        <w:rPr>
          <w:rFonts w:ascii="宋体" w:hAnsi="宋体" w:cs="宋体" w:eastAsia="宋体" w:hint="default"/>
          <w:sz w:val="18"/>
          <w:szCs w:val="18"/>
        </w:rPr>
        <w:t>、 除上述锁定期之外，如本人未来在美亚柏科担任董事</w:t>
      </w:r>
      <w:r>
        <w:rPr>
          <w:rFonts w:ascii="Times New Roman" w:hAnsi="Times New Roman" w:cs="Times New Roman" w:eastAsia="Times New Roman" w:hint="default"/>
          <w:sz w:val="18"/>
          <w:szCs w:val="18"/>
        </w:rPr>
        <w:t>/</w:t>
      </w:r>
      <w:r>
        <w:rPr>
          <w:rFonts w:ascii="宋体" w:hAnsi="宋体" w:cs="宋体" w:eastAsia="宋体" w:hint="default"/>
          <w:sz w:val="18"/>
          <w:szCs w:val="18"/>
        </w:rPr>
        <w:t>监事</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1"/>
          <w:szCs w:val="21"/>
        </w:rPr>
      </w:pPr>
    </w:p>
    <w:p>
      <w:pPr>
        <w:spacing w:before="0"/>
        <w:ind w:left="67" w:right="-1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before="60"/>
        <w:ind w:left="67" w:right="-1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spacing w:before="63"/>
        <w:ind w:left="67" w:right="-18" w:firstLine="0"/>
        <w:jc w:val="left"/>
        <w:rPr>
          <w:rFonts w:ascii="宋体" w:hAnsi="宋体" w:cs="宋体" w:eastAsia="宋体" w:hint="default"/>
          <w:sz w:val="18"/>
          <w:szCs w:val="18"/>
        </w:rPr>
      </w:pPr>
      <w:r>
        <w:rPr>
          <w:rFonts w:ascii="宋体" w:hAnsi="宋体" w:cs="宋体" w:eastAsia="宋体" w:hint="default"/>
          <w:sz w:val="18"/>
          <w:szCs w:val="18"/>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5"/>
          <w:szCs w:val="15"/>
        </w:rPr>
      </w:pPr>
    </w:p>
    <w:p>
      <w:pPr>
        <w:spacing w:line="314" w:lineRule="auto" w:before="0"/>
        <w:ind w:left="84" w:right="1346" w:firstLine="0"/>
        <w:jc w:val="left"/>
        <w:rPr>
          <w:rFonts w:ascii="宋体" w:hAnsi="宋体" w:cs="宋体" w:eastAsia="宋体" w:hint="default"/>
          <w:sz w:val="18"/>
          <w:szCs w:val="18"/>
        </w:rPr>
      </w:pPr>
      <w:r>
        <w:rPr>
          <w:rFonts w:ascii="宋体" w:hAnsi="宋体" w:cs="宋体" w:eastAsia="宋体" w:hint="default"/>
          <w:sz w:val="18"/>
          <w:szCs w:val="18"/>
        </w:rPr>
        <w:t>已履行 完毕</w:t>
      </w:r>
    </w:p>
    <w:p>
      <w:pPr>
        <w:spacing w:after="0" w:line="314" w:lineRule="auto"/>
        <w:jc w:val="left"/>
        <w:rPr>
          <w:rFonts w:ascii="宋体" w:hAnsi="宋体" w:cs="宋体" w:eastAsia="宋体" w:hint="default"/>
          <w:sz w:val="18"/>
          <w:szCs w:val="18"/>
        </w:rPr>
        <w:sectPr>
          <w:type w:val="continuous"/>
          <w:pgSz w:w="11910" w:h="16840"/>
          <w:pgMar w:top="1060" w:bottom="1180" w:left="980" w:right="0"/>
          <w:cols w:num="4" w:equalWidth="0">
            <w:col w:w="2721" w:space="40"/>
            <w:col w:w="5394" w:space="40"/>
            <w:col w:w="702" w:space="40"/>
            <w:col w:w="1993"/>
          </w:cols>
        </w:sectPr>
      </w:pPr>
    </w:p>
    <w:p>
      <w:pPr>
        <w:spacing w:line="240" w:lineRule="auto" w:before="6"/>
        <w:rPr>
          <w:rFonts w:ascii="宋体" w:hAnsi="宋体" w:cs="宋体" w:eastAsia="宋体" w:hint="default"/>
          <w:sz w:val="26"/>
          <w:szCs w:val="26"/>
        </w:rPr>
      </w:pPr>
    </w:p>
    <w:p>
      <w:pPr>
        <w:spacing w:line="300" w:lineRule="auto" w:before="44"/>
        <w:ind w:left="2946" w:right="3458"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高级管理人员，则本人在任期内每年转让的股份不超过本</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人所持有的美亚柏科股份总数的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；离职后半年内，不 转让本人所持有的美亚柏科股份。</w:t>
      </w:r>
      <w:r>
        <w:rPr>
          <w:rFonts w:ascii="Times New Roman" w:hAnsi="Times New Roman" w:cs="Times New Roman" w:eastAsia="Times New Roman" w:hint="default"/>
          <w:sz w:val="18"/>
          <w:szCs w:val="18"/>
        </w:rPr>
        <w:t>"</w:t>
      </w:r>
    </w:p>
    <w:p>
      <w:pPr>
        <w:spacing w:after="0" w:line="300" w:lineRule="auto"/>
        <w:jc w:val="both"/>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10"/>
        <w:rPr>
          <w:rFonts w:ascii="Times New Roman" w:hAnsi="Times New Roman" w:cs="Times New Roman" w:eastAsia="Times New Roman" w:hint="default"/>
          <w:sz w:val="22"/>
          <w:szCs w:val="22"/>
        </w:rPr>
      </w:pPr>
    </w:p>
    <w:p>
      <w:pPr>
        <w:spacing w:line="316" w:lineRule="auto" w:before="0"/>
        <w:ind w:left="2360" w:right="-20" w:firstLine="0"/>
        <w:jc w:val="left"/>
        <w:rPr>
          <w:rFonts w:ascii="宋体" w:hAnsi="宋体" w:cs="宋体" w:eastAsia="宋体" w:hint="default"/>
          <w:sz w:val="18"/>
          <w:szCs w:val="18"/>
        </w:rPr>
      </w:pPr>
      <w:r>
        <w:rPr>
          <w:rFonts w:ascii="宋体" w:hAnsi="宋体" w:cs="宋体" w:eastAsia="宋体" w:hint="default"/>
          <w:sz w:val="18"/>
          <w:szCs w:val="18"/>
        </w:rPr>
        <w:t>关于 同业 竞争、 关联</w:t>
      </w:r>
    </w:p>
    <w:p>
      <w:pPr>
        <w:spacing w:before="19"/>
        <w:ind w:left="1477" w:right="-20" w:firstLine="0"/>
        <w:jc w:val="left"/>
        <w:rPr>
          <w:rFonts w:ascii="宋体" w:hAnsi="宋体" w:cs="宋体" w:eastAsia="宋体" w:hint="default"/>
          <w:sz w:val="18"/>
          <w:szCs w:val="18"/>
        </w:rPr>
      </w:pPr>
      <w:r>
        <w:rPr>
          <w:rFonts w:ascii="宋体" w:hAnsi="宋体" w:cs="宋体" w:eastAsia="宋体" w:hint="default"/>
          <w:spacing w:val="-15"/>
          <w:sz w:val="18"/>
          <w:szCs w:val="18"/>
        </w:rPr>
        <w:t>郭永芳；滕</w:t>
      </w:r>
      <w:r>
        <w:rPr>
          <w:rFonts w:ascii="宋体" w:hAnsi="宋体" w:cs="宋体" w:eastAsia="宋体" w:hint="default"/>
          <w:spacing w:val="-32"/>
          <w:sz w:val="18"/>
          <w:szCs w:val="18"/>
        </w:rPr>
        <w:t> </w:t>
      </w:r>
      <w:r>
        <w:rPr>
          <w:rFonts w:ascii="宋体" w:hAnsi="宋体" w:cs="宋体" w:eastAsia="宋体" w:hint="default"/>
          <w:sz w:val="18"/>
          <w:szCs w:val="18"/>
        </w:rPr>
        <w:t>交易、</w:t>
      </w:r>
    </w:p>
    <w:p>
      <w:pPr>
        <w:spacing w:line="312" w:lineRule="auto" w:before="104"/>
        <w:ind w:left="5" w:right="28"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"1</w:t>
      </w:r>
      <w:r>
        <w:rPr>
          <w:rFonts w:ascii="宋体" w:hAnsi="宋体" w:cs="宋体" w:eastAsia="宋体" w:hint="default"/>
          <w:sz w:val="18"/>
          <w:szCs w:val="18"/>
        </w:rPr>
        <w:t>、本人未直接或间接从事与美亚柏科及其下属子公司相 </w:t>
      </w:r>
      <w:r>
        <w:rPr>
          <w:rFonts w:ascii="宋体" w:hAnsi="宋体" w:cs="宋体" w:eastAsia="宋体" w:hint="default"/>
          <w:spacing w:val="-3"/>
          <w:sz w:val="18"/>
          <w:szCs w:val="18"/>
        </w:rPr>
        <w:t>同或相似业务的情形。</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、本人及本人直接或间接控制的其</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他企业不会直接或间接经营任何与美亚柏科及其下属子公 司经营业务构成竞争或可能构成竞争的业务，亦不会投资 任何与美亚柏科及其下属子公司经营的业务构成竞争或可 能构成竞争的其他企业；如本人及本人控制的企业与美亚 柏科及其下属子公司经营的业务产生竞争，则本人及本人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p>
    <w:p>
      <w:pPr>
        <w:spacing w:line="212" w:lineRule="exact" w:before="3"/>
        <w:ind w:left="5" w:right="-18"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控制的企业将采取停止经营产生竞争的业务的方式，或者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07</w:t>
      </w:r>
    </w:p>
    <w:p>
      <w:pPr>
        <w:spacing w:line="240" w:lineRule="auto" w:before="0"/>
        <w:rPr>
          <w:rFonts w:ascii="Times New Roman" w:hAnsi="Times New Roman" w:cs="Times New Roman" w:eastAsia="Times New Roman" w:hint="default"/>
          <w:sz w:val="18"/>
          <w:szCs w:val="18"/>
        </w:rPr>
      </w:pPr>
      <w:r>
        <w:rPr/>
        <w:br w:type="column"/>
      </w:r>
      <w:r>
        <w:rPr>
          <w:rFonts w:ascii="Times New Roman"/>
          <w:sz w:val="18"/>
        </w:rPr>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before="113"/>
        <w:ind w:left="67" w:right="-1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9999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line="212" w:lineRule="exact" w:before="63"/>
        <w:ind w:left="67" w:right="-1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p>
    <w:p>
      <w:pPr>
        <w:spacing w:line="240" w:lineRule="auto" w:before="0"/>
        <w:rPr>
          <w:rFonts w:ascii="Times New Roman" w:hAnsi="Times New Roman" w:cs="Times New Roman" w:eastAsia="Times New Roman" w:hint="default"/>
          <w:sz w:val="18"/>
          <w:szCs w:val="18"/>
        </w:rPr>
      </w:pPr>
      <w:r>
        <w:rPr/>
        <w:br w:type="column"/>
      </w:r>
      <w:r>
        <w:rPr>
          <w:rFonts w:ascii="Times New Roman"/>
          <w:sz w:val="18"/>
        </w:rPr>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5"/>
        <w:rPr>
          <w:rFonts w:ascii="Times New Roman" w:hAnsi="Times New Roman" w:cs="Times New Roman" w:eastAsia="Times New Roman" w:hint="default"/>
          <w:sz w:val="23"/>
          <w:szCs w:val="23"/>
        </w:rPr>
      </w:pPr>
    </w:p>
    <w:p>
      <w:pPr>
        <w:spacing w:before="0"/>
        <w:ind w:left="84" w:right="0" w:firstLine="0"/>
        <w:jc w:val="left"/>
        <w:rPr>
          <w:rFonts w:ascii="宋体" w:hAnsi="宋体" w:cs="宋体" w:eastAsia="宋体" w:hint="default"/>
          <w:sz w:val="18"/>
          <w:szCs w:val="18"/>
        </w:rPr>
      </w:pPr>
      <w:r>
        <w:rPr>
          <w:rFonts w:ascii="宋体" w:hAnsi="宋体" w:cs="宋体" w:eastAsia="宋体" w:hint="default"/>
          <w:sz w:val="18"/>
          <w:szCs w:val="18"/>
        </w:rPr>
        <w:t>正常履</w:t>
      </w:r>
    </w:p>
    <w:p>
      <w:pPr>
        <w:spacing w:after="0"/>
        <w:jc w:val="left"/>
        <w:rPr>
          <w:rFonts w:ascii="宋体" w:hAnsi="宋体" w:cs="宋体" w:eastAsia="宋体" w:hint="default"/>
          <w:sz w:val="18"/>
          <w:szCs w:val="18"/>
        </w:rPr>
        <w:sectPr>
          <w:type w:val="continuous"/>
          <w:pgSz w:w="11910" w:h="16840"/>
          <w:pgMar w:top="1060" w:bottom="1180" w:left="980" w:right="0"/>
          <w:cols w:num="4" w:equalWidth="0">
            <w:col w:w="2901" w:space="40"/>
            <w:col w:w="5214" w:space="40"/>
            <w:col w:w="702" w:space="40"/>
            <w:col w:w="1993"/>
          </w:cols>
        </w:sectPr>
      </w:pPr>
    </w:p>
    <w:p>
      <w:pPr>
        <w:tabs>
          <w:tab w:pos="2360" w:val="left" w:leader="none"/>
        </w:tabs>
        <w:spacing w:line="180" w:lineRule="exact" w:before="0"/>
        <w:ind w:left="1477" w:right="-20" w:firstLine="0"/>
        <w:jc w:val="left"/>
        <w:rPr>
          <w:rFonts w:ascii="宋体" w:hAnsi="宋体" w:cs="宋体" w:eastAsia="宋体" w:hint="default"/>
          <w:sz w:val="18"/>
          <w:szCs w:val="18"/>
        </w:rPr>
      </w:pPr>
      <w:r>
        <w:rPr>
          <w:rFonts w:ascii="宋体" w:hAnsi="宋体" w:cs="宋体" w:eastAsia="宋体" w:hint="default"/>
          <w:sz w:val="18"/>
          <w:szCs w:val="18"/>
        </w:rPr>
        <w:t>达</w:t>
        <w:tab/>
        <w:t>资金</w:t>
      </w:r>
    </w:p>
    <w:p>
      <w:pPr>
        <w:spacing w:line="316" w:lineRule="auto" w:before="76"/>
        <w:ind w:left="2360" w:right="0" w:firstLine="0"/>
        <w:jc w:val="both"/>
        <w:rPr>
          <w:rFonts w:ascii="宋体" w:hAnsi="宋体" w:cs="宋体" w:eastAsia="宋体" w:hint="default"/>
          <w:sz w:val="18"/>
          <w:szCs w:val="18"/>
        </w:rPr>
      </w:pPr>
      <w:r>
        <w:rPr>
          <w:rFonts w:ascii="宋体" w:hAnsi="宋体" w:cs="宋体" w:eastAsia="宋体" w:hint="default"/>
          <w:sz w:val="18"/>
          <w:szCs w:val="18"/>
        </w:rPr>
        <w:t>占用 方面 的承 诺</w:t>
      </w:r>
    </w:p>
    <w:p>
      <w:pPr>
        <w:spacing w:line="140" w:lineRule="exact" w:before="0"/>
        <w:ind w:left="0" w:right="1543" w:firstLine="0"/>
        <w:jc w:val="right"/>
        <w:rPr>
          <w:rFonts w:ascii="宋体" w:hAnsi="宋体" w:cs="宋体" w:eastAsia="宋体" w:hint="default"/>
          <w:sz w:val="18"/>
          <w:szCs w:val="18"/>
        </w:rPr>
      </w:pPr>
      <w:r>
        <w:rPr/>
        <w:br w:type="column"/>
      </w:r>
      <w:r>
        <w:rPr>
          <w:rFonts w:ascii="宋体" w:hAnsi="宋体" w:cs="宋体" w:eastAsia="宋体" w:hint="default"/>
          <w:sz w:val="18"/>
          <w:szCs w:val="18"/>
        </w:rPr>
        <w:t>行中</w:t>
      </w:r>
    </w:p>
    <w:p>
      <w:pPr>
        <w:tabs>
          <w:tab w:pos="5501" w:val="left" w:leader="none"/>
        </w:tabs>
        <w:spacing w:line="196" w:lineRule="exact" w:before="0"/>
        <w:ind w:left="185" w:right="1543" w:firstLine="0"/>
        <w:jc w:val="left"/>
        <w:rPr>
          <w:rFonts w:ascii="宋体" w:hAnsi="宋体" w:cs="宋体" w:eastAsia="宋体" w:hint="default"/>
          <w:sz w:val="18"/>
          <w:szCs w:val="18"/>
        </w:rPr>
      </w:pPr>
      <w:r>
        <w:rPr>
          <w:rFonts w:ascii="宋体" w:hAnsi="宋体" w:cs="宋体" w:eastAsia="宋体" w:hint="default"/>
          <w:sz w:val="18"/>
          <w:szCs w:val="18"/>
        </w:rPr>
        <w:t>采取将竞争的业务纳入美亚柏科的方式，或者采取将产生</w:t>
      </w:r>
      <w:r>
        <w:rPr>
          <w:rFonts w:ascii="宋体" w:hAnsi="宋体" w:cs="宋体" w:eastAsia="宋体" w:hint="default"/>
          <w:spacing w:val="-16"/>
          <w:sz w:val="18"/>
          <w:szCs w:val="18"/>
        </w:rPr>
        <w:t> </w:t>
      </w:r>
      <w:r>
        <w:rPr>
          <w:rFonts w:ascii="宋体" w:hAnsi="宋体" w:cs="宋体" w:eastAsia="宋体" w:hint="default"/>
          <w:sz w:val="18"/>
          <w:szCs w:val="18"/>
        </w:rPr>
        <w:t>日</w:t>
        <w:tab/>
        <w:t>日</w:t>
      </w:r>
    </w:p>
    <w:p>
      <w:pPr>
        <w:spacing w:line="312" w:lineRule="auto" w:before="76"/>
        <w:ind w:left="185" w:right="3448"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竞争的业务转让给无关联第三方等合法方式，使本人及本 人控制的企业不再从事与美亚柏科及其下属子公司主营业 </w:t>
      </w:r>
      <w:r>
        <w:rPr>
          <w:rFonts w:ascii="宋体" w:hAnsi="宋体" w:cs="宋体" w:eastAsia="宋体" w:hint="default"/>
          <w:spacing w:val="-3"/>
          <w:sz w:val="18"/>
          <w:szCs w:val="18"/>
        </w:rPr>
        <w:t>务相同或类似的业务，以避免同业竞争。</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、如违反上述承</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3"/>
          <w:sz w:val="18"/>
          <w:szCs w:val="18"/>
        </w:rPr>
        <w:t>诺给美亚柏科造成损失的，本人将依法作出赔偿。</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、上述</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承诺至本人不再作为本公司的实际控制人满两年之日终 止。</w:t>
      </w:r>
      <w:r>
        <w:rPr>
          <w:rFonts w:ascii="Times New Roman" w:hAnsi="Times New Roman" w:cs="Times New Roman" w:eastAsia="Times New Roman" w:hint="default"/>
          <w:sz w:val="18"/>
          <w:szCs w:val="18"/>
        </w:rPr>
        <w:t>"</w:t>
      </w:r>
    </w:p>
    <w:p>
      <w:pPr>
        <w:spacing w:after="0" w:line="312" w:lineRule="auto"/>
        <w:jc w:val="left"/>
        <w:rPr>
          <w:rFonts w:ascii="Times New Roman" w:hAnsi="Times New Roman" w:cs="Times New Roman" w:eastAsia="Times New Roman" w:hint="default"/>
          <w:sz w:val="18"/>
          <w:szCs w:val="18"/>
        </w:rPr>
        <w:sectPr>
          <w:type w:val="continuous"/>
          <w:pgSz w:w="11910" w:h="16840"/>
          <w:pgMar w:top="1060" w:bottom="1180" w:left="980" w:right="0"/>
          <w:cols w:num="2" w:equalWidth="0">
            <w:col w:w="2721" w:space="40"/>
            <w:col w:w="8169"/>
          </w:cols>
        </w:sect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2"/>
        <w:rPr>
          <w:rFonts w:ascii="Times New Roman" w:hAnsi="Times New Roman" w:cs="Times New Roman" w:eastAsia="Times New Roman" w:hint="default"/>
          <w:sz w:val="14"/>
          <w:szCs w:val="14"/>
        </w:rPr>
      </w:pPr>
    </w:p>
    <w:p>
      <w:pPr>
        <w:spacing w:line="310" w:lineRule="atLeast" w:before="0"/>
        <w:ind w:left="1477" w:right="398" w:firstLine="0"/>
        <w:jc w:val="left"/>
        <w:rPr>
          <w:rFonts w:ascii="宋体" w:hAnsi="宋体" w:cs="宋体" w:eastAsia="宋体" w:hint="default"/>
          <w:sz w:val="18"/>
          <w:szCs w:val="18"/>
        </w:rPr>
      </w:pPr>
      <w:r>
        <w:rPr>
          <w:rFonts w:ascii="宋体" w:hAnsi="宋体" w:cs="宋体" w:eastAsia="宋体" w:hint="default"/>
          <w:spacing w:val="-15"/>
          <w:sz w:val="18"/>
          <w:szCs w:val="18"/>
        </w:rPr>
        <w:t>安林冲；包</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志翔；陈</w:t>
      </w:r>
    </w:p>
    <w:p>
      <w:pPr>
        <w:spacing w:line="116"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关于</w:t>
      </w:r>
    </w:p>
    <w:p>
      <w:pPr>
        <w:spacing w:line="156" w:lineRule="exact" w:before="0"/>
        <w:ind w:left="1477" w:right="-20" w:firstLine="0"/>
        <w:jc w:val="left"/>
        <w:rPr>
          <w:rFonts w:ascii="宋体" w:hAnsi="宋体" w:cs="宋体" w:eastAsia="宋体" w:hint="default"/>
          <w:sz w:val="18"/>
          <w:szCs w:val="18"/>
        </w:rPr>
      </w:pPr>
      <w:r>
        <w:rPr>
          <w:rFonts w:ascii="宋体" w:hAnsi="宋体" w:cs="宋体" w:eastAsia="宋体" w:hint="default"/>
          <w:sz w:val="18"/>
          <w:szCs w:val="18"/>
        </w:rPr>
        <w:t>燕；仇宏</w:t>
      </w:r>
    </w:p>
    <w:p>
      <w:pPr>
        <w:spacing w:line="156"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同业</w:t>
      </w:r>
    </w:p>
    <w:p>
      <w:pPr>
        <w:spacing w:line="172" w:lineRule="exact" w:before="0"/>
        <w:ind w:left="1477" w:right="-20" w:firstLine="0"/>
        <w:jc w:val="left"/>
        <w:rPr>
          <w:rFonts w:ascii="宋体" w:hAnsi="宋体" w:cs="宋体" w:eastAsia="宋体" w:hint="default"/>
          <w:sz w:val="18"/>
          <w:szCs w:val="18"/>
        </w:rPr>
      </w:pPr>
      <w:r>
        <w:rPr>
          <w:rFonts w:ascii="宋体" w:hAnsi="宋体" w:cs="宋体" w:eastAsia="宋体" w:hint="default"/>
          <w:sz w:val="18"/>
          <w:szCs w:val="18"/>
        </w:rPr>
        <w:t>远；郭玉</w:t>
      </w:r>
    </w:p>
    <w:p>
      <w:pPr>
        <w:spacing w:line="314" w:lineRule="auto" w:before="92"/>
        <w:ind w:left="185" w:right="3458" w:firstLine="0"/>
        <w:jc w:val="both"/>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w:t>
      </w:r>
      <w:r>
        <w:rPr>
          <w:rFonts w:ascii="宋体" w:hAnsi="宋体" w:cs="宋体" w:eastAsia="宋体" w:hint="default"/>
          <w:sz w:val="18"/>
          <w:szCs w:val="18"/>
        </w:rPr>
        <w:t>一、避免同业竞争的承诺</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、本次重组前，本人未直接或 间接从事与美亚柏科及其下属子公司相同或相似业务的情 </w:t>
      </w:r>
      <w:r>
        <w:rPr>
          <w:rFonts w:ascii="宋体" w:hAnsi="宋体" w:cs="宋体" w:eastAsia="宋体" w:hint="default"/>
          <w:spacing w:val="-3"/>
          <w:sz w:val="18"/>
          <w:szCs w:val="18"/>
        </w:rPr>
        <w:t>形。</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、本次重组完成后，本人及本人直接或间接控制的其</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他企业不会直接或间接经营任何与美亚柏科及其下属子公 司经营业务构成竞争或可能构成竞争的业务，亦不会投资 任何与美亚柏科及其下属子公司经营的业务构成竞争或可 能构成竞争的其他企业；如本人及本人控制的企业与美亚 柏科及其下属子公司经营的业务产生竞争，则本人及本人 控制的企业将采取停止经营产生竞争的业务的方式，或者 采取将竞争的业务纳入美亚柏科的方式，或者采取将产生</w:t>
      </w:r>
    </w:p>
    <w:p>
      <w:pPr>
        <w:spacing w:after="0" w:line="314" w:lineRule="auto"/>
        <w:jc w:val="both"/>
        <w:rPr>
          <w:rFonts w:ascii="宋体" w:hAnsi="宋体" w:cs="宋体" w:eastAsia="宋体" w:hint="default"/>
          <w:sz w:val="18"/>
          <w:szCs w:val="18"/>
        </w:rPr>
        <w:sectPr>
          <w:type w:val="continuous"/>
          <w:pgSz w:w="11910" w:h="16840"/>
          <w:pgMar w:top="1060" w:bottom="1180" w:left="980" w:right="0"/>
          <w:cols w:num="2" w:equalWidth="0">
            <w:col w:w="2721" w:space="40"/>
            <w:col w:w="8169"/>
          </w:cols>
        </w:sectPr>
      </w:pPr>
    </w:p>
    <w:p>
      <w:pPr>
        <w:spacing w:line="212" w:lineRule="exact" w:before="100"/>
        <w:ind w:left="0" w:right="0" w:firstLine="0"/>
        <w:jc w:val="right"/>
        <w:rPr>
          <w:rFonts w:ascii="宋体" w:hAnsi="宋体" w:cs="宋体" w:eastAsia="宋体" w:hint="default"/>
          <w:sz w:val="18"/>
          <w:szCs w:val="18"/>
        </w:rPr>
      </w:pPr>
      <w:r>
        <w:rPr>
          <w:rFonts w:ascii="宋体" w:hAnsi="宋体" w:cs="宋体" w:eastAsia="宋体" w:hint="default"/>
          <w:sz w:val="18"/>
          <w:szCs w:val="18"/>
        </w:rPr>
        <w:t>智；韩海</w:t>
      </w:r>
    </w:p>
    <w:p>
      <w:pPr>
        <w:spacing w:line="199" w:lineRule="exact" w:before="0"/>
        <w:ind w:left="123" w:right="0" w:firstLine="0"/>
        <w:jc w:val="left"/>
        <w:rPr>
          <w:rFonts w:ascii="宋体" w:hAnsi="宋体" w:cs="宋体" w:eastAsia="宋体" w:hint="default"/>
          <w:sz w:val="18"/>
          <w:szCs w:val="18"/>
        </w:rPr>
      </w:pPr>
      <w:r>
        <w:rPr/>
        <w:br w:type="column"/>
      </w:r>
      <w:r>
        <w:rPr>
          <w:rFonts w:ascii="宋体" w:hAnsi="宋体" w:cs="宋体" w:eastAsia="宋体" w:hint="default"/>
          <w:position w:val="2"/>
          <w:sz w:val="18"/>
          <w:szCs w:val="18"/>
        </w:rPr>
        <w:t>竞争、</w:t>
      </w:r>
      <w:r>
        <w:rPr>
          <w:rFonts w:ascii="宋体" w:hAnsi="宋体" w:cs="宋体" w:eastAsia="宋体" w:hint="default"/>
          <w:spacing w:val="-45"/>
          <w:position w:val="2"/>
          <w:sz w:val="18"/>
          <w:szCs w:val="18"/>
        </w:rPr>
        <w:t> </w:t>
      </w:r>
      <w:r>
        <w:rPr>
          <w:rFonts w:ascii="宋体" w:hAnsi="宋体" w:cs="宋体" w:eastAsia="宋体" w:hint="default"/>
          <w:sz w:val="18"/>
          <w:szCs w:val="18"/>
        </w:rPr>
        <w:t>竞争的业务转让给无关联关系第三方等合法方式，使本人</w:t>
      </w:r>
    </w:p>
    <w:p>
      <w:pPr>
        <w:spacing w:after="0" w:line="199" w:lineRule="exact"/>
        <w:jc w:val="left"/>
        <w:rPr>
          <w:rFonts w:ascii="宋体" w:hAnsi="宋体" w:cs="宋体" w:eastAsia="宋体" w:hint="default"/>
          <w:sz w:val="18"/>
          <w:szCs w:val="18"/>
        </w:rPr>
        <w:sectPr>
          <w:type w:val="continuous"/>
          <w:pgSz w:w="11910" w:h="16840"/>
          <w:pgMar w:top="1060" w:bottom="1180" w:left="980" w:right="0"/>
          <w:cols w:num="2" w:equalWidth="0">
            <w:col w:w="2198" w:space="40"/>
            <w:col w:w="8692"/>
          </w:cols>
        </w:sectPr>
      </w:pPr>
    </w:p>
    <w:p>
      <w:pPr>
        <w:spacing w:line="158" w:lineRule="auto" w:before="16"/>
        <w:ind w:left="1477" w:right="-20" w:firstLine="883"/>
        <w:jc w:val="left"/>
        <w:rPr>
          <w:rFonts w:ascii="宋体" w:hAnsi="宋体" w:cs="宋体" w:eastAsia="宋体" w:hint="default"/>
          <w:sz w:val="18"/>
          <w:szCs w:val="18"/>
        </w:rPr>
      </w:pPr>
      <w:r>
        <w:rPr>
          <w:rFonts w:ascii="宋体" w:hAnsi="宋体" w:cs="宋体" w:eastAsia="宋体" w:hint="default"/>
          <w:sz w:val="18"/>
          <w:szCs w:val="18"/>
        </w:rPr>
        <w:t>关联 青；黄新；</w:t>
      </w:r>
    </w:p>
    <w:p>
      <w:pPr>
        <w:spacing w:line="199" w:lineRule="exact" w:before="0"/>
        <w:ind w:left="185"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及本人控制的企业不再从事与美亚柏科及其下属子公司主</w:t>
      </w:r>
    </w:p>
    <w:p>
      <w:pPr>
        <w:spacing w:line="212" w:lineRule="exact" w:before="100"/>
        <w:ind w:left="34" w:right="-18"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line="212" w:lineRule="exact" w:before="100"/>
        <w:ind w:left="113" w:right="0"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9999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after="0" w:line="212" w:lineRule="exact"/>
        <w:jc w:val="left"/>
        <w:rPr>
          <w:rFonts w:ascii="宋体" w:hAnsi="宋体" w:cs="宋体" w:eastAsia="宋体" w:hint="default"/>
          <w:sz w:val="18"/>
          <w:szCs w:val="18"/>
        </w:rPr>
        <w:sectPr>
          <w:type w:val="continuous"/>
          <w:pgSz w:w="11910" w:h="16840"/>
          <w:pgMar w:top="1060" w:bottom="1180" w:left="980" w:right="0"/>
          <w:cols w:num="4" w:equalWidth="0">
            <w:col w:w="2721" w:space="40"/>
            <w:col w:w="4686" w:space="40"/>
            <w:col w:w="623" w:space="40"/>
            <w:col w:w="2780"/>
          </w:cols>
        </w:sectPr>
      </w:pPr>
    </w:p>
    <w:p>
      <w:pPr>
        <w:spacing w:line="212" w:lineRule="exact" w:before="85"/>
        <w:ind w:left="0" w:right="0" w:firstLine="0"/>
        <w:jc w:val="right"/>
        <w:rPr>
          <w:rFonts w:ascii="宋体" w:hAnsi="宋体" w:cs="宋体" w:eastAsia="宋体" w:hint="default"/>
          <w:sz w:val="18"/>
          <w:szCs w:val="18"/>
        </w:rPr>
      </w:pPr>
      <w:r>
        <w:rPr>
          <w:rFonts w:ascii="宋体" w:hAnsi="宋体" w:cs="宋体" w:eastAsia="宋体" w:hint="default"/>
          <w:sz w:val="18"/>
          <w:szCs w:val="18"/>
        </w:rPr>
        <w:t>李佳；李</w:t>
      </w:r>
    </w:p>
    <w:p>
      <w:pPr>
        <w:spacing w:line="197" w:lineRule="exact" w:before="0"/>
        <w:ind w:left="123" w:right="-19" w:firstLine="0"/>
        <w:jc w:val="left"/>
        <w:rPr>
          <w:rFonts w:ascii="宋体" w:hAnsi="宋体" w:cs="宋体" w:eastAsia="宋体" w:hint="default"/>
          <w:sz w:val="18"/>
          <w:szCs w:val="18"/>
        </w:rPr>
      </w:pPr>
      <w:r>
        <w:rPr/>
        <w:br w:type="column"/>
      </w:r>
      <w:r>
        <w:rPr>
          <w:rFonts w:ascii="宋体" w:hAnsi="宋体" w:cs="宋体" w:eastAsia="宋体" w:hint="default"/>
          <w:position w:val="2"/>
          <w:sz w:val="18"/>
          <w:szCs w:val="18"/>
        </w:rPr>
        <w:t>交易、</w:t>
      </w:r>
      <w:r>
        <w:rPr>
          <w:rFonts w:ascii="宋体" w:hAnsi="宋体" w:cs="宋体" w:eastAsia="宋体" w:hint="default"/>
          <w:spacing w:val="-38"/>
          <w:position w:val="2"/>
          <w:sz w:val="18"/>
          <w:szCs w:val="18"/>
        </w:rPr>
        <w:t> </w:t>
      </w:r>
      <w:r>
        <w:rPr>
          <w:rFonts w:ascii="宋体" w:hAnsi="宋体" w:cs="宋体" w:eastAsia="宋体" w:hint="default"/>
          <w:spacing w:val="-3"/>
          <w:sz w:val="18"/>
          <w:szCs w:val="18"/>
        </w:rPr>
        <w:t>营业务相同或类似的业务，以避免同业竞争。</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、如违反上</w:t>
      </w:r>
    </w:p>
    <w:p>
      <w:pPr>
        <w:spacing w:line="212" w:lineRule="exact" w:before="85"/>
        <w:ind w:left="15" w:right="-19" w:firstLine="0"/>
        <w:jc w:val="left"/>
        <w:rPr>
          <w:rFonts w:ascii="Times New Roman" w:hAnsi="Times New Roman" w:cs="Times New Roman" w:eastAsia="Times New Roman" w:hint="default"/>
          <w:sz w:val="18"/>
          <w:szCs w:val="18"/>
        </w:rPr>
      </w:pPr>
      <w:r>
        <w:rPr/>
        <w:br w:type="column"/>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spacing w:line="212" w:lineRule="exact" w:before="85"/>
        <w:ind w:left="67" w:right="-18" w:firstLine="0"/>
        <w:jc w:val="left"/>
        <w:rPr>
          <w:rFonts w:ascii="Times New Roman" w:hAnsi="Times New Roman" w:cs="Times New Roman" w:eastAsia="Times New Roman" w:hint="default"/>
          <w:sz w:val="18"/>
          <w:szCs w:val="18"/>
        </w:rPr>
      </w:pPr>
      <w:r>
        <w:rPr/>
        <w:br w:type="column"/>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p>
    <w:p>
      <w:pPr>
        <w:spacing w:line="165" w:lineRule="exact" w:before="0"/>
        <w:ind w:left="85"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正常履</w:t>
      </w:r>
    </w:p>
    <w:p>
      <w:pPr>
        <w:spacing w:after="0" w:line="165" w:lineRule="exact"/>
        <w:jc w:val="left"/>
        <w:rPr>
          <w:rFonts w:ascii="宋体" w:hAnsi="宋体" w:cs="宋体" w:eastAsia="宋体" w:hint="default"/>
          <w:sz w:val="18"/>
          <w:szCs w:val="18"/>
        </w:rPr>
        <w:sectPr>
          <w:type w:val="continuous"/>
          <w:pgSz w:w="11910" w:h="16840"/>
          <w:pgMar w:top="1060" w:bottom="1180" w:left="980" w:right="0"/>
          <w:cols w:num="5" w:equalWidth="0">
            <w:col w:w="2198" w:space="40"/>
            <w:col w:w="5229" w:space="40"/>
            <w:col w:w="649" w:space="40"/>
            <w:col w:w="701" w:space="40"/>
            <w:col w:w="1993"/>
          </w:cols>
        </w:sectPr>
      </w:pPr>
    </w:p>
    <w:p>
      <w:pPr>
        <w:spacing w:line="140" w:lineRule="exact" w:before="0"/>
        <w:ind w:left="0" w:right="0" w:firstLine="0"/>
        <w:jc w:val="right"/>
        <w:rPr>
          <w:rFonts w:ascii="宋体" w:hAnsi="宋体" w:cs="宋体" w:eastAsia="宋体" w:hint="default"/>
          <w:sz w:val="18"/>
          <w:szCs w:val="18"/>
        </w:rPr>
      </w:pPr>
      <w:r>
        <w:rPr/>
        <w:pict>
          <v:group style="position:absolute;margin-left:56.400002pt;margin-top:71.758484pt;width:478.85pt;height:696.85pt;mso-position-horizontal-relative:page;mso-position-vertical-relative:page;z-index:-1348672" coordorigin="1128,1435" coordsize="9577,13937">
            <v:group style="position:absolute;left:1140;top:1450;width:1284;height:977" coordorigin="1140,1450" coordsize="1284,977">
              <v:shape style="position:absolute;left:1140;top:1450;width:1284;height:977" coordorigin="1140,1450" coordsize="1284,977" path="m1140,2426l2424,2426,2424,1450,1140,1450,1140,2426xe" filled="true" fillcolor="#d4d4d4" stroked="false">
                <v:path arrowok="t"/>
                <v:fill type="solid"/>
              </v:shape>
            </v:group>
            <v:group style="position:absolute;left:1138;top:1445;width:1287;height:2" coordorigin="1138,1445" coordsize="1287,2">
              <v:shape style="position:absolute;left:1138;top:1445;width:1287;height:2" coordorigin="1138,1445" coordsize="1287,0" path="m1138,1445l2424,1445e" filled="false" stroked="true" strokeweight=".481pt" strokecolor="#000000">
                <v:path arrowok="t"/>
              </v:shape>
            </v:group>
            <v:group style="position:absolute;left:2434;top:1445;width:874;height:2" coordorigin="2434,1445" coordsize="874,2">
              <v:shape style="position:absolute;left:2434;top:1445;width:874;height:2" coordorigin="2434,1445" coordsize="874,0" path="m2434,1445l3307,1445e" filled="false" stroked="true" strokeweight=".481pt" strokecolor="#000000">
                <v:path arrowok="t"/>
              </v:shape>
            </v:group>
            <v:group style="position:absolute;left:3317;top:1445;width:576;height:2" coordorigin="3317,1445" coordsize="576,2">
              <v:shape style="position:absolute;left:3317;top:1445;width:576;height:2" coordorigin="3317,1445" coordsize="576,0" path="m3317,1445l3893,1445e" filled="false" stroked="true" strokeweight=".481pt" strokecolor="#000000">
                <v:path arrowok="t"/>
              </v:shape>
            </v:group>
            <v:group style="position:absolute;left:3902;top:1445;width:4565;height:2" coordorigin="3902,1445" coordsize="4565,2">
              <v:shape style="position:absolute;left:3902;top:1445;width:4565;height:2" coordorigin="3902,1445" coordsize="4565,0" path="m3902,1445l8467,1445e" filled="false" stroked="true" strokeweight=".481pt" strokecolor="#000000">
                <v:path arrowok="t"/>
              </v:shape>
            </v:group>
            <v:group style="position:absolute;left:8477;top:1445;width:732;height:2" coordorigin="8477,1445" coordsize="732,2">
              <v:shape style="position:absolute;left:8477;top:1445;width:732;height:2" coordorigin="8477,1445" coordsize="732,0" path="m8477,1445l9209,1445e" filled="false" stroked="true" strokeweight=".481pt" strokecolor="#000000">
                <v:path arrowok="t"/>
              </v:shape>
            </v:group>
            <v:group style="position:absolute;left:9218;top:1445;width:749;height:2" coordorigin="9218,1445" coordsize="749,2">
              <v:shape style="position:absolute;left:9218;top:1445;width:749;height:2" coordorigin="9218,1445" coordsize="749,0" path="m9218,1445l9967,1445e" filled="false" stroked="true" strokeweight=".481pt" strokecolor="#000000">
                <v:path arrowok="t"/>
              </v:shape>
            </v:group>
            <v:group style="position:absolute;left:9977;top:1445;width:718;height:2" coordorigin="9977,1445" coordsize="718,2">
              <v:shape style="position:absolute;left:9977;top:1445;width:718;height:2" coordorigin="9977,1445" coordsize="718,0" path="m9977,1445l10694,1445e" filled="false" stroked="true" strokeweight=".481pt" strokecolor="#000000">
                <v:path arrowok="t"/>
              </v:shape>
            </v:group>
            <v:group style="position:absolute;left:1140;top:2426;width:1284;height:4769" coordorigin="1140,2426" coordsize="1284,4769">
              <v:shape style="position:absolute;left:1140;top:2426;width:1284;height:4769" coordorigin="1140,2426" coordsize="1284,4769" path="m1140,7195l2424,7195,2424,2426,1140,2426,1140,7195xe" filled="true" fillcolor="#d4d4d4" stroked="false">
                <v:path arrowok="t"/>
                <v:fill type="solid"/>
              </v:shape>
            </v:group>
            <v:group style="position:absolute;left:2434;top:2431;width:874;height:2" coordorigin="2434,2431" coordsize="874,2">
              <v:shape style="position:absolute;left:2434;top:2431;width:874;height:2" coordorigin="2434,2431" coordsize="874,0" path="m2434,2431l3307,2431e" filled="false" stroked="true" strokeweight=".481pt" strokecolor="#000000">
                <v:path arrowok="t"/>
              </v:shape>
            </v:group>
            <v:group style="position:absolute;left:3317;top:2431;width:576;height:2" coordorigin="3317,2431" coordsize="576,2">
              <v:shape style="position:absolute;left:3317;top:2431;width:576;height:2" coordorigin="3317,2431" coordsize="576,0" path="m3317,2431l3893,2431e" filled="false" stroked="true" strokeweight=".481pt" strokecolor="#000000">
                <v:path arrowok="t"/>
              </v:shape>
            </v:group>
            <v:group style="position:absolute;left:3902;top:2431;width:4565;height:2" coordorigin="3902,2431" coordsize="4565,2">
              <v:shape style="position:absolute;left:3902;top:2431;width:4565;height:2" coordorigin="3902,2431" coordsize="4565,0" path="m3902,2431l8467,2431e" filled="false" stroked="true" strokeweight=".481pt" strokecolor="#000000">
                <v:path arrowok="t"/>
              </v:shape>
            </v:group>
            <v:group style="position:absolute;left:8477;top:2431;width:732;height:2" coordorigin="8477,2431" coordsize="732,2">
              <v:shape style="position:absolute;left:8477;top:2431;width:732;height:2" coordorigin="8477,2431" coordsize="732,0" path="m8477,2431l9209,2431e" filled="false" stroked="true" strokeweight=".481pt" strokecolor="#000000">
                <v:path arrowok="t"/>
              </v:shape>
            </v:group>
            <v:group style="position:absolute;left:9218;top:2431;width:749;height:2" coordorigin="9218,2431" coordsize="749,2">
              <v:shape style="position:absolute;left:9218;top:2431;width:749;height:2" coordorigin="9218,2431" coordsize="749,0" path="m9218,2431l9967,2431e" filled="false" stroked="true" strokeweight=".481pt" strokecolor="#000000">
                <v:path arrowok="t"/>
              </v:shape>
            </v:group>
            <v:group style="position:absolute;left:9977;top:2431;width:718;height:2" coordorigin="9977,2431" coordsize="718,2">
              <v:shape style="position:absolute;left:9977;top:2431;width:718;height:2" coordorigin="9977,2431" coordsize="718,0" path="m9977,2431l10694,2431e" filled="false" stroked="true" strokeweight=".481pt" strokecolor="#000000">
                <v:path arrowok="t"/>
              </v:shape>
            </v:group>
            <v:group style="position:absolute;left:1140;top:7195;width:1284;height:8163" coordorigin="1140,7195" coordsize="1284,8163">
              <v:shape style="position:absolute;left:1140;top:7195;width:1284;height:8163" coordorigin="1140,7195" coordsize="1284,8163" path="m1140,15358l2424,15358,2424,7195,1140,7195,1140,15358xe" filled="true" fillcolor="#d4d4d4" stroked="false">
                <v:path arrowok="t"/>
                <v:fill type="solid"/>
              </v:shape>
            </v:group>
            <v:group style="position:absolute;left:3330;top:9682;width:2;height:3200" coordorigin="3330,9682" coordsize="2,3200">
              <v:shape style="position:absolute;left:3330;top:9682;width:2;height:3200" coordorigin="3330,9682" coordsize="0,3200" path="m3330,9682l3330,12881e" filled="false" stroked="true" strokeweight="1.08pt" strokecolor="#ffffff">
                <v:path arrowok="t"/>
              </v:shape>
            </v:group>
            <v:group style="position:absolute;left:8490;top:10774;width:2;height:1016" coordorigin="8490,10774" coordsize="2,1016">
              <v:shape style="position:absolute;left:8490;top:10774;width:2;height:1016" coordorigin="8490,10774" coordsize="0,1016" path="m8490,10774l8490,11789e" filled="false" stroked="true" strokeweight="1.08pt" strokecolor="#ffffff">
                <v:path arrowok="t"/>
              </v:shape>
            </v:group>
            <v:group style="position:absolute;left:8479;top:11789;width:730;height:3569" coordorigin="8479,11789" coordsize="730,3569">
              <v:shape style="position:absolute;left:8479;top:11789;width:730;height:3569" coordorigin="8479,11789" coordsize="730,3569" path="m8479,15358l9209,15358,9209,11789,8479,11789,8479,15358xe" filled="true" fillcolor="#ffffff" stroked="false">
                <v:path arrowok="t"/>
                <v:fill type="solid"/>
              </v:shape>
            </v:group>
            <v:group style="position:absolute;left:8501;top:11126;width:684;height:312" coordorigin="8501,11126" coordsize="684,312">
              <v:shape style="position:absolute;left:8501;top:11126;width:684;height:312" coordorigin="8501,11126" coordsize="684,312" path="m8501,11438l9185,11438,9185,11126,8501,11126,8501,11438xe" filled="true" fillcolor="#ffffff" stroked="false">
                <v:path arrowok="t"/>
                <v:fill type="solid"/>
              </v:shape>
            </v:group>
            <v:group style="position:absolute;left:8501;top:11438;width:684;height:351" coordorigin="8501,11438" coordsize="684,351">
              <v:shape style="position:absolute;left:8501;top:11438;width:684;height:351" coordorigin="8501,11438" coordsize="684,351" path="m8501,11789l9185,11789,9185,11438,8501,11438,8501,11789xe" filled="true" fillcolor="#ffffff" stroked="false">
                <v:path arrowok="t"/>
                <v:fill type="solid"/>
              </v:shape>
            </v:group>
            <v:group style="position:absolute;left:2434;top:7200;width:874;height:2" coordorigin="2434,7200" coordsize="874,2">
              <v:shape style="position:absolute;left:2434;top:7200;width:874;height:2" coordorigin="2434,7200" coordsize="874,0" path="m2434,7200l3307,7200e" filled="false" stroked="true" strokeweight=".48pt" strokecolor="#000000">
                <v:path arrowok="t"/>
              </v:shape>
            </v:group>
            <v:group style="position:absolute;left:3317;top:7200;width:576;height:2" coordorigin="3317,7200" coordsize="576,2">
              <v:shape style="position:absolute;left:3317;top:7200;width:576;height:2" coordorigin="3317,7200" coordsize="576,0" path="m3317,7200l3893,7200e" filled="false" stroked="true" strokeweight=".48pt" strokecolor="#000000">
                <v:path arrowok="t"/>
              </v:shape>
            </v:group>
            <v:group style="position:absolute;left:3902;top:7200;width:4565;height:2" coordorigin="3902,7200" coordsize="4565,2">
              <v:shape style="position:absolute;left:3902;top:7200;width:4565;height:2" coordorigin="3902,7200" coordsize="4565,0" path="m3902,7200l8467,7200e" filled="false" stroked="true" strokeweight=".48pt" strokecolor="#000000">
                <v:path arrowok="t"/>
              </v:shape>
            </v:group>
            <v:group style="position:absolute;left:8477;top:7200;width:732;height:2" coordorigin="8477,7200" coordsize="732,2">
              <v:shape style="position:absolute;left:8477;top:7200;width:732;height:2" coordorigin="8477,7200" coordsize="732,0" path="m8477,7200l9209,7200e" filled="false" stroked="true" strokeweight=".48pt" strokecolor="#000000">
                <v:path arrowok="t"/>
              </v:shape>
            </v:group>
            <v:group style="position:absolute;left:9218;top:7200;width:749;height:2" coordorigin="9218,7200" coordsize="749,2">
              <v:shape style="position:absolute;left:9218;top:7200;width:749;height:2" coordorigin="9218,7200" coordsize="749,0" path="m9218,7200l9967,7200e" filled="false" stroked="true" strokeweight=".48pt" strokecolor="#000000">
                <v:path arrowok="t"/>
              </v:shape>
            </v:group>
            <v:group style="position:absolute;left:9977;top:7200;width:718;height:2" coordorigin="9977,7200" coordsize="718,2">
              <v:shape style="position:absolute;left:9977;top:7200;width:718;height:2" coordorigin="9977,7200" coordsize="718,0" path="m9977,7200l10694,7200e" filled="false" stroked="true" strokeweight=".48pt" strokecolor="#000000">
                <v:path arrowok="t"/>
              </v:shape>
            </v:group>
            <v:group style="position:absolute;left:1133;top:1440;width:2;height:13928" coordorigin="1133,1440" coordsize="2,13928">
              <v:shape style="position:absolute;left:1133;top:1440;width:2;height:13928" coordorigin="1133,1440" coordsize="0,13928" path="m1133,1440l1133,15367e" filled="false" stroked="true" strokeweight=".48pt" strokecolor="#000000">
                <v:path arrowok="t"/>
              </v:shape>
            </v:group>
            <v:group style="position:absolute;left:1138;top:15362;width:1287;height:2" coordorigin="1138,15362" coordsize="1287,2">
              <v:shape style="position:absolute;left:1138;top:15362;width:1287;height:2" coordorigin="1138,15362" coordsize="1287,0" path="m1138,15362l2424,15362e" filled="false" stroked="true" strokeweight=".481pt" strokecolor="#000000">
                <v:path arrowok="t"/>
              </v:shape>
            </v:group>
            <v:group style="position:absolute;left:2429;top:1440;width:2;height:13928" coordorigin="2429,1440" coordsize="2,13928">
              <v:shape style="position:absolute;left:2429;top:1440;width:2;height:13928" coordorigin="2429,1440" coordsize="0,13928" path="m2429,1440l2429,15367e" filled="false" stroked="true" strokeweight=".48pt" strokecolor="#000000">
                <v:path arrowok="t"/>
              </v:shape>
            </v:group>
            <v:group style="position:absolute;left:2434;top:15362;width:874;height:2" coordorigin="2434,15362" coordsize="874,2">
              <v:shape style="position:absolute;left:2434;top:15362;width:874;height:2" coordorigin="2434,15362" coordsize="874,0" path="m2434,15362l3307,15362e" filled="false" stroked="true" strokeweight=".481pt" strokecolor="#000000">
                <v:path arrowok="t"/>
              </v:shape>
            </v:group>
            <v:group style="position:absolute;left:3312;top:1440;width:2;height:13928" coordorigin="3312,1440" coordsize="2,13928">
              <v:shape style="position:absolute;left:3312;top:1440;width:2;height:13928" coordorigin="3312,1440" coordsize="0,13928" path="m3312,1440l3312,15367e" filled="false" stroked="true" strokeweight=".481pt" strokecolor="#000000">
                <v:path arrowok="t"/>
              </v:shape>
            </v:group>
            <v:group style="position:absolute;left:3317;top:15362;width:576;height:2" coordorigin="3317,15362" coordsize="576,2">
              <v:shape style="position:absolute;left:3317;top:15362;width:576;height:2" coordorigin="3317,15362" coordsize="576,0" path="m3317,15362l3893,15362e" filled="false" stroked="true" strokeweight=".481pt" strokecolor="#000000">
                <v:path arrowok="t"/>
              </v:shape>
            </v:group>
            <v:group style="position:absolute;left:3898;top:1440;width:2;height:13928" coordorigin="3898,1440" coordsize="2,13928">
              <v:shape style="position:absolute;left:3898;top:1440;width:2;height:13928" coordorigin="3898,1440" coordsize="0,13928" path="m3898,1440l3898,15367e" filled="false" stroked="true" strokeweight=".48pt" strokecolor="#000000">
                <v:path arrowok="t"/>
              </v:shape>
            </v:group>
            <v:group style="position:absolute;left:3902;top:15362;width:4565;height:2" coordorigin="3902,15362" coordsize="4565,2">
              <v:shape style="position:absolute;left:3902;top:15362;width:4565;height:2" coordorigin="3902,15362" coordsize="4565,0" path="m3902,15362l8467,15362e" filled="false" stroked="true" strokeweight=".481pt" strokecolor="#000000">
                <v:path arrowok="t"/>
              </v:shape>
            </v:group>
            <v:group style="position:absolute;left:8472;top:1440;width:2;height:13928" coordorigin="8472,1440" coordsize="2,13928">
              <v:shape style="position:absolute;left:8472;top:1440;width:2;height:13928" coordorigin="8472,1440" coordsize="0,13928" path="m8472,1440l8472,15367e" filled="false" stroked="true" strokeweight=".48pt" strokecolor="#000000">
                <v:path arrowok="t"/>
              </v:shape>
            </v:group>
            <v:group style="position:absolute;left:8477;top:15362;width:732;height:2" coordorigin="8477,15362" coordsize="732,2">
              <v:shape style="position:absolute;left:8477;top:15362;width:732;height:2" coordorigin="8477,15362" coordsize="732,0" path="m8477,15362l9209,15362e" filled="false" stroked="true" strokeweight=".481pt" strokecolor="#000000">
                <v:path arrowok="t"/>
              </v:shape>
            </v:group>
            <v:group style="position:absolute;left:9214;top:1440;width:2;height:13928" coordorigin="9214,1440" coordsize="2,13928">
              <v:shape style="position:absolute;left:9214;top:1440;width:2;height:13928" coordorigin="9214,1440" coordsize="0,13928" path="m9214,1440l9214,15367e" filled="false" stroked="true" strokeweight=".48pt" strokecolor="#000000">
                <v:path arrowok="t"/>
              </v:shape>
            </v:group>
            <v:group style="position:absolute;left:9218;top:15362;width:749;height:2" coordorigin="9218,15362" coordsize="749,2">
              <v:shape style="position:absolute;left:9218;top:15362;width:749;height:2" coordorigin="9218,15362" coordsize="749,0" path="m9218,15362l9967,15362e" filled="false" stroked="true" strokeweight=".481pt" strokecolor="#000000">
                <v:path arrowok="t"/>
              </v:shape>
            </v:group>
            <v:group style="position:absolute;left:9972;top:1440;width:2;height:13928" coordorigin="9972,1440" coordsize="2,13928">
              <v:shape style="position:absolute;left:9972;top:1440;width:2;height:13928" coordorigin="9972,1440" coordsize="0,13928" path="m9972,1440l9972,15367e" filled="false" stroked="true" strokeweight=".481pt" strokecolor="#000000">
                <v:path arrowok="t"/>
              </v:shape>
            </v:group>
            <v:group style="position:absolute;left:9977;top:15362;width:718;height:2" coordorigin="9977,15362" coordsize="718,2">
              <v:shape style="position:absolute;left:9977;top:15362;width:718;height:2" coordorigin="9977,15362" coordsize="718,0" path="m9977,15362l10694,15362e" filled="false" stroked="true" strokeweight=".481pt" strokecolor="#000000">
                <v:path arrowok="t"/>
              </v:shape>
            </v:group>
            <v:group style="position:absolute;left:10699;top:1440;width:2;height:13928" coordorigin="10699,1440" coordsize="2,13928">
              <v:shape style="position:absolute;left:10699;top:1440;width:2;height:13928" coordorigin="10699,1440" coordsize="0,13928" path="m10699,1440l10699,15367e" filled="false" stroked="true" strokeweight=".481pt" strokecolor="#000000">
                <v:path arrowok="t"/>
              </v:shape>
            </v:group>
            <w10:wrap type="none"/>
          </v:group>
        </w:pict>
      </w:r>
      <w:r>
        <w:rPr>
          <w:rFonts w:ascii="宋体" w:hAnsi="宋体" w:cs="宋体" w:eastAsia="宋体" w:hint="default"/>
          <w:sz w:val="18"/>
          <w:szCs w:val="18"/>
        </w:rPr>
        <w:t>资金</w:t>
      </w:r>
    </w:p>
    <w:p>
      <w:pPr>
        <w:spacing w:line="156" w:lineRule="exact" w:before="0"/>
        <w:ind w:left="1477" w:right="-20" w:firstLine="0"/>
        <w:jc w:val="left"/>
        <w:rPr>
          <w:rFonts w:ascii="宋体" w:hAnsi="宋体" w:cs="宋体" w:eastAsia="宋体" w:hint="default"/>
          <w:sz w:val="18"/>
          <w:szCs w:val="18"/>
        </w:rPr>
      </w:pPr>
      <w:r>
        <w:rPr>
          <w:rFonts w:ascii="宋体" w:hAnsi="宋体" w:cs="宋体" w:eastAsia="宋体" w:hint="default"/>
          <w:sz w:val="18"/>
          <w:szCs w:val="18"/>
        </w:rPr>
        <w:t>江；卢晓</w:t>
      </w:r>
    </w:p>
    <w:p>
      <w:pPr>
        <w:spacing w:line="158" w:lineRule="auto" w:before="31"/>
        <w:ind w:left="1477" w:right="-20" w:firstLine="883"/>
        <w:jc w:val="left"/>
        <w:rPr>
          <w:rFonts w:ascii="宋体" w:hAnsi="宋体" w:cs="宋体" w:eastAsia="宋体" w:hint="default"/>
          <w:sz w:val="18"/>
          <w:szCs w:val="18"/>
        </w:rPr>
      </w:pPr>
      <w:r>
        <w:rPr>
          <w:rFonts w:ascii="宋体" w:hAnsi="宋体" w:cs="宋体" w:eastAsia="宋体" w:hint="default"/>
          <w:sz w:val="18"/>
          <w:szCs w:val="18"/>
        </w:rPr>
        <w:t>占用 英；任炜；</w:t>
      </w:r>
    </w:p>
    <w:p>
      <w:pPr>
        <w:spacing w:line="125"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方面</w:t>
      </w:r>
    </w:p>
    <w:p>
      <w:pPr>
        <w:spacing w:line="156" w:lineRule="exact" w:before="0"/>
        <w:ind w:left="1477" w:right="-20" w:firstLine="0"/>
        <w:jc w:val="left"/>
        <w:rPr>
          <w:rFonts w:ascii="宋体" w:hAnsi="宋体" w:cs="宋体" w:eastAsia="宋体" w:hint="default"/>
          <w:sz w:val="18"/>
          <w:szCs w:val="18"/>
        </w:rPr>
      </w:pPr>
      <w:r>
        <w:rPr>
          <w:rFonts w:ascii="宋体" w:hAnsi="宋体" w:cs="宋体" w:eastAsia="宋体" w:hint="default"/>
          <w:spacing w:val="-15"/>
          <w:sz w:val="18"/>
          <w:szCs w:val="18"/>
        </w:rPr>
        <w:t>孙士玉；王</w:t>
      </w:r>
    </w:p>
    <w:p>
      <w:pPr>
        <w:spacing w:line="156"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的承</w:t>
      </w:r>
    </w:p>
    <w:p>
      <w:pPr>
        <w:spacing w:line="156" w:lineRule="exact" w:before="0"/>
        <w:ind w:left="1477" w:right="-20" w:firstLine="0"/>
        <w:jc w:val="left"/>
        <w:rPr>
          <w:rFonts w:ascii="宋体" w:hAnsi="宋体" w:cs="宋体" w:eastAsia="宋体" w:hint="default"/>
          <w:sz w:val="18"/>
          <w:szCs w:val="18"/>
        </w:rPr>
      </w:pPr>
      <w:r>
        <w:rPr>
          <w:rFonts w:ascii="宋体" w:hAnsi="宋体" w:cs="宋体" w:eastAsia="宋体" w:hint="default"/>
          <w:spacing w:val="-15"/>
          <w:sz w:val="18"/>
          <w:szCs w:val="18"/>
        </w:rPr>
        <w:t>亚明；韦玉</w:t>
      </w:r>
    </w:p>
    <w:p>
      <w:pPr>
        <w:spacing w:line="156" w:lineRule="exact" w:before="0"/>
        <w:ind w:left="0" w:right="178" w:firstLine="0"/>
        <w:jc w:val="right"/>
        <w:rPr>
          <w:rFonts w:ascii="宋体" w:hAnsi="宋体" w:cs="宋体" w:eastAsia="宋体" w:hint="default"/>
          <w:sz w:val="18"/>
          <w:szCs w:val="18"/>
        </w:rPr>
      </w:pPr>
      <w:r>
        <w:rPr>
          <w:rFonts w:ascii="宋体" w:hAnsi="宋体" w:cs="宋体" w:eastAsia="宋体" w:hint="default"/>
          <w:sz w:val="18"/>
          <w:szCs w:val="18"/>
        </w:rPr>
        <w:t>诺</w:t>
      </w:r>
    </w:p>
    <w:p>
      <w:pPr>
        <w:spacing w:line="196" w:lineRule="exact" w:before="0"/>
        <w:ind w:left="1477" w:right="-20" w:firstLine="0"/>
        <w:jc w:val="left"/>
        <w:rPr>
          <w:rFonts w:ascii="宋体" w:hAnsi="宋体" w:cs="宋体" w:eastAsia="宋体" w:hint="default"/>
          <w:sz w:val="18"/>
          <w:szCs w:val="18"/>
        </w:rPr>
      </w:pPr>
      <w:r>
        <w:rPr>
          <w:rFonts w:ascii="宋体" w:hAnsi="宋体" w:cs="宋体" w:eastAsia="宋体" w:hint="default"/>
          <w:sz w:val="18"/>
          <w:szCs w:val="18"/>
        </w:rPr>
        <w:t>荣；叶树</w:t>
      </w:r>
    </w:p>
    <w:p>
      <w:pPr>
        <w:spacing w:before="76"/>
        <w:ind w:left="1477" w:right="-20" w:firstLine="0"/>
        <w:jc w:val="left"/>
        <w:rPr>
          <w:rFonts w:ascii="宋体" w:hAnsi="宋体" w:cs="宋体" w:eastAsia="宋体" w:hint="default"/>
          <w:sz w:val="18"/>
          <w:szCs w:val="18"/>
        </w:rPr>
      </w:pPr>
      <w:r>
        <w:rPr>
          <w:rFonts w:ascii="宋体" w:hAnsi="宋体" w:cs="宋体" w:eastAsia="宋体" w:hint="default"/>
          <w:spacing w:val="-15"/>
          <w:sz w:val="18"/>
          <w:szCs w:val="18"/>
        </w:rPr>
        <w:t>军；张红光</w:t>
      </w:r>
    </w:p>
    <w:p>
      <w:pPr>
        <w:tabs>
          <w:tab w:pos="5501" w:val="left" w:leader="none"/>
          <w:tab w:pos="6259" w:val="left" w:leader="none"/>
        </w:tabs>
        <w:spacing w:line="146" w:lineRule="auto" w:before="33"/>
        <w:ind w:left="4759" w:right="1543" w:hanging="4575"/>
        <w:jc w:val="left"/>
        <w:rPr>
          <w:rFonts w:ascii="宋体" w:hAnsi="宋体" w:cs="宋体" w:eastAsia="宋体" w:hint="default"/>
          <w:sz w:val="18"/>
          <w:szCs w:val="18"/>
        </w:rPr>
      </w:pPr>
      <w:r>
        <w:rPr>
          <w:spacing w:val="-3"/>
        </w:rPr>
        <w:br w:type="column"/>
      </w:r>
      <w:r>
        <w:rPr>
          <w:rFonts w:ascii="宋体" w:hAnsi="宋体" w:cs="宋体" w:eastAsia="宋体" w:hint="default"/>
          <w:spacing w:val="-3"/>
          <w:sz w:val="18"/>
          <w:szCs w:val="18"/>
        </w:rPr>
        <w:t>述承诺给美亚柏科造成损失的，本人将依法作出赔偿。二、</w:t>
        <w:tab/>
        <w:tab/>
      </w:r>
      <w:r>
        <w:rPr>
          <w:rFonts w:ascii="宋体" w:hAnsi="宋体" w:cs="宋体" w:eastAsia="宋体" w:hint="default"/>
          <w:position w:val="2"/>
          <w:sz w:val="18"/>
          <w:szCs w:val="18"/>
        </w:rPr>
        <w:t>行中</w:t>
      </w:r>
      <w:r>
        <w:rPr>
          <w:rFonts w:ascii="宋体" w:hAnsi="宋体" w:cs="宋体" w:eastAsia="宋体" w:hint="default"/>
          <w:position w:val="2"/>
          <w:sz w:val="18"/>
          <w:szCs w:val="18"/>
        </w:rPr>
        <w:t> </w:t>
      </w:r>
      <w:r>
        <w:rPr>
          <w:rFonts w:ascii="宋体" w:hAnsi="宋体" w:cs="宋体" w:eastAsia="宋体" w:hint="default"/>
          <w:sz w:val="18"/>
          <w:szCs w:val="18"/>
        </w:rPr>
        <w:t>日</w:t>
        <w:tab/>
        <w:t>日</w:t>
      </w:r>
    </w:p>
    <w:p>
      <w:pPr>
        <w:spacing w:line="199" w:lineRule="exact" w:before="0"/>
        <w:ind w:left="185" w:right="1543" w:firstLine="0"/>
        <w:jc w:val="left"/>
        <w:rPr>
          <w:rFonts w:ascii="宋体" w:hAnsi="宋体" w:cs="宋体" w:eastAsia="宋体" w:hint="default"/>
          <w:sz w:val="18"/>
          <w:szCs w:val="18"/>
        </w:rPr>
      </w:pPr>
      <w:r>
        <w:rPr/>
        <w:pict>
          <v:shape style="position:absolute;margin-left:210.720001pt;margin-top:5.827955pt;width:249.75pt;height:178.45pt;mso-position-horizontal-relative:page;mso-position-vertical-relative:paragraph;z-index:-1348696"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32"/>
                    <w:ind w:left="0" w:right="0" w:firstLine="0"/>
                    <w:jc w:val="left"/>
                    <w:rPr>
                      <w:rFonts w:ascii="宋体" w:hAnsi="宋体" w:cs="宋体" w:eastAsia="宋体" w:hint="default"/>
                      <w:sz w:val="18"/>
                      <w:szCs w:val="18"/>
                    </w:rPr>
                  </w:pPr>
                  <w:r>
                    <w:rPr>
                      <w:rFonts w:ascii="宋体" w:hAnsi="宋体" w:cs="宋体" w:eastAsia="宋体" w:hint="default"/>
                      <w:sz w:val="18"/>
                      <w:szCs w:val="18"/>
                    </w:rPr>
                    <w:t>不会进行任何有损美亚柏科和美亚柏科其他股东利益、</w:t>
                  </w:r>
                </w:p>
              </w:txbxContent>
            </v:textbox>
            <w10:wrap type="none"/>
          </v:shape>
        </w:pict>
      </w:r>
      <w:r>
        <w:rPr>
          <w:rFonts w:ascii="宋体" w:hAnsi="宋体" w:cs="宋体" w:eastAsia="宋体" w:hint="default"/>
          <w:sz w:val="18"/>
          <w:szCs w:val="18"/>
        </w:rPr>
        <w:t>关于规范及减少关联交易的承诺</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、本次重组完成后，本</w:t>
      </w:r>
    </w:p>
    <w:p>
      <w:pPr>
        <w:spacing w:line="312" w:lineRule="auto" w:before="63"/>
        <w:ind w:left="185" w:right="3370" w:firstLine="0"/>
        <w:jc w:val="left"/>
        <w:rPr>
          <w:rFonts w:ascii="宋体" w:hAnsi="宋体" w:cs="宋体" w:eastAsia="宋体" w:hint="default"/>
          <w:sz w:val="18"/>
          <w:szCs w:val="18"/>
        </w:rPr>
      </w:pPr>
      <w:r>
        <w:rPr>
          <w:rFonts w:ascii="宋体" w:hAnsi="宋体" w:cs="宋体" w:eastAsia="宋体" w:hint="default"/>
          <w:sz w:val="18"/>
          <w:szCs w:val="18"/>
        </w:rPr>
        <w:t>人及本人的关联企业与美亚柏科及其包括目标公司在内的 合并报表范围内各级控股公司将尽可能的避免和减少关联 </w:t>
      </w:r>
      <w:r>
        <w:rPr>
          <w:rFonts w:ascii="宋体" w:hAnsi="宋体" w:cs="宋体" w:eastAsia="宋体" w:hint="default"/>
          <w:spacing w:val="-3"/>
          <w:sz w:val="18"/>
          <w:szCs w:val="18"/>
        </w:rPr>
        <w:t>交易。</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、对于确有必要且无法避免的关联交易，本人及本</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人的关联企业将遵循市场化的公正、公平、公开的原则， 按照有关法律法规、规范性文件和章程等有关规定，履行 包括回避表决等合法程序，不通过关联关系谋求特殊的利 益， </w:t>
      </w:r>
      <w:r>
        <w:rPr>
          <w:rFonts w:ascii="宋体" w:hAnsi="宋体" w:cs="宋体" w:eastAsia="宋体" w:hint="default"/>
          <w:spacing w:val="-3"/>
          <w:sz w:val="18"/>
          <w:szCs w:val="18"/>
        </w:rPr>
        <w:t>特别是中小股东利益的关联交易。</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、本人及本人的关联企</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7"/>
          <w:sz w:val="18"/>
          <w:szCs w:val="18"/>
        </w:rPr>
        <w:t>业与目标公司之间资金往来情况（如有），均发生在本次重</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组前，且相关资金占用款项已于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月前全部偿还； 本人及本人的关联企业将不以任何方式违法违规占用美亚</w:t>
      </w:r>
    </w:p>
    <w:p>
      <w:pPr>
        <w:spacing w:after="0" w:line="312" w:lineRule="auto"/>
        <w:jc w:val="left"/>
        <w:rPr>
          <w:rFonts w:ascii="宋体" w:hAnsi="宋体" w:cs="宋体" w:eastAsia="宋体" w:hint="default"/>
          <w:sz w:val="18"/>
          <w:szCs w:val="18"/>
        </w:rPr>
        <w:sectPr>
          <w:type w:val="continuous"/>
          <w:pgSz w:w="11910" w:h="16840"/>
          <w:pgMar w:top="1060" w:bottom="1180" w:left="980" w:right="0"/>
          <w:cols w:num="2" w:equalWidth="0">
            <w:col w:w="2721" w:space="40"/>
            <w:col w:w="8169"/>
          </w:cols>
        </w:sectPr>
      </w:pPr>
    </w:p>
    <w:p>
      <w:pPr>
        <w:spacing w:line="240" w:lineRule="auto" w:before="0"/>
        <w:rPr>
          <w:rFonts w:ascii="Times New Roman" w:hAnsi="Times New Roman" w:cs="Times New Roman" w:eastAsia="Times New Roman" w:hint="default"/>
          <w:sz w:val="20"/>
          <w:szCs w:val="20"/>
        </w:rPr>
      </w:pPr>
      <w:r>
        <w:rPr/>
        <w:pict>
          <v:shape style="position:absolute;margin-left:210.720001pt;margin-top:484.559998pt;width:249.75pt;height:218.4pt;mso-position-horizontal-relative:page;mso-position-vertical-relative:page;z-index:-1348648"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2"/>
                    <w:rPr>
                      <w:rFonts w:ascii="Times New Roman" w:hAnsi="Times New Roman" w:cs="Times New Roman" w:eastAsia="Times New Roman" w:hint="default"/>
                      <w:sz w:val="16"/>
                      <w:szCs w:val="16"/>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不会进行任何有损美亚柏科和美亚柏科其他股东利益、</w:t>
                  </w:r>
                </w:p>
              </w:txbxContent>
            </v:textbox>
            <w10:wrap type="none"/>
          </v:shape>
        </w:pict>
      </w:r>
      <w:r>
        <w:rPr/>
        <w:pict>
          <v:group style="position:absolute;margin-left:423.959991pt;margin-top:484.559998pt;width:36.5pt;height:218.4pt;mso-position-horizontal-relative:page;mso-position-vertical-relative:page;z-index:-1348624" coordorigin="8479,9691" coordsize="730,4368">
            <v:shape style="position:absolute;left:8479;top:9691;width:730;height:4368" coordorigin="8479,9691" coordsize="730,4368" path="m8479,14059l9209,14059,9209,9691,8479,9691,8479,14059xe" filled="true" fillcolor="#ffffff" stroked="false">
              <v:path arrowok="t"/>
              <v:fill type="solid"/>
            </v:shape>
            <w10:wrap type="none"/>
          </v:group>
        </w:pict>
      </w:r>
      <w:r>
        <w:rPr/>
        <w:pict>
          <v:group style="position:absolute;margin-left:425.040009pt;margin-top:451.439972pt;width:34.2pt;height:15.6pt;mso-position-horizontal-relative:page;mso-position-vertical-relative:page;z-index:-1348600" coordorigin="8501,9029" coordsize="684,312">
            <v:shape style="position:absolute;left:8501;top:9029;width:684;height:312" coordorigin="8501,9029" coordsize="684,312" path="m8501,9341l9185,9341,9185,9029,8501,9029,8501,9341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95"/>
        <w:gridCol w:w="883"/>
        <w:gridCol w:w="586"/>
        <w:gridCol w:w="4574"/>
        <w:gridCol w:w="742"/>
        <w:gridCol w:w="758"/>
        <w:gridCol w:w="727"/>
      </w:tblGrid>
      <w:tr>
        <w:trPr>
          <w:trHeight w:val="315" w:hRule="exact"/>
        </w:trPr>
        <w:tc>
          <w:tcPr>
            <w:tcW w:w="1295" w:type="dxa"/>
            <w:vMerge w:val="restart"/>
            <w:tcBorders>
              <w:top w:val="single" w:sz="4" w:space="0" w:color="000000"/>
              <w:left w:val="single" w:sz="4" w:space="0" w:color="000000"/>
              <w:right w:val="single" w:sz="4" w:space="0" w:color="000000"/>
            </w:tcBorders>
            <w:shd w:val="clear" w:color="auto" w:fill="D4D4D4"/>
          </w:tcPr>
          <w:p>
            <w:pPr/>
          </w:p>
        </w:tc>
        <w:tc>
          <w:tcPr>
            <w:tcW w:w="883" w:type="dxa"/>
            <w:vMerge w:val="restart"/>
            <w:tcBorders>
              <w:top w:val="single" w:sz="4" w:space="0" w:color="000000"/>
              <w:left w:val="single" w:sz="4" w:space="0" w:color="000000"/>
              <w:right w:val="single" w:sz="4" w:space="0" w:color="000000"/>
            </w:tcBorders>
          </w:tcPr>
          <w:p>
            <w:pPr/>
          </w:p>
        </w:tc>
        <w:tc>
          <w:tcPr>
            <w:tcW w:w="586" w:type="dxa"/>
            <w:vMerge w:val="restart"/>
            <w:tcBorders>
              <w:top w:val="single" w:sz="4" w:space="0" w:color="000000"/>
              <w:left w:val="single" w:sz="4" w:space="0" w:color="000000"/>
              <w:right w:val="single" w:sz="4" w:space="0" w:color="000000"/>
            </w:tcBorders>
          </w:tcPr>
          <w:p>
            <w:pPr/>
          </w:p>
        </w:tc>
        <w:tc>
          <w:tcPr>
            <w:tcW w:w="45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柏科及其包括目标公司在内的合并报表范围内各级控股公</w:t>
            </w:r>
          </w:p>
        </w:tc>
        <w:tc>
          <w:tcPr>
            <w:tcW w:w="742" w:type="dxa"/>
            <w:vMerge w:val="restart"/>
            <w:tcBorders>
              <w:top w:val="single" w:sz="4" w:space="0" w:color="000000"/>
              <w:left w:val="single" w:sz="4" w:space="0" w:color="000000"/>
              <w:right w:val="single" w:sz="4" w:space="0" w:color="000000"/>
            </w:tcBorders>
          </w:tcPr>
          <w:p>
            <w:pPr/>
          </w:p>
        </w:tc>
        <w:tc>
          <w:tcPr>
            <w:tcW w:w="758"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司的资金、资产，亦不要求美亚柏科及其包括目标公司在</w:t>
            </w:r>
          </w:p>
        </w:tc>
        <w:tc>
          <w:tcPr>
            <w:tcW w:w="742" w:type="dxa"/>
            <w:vMerge/>
            <w:tcBorders>
              <w:left w:val="single" w:sz="4" w:space="0" w:color="000000"/>
              <w:right w:val="single" w:sz="4" w:space="0" w:color="000000"/>
            </w:tcBorders>
          </w:tcPr>
          <w:p>
            <w:pPr/>
          </w:p>
        </w:tc>
        <w:tc>
          <w:tcPr>
            <w:tcW w:w="758"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内的合并报表范围内各级控股公司为本人及本人的关联企</w:t>
            </w:r>
          </w:p>
        </w:tc>
        <w:tc>
          <w:tcPr>
            <w:tcW w:w="742" w:type="dxa"/>
            <w:vMerge/>
            <w:tcBorders>
              <w:left w:val="single" w:sz="4" w:space="0" w:color="000000"/>
              <w:right w:val="single" w:sz="4" w:space="0" w:color="000000"/>
            </w:tcBorders>
          </w:tcPr>
          <w:p>
            <w:pPr/>
          </w:p>
        </w:tc>
        <w:tc>
          <w:tcPr>
            <w:tcW w:w="758"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r>
      <w:tr>
        <w:trPr>
          <w:trHeight w:val="317"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业进行违规担保。</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、为规范关联交易和杜绝关联方占用资</w:t>
            </w:r>
          </w:p>
        </w:tc>
        <w:tc>
          <w:tcPr>
            <w:tcW w:w="742" w:type="dxa"/>
            <w:vMerge/>
            <w:tcBorders>
              <w:left w:val="single" w:sz="4" w:space="0" w:color="000000"/>
              <w:right w:val="single" w:sz="4" w:space="0" w:color="000000"/>
            </w:tcBorders>
          </w:tcPr>
          <w:p>
            <w:pPr/>
          </w:p>
        </w:tc>
        <w:tc>
          <w:tcPr>
            <w:tcW w:w="758"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r>
      <w:tr>
        <w:trPr>
          <w:trHeight w:val="307"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金的隐患，江苏税软已完善内控制度，且本次重组完成后</w:t>
            </w:r>
          </w:p>
        </w:tc>
        <w:tc>
          <w:tcPr>
            <w:tcW w:w="742" w:type="dxa"/>
            <w:vMerge/>
            <w:tcBorders>
              <w:left w:val="single" w:sz="4" w:space="0" w:color="000000"/>
              <w:right w:val="single" w:sz="4" w:space="0" w:color="000000"/>
            </w:tcBorders>
          </w:tcPr>
          <w:p>
            <w:pPr/>
          </w:p>
        </w:tc>
        <w:tc>
          <w:tcPr>
            <w:tcW w:w="758"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江苏税软将进行董事会改选，美亚柏科有权任命江苏税软</w:t>
            </w:r>
          </w:p>
        </w:tc>
        <w:tc>
          <w:tcPr>
            <w:tcW w:w="742" w:type="dxa"/>
            <w:vMerge/>
            <w:tcBorders>
              <w:left w:val="single" w:sz="4" w:space="0" w:color="000000"/>
              <w:right w:val="single" w:sz="4" w:space="0" w:color="000000"/>
            </w:tcBorders>
          </w:tcPr>
          <w:p>
            <w:pPr/>
          </w:p>
        </w:tc>
        <w:tc>
          <w:tcPr>
            <w:tcW w:w="758"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的财务总监，江苏税软将按照上市公司要求规范关联交易</w:t>
            </w:r>
          </w:p>
        </w:tc>
        <w:tc>
          <w:tcPr>
            <w:tcW w:w="742" w:type="dxa"/>
            <w:vMerge/>
            <w:tcBorders>
              <w:left w:val="single" w:sz="4" w:space="0" w:color="000000"/>
              <w:right w:val="single" w:sz="4" w:space="0" w:color="000000"/>
            </w:tcBorders>
          </w:tcPr>
          <w:p>
            <w:pPr/>
          </w:p>
        </w:tc>
        <w:tc>
          <w:tcPr>
            <w:tcW w:w="758"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r>
      <w:tr>
        <w:trPr>
          <w:trHeight w:val="317"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审批程序。</w:t>
            </w: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、如违反上述承诺给美亚柏科造成损失的，本</w:t>
            </w:r>
          </w:p>
        </w:tc>
        <w:tc>
          <w:tcPr>
            <w:tcW w:w="742" w:type="dxa"/>
            <w:vMerge/>
            <w:tcBorders>
              <w:left w:val="single" w:sz="4" w:space="0" w:color="000000"/>
              <w:right w:val="single" w:sz="4" w:space="0" w:color="000000"/>
            </w:tcBorders>
          </w:tcPr>
          <w:p>
            <w:pPr/>
          </w:p>
        </w:tc>
        <w:tc>
          <w:tcPr>
            <w:tcW w:w="758"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r>
      <w:tr>
        <w:trPr>
          <w:trHeight w:val="355" w:hRule="exact"/>
        </w:trPr>
        <w:tc>
          <w:tcPr>
            <w:tcW w:w="1295" w:type="dxa"/>
            <w:vMerge/>
            <w:tcBorders>
              <w:left w:val="single" w:sz="4" w:space="0" w:color="000000"/>
              <w:right w:val="single" w:sz="4" w:space="0" w:color="000000"/>
            </w:tcBorders>
            <w:shd w:val="clear" w:color="auto" w:fill="D4D4D4"/>
          </w:tcPr>
          <w:p>
            <w:pPr/>
          </w:p>
        </w:tc>
        <w:tc>
          <w:tcPr>
            <w:tcW w:w="8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45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人将依法作出赔偿。</w:t>
            </w:r>
            <w:r>
              <w:rPr>
                <w:rFonts w:ascii="Times New Roman" w:hAnsi="Times New Roman" w:cs="Times New Roman" w:eastAsia="Times New Roman" w:hint="default"/>
                <w:sz w:val="18"/>
                <w:szCs w:val="18"/>
              </w:rPr>
              <w:t>"</w:t>
            </w:r>
          </w:p>
        </w:tc>
        <w:tc>
          <w:tcPr>
            <w:tcW w:w="742" w:type="dxa"/>
            <w:vMerge/>
            <w:tcBorders>
              <w:left w:val="single" w:sz="4" w:space="0" w:color="000000"/>
              <w:bottom w:val="single" w:sz="4" w:space="0" w:color="000000"/>
              <w:right w:val="single" w:sz="4" w:space="0" w:color="000000"/>
            </w:tcBorders>
          </w:tcPr>
          <w:p>
            <w:pPr/>
          </w:p>
        </w:tc>
        <w:tc>
          <w:tcPr>
            <w:tcW w:w="758"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r>
      <w:tr>
        <w:trPr>
          <w:trHeight w:val="360" w:hRule="exact"/>
        </w:trPr>
        <w:tc>
          <w:tcPr>
            <w:tcW w:w="1295" w:type="dxa"/>
            <w:vMerge/>
            <w:tcBorders>
              <w:left w:val="single" w:sz="4" w:space="0" w:color="000000"/>
              <w:right w:val="single" w:sz="4" w:space="0" w:color="000000"/>
            </w:tcBorders>
            <w:shd w:val="clear" w:color="auto" w:fill="D4D4D4"/>
          </w:tcPr>
          <w:p>
            <w:pPr/>
          </w:p>
        </w:tc>
        <w:tc>
          <w:tcPr>
            <w:tcW w:w="883" w:type="dxa"/>
            <w:tcBorders>
              <w:top w:val="single" w:sz="4" w:space="0" w:color="000000"/>
              <w:left w:val="single" w:sz="4" w:space="0" w:color="000000"/>
              <w:bottom w:val="nil" w:sz="6" w:space="0" w:color="auto"/>
              <w:right w:val="single" w:sz="4" w:space="0" w:color="000000"/>
            </w:tcBorders>
          </w:tcPr>
          <w:p>
            <w:pPr/>
          </w:p>
        </w:tc>
        <w:tc>
          <w:tcPr>
            <w:tcW w:w="586" w:type="dxa"/>
            <w:tcBorders>
              <w:top w:val="single" w:sz="4" w:space="0" w:color="000000"/>
              <w:left w:val="single" w:sz="4" w:space="0" w:color="000000"/>
              <w:bottom w:val="nil" w:sz="6" w:space="0" w:color="auto"/>
              <w:right w:val="single" w:sz="4" w:space="0" w:color="000000"/>
            </w:tcBorders>
          </w:tcPr>
          <w:p>
            <w:pPr/>
          </w:p>
        </w:tc>
        <w:tc>
          <w:tcPr>
            <w:tcW w:w="45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一、避免同业竞争的承诺</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、本次重组前，除所经营新德</w:t>
            </w:r>
          </w:p>
        </w:tc>
        <w:tc>
          <w:tcPr>
            <w:tcW w:w="742" w:type="dxa"/>
            <w:tcBorders>
              <w:top w:val="single" w:sz="4" w:space="0" w:color="000000"/>
              <w:left w:val="single" w:sz="4" w:space="0" w:color="000000"/>
              <w:bottom w:val="nil" w:sz="6" w:space="0" w:color="auto"/>
              <w:right w:val="single" w:sz="4" w:space="0" w:color="000000"/>
            </w:tcBorders>
          </w:tcPr>
          <w:p>
            <w:pPr/>
          </w:p>
        </w:tc>
        <w:tc>
          <w:tcPr>
            <w:tcW w:w="758" w:type="dxa"/>
            <w:tcBorders>
              <w:top w:val="single" w:sz="4" w:space="0" w:color="000000"/>
              <w:left w:val="single" w:sz="4" w:space="0" w:color="000000"/>
              <w:bottom w:val="nil" w:sz="6" w:space="0" w:color="auto"/>
              <w:right w:val="single" w:sz="4" w:space="0" w:color="000000"/>
            </w:tcBorders>
          </w:tcPr>
          <w:p>
            <w:pPr/>
          </w:p>
        </w:tc>
        <w:tc>
          <w:tcPr>
            <w:tcW w:w="727" w:type="dxa"/>
            <w:tcBorders>
              <w:top w:val="single" w:sz="4" w:space="0" w:color="000000"/>
              <w:left w:val="single" w:sz="4" w:space="0" w:color="000000"/>
              <w:bottom w:val="nil" w:sz="6" w:space="0" w:color="auto"/>
              <w:right w:val="single" w:sz="4" w:space="0" w:color="000000"/>
            </w:tcBorders>
          </w:tcPr>
          <w:p>
            <w:pPr/>
          </w:p>
        </w:tc>
      </w:tr>
      <w:tr>
        <w:trPr>
          <w:trHeight w:val="307"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汇外本人未直接或间接从事与美亚柏科及其下属子公司相</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同或相似业务的情形。</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、本次重组完成后，本人及本人直</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接或间接控制的其他企业不会直接或间接经营任何与美亚</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柏科及其下属子公司现有销售的产品线及其提供的服务构</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成竞争或可能构成竞争的业务，亦不会投资任何与美亚柏</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科及其下属子公司现有销售的产品线及其提供的服务构成</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竞争或可能构成竞争的其他企业；如本人及本人控制的企</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业与美亚柏科及其下属子公司现有销售的产品线及其提供</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的服务产生竞争，则本人及本人控制的企业将采取停止经</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43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5"/>
                <w:szCs w:val="15"/>
              </w:rPr>
            </w:pPr>
          </w:p>
          <w:p>
            <w:pPr>
              <w:pStyle w:val="TableParagraph"/>
              <w:spacing w:line="316" w:lineRule="auto"/>
              <w:ind w:left="23" w:right="19"/>
              <w:jc w:val="left"/>
              <w:rPr>
                <w:rFonts w:ascii="宋体" w:hAnsi="宋体" w:cs="宋体" w:eastAsia="宋体" w:hint="default"/>
                <w:sz w:val="18"/>
                <w:szCs w:val="18"/>
              </w:rPr>
            </w:pPr>
            <w:r>
              <w:rPr>
                <w:rFonts w:ascii="宋体" w:hAnsi="宋体" w:cs="宋体" w:eastAsia="宋体" w:hint="default"/>
                <w:spacing w:val="-15"/>
                <w:sz w:val="18"/>
                <w:szCs w:val="18"/>
              </w:rPr>
              <w:t>邓炽成；水</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5"/>
                <w:sz w:val="18"/>
                <w:szCs w:val="18"/>
              </w:rPr>
              <w:t>军；苏学武</w:t>
            </w:r>
          </w:p>
        </w:tc>
        <w:tc>
          <w:tcPr>
            <w:tcW w:w="58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6" w:lineRule="auto"/>
              <w:ind w:left="23" w:right="11"/>
              <w:jc w:val="left"/>
              <w:rPr>
                <w:rFonts w:ascii="宋体" w:hAnsi="宋体" w:cs="宋体" w:eastAsia="宋体" w:hint="default"/>
                <w:sz w:val="18"/>
                <w:szCs w:val="18"/>
              </w:rPr>
            </w:pPr>
            <w:r>
              <w:rPr>
                <w:rFonts w:ascii="宋体" w:hAnsi="宋体" w:cs="宋体" w:eastAsia="宋体" w:hint="default"/>
                <w:sz w:val="18"/>
                <w:szCs w:val="18"/>
              </w:rPr>
              <w:t>关于 同业 竞争、 关联 交易、 资金 占用 方面 的承</w:t>
            </w:r>
          </w:p>
          <w:p>
            <w:pPr>
              <w:pStyle w:val="TableParagraph"/>
              <w:spacing w:line="240" w:lineRule="auto" w:before="19"/>
              <w:ind w:left="23" w:right="0"/>
              <w:jc w:val="left"/>
              <w:rPr>
                <w:rFonts w:ascii="宋体" w:hAnsi="宋体" w:cs="宋体" w:eastAsia="宋体" w:hint="default"/>
                <w:sz w:val="18"/>
                <w:szCs w:val="18"/>
              </w:rPr>
            </w:pPr>
            <w:r>
              <w:rPr>
                <w:rFonts w:ascii="宋体" w:hAnsi="宋体" w:cs="宋体" w:eastAsia="宋体" w:hint="default"/>
                <w:sz w:val="18"/>
                <w:szCs w:val="18"/>
              </w:rPr>
              <w:t>诺</w:t>
            </w:r>
          </w:p>
        </w:tc>
        <w:tc>
          <w:tcPr>
            <w:tcW w:w="4574" w:type="dxa"/>
            <w:tcBorders>
              <w:top w:val="nil" w:sz="6" w:space="0" w:color="auto"/>
              <w:left w:val="single" w:sz="4" w:space="0" w:color="000000"/>
              <w:bottom w:val="nil" w:sz="6" w:space="0" w:color="auto"/>
              <w:right w:val="single" w:sz="13" w:space="0" w:color="FFFFFF"/>
            </w:tcBorders>
          </w:tcPr>
          <w:p>
            <w:pPr>
              <w:pStyle w:val="TableParagraph"/>
              <w:spacing w:line="312" w:lineRule="auto" w:before="10"/>
              <w:ind w:left="23" w:right="-46"/>
              <w:jc w:val="left"/>
              <w:rPr>
                <w:rFonts w:ascii="宋体" w:hAnsi="宋体" w:cs="宋体" w:eastAsia="宋体" w:hint="default"/>
                <w:sz w:val="18"/>
                <w:szCs w:val="18"/>
              </w:rPr>
            </w:pPr>
            <w:r>
              <w:rPr>
                <w:rFonts w:ascii="宋体" w:hAnsi="宋体" w:cs="宋体" w:eastAsia="宋体" w:hint="default"/>
                <w:sz w:val="18"/>
                <w:szCs w:val="18"/>
              </w:rPr>
              <w:t>营产生竞争的业务的方式，或者采取将竞争的业务纳入美 亚柏科的方式，或者采取将产生竞争的业务转让给无关联 关系第三方等合法方式，使本人及本人控制的企业不再从 事与美亚柏科及其下属子公司现有销售的产品线及其提供 </w:t>
            </w:r>
            <w:r>
              <w:rPr>
                <w:rFonts w:ascii="宋体" w:hAnsi="宋体" w:cs="宋体" w:eastAsia="宋体" w:hint="default"/>
                <w:spacing w:val="-3"/>
                <w:sz w:val="18"/>
                <w:szCs w:val="18"/>
              </w:rPr>
              <w:t>的服务相同或类似的业务，以避免同业竞争。</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、如违反上</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5"/>
                <w:sz w:val="18"/>
                <w:szCs w:val="18"/>
              </w:rPr>
              <w:t>述承诺给美亚柏科造成损失的，本人将依法作出赔偿。二、</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关于规范及减少关联交易的承诺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、本次重组完成后，本 人及本人的关联企业与美亚柏科及其包括目标公司在内的 合并报表范围内各级控股公司将尽可能的避免和减少关联 </w:t>
            </w:r>
            <w:r>
              <w:rPr>
                <w:rFonts w:ascii="宋体" w:hAnsi="宋体" w:cs="宋体" w:eastAsia="宋体" w:hint="default"/>
                <w:spacing w:val="-3"/>
                <w:sz w:val="18"/>
                <w:szCs w:val="18"/>
              </w:rPr>
              <w:t>交易。</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、对于确有必要且无法避免的关联交易，本人及本</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人的关联企业将遵循市场化的公正、公平、公开的原则，</w:t>
            </w:r>
          </w:p>
        </w:tc>
        <w:tc>
          <w:tcPr>
            <w:tcW w:w="742" w:type="dxa"/>
            <w:tcBorders>
              <w:top w:val="nil" w:sz="6" w:space="0" w:color="auto"/>
              <w:left w:val="single" w:sz="13" w:space="0" w:color="FFFFFF"/>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9999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2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5"/>
                <w:szCs w:val="15"/>
              </w:rPr>
            </w:pPr>
          </w:p>
          <w:p>
            <w:pPr>
              <w:pStyle w:val="TableParagraph"/>
              <w:spacing w:line="316" w:lineRule="auto"/>
              <w:ind w:left="23" w:right="151"/>
              <w:jc w:val="left"/>
              <w:rPr>
                <w:rFonts w:ascii="宋体" w:hAnsi="宋体" w:cs="宋体" w:eastAsia="宋体" w:hint="default"/>
                <w:sz w:val="18"/>
                <w:szCs w:val="18"/>
              </w:rPr>
            </w:pPr>
            <w:r>
              <w:rPr>
                <w:rFonts w:ascii="宋体" w:hAnsi="宋体" w:cs="宋体" w:eastAsia="宋体" w:hint="default"/>
                <w:sz w:val="18"/>
                <w:szCs w:val="18"/>
              </w:rPr>
              <w:t>正常履 行中</w:t>
            </w: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按照有关法律法规、规范性文件和章程等有关规定，履行</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包括回避表决等合法程序，不通过关联关系谋求特殊的利</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益，</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特别是中小股东利益的关联交易。</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、本人及本人的关联企</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业将不以任何方式违法违规占用美亚柏科及其包括目标公</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司在内的合并报表范围内各级控股公司的资金、资产，亦</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不要求美亚柏科及其包括目标公司在内的合并报表范围内</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各级控股公司为本人及本人的关联企业进行违规担保。</w:t>
            </w:r>
            <w:r>
              <w:rPr>
                <w:rFonts w:ascii="Times New Roman" w:hAnsi="Times New Roman" w:cs="Times New Roman" w:eastAsia="Times New Roman" w:hint="default"/>
                <w:sz w:val="18"/>
                <w:szCs w:val="18"/>
              </w:rPr>
              <w:t>4</w:t>
            </w:r>
          </w:p>
        </w:tc>
        <w:tc>
          <w:tcPr>
            <w:tcW w:w="7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40" w:right="0"/>
              <w:jc w:val="left"/>
              <w:rPr>
                <w:rFonts w:ascii="宋体" w:hAnsi="宋体" w:cs="宋体" w:eastAsia="宋体" w:hint="default"/>
                <w:sz w:val="18"/>
                <w:szCs w:val="18"/>
              </w:rPr>
            </w:pPr>
            <w:r>
              <w:rPr>
                <w:rFonts w:ascii="宋体" w:hAnsi="宋体" w:cs="宋体" w:eastAsia="宋体" w:hint="default"/>
                <w:sz w:val="18"/>
                <w:szCs w:val="18"/>
              </w:rPr>
              <w:t>、</w:t>
            </w: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457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如违反上述承诺给美亚柏科造成损失的，本人将依法作出</w:t>
            </w:r>
          </w:p>
        </w:tc>
        <w:tc>
          <w:tcPr>
            <w:tcW w:w="742" w:type="dxa"/>
            <w:tcBorders>
              <w:top w:val="nil" w:sz="6" w:space="0" w:color="auto"/>
              <w:left w:val="single" w:sz="4" w:space="0" w:color="000000"/>
              <w:bottom w:val="nil" w:sz="6" w:space="0" w:color="auto"/>
              <w:right w:val="single" w:sz="4" w:space="0" w:color="000000"/>
            </w:tcBorders>
          </w:tcPr>
          <w:p>
            <w:pPr/>
          </w:p>
        </w:tc>
        <w:tc>
          <w:tcPr>
            <w:tcW w:w="758"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1295" w:type="dxa"/>
            <w:vMerge/>
            <w:tcBorders>
              <w:left w:val="single" w:sz="4" w:space="0" w:color="000000"/>
              <w:right w:val="single" w:sz="4" w:space="0" w:color="000000"/>
            </w:tcBorders>
            <w:shd w:val="clear" w:color="auto" w:fill="D4D4D4"/>
          </w:tcPr>
          <w:p>
            <w:pPr/>
          </w:p>
        </w:tc>
        <w:tc>
          <w:tcPr>
            <w:tcW w:w="883" w:type="dxa"/>
            <w:tcBorders>
              <w:top w:val="nil" w:sz="6" w:space="0" w:color="auto"/>
              <w:left w:val="single" w:sz="4" w:space="0" w:color="000000"/>
              <w:bottom w:val="single" w:sz="4" w:space="0" w:color="000000"/>
              <w:right w:val="single" w:sz="4" w:space="0" w:color="000000"/>
            </w:tcBorders>
          </w:tcPr>
          <w:p>
            <w:pPr/>
          </w:p>
        </w:tc>
        <w:tc>
          <w:tcPr>
            <w:tcW w:w="586" w:type="dxa"/>
            <w:tcBorders>
              <w:top w:val="nil" w:sz="6" w:space="0" w:color="auto"/>
              <w:left w:val="single" w:sz="4" w:space="0" w:color="000000"/>
              <w:bottom w:val="single" w:sz="4" w:space="0" w:color="000000"/>
              <w:right w:val="single" w:sz="4" w:space="0" w:color="000000"/>
            </w:tcBorders>
          </w:tcPr>
          <w:p>
            <w:pPr/>
          </w:p>
        </w:tc>
        <w:tc>
          <w:tcPr>
            <w:tcW w:w="45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赔偿。</w:t>
            </w:r>
            <w:r>
              <w:rPr>
                <w:rFonts w:ascii="Times New Roman" w:hAnsi="Times New Roman" w:cs="Times New Roman" w:eastAsia="Times New Roman" w:hint="default"/>
                <w:sz w:val="18"/>
                <w:szCs w:val="18"/>
              </w:rPr>
              <w:t>"</w:t>
            </w:r>
          </w:p>
        </w:tc>
        <w:tc>
          <w:tcPr>
            <w:tcW w:w="742" w:type="dxa"/>
            <w:tcBorders>
              <w:top w:val="nil" w:sz="6" w:space="0" w:color="auto"/>
              <w:left w:val="single" w:sz="4" w:space="0" w:color="000000"/>
              <w:bottom w:val="single" w:sz="4" w:space="0" w:color="000000"/>
              <w:right w:val="single" w:sz="4" w:space="0" w:color="000000"/>
            </w:tcBorders>
          </w:tcPr>
          <w:p>
            <w:pPr/>
          </w:p>
        </w:tc>
        <w:tc>
          <w:tcPr>
            <w:tcW w:w="758" w:type="dxa"/>
            <w:tcBorders>
              <w:top w:val="nil" w:sz="6" w:space="0" w:color="auto"/>
              <w:left w:val="single" w:sz="4" w:space="0" w:color="000000"/>
              <w:bottom w:val="single" w:sz="4" w:space="0" w:color="000000"/>
              <w:right w:val="single" w:sz="4" w:space="0" w:color="000000"/>
            </w:tcBorders>
          </w:tcPr>
          <w:p>
            <w:pPr/>
          </w:p>
        </w:tc>
        <w:tc>
          <w:tcPr>
            <w:tcW w:w="727" w:type="dxa"/>
            <w:tcBorders>
              <w:top w:val="nil" w:sz="6" w:space="0" w:color="auto"/>
              <w:left w:val="single" w:sz="4" w:space="0" w:color="000000"/>
              <w:bottom w:val="single" w:sz="4" w:space="0" w:color="000000"/>
              <w:right w:val="single" w:sz="4" w:space="0" w:color="000000"/>
            </w:tcBorders>
          </w:tcPr>
          <w:p>
            <w:pPr/>
          </w:p>
        </w:tc>
      </w:tr>
      <w:tr>
        <w:trPr>
          <w:trHeight w:val="1298" w:hRule="exact"/>
        </w:trPr>
        <w:tc>
          <w:tcPr>
            <w:tcW w:w="1295" w:type="dxa"/>
            <w:vMerge/>
            <w:tcBorders>
              <w:left w:val="single" w:sz="4" w:space="0" w:color="000000"/>
              <w:bottom w:val="single" w:sz="4" w:space="0" w:color="000000"/>
              <w:right w:val="single" w:sz="4" w:space="0" w:color="000000"/>
            </w:tcBorders>
            <w:shd w:val="clear" w:color="auto" w:fill="D4D4D4"/>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9"/>
              <w:jc w:val="left"/>
              <w:rPr>
                <w:rFonts w:ascii="宋体" w:hAnsi="宋体" w:cs="宋体" w:eastAsia="宋体" w:hint="default"/>
                <w:sz w:val="18"/>
                <w:szCs w:val="18"/>
              </w:rPr>
            </w:pPr>
            <w:r>
              <w:rPr>
                <w:rFonts w:ascii="宋体" w:hAnsi="宋体" w:cs="宋体" w:eastAsia="宋体" w:hint="default"/>
                <w:spacing w:val="-15"/>
                <w:sz w:val="18"/>
                <w:szCs w:val="18"/>
              </w:rPr>
              <w:t>安林冲；包</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志翔；陈 燕；仇宏 远；邓炽</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34"/>
              <w:ind w:left="23" w:right="191"/>
              <w:jc w:val="left"/>
              <w:rPr>
                <w:rFonts w:ascii="宋体" w:hAnsi="宋体" w:cs="宋体" w:eastAsia="宋体" w:hint="default"/>
                <w:sz w:val="18"/>
                <w:szCs w:val="18"/>
              </w:rPr>
            </w:pPr>
            <w:r>
              <w:rPr>
                <w:rFonts w:ascii="宋体" w:hAnsi="宋体" w:cs="宋体" w:eastAsia="宋体" w:hint="default"/>
                <w:sz w:val="18"/>
                <w:szCs w:val="18"/>
              </w:rPr>
              <w:t>其他 承诺</w:t>
            </w:r>
          </w:p>
        </w:tc>
        <w:tc>
          <w:tcPr>
            <w:tcW w:w="4574"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49"/>
              <w:ind w:left="23" w:right="38"/>
              <w:jc w:val="both"/>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江苏税软及新德汇交易对方</w:t>
            </w:r>
            <w:r>
              <w:rPr>
                <w:rFonts w:ascii="Times New Roman" w:hAnsi="Times New Roman" w:cs="Times New Roman" w:eastAsia="Times New Roman" w:hint="default"/>
                <w:sz w:val="18"/>
                <w:szCs w:val="18"/>
              </w:rPr>
              <w:t>:</w:t>
            </w:r>
            <w:r>
              <w:rPr>
                <w:rFonts w:ascii="宋体" w:hAnsi="宋体" w:cs="宋体" w:eastAsia="宋体" w:hint="default"/>
                <w:sz w:val="18"/>
                <w:szCs w:val="18"/>
              </w:rPr>
              <w:t>关于提供材料真实性、准确 性、完整性的承诺本人保证所提供的信息的真实性、准确 性和完整性，不存在虚假记载、误导性陈述或重大遗漏； 本人对所提供信息的真实性、准确性和完整性承担个别和</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9999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34"/>
              <w:ind w:left="23" w:right="151"/>
              <w:jc w:val="left"/>
              <w:rPr>
                <w:rFonts w:ascii="宋体" w:hAnsi="宋体" w:cs="宋体" w:eastAsia="宋体" w:hint="default"/>
                <w:sz w:val="18"/>
                <w:szCs w:val="18"/>
              </w:rPr>
            </w:pPr>
            <w:r>
              <w:rPr>
                <w:rFonts w:ascii="宋体" w:hAnsi="宋体" w:cs="宋体" w:eastAsia="宋体" w:hint="default"/>
                <w:sz w:val="18"/>
                <w:szCs w:val="18"/>
              </w:rPr>
              <w:t>正常履 行中</w:t>
            </w:r>
          </w:p>
        </w:tc>
      </w:tr>
    </w:tbl>
    <w:p>
      <w:pPr>
        <w:spacing w:after="0" w:line="316"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165.960007pt;margin-top:72.47998pt;width:28.7pt;height:189.25pt;mso-position-horizontal-relative:page;mso-position-vertical-relative:page;z-index:-1348576" coordorigin="3319,1450" coordsize="574,3785">
            <v:shape style="position:absolute;left:3319;top:1450;width:574;height:3785" coordorigin="3319,1450" coordsize="574,3785" path="m3319,5234l3893,5234,3893,1450,3319,1450,3319,5234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95"/>
        <w:gridCol w:w="883"/>
        <w:gridCol w:w="586"/>
        <w:gridCol w:w="4574"/>
        <w:gridCol w:w="742"/>
        <w:gridCol w:w="758"/>
        <w:gridCol w:w="727"/>
      </w:tblGrid>
      <w:tr>
        <w:trPr>
          <w:trHeight w:val="3794" w:hRule="exact"/>
        </w:trPr>
        <w:tc>
          <w:tcPr>
            <w:tcW w:w="1295"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9"/>
              <w:jc w:val="left"/>
              <w:rPr>
                <w:rFonts w:ascii="宋体" w:hAnsi="宋体" w:cs="宋体" w:eastAsia="宋体" w:hint="default"/>
                <w:sz w:val="18"/>
                <w:szCs w:val="18"/>
              </w:rPr>
            </w:pPr>
            <w:r>
              <w:rPr>
                <w:rFonts w:ascii="宋体" w:hAnsi="宋体" w:cs="宋体" w:eastAsia="宋体" w:hint="default"/>
                <w:sz w:val="18"/>
                <w:szCs w:val="18"/>
              </w:rPr>
              <w:t>成；郭玉 智；韩海 青；黄新 李佳；李 江；卢晓 英；任炜 </w:t>
            </w:r>
            <w:r>
              <w:rPr>
                <w:rFonts w:ascii="宋体" w:hAnsi="宋体" w:cs="宋体" w:eastAsia="宋体" w:hint="default"/>
                <w:spacing w:val="-15"/>
                <w:sz w:val="18"/>
                <w:szCs w:val="18"/>
              </w:rPr>
              <w:t>水军；苏学</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武；孙士 玉；王亚 明；韦玉 荣；叶树 </w:t>
            </w:r>
            <w:r>
              <w:rPr>
                <w:rFonts w:ascii="宋体" w:hAnsi="宋体" w:cs="宋体" w:eastAsia="宋体" w:hint="default"/>
                <w:spacing w:val="-15"/>
                <w:sz w:val="18"/>
                <w:szCs w:val="18"/>
              </w:rPr>
              <w:t>军；张红光</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140"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left="-140" w:right="0"/>
              <w:jc w:val="left"/>
              <w:rPr>
                <w:rFonts w:ascii="宋体" w:hAnsi="宋体" w:cs="宋体" w:eastAsia="宋体" w:hint="default"/>
                <w:sz w:val="18"/>
                <w:szCs w:val="18"/>
              </w:rPr>
            </w:pPr>
            <w:r>
              <w:rPr>
                <w:rFonts w:ascii="宋体" w:hAnsi="宋体" w:cs="宋体" w:eastAsia="宋体" w:hint="default"/>
                <w:sz w:val="18"/>
                <w:szCs w:val="18"/>
              </w:rPr>
              <w:t>；</w:t>
            </w:r>
          </w:p>
        </w:tc>
        <w:tc>
          <w:tcPr>
            <w:tcW w:w="45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38"/>
              <w:jc w:val="both"/>
              <w:rPr>
                <w:rFonts w:ascii="Times New Roman" w:hAnsi="Times New Roman" w:cs="Times New Roman" w:eastAsia="Times New Roman" w:hint="default"/>
                <w:sz w:val="18"/>
                <w:szCs w:val="18"/>
              </w:rPr>
            </w:pPr>
            <w:r>
              <w:rPr>
                <w:rFonts w:ascii="宋体" w:hAnsi="宋体" w:cs="宋体" w:eastAsia="宋体" w:hint="default"/>
                <w:sz w:val="18"/>
                <w:szCs w:val="18"/>
              </w:rPr>
              <w:t>连带的法律责任。如因提供的信息存在虚假记载、误导性 陈述或者重大遗漏，本人将依法承担赔偿责任。如本次重 组因涉嫌所提供或者披露的信息存在虚假记载、误导性陈 述或者重大遗漏，被司法机关立案侦查或者被中国证监会 立案调查的，在案件调查结论明确之前，本人将暂停转让 在上市公司拥有权益的股份。</w:t>
            </w:r>
            <w:r>
              <w:rPr>
                <w:rFonts w:ascii="Times New Roman" w:hAnsi="Times New Roman" w:cs="Times New Roman" w:eastAsia="Times New Roman" w:hint="default"/>
                <w:sz w:val="18"/>
                <w:szCs w:val="18"/>
              </w:rPr>
              <w:t>"</w:t>
            </w:r>
          </w:p>
        </w:tc>
        <w:tc>
          <w:tcPr>
            <w:tcW w:w="742" w:type="dxa"/>
            <w:tcBorders>
              <w:top w:val="single" w:sz="4" w:space="0" w:color="000000"/>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r>
      <w:tr>
        <w:trPr>
          <w:trHeight w:val="1961" w:hRule="exact"/>
        </w:trPr>
        <w:tc>
          <w:tcPr>
            <w:tcW w:w="1295"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180"/>
              <w:jc w:val="both"/>
              <w:rPr>
                <w:rFonts w:ascii="宋体" w:hAnsi="宋体" w:cs="宋体" w:eastAsia="宋体" w:hint="default"/>
                <w:sz w:val="18"/>
                <w:szCs w:val="18"/>
              </w:rPr>
            </w:pPr>
            <w:r>
              <w:rPr>
                <w:rFonts w:ascii="宋体" w:hAnsi="宋体" w:cs="宋体" w:eastAsia="宋体" w:hint="default"/>
                <w:sz w:val="18"/>
                <w:szCs w:val="18"/>
              </w:rPr>
              <w:t>首次公开发行 或再融资时所 作承诺</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9"/>
              <w:jc w:val="left"/>
              <w:rPr>
                <w:rFonts w:ascii="宋体" w:hAnsi="宋体" w:cs="宋体" w:eastAsia="宋体" w:hint="default"/>
                <w:sz w:val="18"/>
                <w:szCs w:val="18"/>
              </w:rPr>
            </w:pPr>
            <w:r>
              <w:rPr>
                <w:rFonts w:ascii="宋体" w:hAnsi="宋体" w:cs="宋体" w:eastAsia="宋体" w:hint="default"/>
                <w:spacing w:val="-15"/>
                <w:sz w:val="18"/>
                <w:szCs w:val="18"/>
              </w:rPr>
              <w:t>郭永芳；李</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国林；申 强；吴鸿 伟；张乃 军；张雪 峰；赵庸</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316" w:lineRule="auto"/>
              <w:ind w:left="23" w:right="191"/>
              <w:jc w:val="both"/>
              <w:rPr>
                <w:rFonts w:ascii="宋体" w:hAnsi="宋体" w:cs="宋体" w:eastAsia="宋体" w:hint="default"/>
                <w:sz w:val="18"/>
                <w:szCs w:val="18"/>
              </w:rPr>
            </w:pPr>
            <w:r>
              <w:rPr>
                <w:rFonts w:ascii="宋体" w:hAnsi="宋体" w:cs="宋体" w:eastAsia="宋体" w:hint="default"/>
                <w:sz w:val="18"/>
                <w:szCs w:val="18"/>
              </w:rPr>
              <w:t>股份 减持 承诺</w:t>
            </w:r>
          </w:p>
        </w:tc>
        <w:tc>
          <w:tcPr>
            <w:tcW w:w="4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300" w:lineRule="auto"/>
              <w:ind w:left="23" w:right="24"/>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任职期间每年转让直接或间接持有的发行人股份不超过 其所持有发行人股份总数的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；离职后半年内，不转让 其直接或间接持有的发行人股份。</w:t>
            </w:r>
            <w:r>
              <w:rPr>
                <w:rFonts w:ascii="Times New Roman" w:hAnsi="Times New Roman" w:cs="Times New Roman" w:eastAsia="Times New Roman" w:hint="default"/>
                <w:sz w:val="18"/>
                <w:szCs w:val="18"/>
              </w:rPr>
              <w:t>"</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9999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316" w:lineRule="auto"/>
              <w:ind w:left="23" w:right="151"/>
              <w:jc w:val="left"/>
              <w:rPr>
                <w:rFonts w:ascii="宋体" w:hAnsi="宋体" w:cs="宋体" w:eastAsia="宋体" w:hint="default"/>
                <w:sz w:val="18"/>
                <w:szCs w:val="18"/>
              </w:rPr>
            </w:pPr>
            <w:r>
              <w:rPr>
                <w:rFonts w:ascii="宋体" w:hAnsi="宋体" w:cs="宋体" w:eastAsia="宋体" w:hint="default"/>
                <w:sz w:val="18"/>
                <w:szCs w:val="18"/>
              </w:rPr>
              <w:t>正常履 行中</w:t>
            </w:r>
          </w:p>
        </w:tc>
      </w:tr>
      <w:tr>
        <w:trPr>
          <w:trHeight w:val="3211" w:hRule="exact"/>
        </w:trPr>
        <w:tc>
          <w:tcPr>
            <w:tcW w:w="1295" w:type="dxa"/>
            <w:vMerge/>
            <w:tcBorders>
              <w:left w:val="single" w:sz="4" w:space="0" w:color="000000"/>
              <w:right w:val="single" w:sz="4" w:space="0" w:color="000000"/>
            </w:tcBorders>
            <w:shd w:val="clear" w:color="auto" w:fill="D4D4D4"/>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6" w:lineRule="auto"/>
              <w:ind w:left="23" w:right="19"/>
              <w:jc w:val="left"/>
              <w:rPr>
                <w:rFonts w:ascii="宋体" w:hAnsi="宋体" w:cs="宋体" w:eastAsia="宋体" w:hint="default"/>
                <w:sz w:val="18"/>
                <w:szCs w:val="18"/>
              </w:rPr>
            </w:pPr>
            <w:r>
              <w:rPr>
                <w:rFonts w:ascii="宋体" w:hAnsi="宋体" w:cs="宋体" w:eastAsia="宋体" w:hint="default"/>
                <w:spacing w:val="-15"/>
                <w:sz w:val="18"/>
                <w:szCs w:val="18"/>
              </w:rPr>
              <w:t>郭永芳；李</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国林</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1"/>
              <w:jc w:val="left"/>
              <w:rPr>
                <w:rFonts w:ascii="宋体" w:hAnsi="宋体" w:cs="宋体" w:eastAsia="宋体" w:hint="default"/>
                <w:sz w:val="18"/>
                <w:szCs w:val="18"/>
              </w:rPr>
            </w:pPr>
            <w:r>
              <w:rPr>
                <w:rFonts w:ascii="宋体" w:hAnsi="宋体" w:cs="宋体" w:eastAsia="宋体" w:hint="default"/>
                <w:sz w:val="18"/>
                <w:szCs w:val="18"/>
              </w:rPr>
              <w:t>关于 同业 竞争、 关联 交易、 资金 占用 方面 的承</w:t>
            </w:r>
          </w:p>
          <w:p>
            <w:pPr>
              <w:pStyle w:val="TableParagraph"/>
              <w:spacing w:line="240" w:lineRule="auto" w:before="19"/>
              <w:ind w:left="23" w:right="0"/>
              <w:jc w:val="left"/>
              <w:rPr>
                <w:rFonts w:ascii="宋体" w:hAnsi="宋体" w:cs="宋体" w:eastAsia="宋体" w:hint="default"/>
                <w:sz w:val="18"/>
                <w:szCs w:val="18"/>
              </w:rPr>
            </w:pPr>
            <w:r>
              <w:rPr>
                <w:rFonts w:ascii="宋体" w:hAnsi="宋体" w:cs="宋体" w:eastAsia="宋体" w:hint="default"/>
                <w:sz w:val="18"/>
                <w:szCs w:val="18"/>
              </w:rPr>
              <w:t>诺</w:t>
            </w:r>
          </w:p>
        </w:tc>
        <w:tc>
          <w:tcPr>
            <w:tcW w:w="4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09" w:lineRule="auto"/>
              <w:ind w:left="23" w:right="17"/>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关于关联交易的承诺：在本人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本公司持有美亚柏科股份 </w:t>
            </w:r>
            <w:r>
              <w:rPr>
                <w:rFonts w:ascii="宋体" w:hAnsi="宋体" w:cs="宋体" w:eastAsia="宋体" w:hint="default"/>
                <w:spacing w:val="-4"/>
                <w:sz w:val="18"/>
                <w:szCs w:val="18"/>
              </w:rPr>
              <w:t>期间，本人</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本公司及本人</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本公司投资的全资、控股子企业</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或公司将尽量避免与美亚柏科发生关联交易，如与美亚柏 </w:t>
            </w:r>
            <w:r>
              <w:rPr>
                <w:rFonts w:ascii="宋体" w:hAnsi="宋体" w:cs="宋体" w:eastAsia="宋体" w:hint="default"/>
                <w:spacing w:val="-4"/>
                <w:sz w:val="18"/>
                <w:szCs w:val="18"/>
              </w:rPr>
              <w:t>科发生不可避免的关联交易，本人</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本公司及本人</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本公司下</w:t>
            </w:r>
            <w:r>
              <w:rPr>
                <w:rFonts w:ascii="宋体" w:hAnsi="宋体" w:cs="宋体" w:eastAsia="宋体" w:hint="default"/>
                <w:spacing w:val="-64"/>
                <w:sz w:val="18"/>
                <w:szCs w:val="18"/>
              </w:rPr>
              <w:t> </w:t>
            </w:r>
            <w:r>
              <w:rPr>
                <w:rFonts w:ascii="宋体" w:hAnsi="宋体" w:cs="宋体" w:eastAsia="宋体" w:hint="default"/>
                <w:spacing w:val="-8"/>
                <w:sz w:val="18"/>
                <w:szCs w:val="18"/>
              </w:rPr>
              <w:t>属全资、控股子企业或公司将严格按照《公司法》、《证券</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7"/>
                <w:sz w:val="18"/>
                <w:szCs w:val="18"/>
              </w:rPr>
              <w:t>法》、《厦门市美亚柏科信息股份有限公司章程》和《厦门</w:t>
            </w:r>
            <w:r>
              <w:rPr>
                <w:rFonts w:ascii="宋体" w:hAnsi="宋体" w:cs="宋体" w:eastAsia="宋体" w:hint="default"/>
                <w:sz w:val="18"/>
                <w:szCs w:val="18"/>
              </w:rPr>
              <w:t> 市美亚柏科信息股份有限公司关联交易管理制度》的规定 </w:t>
            </w:r>
            <w:r>
              <w:rPr>
                <w:rFonts w:ascii="宋体" w:hAnsi="宋体" w:cs="宋体" w:eastAsia="宋体" w:hint="default"/>
                <w:spacing w:val="-2"/>
                <w:sz w:val="18"/>
                <w:szCs w:val="18"/>
              </w:rPr>
              <w:t>规范关联交易行为。如违反上述承诺，本人</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本公司愿承担</w:t>
            </w:r>
            <w:r>
              <w:rPr>
                <w:rFonts w:ascii="宋体" w:hAnsi="宋体" w:cs="宋体" w:eastAsia="宋体" w:hint="default"/>
                <w:spacing w:val="-68"/>
                <w:sz w:val="18"/>
                <w:szCs w:val="18"/>
              </w:rPr>
              <w:t> </w:t>
            </w:r>
            <w:r>
              <w:rPr>
                <w:rFonts w:ascii="宋体" w:hAnsi="宋体" w:cs="宋体" w:eastAsia="宋体" w:hint="default"/>
                <w:sz w:val="18"/>
                <w:szCs w:val="18"/>
              </w:rPr>
              <w:t>由此产生的一切法律责任。</w:t>
            </w:r>
            <w:r>
              <w:rPr>
                <w:rFonts w:ascii="Times New Roman" w:hAnsi="Times New Roman" w:cs="Times New Roman" w:eastAsia="Times New Roman" w:hint="default"/>
                <w:sz w:val="18"/>
                <w:szCs w:val="18"/>
              </w:rPr>
              <w:t>"</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9999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6" w:lineRule="auto"/>
              <w:ind w:left="23" w:right="151"/>
              <w:jc w:val="left"/>
              <w:rPr>
                <w:rFonts w:ascii="宋体" w:hAnsi="宋体" w:cs="宋体" w:eastAsia="宋体" w:hint="default"/>
                <w:sz w:val="18"/>
                <w:szCs w:val="18"/>
              </w:rPr>
            </w:pPr>
            <w:r>
              <w:rPr>
                <w:rFonts w:ascii="宋体" w:hAnsi="宋体" w:cs="宋体" w:eastAsia="宋体" w:hint="default"/>
                <w:sz w:val="18"/>
                <w:szCs w:val="18"/>
              </w:rPr>
              <w:t>正常履 行中</w:t>
            </w:r>
          </w:p>
        </w:tc>
      </w:tr>
      <w:tr>
        <w:trPr>
          <w:trHeight w:val="3833" w:hRule="exact"/>
        </w:trPr>
        <w:tc>
          <w:tcPr>
            <w:tcW w:w="1295" w:type="dxa"/>
            <w:vMerge/>
            <w:tcBorders>
              <w:left w:val="single" w:sz="4" w:space="0" w:color="000000"/>
              <w:bottom w:val="single" w:sz="4" w:space="0" w:color="000000"/>
              <w:right w:val="single" w:sz="4" w:space="0" w:color="000000"/>
            </w:tcBorders>
            <w:shd w:val="clear" w:color="auto" w:fill="D4D4D4"/>
          </w:tcPr>
          <w:p>
            <w:pPr/>
          </w:p>
        </w:tc>
        <w:tc>
          <w:tcPr>
            <w:tcW w:w="883" w:type="dxa"/>
            <w:tcBorders>
              <w:top w:val="single" w:sz="4" w:space="0" w:color="000000"/>
              <w:left w:val="single" w:sz="4" w:space="0" w:color="000000"/>
              <w:bottom w:val="single" w:sz="4" w:space="0" w:color="000000"/>
              <w:right w:val="single" w:sz="13" w:space="0" w:color="FFFFFF"/>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316" w:lineRule="auto"/>
              <w:ind w:left="23" w:right="7"/>
              <w:jc w:val="left"/>
              <w:rPr>
                <w:rFonts w:ascii="宋体" w:hAnsi="宋体" w:cs="宋体" w:eastAsia="宋体" w:hint="default"/>
                <w:sz w:val="18"/>
                <w:szCs w:val="18"/>
              </w:rPr>
            </w:pPr>
            <w:r>
              <w:rPr>
                <w:rFonts w:ascii="宋体" w:hAnsi="宋体" w:cs="宋体" w:eastAsia="宋体" w:hint="default"/>
                <w:spacing w:val="-15"/>
                <w:sz w:val="18"/>
                <w:szCs w:val="18"/>
              </w:rPr>
              <w:t>丛艳芬；高</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峰；郭永 芳；黄基 鹏；李国 林；申强 </w:t>
            </w:r>
            <w:r>
              <w:rPr>
                <w:rFonts w:ascii="宋体" w:hAnsi="宋体" w:cs="宋体" w:eastAsia="宋体" w:hint="default"/>
                <w:spacing w:val="-15"/>
                <w:sz w:val="18"/>
                <w:szCs w:val="18"/>
              </w:rPr>
              <w:t>滕达；吴鸿</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伟；张乃 军；张雪 峰；赵庸</w:t>
            </w:r>
          </w:p>
        </w:tc>
        <w:tc>
          <w:tcPr>
            <w:tcW w:w="586"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310" w:lineRule="atLeast"/>
              <w:ind w:left="11" w:right="11"/>
              <w:jc w:val="left"/>
              <w:rPr>
                <w:rFonts w:ascii="宋体" w:hAnsi="宋体" w:cs="宋体" w:eastAsia="宋体" w:hint="default"/>
                <w:sz w:val="18"/>
                <w:szCs w:val="18"/>
              </w:rPr>
            </w:pPr>
            <w:r>
              <w:rPr>
                <w:rFonts w:ascii="宋体" w:hAnsi="宋体" w:cs="宋体" w:eastAsia="宋体" w:hint="default"/>
                <w:sz w:val="18"/>
                <w:szCs w:val="18"/>
              </w:rPr>
              <w:t>关于 同业 竞争、 关联 交易、</w:t>
            </w:r>
          </w:p>
          <w:p>
            <w:pPr>
              <w:pStyle w:val="TableParagraph"/>
              <w:spacing w:line="116" w:lineRule="exact"/>
              <w:ind w:left="-152"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96" w:lineRule="exact"/>
              <w:ind w:left="11" w:right="0"/>
              <w:jc w:val="left"/>
              <w:rPr>
                <w:rFonts w:ascii="宋体" w:hAnsi="宋体" w:cs="宋体" w:eastAsia="宋体" w:hint="default"/>
                <w:sz w:val="18"/>
                <w:szCs w:val="18"/>
              </w:rPr>
            </w:pPr>
            <w:r>
              <w:rPr>
                <w:rFonts w:ascii="宋体" w:hAnsi="宋体" w:cs="宋体" w:eastAsia="宋体" w:hint="default"/>
                <w:sz w:val="18"/>
                <w:szCs w:val="18"/>
              </w:rPr>
              <w:t>资金</w:t>
            </w:r>
          </w:p>
          <w:p>
            <w:pPr>
              <w:pStyle w:val="TableParagraph"/>
              <w:spacing w:line="316" w:lineRule="auto" w:before="76"/>
              <w:ind w:left="11" w:right="191"/>
              <w:jc w:val="both"/>
              <w:rPr>
                <w:rFonts w:ascii="宋体" w:hAnsi="宋体" w:cs="宋体" w:eastAsia="宋体" w:hint="default"/>
                <w:sz w:val="18"/>
                <w:szCs w:val="18"/>
              </w:rPr>
            </w:pPr>
            <w:r>
              <w:rPr>
                <w:rFonts w:ascii="宋体" w:hAnsi="宋体" w:cs="宋体" w:eastAsia="宋体" w:hint="default"/>
                <w:sz w:val="18"/>
                <w:szCs w:val="18"/>
              </w:rPr>
              <w:t>占用 方面 的承 诺</w:t>
            </w:r>
          </w:p>
        </w:tc>
        <w:tc>
          <w:tcPr>
            <w:tcW w:w="45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9"/>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《避免同业竞争承诺函》承诺：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确认及保证在承诺函签署</w:t>
            </w:r>
            <w:r>
              <w:rPr>
                <w:rFonts w:ascii="宋体" w:hAnsi="宋体" w:cs="宋体" w:eastAsia="宋体" w:hint="default"/>
                <w:spacing w:val="-68"/>
                <w:sz w:val="18"/>
                <w:szCs w:val="18"/>
              </w:rPr>
              <w:t> </w:t>
            </w:r>
            <w:r>
              <w:rPr>
                <w:rFonts w:ascii="宋体" w:hAnsi="宋体" w:cs="宋体" w:eastAsia="宋体" w:hint="default"/>
                <w:sz w:val="18"/>
                <w:szCs w:val="18"/>
              </w:rPr>
              <w:t>之日前与美亚柏科不存在直接或间接的同业竞争情形；承 诺不直接或间接从事或发展与美亚柏科经营范围相同或相 类似的业务或项目，也不为自身或代表任何第三方与美亚 柏科进行直接或间接的竞争；承诺不利用从美亚柏科获取 的信息从事、直接或间接参与与美亚柏科相竞争的活动， 并承诺不进行任何损害或可能损害美亚柏科利益的其他竞 争行为；从任何第三方获得的任何商业机会与美亚柏科所 从事的业务有实质性竞争或可能有实质性竞争，将立即通 知美亚柏科，并将该商业机会让与美亚柏科；如出现违反 上述承诺与保证而导致美亚柏科或其他股东权益受到损害 的情况，承诺人将依法承担相应的赔偿责任。</w:t>
            </w:r>
            <w:r>
              <w:rPr>
                <w:rFonts w:ascii="Times New Roman" w:hAnsi="Times New Roman" w:cs="Times New Roman" w:eastAsia="Times New Roman" w:hint="default"/>
                <w:sz w:val="18"/>
                <w:szCs w:val="18"/>
              </w:rPr>
              <w:t>"</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9999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60"/>
              <w:ind w:left="23" w:right="151"/>
              <w:jc w:val="left"/>
              <w:rPr>
                <w:rFonts w:ascii="宋体" w:hAnsi="宋体" w:cs="宋体" w:eastAsia="宋体" w:hint="default"/>
                <w:sz w:val="18"/>
                <w:szCs w:val="18"/>
              </w:rPr>
            </w:pPr>
            <w:r>
              <w:rPr>
                <w:rFonts w:ascii="宋体" w:hAnsi="宋体" w:cs="宋体" w:eastAsia="宋体" w:hint="default"/>
                <w:sz w:val="18"/>
                <w:szCs w:val="18"/>
              </w:rPr>
              <w:t>正常履 行中</w:t>
            </w:r>
          </w:p>
        </w:tc>
      </w:tr>
      <w:tr>
        <w:trPr>
          <w:trHeight w:val="1027" w:hRule="exact"/>
        </w:trPr>
        <w:tc>
          <w:tcPr>
            <w:tcW w:w="12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0"/>
              <w:ind w:left="23" w:right="127"/>
              <w:jc w:val="both"/>
              <w:rPr>
                <w:rFonts w:ascii="宋体" w:hAnsi="宋体" w:cs="宋体" w:eastAsia="宋体" w:hint="default"/>
                <w:sz w:val="18"/>
                <w:szCs w:val="18"/>
              </w:rPr>
            </w:pPr>
            <w:r>
              <w:rPr>
                <w:rFonts w:ascii="宋体" w:hAnsi="宋体" w:cs="宋体" w:eastAsia="宋体" w:hint="default"/>
                <w:sz w:val="18"/>
                <w:szCs w:val="18"/>
              </w:rPr>
              <w:t>厦门市美 亚柏科信 息股份有</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191"/>
              <w:jc w:val="left"/>
              <w:rPr>
                <w:rFonts w:ascii="宋体" w:hAnsi="宋体" w:cs="宋体" w:eastAsia="宋体" w:hint="default"/>
                <w:sz w:val="18"/>
                <w:szCs w:val="18"/>
              </w:rPr>
            </w:pPr>
            <w:r>
              <w:rPr>
                <w:rFonts w:ascii="宋体" w:hAnsi="宋体" w:cs="宋体" w:eastAsia="宋体" w:hint="default"/>
                <w:sz w:val="18"/>
                <w:szCs w:val="18"/>
              </w:rPr>
              <w:t>其他 承诺</w:t>
            </w:r>
          </w:p>
        </w:tc>
        <w:tc>
          <w:tcPr>
            <w:tcW w:w="4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38"/>
              <w:jc w:val="left"/>
              <w:rPr>
                <w:rFonts w:ascii="宋体" w:hAnsi="宋体" w:cs="宋体" w:eastAsia="宋体" w:hint="default"/>
                <w:sz w:val="18"/>
                <w:szCs w:val="18"/>
              </w:rPr>
            </w:pPr>
            <w:r>
              <w:rPr>
                <w:rFonts w:ascii="宋体" w:hAnsi="宋体" w:cs="宋体" w:eastAsia="宋体" w:hint="default"/>
                <w:sz w:val="18"/>
                <w:szCs w:val="18"/>
              </w:rPr>
              <w:t>公司承诺不为公司第二期限制股票激励对象提供贷款以及 其他任何形式的财务资助，包括为其贷款提供担保。</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151"/>
              <w:jc w:val="left"/>
              <w:rPr>
                <w:rFonts w:ascii="宋体" w:hAnsi="宋体" w:cs="宋体" w:eastAsia="宋体" w:hint="default"/>
                <w:sz w:val="18"/>
                <w:szCs w:val="18"/>
              </w:rPr>
            </w:pPr>
            <w:r>
              <w:rPr>
                <w:rFonts w:ascii="宋体" w:hAnsi="宋体" w:cs="宋体" w:eastAsia="宋体" w:hint="default"/>
                <w:sz w:val="18"/>
                <w:szCs w:val="18"/>
              </w:rPr>
              <w:t>正常履 行中</w:t>
            </w:r>
          </w:p>
        </w:tc>
      </w:tr>
    </w:tbl>
    <w:p>
      <w:pPr>
        <w:spacing w:after="0" w:line="316"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264.720001pt;margin-top:485.759979pt;width:195.75pt;height:101.4pt;mso-position-horizontal-relative:page;mso-position-vertical-relative:page;z-index:-1348552" type="#_x0000_t202" filled="false" stroked="false">
            <v:textbox inset="0,0,0,0">
              <w:txbxContent>
                <w:p>
                  <w:pPr>
                    <w:spacing w:before="125"/>
                    <w:ind w:left="0" w:right="0" w:firstLine="0"/>
                    <w:jc w:val="left"/>
                    <w:rPr>
                      <w:rFonts w:ascii="宋体" w:hAnsi="宋体" w:cs="宋体" w:eastAsia="宋体" w:hint="default"/>
                      <w:sz w:val="18"/>
                      <w:szCs w:val="18"/>
                    </w:rPr>
                  </w:pPr>
                  <w:r>
                    <w:rPr>
                      <w:rFonts w:ascii="宋体" w:hAnsi="宋体" w:cs="宋体" w:eastAsia="宋体" w:hint="default"/>
                      <w:sz w:val="18"/>
                      <w:szCs w:val="18"/>
                    </w:rPr>
                    <w:t>激励对象获授限制性股票的解锁条件为：</w:t>
                  </w:r>
                </w:p>
              </w:txbxContent>
            </v:textbox>
            <w10:wrap type="none"/>
          </v:shape>
        </w:pict>
      </w:r>
      <w:r>
        <w:rPr/>
        <w:pict>
          <v:group style="position:absolute;margin-left:425.040009pt;margin-top:284.279968pt;width:34.2pt;height:17.650pt;mso-position-horizontal-relative:page;mso-position-vertical-relative:page;z-index:-1348528" coordorigin="8501,5686" coordsize="684,353">
            <v:shape style="position:absolute;left:8501;top:5686;width:684;height:353" coordorigin="8501,5686" coordsize="684,353" path="m8501,6038l9185,6038,9185,5686,8501,5686,8501,6038xe" filled="true" fillcolor="#ffffff" stroked="false">
              <v:path arrowok="t"/>
              <v:fill type="solid"/>
            </v:shape>
            <w10:wrap type="none"/>
          </v:group>
        </w:pict>
      </w:r>
      <w:r>
        <w:rPr/>
        <w:pict>
          <v:group style="position:absolute;margin-left:423.959991pt;margin-top:333.599976pt;width:36.5pt;height:134.65pt;mso-position-horizontal-relative:page;mso-position-vertical-relative:page;z-index:-1348504" coordorigin="8479,6672" coordsize="730,2693">
            <v:group style="position:absolute;left:8479;top:6672;width:730;height:2028" coordorigin="8479,6672" coordsize="730,2028">
              <v:shape style="position:absolute;left:8479;top:6672;width:730;height:2028" coordorigin="8479,6672" coordsize="730,2028" path="m8479,8700l9209,8700,9209,6672,8479,6672,8479,8700xe" filled="true" fillcolor="#ffffff" stroked="false">
                <v:path arrowok="t"/>
                <v:fill type="solid"/>
              </v:shape>
            </v:group>
            <v:group style="position:absolute;left:8501;top:8700;width:684;height:353" coordorigin="8501,8700" coordsize="684,353">
              <v:shape style="position:absolute;left:8501;top:8700;width:684;height:353" coordorigin="8501,8700" coordsize="684,353" path="m8501,9053l9185,9053,9185,8700,8501,8700,8501,9053xe" filled="true" fillcolor="#ffffff" stroked="false">
                <v:path arrowok="t"/>
                <v:fill type="solid"/>
              </v:shape>
            </v:group>
            <v:group style="position:absolute;left:8501;top:9053;width:684;height:312" coordorigin="8501,9053" coordsize="684,312">
              <v:shape style="position:absolute;left:8501;top:9053;width:684;height:312" coordorigin="8501,9053" coordsize="684,312" path="m8501,9365l9185,9365,9185,9053,8501,9053,8501,9365xe" filled="true" fillcolor="#ffffff" stroked="false">
                <v:path arrowok="t"/>
                <v:fill type="solid"/>
              </v:shape>
            </v:group>
            <w10:wrap type="none"/>
          </v:group>
        </w:pict>
      </w:r>
      <w:r>
        <w:rPr/>
        <w:pict>
          <v:group style="position:absolute;margin-left:423.959991pt;margin-top:485.759979pt;width:36.5pt;height:101.4pt;mso-position-horizontal-relative:page;mso-position-vertical-relative:page;z-index:-1348480" coordorigin="8479,9715" coordsize="730,2028">
            <v:shape style="position:absolute;left:8479;top:9715;width:730;height:2028" coordorigin="8479,9715" coordsize="730,2028" path="m8479,11743l9209,11743,9209,9715,8479,9715,8479,11743xe" filled="true" fillcolor="#ffffff" stroked="false">
              <v:path arrowok="t"/>
              <v:fill type="solid"/>
            </v:shape>
            <w10:wrap type="none"/>
          </v:group>
        </w:pict>
      </w:r>
      <w:r>
        <w:rPr/>
        <w:pict>
          <v:group style="position:absolute;margin-left:165.960007pt;margin-top:728.76001pt;width:28.7pt;height:39pt;mso-position-horizontal-relative:page;mso-position-vertical-relative:page;z-index:-1348456" coordorigin="3319,14575" coordsize="574,780">
            <v:shape style="position:absolute;left:3319;top:14575;width:574;height:780" coordorigin="3319,14575" coordsize="574,780" path="m3319,15355l3893,15355,3893,14575,3319,14575,3319,15355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95"/>
        <w:gridCol w:w="883"/>
        <w:gridCol w:w="586"/>
        <w:gridCol w:w="4574"/>
        <w:gridCol w:w="742"/>
        <w:gridCol w:w="758"/>
        <w:gridCol w:w="727"/>
      </w:tblGrid>
      <w:tr>
        <w:trPr>
          <w:trHeight w:val="362" w:hRule="exact"/>
        </w:trPr>
        <w:tc>
          <w:tcPr>
            <w:tcW w:w="1295" w:type="dxa"/>
            <w:vMerge w:val="restart"/>
            <w:tcBorders>
              <w:top w:val="single" w:sz="4" w:space="0" w:color="000000"/>
              <w:left w:val="single" w:sz="4" w:space="0" w:color="000000"/>
              <w:right w:val="single" w:sz="4" w:space="0" w:color="000000"/>
            </w:tcBorders>
            <w:shd w:val="clear" w:color="auto" w:fill="D4D4D4"/>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586" w:type="dxa"/>
            <w:tcBorders>
              <w:top w:val="single" w:sz="4" w:space="0" w:color="000000"/>
              <w:left w:val="single" w:sz="4" w:space="0" w:color="000000"/>
              <w:bottom w:val="single" w:sz="4" w:space="0" w:color="000000"/>
              <w:right w:val="single" w:sz="4" w:space="0" w:color="000000"/>
            </w:tcBorders>
          </w:tcPr>
          <w:p>
            <w:pPr/>
          </w:p>
        </w:tc>
        <w:tc>
          <w:tcPr>
            <w:tcW w:w="4574"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r>
      <w:tr>
        <w:trPr>
          <w:trHeight w:val="2585" w:hRule="exact"/>
        </w:trPr>
        <w:tc>
          <w:tcPr>
            <w:tcW w:w="1295" w:type="dxa"/>
            <w:vMerge/>
            <w:tcBorders>
              <w:left w:val="single" w:sz="4" w:space="0" w:color="000000"/>
              <w:right w:val="single" w:sz="4" w:space="0" w:color="000000"/>
            </w:tcBorders>
            <w:shd w:val="clear" w:color="auto" w:fill="D4D4D4"/>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19"/>
              <w:jc w:val="left"/>
              <w:rPr>
                <w:rFonts w:ascii="宋体" w:hAnsi="宋体" w:cs="宋体" w:eastAsia="宋体" w:hint="default"/>
                <w:sz w:val="18"/>
                <w:szCs w:val="18"/>
              </w:rPr>
            </w:pPr>
            <w:r>
              <w:rPr>
                <w:rFonts w:ascii="宋体" w:hAnsi="宋体" w:cs="宋体" w:eastAsia="宋体" w:hint="default"/>
                <w:spacing w:val="-15"/>
                <w:sz w:val="18"/>
                <w:szCs w:val="18"/>
              </w:rPr>
              <w:t>葛鹏；李滢</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雪；栾江 霞；苏学 武；吴鸿 伟；张乃 军；赵庸</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7"/>
              <w:ind w:left="23" w:right="191"/>
              <w:jc w:val="left"/>
              <w:rPr>
                <w:rFonts w:ascii="宋体" w:hAnsi="宋体" w:cs="宋体" w:eastAsia="宋体" w:hint="default"/>
                <w:sz w:val="18"/>
                <w:szCs w:val="18"/>
              </w:rPr>
            </w:pPr>
            <w:r>
              <w:rPr>
                <w:rFonts w:ascii="宋体" w:hAnsi="宋体" w:cs="宋体" w:eastAsia="宋体" w:hint="default"/>
                <w:sz w:val="18"/>
                <w:szCs w:val="18"/>
              </w:rPr>
              <w:t>其他 承诺</w:t>
            </w:r>
          </w:p>
        </w:tc>
        <w:tc>
          <w:tcPr>
            <w:tcW w:w="457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3" w:right="36"/>
              <w:jc w:val="both"/>
              <w:rPr>
                <w:rFonts w:ascii="宋体" w:hAnsi="宋体" w:cs="宋体" w:eastAsia="宋体" w:hint="default"/>
                <w:sz w:val="18"/>
                <w:szCs w:val="18"/>
              </w:rPr>
            </w:pPr>
            <w:r>
              <w:rPr>
                <w:rFonts w:ascii="宋体" w:hAnsi="宋体" w:cs="宋体" w:eastAsia="宋体" w:hint="default"/>
                <w:sz w:val="18"/>
                <w:szCs w:val="18"/>
              </w:rPr>
              <w:t>公司第二期限制性股票激励</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471 </w:t>
            </w:r>
            <w:r>
              <w:rPr>
                <w:rFonts w:ascii="宋体" w:hAnsi="宋体" w:cs="宋体" w:eastAsia="宋体" w:hint="default"/>
                <w:sz w:val="18"/>
                <w:szCs w:val="18"/>
              </w:rPr>
              <w:t>名激励对象（包括</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名董 事及高管：苏学武、葛鹏、赵庸、吴鸿伟、栾江霞、李滢 雪、张乃军）承诺：作为公司第二期限制性股票激励计划 的激励对象，承诺如因公司信息披露文件有虚假记载、误 导性陈述或者重大遗漏，导致不符合授予权益或行使权益 安排的，自相关信息披露文件被确认存在虚假记载、误导 性陈述或者重大遗漏后，将由本计划所获得的全部利益反 还公司。</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7"/>
              <w:ind w:left="23" w:right="151"/>
              <w:jc w:val="left"/>
              <w:rPr>
                <w:rFonts w:ascii="宋体" w:hAnsi="宋体" w:cs="宋体" w:eastAsia="宋体" w:hint="default"/>
                <w:sz w:val="18"/>
                <w:szCs w:val="18"/>
              </w:rPr>
            </w:pPr>
            <w:r>
              <w:rPr>
                <w:rFonts w:ascii="宋体" w:hAnsi="宋体" w:cs="宋体" w:eastAsia="宋体" w:hint="default"/>
                <w:sz w:val="18"/>
                <w:szCs w:val="18"/>
              </w:rPr>
              <w:t>正常履 行中</w:t>
            </w:r>
          </w:p>
        </w:tc>
      </w:tr>
      <w:tr>
        <w:trPr>
          <w:trHeight w:val="2275" w:hRule="exact"/>
        </w:trPr>
        <w:tc>
          <w:tcPr>
            <w:tcW w:w="1295" w:type="dxa"/>
            <w:vMerge/>
            <w:tcBorders>
              <w:left w:val="single" w:sz="4" w:space="0" w:color="000000"/>
              <w:right w:val="single" w:sz="4" w:space="0" w:color="000000"/>
            </w:tcBorders>
            <w:shd w:val="clear" w:color="auto" w:fill="D4D4D4"/>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23" w:right="0"/>
              <w:jc w:val="left"/>
              <w:rPr>
                <w:rFonts w:ascii="宋体" w:hAnsi="宋体" w:cs="宋体" w:eastAsia="宋体" w:hint="default"/>
                <w:sz w:val="18"/>
                <w:szCs w:val="18"/>
              </w:rPr>
            </w:pPr>
            <w:r>
              <w:rPr>
                <w:rFonts w:ascii="宋体" w:hAnsi="宋体" w:cs="宋体" w:eastAsia="宋体" w:hint="default"/>
                <w:sz w:val="18"/>
                <w:szCs w:val="18"/>
              </w:rPr>
              <w:t>张雪峰</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6" w:lineRule="auto"/>
              <w:ind w:left="23" w:right="191"/>
              <w:jc w:val="left"/>
              <w:rPr>
                <w:rFonts w:ascii="宋体" w:hAnsi="宋体" w:cs="宋体" w:eastAsia="宋体" w:hint="default"/>
                <w:sz w:val="18"/>
                <w:szCs w:val="18"/>
              </w:rPr>
            </w:pPr>
            <w:r>
              <w:rPr>
                <w:rFonts w:ascii="宋体" w:hAnsi="宋体" w:cs="宋体" w:eastAsia="宋体" w:hint="default"/>
                <w:sz w:val="18"/>
                <w:szCs w:val="18"/>
              </w:rPr>
              <w:t>其他 承诺</w:t>
            </w:r>
          </w:p>
        </w:tc>
        <w:tc>
          <w:tcPr>
            <w:tcW w:w="4574" w:type="dxa"/>
            <w:tcBorders>
              <w:top w:val="single" w:sz="4" w:space="0" w:color="000000"/>
              <w:left w:val="single" w:sz="4" w:space="0" w:color="000000"/>
              <w:bottom w:val="single" w:sz="4" w:space="0" w:color="000000"/>
              <w:right w:val="single" w:sz="13" w:space="0" w:color="FFFFFF"/>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公司第二期限制性股票激励计划预留部分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101 </w:t>
            </w:r>
            <w:r>
              <w:rPr>
                <w:rFonts w:ascii="宋体" w:hAnsi="宋体" w:cs="宋体" w:eastAsia="宋体" w:hint="default"/>
                <w:sz w:val="18"/>
                <w:szCs w:val="18"/>
              </w:rPr>
              <w:t>名激励对象</w:t>
            </w:r>
          </w:p>
          <w:p>
            <w:pPr>
              <w:pStyle w:val="TableParagraph"/>
              <w:spacing w:line="316" w:lineRule="auto" w:before="63"/>
              <w:ind w:left="23" w:right="-46"/>
              <w:jc w:val="left"/>
              <w:rPr>
                <w:rFonts w:ascii="宋体" w:hAnsi="宋体" w:cs="宋体" w:eastAsia="宋体" w:hint="default"/>
                <w:sz w:val="18"/>
                <w:szCs w:val="18"/>
              </w:rPr>
            </w:pPr>
            <w:r>
              <w:rPr>
                <w:rFonts w:ascii="宋体" w:hAnsi="宋体" w:cs="宋体" w:eastAsia="宋体" w:hint="default"/>
                <w:sz w:val="18"/>
                <w:szCs w:val="18"/>
              </w:rPr>
              <w:t>（包括高管张雪峰）承诺：作为公司第二期限制性股票激 励计划的激励对象，承诺如因公司信息披露文件有虚假记 载、误导性陈述或者重大遗漏，导致不符合授予权益或行 </w:t>
            </w:r>
            <w:r>
              <w:rPr>
                <w:rFonts w:ascii="宋体" w:hAnsi="宋体" w:cs="宋体" w:eastAsia="宋体" w:hint="default"/>
                <w:spacing w:val="-5"/>
                <w:sz w:val="18"/>
                <w:szCs w:val="18"/>
              </w:rPr>
              <w:t>使权益安排的，自相关信息披露文件被确认存在虚假记载、</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误导性陈述或者重大遗漏后，将由本计划所获得的全部利</w:t>
            </w:r>
            <w:r>
              <w:rPr>
                <w:rFonts w:ascii="宋体" w:hAnsi="宋体" w:cs="宋体" w:eastAsia="宋体" w:hint="default"/>
                <w:sz w:val="18"/>
                <w:szCs w:val="18"/>
              </w:rPr>
              <w:t> 益反还公司。</w:t>
            </w:r>
          </w:p>
        </w:tc>
        <w:tc>
          <w:tcPr>
            <w:tcW w:w="742"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13</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6" w:lineRule="auto"/>
              <w:ind w:left="23" w:right="151"/>
              <w:jc w:val="left"/>
              <w:rPr>
                <w:rFonts w:ascii="宋体" w:hAnsi="宋体" w:cs="宋体" w:eastAsia="宋体" w:hint="default"/>
                <w:sz w:val="18"/>
                <w:szCs w:val="18"/>
              </w:rPr>
            </w:pPr>
            <w:r>
              <w:rPr>
                <w:rFonts w:ascii="宋体" w:hAnsi="宋体" w:cs="宋体" w:eastAsia="宋体" w:hint="default"/>
                <w:sz w:val="18"/>
                <w:szCs w:val="18"/>
              </w:rPr>
              <w:t>正常履 行中</w:t>
            </w:r>
          </w:p>
        </w:tc>
      </w:tr>
      <w:tr>
        <w:trPr>
          <w:trHeight w:val="5081" w:hRule="exact"/>
        </w:trPr>
        <w:tc>
          <w:tcPr>
            <w:tcW w:w="1295" w:type="dxa"/>
            <w:vMerge/>
            <w:tcBorders>
              <w:left w:val="single" w:sz="4" w:space="0" w:color="000000"/>
              <w:right w:val="single" w:sz="4" w:space="0" w:color="000000"/>
            </w:tcBorders>
            <w:shd w:val="clear" w:color="auto" w:fill="D4D4D4"/>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316" w:lineRule="auto"/>
              <w:ind w:left="23" w:right="127"/>
              <w:jc w:val="both"/>
              <w:rPr>
                <w:rFonts w:ascii="宋体" w:hAnsi="宋体" w:cs="宋体" w:eastAsia="宋体" w:hint="default"/>
                <w:sz w:val="18"/>
                <w:szCs w:val="18"/>
              </w:rPr>
            </w:pPr>
            <w:r>
              <w:rPr>
                <w:rFonts w:ascii="宋体" w:hAnsi="宋体" w:cs="宋体" w:eastAsia="宋体" w:hint="default"/>
                <w:sz w:val="18"/>
                <w:szCs w:val="18"/>
              </w:rPr>
              <w:t>厦门市美 亚柏科信 息股份有 限公司</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316" w:lineRule="auto"/>
              <w:ind w:left="23" w:right="191"/>
              <w:jc w:val="left"/>
              <w:rPr>
                <w:rFonts w:ascii="宋体" w:hAnsi="宋体" w:cs="宋体" w:eastAsia="宋体" w:hint="default"/>
                <w:sz w:val="18"/>
                <w:szCs w:val="18"/>
              </w:rPr>
            </w:pPr>
            <w:r>
              <w:rPr>
                <w:rFonts w:ascii="宋体" w:hAnsi="宋体" w:cs="宋体" w:eastAsia="宋体" w:hint="default"/>
                <w:sz w:val="18"/>
                <w:szCs w:val="18"/>
              </w:rPr>
              <w:t>其他 承诺</w:t>
            </w:r>
          </w:p>
        </w:tc>
        <w:tc>
          <w:tcPr>
            <w:tcW w:w="4574" w:type="dxa"/>
            <w:tcBorders>
              <w:top w:val="single" w:sz="4" w:space="0" w:color="000000"/>
              <w:left w:val="single" w:sz="4" w:space="0" w:color="000000"/>
              <w:bottom w:val="single" w:sz="4" w:space="0" w:color="000000"/>
              <w:right w:val="single" w:sz="9" w:space="0" w:color="FFFFFF"/>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本次限制性股票激励计划有效期为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年，自限制性股票授</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予日起计，其中锁定期</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3"/>
                <w:sz w:val="18"/>
                <w:szCs w:val="18"/>
              </w:rPr>
              <w:t>，</w:t>
            </w:r>
            <w:r>
              <w:rPr>
                <w:rFonts w:ascii="宋体" w:hAnsi="宋体" w:cs="宋体" w:eastAsia="宋体" w:hint="default"/>
                <w:sz w:val="18"/>
                <w:szCs w:val="18"/>
              </w:rPr>
              <w:t>解锁期</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1</w:t>
            </w:r>
            <w:r>
              <w:rPr>
                <w:rFonts w:ascii="宋体" w:hAnsi="宋体" w:cs="宋体" w:eastAsia="宋体" w:hint="default"/>
                <w:sz w:val="18"/>
                <w:szCs w:val="18"/>
              </w:rPr>
              <w:t>）自董事会</w:t>
            </w:r>
          </w:p>
          <w:p>
            <w:pPr>
              <w:pStyle w:val="TableParagraph"/>
              <w:spacing w:line="307" w:lineRule="auto" w:before="63"/>
              <w:ind w:left="23" w:right="13"/>
              <w:jc w:val="left"/>
              <w:rPr>
                <w:rFonts w:ascii="Times New Roman" w:hAnsi="Times New Roman" w:cs="Times New Roman" w:eastAsia="Times New Roman" w:hint="default"/>
                <w:sz w:val="18"/>
                <w:szCs w:val="18"/>
              </w:rPr>
            </w:pPr>
            <w:r>
              <w:rPr>
                <w:rFonts w:ascii="宋体" w:hAnsi="宋体" w:cs="宋体" w:eastAsia="宋体" w:hint="default"/>
                <w:sz w:val="18"/>
                <w:szCs w:val="18"/>
              </w:rPr>
              <w:t>确定的限制性股票授予日起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pacing w:val="-6"/>
                <w:sz w:val="18"/>
                <w:szCs w:val="18"/>
              </w:rPr>
              <w:t>个月内为锁定期。在锁定期</w:t>
            </w:r>
            <w:r>
              <w:rPr>
                <w:rFonts w:ascii="宋体" w:hAnsi="宋体" w:cs="宋体" w:eastAsia="宋体" w:hint="default"/>
                <w:sz w:val="18"/>
                <w:szCs w:val="18"/>
              </w:rPr>
              <w:t> 内，激励对象根据本计划获授的限制性股票予以锁定，不 </w:t>
            </w:r>
            <w:r>
              <w:rPr>
                <w:rFonts w:ascii="宋体" w:hAnsi="宋体" w:cs="宋体" w:eastAsia="宋体" w:hint="default"/>
                <w:spacing w:val="-5"/>
                <w:sz w:val="18"/>
                <w:szCs w:val="18"/>
              </w:rPr>
              <w:t>得转让；（</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）自限制性股票激励计划授予日起</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个月后</w:t>
            </w:r>
            <w:r>
              <w:rPr>
                <w:rFonts w:ascii="宋体" w:hAnsi="宋体" w:cs="宋体" w:eastAsia="宋体" w:hint="default"/>
                <w:spacing w:val="-82"/>
                <w:sz w:val="18"/>
                <w:szCs w:val="18"/>
              </w:rPr>
              <w:t> </w:t>
            </w:r>
            <w:r>
              <w:rPr>
                <w:rFonts w:ascii="宋体" w:hAnsi="宋体" w:cs="宋体" w:eastAsia="宋体" w:hint="default"/>
                <w:sz w:val="18"/>
                <w:szCs w:val="18"/>
              </w:rPr>
              <w:t>满足解锁条件的，激励对象可以申请解锁。首次授予分三 期申请解锁，分别自授予日起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个月后、</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个月后及</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个月后分别申请解锁所获授限制性股票总量的</w:t>
            </w:r>
            <w:r>
              <w:rPr>
                <w:rFonts w:ascii="宋体" w:hAnsi="宋体" w:cs="宋体" w:eastAsia="宋体" w:hint="default"/>
                <w:spacing w:val="-44"/>
                <w:sz w:val="18"/>
                <w:szCs w:val="18"/>
              </w:rPr>
              <w:t> </w:t>
            </w:r>
            <w:r>
              <w:rPr>
                <w:rFonts w:ascii="Times New Roman" w:hAnsi="Times New Roman" w:cs="Times New Roman" w:eastAsia="Times New Roman" w:hint="default"/>
                <w:spacing w:val="-9"/>
                <w:sz w:val="18"/>
                <w:szCs w:val="18"/>
              </w:rPr>
              <w:t>40%</w:t>
            </w:r>
            <w:r>
              <w:rPr>
                <w:rFonts w:ascii="宋体" w:hAnsi="宋体" w:cs="宋体" w:eastAsia="宋体" w:hint="default"/>
                <w:spacing w:val="-9"/>
                <w:sz w:val="18"/>
                <w:szCs w:val="18"/>
              </w:rPr>
              <w:t>、</w:t>
            </w:r>
            <w:r>
              <w:rPr>
                <w:rFonts w:ascii="Times New Roman" w:hAnsi="Times New Roman" w:cs="Times New Roman" w:eastAsia="Times New Roman" w:hint="default"/>
                <w:spacing w:val="-9"/>
                <w:sz w:val="18"/>
                <w:szCs w:val="18"/>
              </w:rPr>
              <w:t>30%</w:t>
            </w:r>
            <w:r>
              <w:rPr>
                <w:rFonts w:ascii="Times New Roman" w:hAnsi="Times New Roman" w:cs="Times New Roman" w:eastAsia="Times New Roman" w:hint="default"/>
                <w:spacing w:val="-41"/>
                <w:sz w:val="18"/>
                <w:szCs w:val="18"/>
              </w:rPr>
              <w:t> </w:t>
            </w:r>
            <w:r>
              <w:rPr>
                <w:rFonts w:ascii="Times New Roman" w:hAnsi="Times New Roman" w:cs="Times New Roman" w:eastAsia="Times New Roman" w:hint="default"/>
                <w:spacing w:val="-41"/>
                <w:sz w:val="18"/>
                <w:szCs w:val="18"/>
              </w:rPr>
            </w:r>
            <w:r>
              <w:rPr>
                <w:rFonts w:ascii="Times New Roman" w:hAnsi="Times New Roman" w:cs="Times New Roman" w:eastAsia="Times New Roman" w:hint="default"/>
                <w:sz w:val="18"/>
                <w:szCs w:val="18"/>
              </w:rPr>
              <w:t>30%</w:t>
            </w:r>
            <w:r>
              <w:rPr>
                <w:rFonts w:ascii="宋体" w:hAnsi="宋体" w:cs="宋体" w:eastAsia="宋体" w:hint="default"/>
                <w:sz w:val="18"/>
                <w:szCs w:val="18"/>
              </w:rPr>
              <w:t>。预留部分分两次申请解锁，分别自首次授予日起</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24</w:t>
            </w:r>
          </w:p>
          <w:p>
            <w:pPr>
              <w:pStyle w:val="TableParagraph"/>
              <w:spacing w:line="307" w:lineRule="auto" w:before="7"/>
              <w:ind w:left="23" w:right="11"/>
              <w:jc w:val="left"/>
              <w:rPr>
                <w:rFonts w:ascii="宋体" w:hAnsi="宋体" w:cs="宋体" w:eastAsia="宋体" w:hint="default"/>
                <w:sz w:val="18"/>
                <w:szCs w:val="18"/>
              </w:rPr>
            </w:pPr>
            <w:r>
              <w:rPr>
                <w:rFonts w:ascii="宋体" w:hAnsi="宋体" w:cs="宋体" w:eastAsia="宋体" w:hint="default"/>
                <w:sz w:val="18"/>
                <w:szCs w:val="18"/>
              </w:rPr>
              <w:t>个月后及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 </w:t>
            </w:r>
            <w:r>
              <w:rPr>
                <w:rFonts w:ascii="宋体" w:hAnsi="宋体" w:cs="宋体" w:eastAsia="宋体" w:hint="default"/>
                <w:sz w:val="18"/>
                <w:szCs w:val="18"/>
              </w:rPr>
              <w:t>个月后分别申请解锁所获授限制性股票总量 </w:t>
            </w:r>
            <w:r>
              <w:rPr>
                <w:rFonts w:ascii="Times New Roman" w:hAnsi="Times New Roman" w:cs="Times New Roman" w:eastAsia="Times New Roman" w:hint="default"/>
                <w:sz w:val="18"/>
                <w:szCs w:val="18"/>
              </w:rPr>
              <w:t>50%</w:t>
            </w:r>
            <w:r>
              <w:rPr>
                <w:rFonts w:ascii="宋体" w:hAnsi="宋体" w:cs="宋体" w:eastAsia="宋体" w:hint="default"/>
                <w:sz w:val="18"/>
                <w:szCs w:val="18"/>
              </w:rPr>
              <w:t>和</w:t>
            </w:r>
            <w:r>
              <w:rPr>
                <w:rFonts w:ascii="宋体" w:hAnsi="宋体" w:cs="宋体" w:eastAsia="宋体" w:hint="default"/>
                <w:spacing w:val="-45"/>
                <w:sz w:val="18"/>
                <w:szCs w:val="18"/>
              </w:rPr>
              <w:t> </w:t>
            </w:r>
            <w:r>
              <w:rPr>
                <w:rFonts w:ascii="Times New Roman" w:hAnsi="Times New Roman" w:cs="Times New Roman" w:eastAsia="Times New Roman" w:hint="default"/>
                <w:spacing w:val="-18"/>
                <w:sz w:val="18"/>
                <w:szCs w:val="18"/>
              </w:rPr>
              <w:t>50%</w:t>
            </w:r>
            <w:r>
              <w:rPr>
                <w:rFonts w:ascii="宋体" w:hAnsi="宋体" w:cs="宋体" w:eastAsia="宋体" w:hint="default"/>
                <w:spacing w:val="-18"/>
                <w:sz w:val="18"/>
                <w:szCs w:val="18"/>
              </w:rPr>
              <w:t>。（</w:t>
            </w:r>
            <w:r>
              <w:rPr>
                <w:rFonts w:ascii="Times New Roman" w:hAnsi="Times New Roman" w:cs="Times New Roman" w:eastAsia="Times New Roman" w:hint="default"/>
                <w:spacing w:val="-18"/>
                <w:sz w:val="18"/>
                <w:szCs w:val="18"/>
              </w:rPr>
              <w:t>3</w:t>
            </w:r>
            <w:r>
              <w:rPr>
                <w:rFonts w:ascii="宋体" w:hAnsi="宋体" w:cs="宋体" w:eastAsia="宋体" w:hint="default"/>
                <w:spacing w:val="-18"/>
                <w:sz w:val="18"/>
                <w:szCs w:val="18"/>
              </w:rPr>
              <w:t>）</w:t>
            </w:r>
            <w:r>
              <w:rPr>
                <w:rFonts w:ascii="宋体" w:hAnsi="宋体" w:cs="宋体" w:eastAsia="宋体" w:hint="default"/>
                <w:spacing w:val="-88"/>
                <w:sz w:val="18"/>
                <w:szCs w:val="18"/>
              </w:rPr>
              <w:t> </w:t>
            </w:r>
            <w:r>
              <w:rPr>
                <w:rFonts w:ascii="宋体" w:hAnsi="宋体" w:cs="宋体" w:eastAsia="宋体" w:hint="default"/>
                <w:sz w:val="18"/>
                <w:szCs w:val="18"/>
              </w:rPr>
              <w:t>激励对象当年年度考核、关键事件考核两项考核内容全部 为合格。对于按照股权激励计划授予的限制性股票，激励 </w:t>
            </w:r>
            <w:r>
              <w:rPr>
                <w:rFonts w:ascii="宋体" w:hAnsi="宋体" w:cs="宋体" w:eastAsia="宋体" w:hint="default"/>
                <w:spacing w:val="-4"/>
                <w:sz w:val="18"/>
                <w:szCs w:val="18"/>
              </w:rPr>
              <w:t>对象每一次申请标的股票解锁的公司业绩条件为：以</w:t>
            </w:r>
            <w:r>
              <w:rPr>
                <w:rFonts w:ascii="宋体" w:hAnsi="宋体" w:cs="宋体" w:eastAsia="宋体" w:hint="default"/>
                <w:spacing w:val="17"/>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42"/>
                <w:sz w:val="18"/>
                <w:szCs w:val="18"/>
              </w:rPr>
              <w:t> </w:t>
            </w:r>
            <w:r>
              <w:rPr>
                <w:rFonts w:ascii="Times New Roman" w:hAnsi="Times New Roman" w:cs="Times New Roman" w:eastAsia="Times New Roman" w:hint="default"/>
                <w:spacing w:val="-42"/>
                <w:sz w:val="18"/>
                <w:szCs w:val="18"/>
              </w:rPr>
            </w:r>
            <w:r>
              <w:rPr>
                <w:rFonts w:ascii="宋体" w:hAnsi="宋体" w:cs="宋体" w:eastAsia="宋体" w:hint="default"/>
                <w:sz w:val="18"/>
                <w:szCs w:val="18"/>
              </w:rPr>
              <w:t>年度净利润为基数，</w:t>
            </w:r>
            <w:r>
              <w:rPr>
                <w:rFonts w:ascii="Times New Roman" w:hAnsi="Times New Roman" w:cs="Times New Roman" w:eastAsia="Times New Roman" w:hint="default"/>
                <w:sz w:val="18"/>
                <w:szCs w:val="18"/>
              </w:rPr>
              <w:t>2016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2017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年公司每年 净利润增长率不低于基准年净利润的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r>
              <w:rPr>
                <w:rFonts w:ascii="Times New Roman" w:hAnsi="Times New Roman" w:cs="Times New Roman" w:eastAsia="Times New Roman" w:hint="default"/>
                <w:sz w:val="18"/>
                <w:szCs w:val="18"/>
              </w:rPr>
              <w:t>50%</w:t>
            </w:r>
            <w:r>
              <w:rPr>
                <w:rFonts w:ascii="宋体" w:hAnsi="宋体" w:cs="宋体" w:eastAsia="宋体" w:hint="default"/>
                <w:sz w:val="18"/>
                <w:szCs w:val="18"/>
              </w:rPr>
              <w:t>、</w:t>
            </w:r>
            <w:r>
              <w:rPr>
                <w:rFonts w:ascii="Times New Roman" w:hAnsi="Times New Roman" w:cs="Times New Roman" w:eastAsia="Times New Roman" w:hint="default"/>
                <w:sz w:val="18"/>
                <w:szCs w:val="18"/>
              </w:rPr>
              <w:t>70%</w:t>
            </w:r>
            <w:r>
              <w:rPr>
                <w:rFonts w:ascii="宋体" w:hAnsi="宋体" w:cs="宋体" w:eastAsia="宋体" w:hint="default"/>
                <w:sz w:val="18"/>
                <w:szCs w:val="18"/>
              </w:rPr>
              <w:t>。</w:t>
            </w:r>
          </w:p>
        </w:tc>
        <w:tc>
          <w:tcPr>
            <w:tcW w:w="742" w:type="dxa"/>
            <w:tcBorders>
              <w:top w:val="single" w:sz="4" w:space="0" w:color="000000"/>
              <w:left w:val="single" w:sz="9" w:space="0" w:color="FFFFFF"/>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143"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03" w:lineRule="exact" w:before="130"/>
              <w:ind w:left="1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149" w:lineRule="exact"/>
              <w:ind w:left="-127"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09" w:lineRule="exact"/>
              <w:ind w:left="1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18"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316" w:lineRule="auto"/>
              <w:ind w:left="23" w:right="151"/>
              <w:jc w:val="left"/>
              <w:rPr>
                <w:rFonts w:ascii="宋体" w:hAnsi="宋体" w:cs="宋体" w:eastAsia="宋体" w:hint="default"/>
                <w:sz w:val="18"/>
                <w:szCs w:val="18"/>
              </w:rPr>
            </w:pPr>
            <w:r>
              <w:rPr>
                <w:rFonts w:ascii="宋体" w:hAnsi="宋体" w:cs="宋体" w:eastAsia="宋体" w:hint="default"/>
                <w:sz w:val="18"/>
                <w:szCs w:val="18"/>
              </w:rPr>
              <w:t>正常履 行中</w:t>
            </w:r>
          </w:p>
        </w:tc>
      </w:tr>
      <w:tr>
        <w:trPr>
          <w:trHeight w:val="1339" w:hRule="exact"/>
        </w:trPr>
        <w:tc>
          <w:tcPr>
            <w:tcW w:w="1295" w:type="dxa"/>
            <w:vMerge/>
            <w:tcBorders>
              <w:left w:val="single" w:sz="4" w:space="0" w:color="000000"/>
              <w:right w:val="single" w:sz="4" w:space="0" w:color="000000"/>
            </w:tcBorders>
            <w:shd w:val="clear" w:color="auto" w:fill="D4D4D4"/>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27"/>
              <w:jc w:val="both"/>
              <w:rPr>
                <w:rFonts w:ascii="宋体" w:hAnsi="宋体" w:cs="宋体" w:eastAsia="宋体" w:hint="default"/>
                <w:sz w:val="18"/>
                <w:szCs w:val="18"/>
              </w:rPr>
            </w:pPr>
            <w:r>
              <w:rPr>
                <w:rFonts w:ascii="宋体" w:hAnsi="宋体" w:cs="宋体" w:eastAsia="宋体" w:hint="default"/>
                <w:sz w:val="18"/>
                <w:szCs w:val="18"/>
              </w:rPr>
              <w:t>厦门市美 亚柏科信 息股份有 限公司</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191"/>
              <w:jc w:val="left"/>
              <w:rPr>
                <w:rFonts w:ascii="宋体" w:hAnsi="宋体" w:cs="宋体" w:eastAsia="宋体" w:hint="default"/>
                <w:sz w:val="18"/>
                <w:szCs w:val="18"/>
              </w:rPr>
            </w:pPr>
            <w:r>
              <w:rPr>
                <w:rFonts w:ascii="宋体" w:hAnsi="宋体" w:cs="宋体" w:eastAsia="宋体" w:hint="default"/>
                <w:sz w:val="18"/>
                <w:szCs w:val="18"/>
              </w:rPr>
              <w:t>其他 承诺</w:t>
            </w:r>
          </w:p>
        </w:tc>
        <w:tc>
          <w:tcPr>
            <w:tcW w:w="4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09" w:lineRule="auto"/>
              <w:ind w:left="23" w:right="38"/>
              <w:jc w:val="left"/>
              <w:rPr>
                <w:rFonts w:ascii="宋体" w:hAnsi="宋体" w:cs="宋体" w:eastAsia="宋体" w:hint="default"/>
                <w:sz w:val="18"/>
                <w:szCs w:val="18"/>
              </w:rPr>
            </w:pPr>
            <w:r>
              <w:rPr>
                <w:rFonts w:ascii="宋体" w:hAnsi="宋体" w:cs="宋体" w:eastAsia="宋体" w:hint="default"/>
                <w:sz w:val="18"/>
                <w:szCs w:val="18"/>
              </w:rPr>
              <w:t>公司承诺不为公司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年股票期权与限制股票激励对象 提供贷款以及其他任何形式的财务资助，包括为其贷款提 供担保。</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16</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151"/>
              <w:jc w:val="left"/>
              <w:rPr>
                <w:rFonts w:ascii="宋体" w:hAnsi="宋体" w:cs="宋体" w:eastAsia="宋体" w:hint="default"/>
                <w:sz w:val="18"/>
                <w:szCs w:val="18"/>
              </w:rPr>
            </w:pPr>
            <w:r>
              <w:rPr>
                <w:rFonts w:ascii="宋体" w:hAnsi="宋体" w:cs="宋体" w:eastAsia="宋体" w:hint="default"/>
                <w:sz w:val="18"/>
                <w:szCs w:val="18"/>
              </w:rPr>
              <w:t>正常履 行中</w:t>
            </w:r>
          </w:p>
        </w:tc>
      </w:tr>
      <w:tr>
        <w:trPr>
          <w:trHeight w:val="2273" w:hRule="exact"/>
        </w:trPr>
        <w:tc>
          <w:tcPr>
            <w:tcW w:w="1295" w:type="dxa"/>
            <w:vMerge/>
            <w:tcBorders>
              <w:left w:val="single" w:sz="4" w:space="0" w:color="000000"/>
              <w:bottom w:val="single" w:sz="4" w:space="0" w:color="000000"/>
              <w:right w:val="single" w:sz="4" w:space="0" w:color="000000"/>
            </w:tcBorders>
            <w:shd w:val="clear" w:color="auto" w:fill="D4D4D4"/>
          </w:tcPr>
          <w:p>
            <w:pPr/>
          </w:p>
        </w:tc>
        <w:tc>
          <w:tcPr>
            <w:tcW w:w="883" w:type="dxa"/>
            <w:tcBorders>
              <w:top w:val="single" w:sz="4" w:space="0" w:color="000000"/>
              <w:left w:val="single" w:sz="4" w:space="0" w:color="000000"/>
              <w:bottom w:val="single" w:sz="4" w:space="0" w:color="000000"/>
              <w:right w:val="single" w:sz="13" w:space="0" w:color="FFFFFF"/>
            </w:tcBorders>
          </w:tcPr>
          <w:p>
            <w:pPr>
              <w:pStyle w:val="TableParagraph"/>
              <w:spacing w:line="316" w:lineRule="auto" w:before="49"/>
              <w:ind w:left="23" w:right="7"/>
              <w:jc w:val="left"/>
              <w:rPr>
                <w:rFonts w:ascii="宋体" w:hAnsi="宋体" w:cs="宋体" w:eastAsia="宋体" w:hint="default"/>
                <w:sz w:val="18"/>
                <w:szCs w:val="18"/>
              </w:rPr>
            </w:pPr>
            <w:r>
              <w:rPr>
                <w:rFonts w:ascii="宋体" w:hAnsi="宋体" w:cs="宋体" w:eastAsia="宋体" w:hint="default"/>
                <w:spacing w:val="-15"/>
                <w:sz w:val="18"/>
                <w:szCs w:val="18"/>
              </w:rPr>
              <w:t>申强、吴鸿</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伟、周成 祖、蔡志 评、栾江 霞、葛鹏 </w:t>
            </w:r>
            <w:r>
              <w:rPr>
                <w:rFonts w:ascii="宋体" w:hAnsi="宋体" w:cs="宋体" w:eastAsia="宋体" w:hint="default"/>
                <w:spacing w:val="-15"/>
                <w:sz w:val="18"/>
                <w:szCs w:val="18"/>
              </w:rPr>
              <w:t>张乃军、张</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雪峰</w:t>
            </w:r>
          </w:p>
        </w:tc>
        <w:tc>
          <w:tcPr>
            <w:tcW w:w="586"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0" w:lineRule="atLeast" w:before="133"/>
              <w:ind w:left="11" w:right="191"/>
              <w:jc w:val="left"/>
              <w:rPr>
                <w:rFonts w:ascii="宋体" w:hAnsi="宋体" w:cs="宋体" w:eastAsia="宋体" w:hint="default"/>
                <w:sz w:val="18"/>
                <w:szCs w:val="18"/>
              </w:rPr>
            </w:pPr>
            <w:r>
              <w:rPr>
                <w:rFonts w:ascii="宋体" w:hAnsi="宋体" w:cs="宋体" w:eastAsia="宋体" w:hint="default"/>
                <w:sz w:val="18"/>
                <w:szCs w:val="18"/>
              </w:rPr>
              <w:t>其他 承诺</w:t>
            </w:r>
          </w:p>
          <w:p>
            <w:pPr>
              <w:pStyle w:val="TableParagraph"/>
              <w:spacing w:line="156" w:lineRule="exact"/>
              <w:ind w:left="-152" w:right="0"/>
              <w:jc w:val="left"/>
              <w:rPr>
                <w:rFonts w:ascii="宋体" w:hAnsi="宋体" w:cs="宋体" w:eastAsia="宋体" w:hint="default"/>
                <w:sz w:val="18"/>
                <w:szCs w:val="18"/>
              </w:rPr>
            </w:pPr>
            <w:r>
              <w:rPr>
                <w:rFonts w:ascii="宋体" w:hAnsi="宋体" w:cs="宋体" w:eastAsia="宋体" w:hint="default"/>
                <w:sz w:val="18"/>
                <w:szCs w:val="18"/>
              </w:rPr>
              <w:t>、</w:t>
            </w:r>
          </w:p>
        </w:tc>
        <w:tc>
          <w:tcPr>
            <w:tcW w:w="4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3" w:right="0"/>
              <w:jc w:val="both"/>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年股票期权与限制股票激励计划</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1233 </w:t>
            </w:r>
            <w:r>
              <w:rPr>
                <w:rFonts w:ascii="宋体" w:hAnsi="宋体" w:cs="宋体" w:eastAsia="宋体" w:hint="default"/>
                <w:sz w:val="18"/>
                <w:szCs w:val="18"/>
              </w:rPr>
              <w:t>名激励对</w:t>
            </w:r>
          </w:p>
          <w:p>
            <w:pPr>
              <w:pStyle w:val="TableParagraph"/>
              <w:spacing w:line="240" w:lineRule="auto" w:before="63"/>
              <w:ind w:left="23" w:right="0"/>
              <w:jc w:val="both"/>
              <w:rPr>
                <w:rFonts w:ascii="宋体" w:hAnsi="宋体" w:cs="宋体" w:eastAsia="宋体" w:hint="default"/>
                <w:sz w:val="18"/>
                <w:szCs w:val="18"/>
              </w:rPr>
            </w:pPr>
            <w:r>
              <w:rPr>
                <w:rFonts w:ascii="宋体" w:hAnsi="宋体" w:cs="宋体" w:eastAsia="宋体" w:hint="default"/>
                <w:sz w:val="18"/>
                <w:szCs w:val="18"/>
              </w:rPr>
              <w:t>象（包括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名董事及高管：申强、吴鸿伟、周成祖、蔡志</w:t>
            </w:r>
          </w:p>
          <w:p>
            <w:pPr>
              <w:pStyle w:val="TableParagraph"/>
              <w:spacing w:line="314" w:lineRule="auto" w:before="63"/>
              <w:ind w:left="23" w:right="19"/>
              <w:jc w:val="both"/>
              <w:rPr>
                <w:rFonts w:ascii="宋体" w:hAnsi="宋体" w:cs="宋体" w:eastAsia="宋体" w:hint="default"/>
                <w:sz w:val="18"/>
                <w:szCs w:val="18"/>
              </w:rPr>
            </w:pPr>
            <w:r>
              <w:rPr>
                <w:rFonts w:ascii="宋体" w:hAnsi="宋体" w:cs="宋体" w:eastAsia="宋体" w:hint="default"/>
                <w:spacing w:val="-9"/>
                <w:sz w:val="18"/>
                <w:szCs w:val="18"/>
              </w:rPr>
              <w:t>评、栾江霞、葛鹏、张乃军、张雪峰）承诺：作为公司</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年股票期权与限制股票激励计划的激励对象，承诺如因公 司信息披露文件有虚假记载、误导性陈述或者重大遗漏， 导致不符合授予权益或行使权益安排的，自相关信息披露 文件被确认存在虚假记载、误导性陈述或者重大遗漏后，</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16</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6" w:lineRule="auto"/>
              <w:ind w:left="23" w:right="151"/>
              <w:jc w:val="left"/>
              <w:rPr>
                <w:rFonts w:ascii="宋体" w:hAnsi="宋体" w:cs="宋体" w:eastAsia="宋体" w:hint="default"/>
                <w:sz w:val="18"/>
                <w:szCs w:val="18"/>
              </w:rPr>
            </w:pPr>
            <w:r>
              <w:rPr>
                <w:rFonts w:ascii="宋体" w:hAnsi="宋体" w:cs="宋体" w:eastAsia="宋体" w:hint="default"/>
                <w:sz w:val="18"/>
                <w:szCs w:val="18"/>
              </w:rPr>
              <w:t>正常履 行中</w:t>
            </w:r>
          </w:p>
        </w:tc>
      </w:tr>
    </w:tbl>
    <w:p>
      <w:pPr>
        <w:spacing w:after="0" w:line="316"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95"/>
        <w:gridCol w:w="883"/>
        <w:gridCol w:w="586"/>
        <w:gridCol w:w="4574"/>
        <w:gridCol w:w="742"/>
        <w:gridCol w:w="758"/>
        <w:gridCol w:w="727"/>
      </w:tblGrid>
      <w:tr>
        <w:trPr>
          <w:trHeight w:val="362" w:hRule="exact"/>
        </w:trPr>
        <w:tc>
          <w:tcPr>
            <w:tcW w:w="1295" w:type="dxa"/>
            <w:vMerge w:val="restart"/>
            <w:tcBorders>
              <w:top w:val="single" w:sz="4" w:space="0" w:color="000000"/>
              <w:left w:val="single" w:sz="4" w:space="0" w:color="000000"/>
              <w:right w:val="single" w:sz="4" w:space="0" w:color="000000"/>
            </w:tcBorders>
            <w:shd w:val="clear" w:color="auto" w:fill="D4D4D4"/>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4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将由本计划所获得的全部利益反还公司。</w:t>
            </w:r>
          </w:p>
        </w:tc>
        <w:tc>
          <w:tcPr>
            <w:tcW w:w="742" w:type="dxa"/>
            <w:tcBorders>
              <w:top w:val="single" w:sz="4" w:space="0" w:color="000000"/>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r>
      <w:tr>
        <w:trPr>
          <w:trHeight w:val="5393" w:hRule="exact"/>
        </w:trPr>
        <w:tc>
          <w:tcPr>
            <w:tcW w:w="1295" w:type="dxa"/>
            <w:vMerge/>
            <w:tcBorders>
              <w:left w:val="single" w:sz="4" w:space="0" w:color="000000"/>
              <w:bottom w:val="single" w:sz="4" w:space="0" w:color="000000"/>
              <w:right w:val="single" w:sz="4" w:space="0" w:color="000000"/>
            </w:tcBorders>
            <w:shd w:val="clear" w:color="auto" w:fill="D4D4D4"/>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316" w:lineRule="auto"/>
              <w:ind w:left="23" w:right="127"/>
              <w:jc w:val="both"/>
              <w:rPr>
                <w:rFonts w:ascii="宋体" w:hAnsi="宋体" w:cs="宋体" w:eastAsia="宋体" w:hint="default"/>
                <w:sz w:val="18"/>
                <w:szCs w:val="18"/>
              </w:rPr>
            </w:pPr>
            <w:r>
              <w:rPr>
                <w:rFonts w:ascii="宋体" w:hAnsi="宋体" w:cs="宋体" w:eastAsia="宋体" w:hint="default"/>
                <w:sz w:val="18"/>
                <w:szCs w:val="18"/>
              </w:rPr>
              <w:t>厦门市美 亚柏科信 息股份有 限公司</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12"/>
              <w:ind w:left="23" w:right="191"/>
              <w:jc w:val="left"/>
              <w:rPr>
                <w:rFonts w:ascii="宋体" w:hAnsi="宋体" w:cs="宋体" w:eastAsia="宋体" w:hint="default"/>
                <w:sz w:val="18"/>
                <w:szCs w:val="18"/>
              </w:rPr>
            </w:pPr>
            <w:r>
              <w:rPr>
                <w:rFonts w:ascii="宋体" w:hAnsi="宋体" w:cs="宋体" w:eastAsia="宋体" w:hint="default"/>
                <w:sz w:val="18"/>
                <w:szCs w:val="18"/>
              </w:rPr>
              <w:t>其他 承诺</w:t>
            </w:r>
          </w:p>
        </w:tc>
        <w:tc>
          <w:tcPr>
            <w:tcW w:w="4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本激励计划有效期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年，其中锁定期</w:t>
            </w:r>
            <w:r>
              <w:rPr>
                <w:rFonts w:ascii="Times New Roman" w:hAnsi="Times New Roman" w:cs="Times New Roman" w:eastAsia="Times New Roman" w:hint="default"/>
                <w:sz w:val="18"/>
                <w:szCs w:val="18"/>
              </w:rPr>
              <w:t>/</w:t>
            </w:r>
            <w:r>
              <w:rPr>
                <w:rFonts w:ascii="宋体" w:hAnsi="宋体" w:cs="宋体" w:eastAsia="宋体" w:hint="default"/>
                <w:sz w:val="18"/>
                <w:szCs w:val="18"/>
              </w:rPr>
              <w:t>等待期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年，解锁</w:t>
            </w:r>
            <w:r>
              <w:rPr>
                <w:rFonts w:ascii="Times New Roman" w:hAnsi="Times New Roman" w:cs="Times New Roman" w:eastAsia="Times New Roman" w:hint="default"/>
                <w:sz w:val="18"/>
                <w:szCs w:val="18"/>
              </w:rPr>
              <w:t>/</w:t>
            </w:r>
          </w:p>
          <w:p>
            <w:pPr>
              <w:pStyle w:val="TableParagraph"/>
              <w:spacing w:line="304" w:lineRule="auto" w:before="63"/>
              <w:ind w:left="23" w:right="17"/>
              <w:jc w:val="left"/>
              <w:rPr>
                <w:rFonts w:ascii="宋体" w:hAnsi="宋体" w:cs="宋体" w:eastAsia="宋体" w:hint="default"/>
                <w:sz w:val="18"/>
                <w:szCs w:val="18"/>
              </w:rPr>
            </w:pPr>
            <w:r>
              <w:rPr>
                <w:rFonts w:ascii="宋体" w:hAnsi="宋体" w:cs="宋体" w:eastAsia="宋体" w:hint="default"/>
                <w:sz w:val="18"/>
                <w:szCs w:val="18"/>
              </w:rPr>
              <w:t>行权期</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pacing w:val="-6"/>
                <w:sz w:val="18"/>
                <w:szCs w:val="18"/>
              </w:rPr>
              <w:t>年。（</w:t>
            </w:r>
            <w:r>
              <w:rPr>
                <w:rFonts w:ascii="Times New Roman" w:hAnsi="Times New Roman" w:cs="Times New Roman" w:eastAsia="Times New Roman" w:hint="default"/>
                <w:spacing w:val="-6"/>
                <w:sz w:val="18"/>
                <w:szCs w:val="18"/>
              </w:rPr>
              <w:t>1</w:t>
            </w:r>
            <w:r>
              <w:rPr>
                <w:rFonts w:ascii="宋体" w:hAnsi="宋体" w:cs="宋体" w:eastAsia="宋体" w:hint="default"/>
                <w:spacing w:val="-6"/>
                <w:sz w:val="18"/>
                <w:szCs w:val="18"/>
              </w:rPr>
              <w:t>）自董事会确定的限制性股票授予日起</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12 </w:t>
            </w:r>
            <w:r>
              <w:rPr>
                <w:rFonts w:ascii="宋体" w:hAnsi="宋体" w:cs="宋体" w:eastAsia="宋体" w:hint="default"/>
                <w:sz w:val="18"/>
                <w:szCs w:val="18"/>
              </w:rPr>
              <w:t>个月内为锁定期。在锁定期，激励对象根据本计划获授的 </w:t>
            </w:r>
            <w:r>
              <w:rPr>
                <w:rFonts w:ascii="宋体" w:hAnsi="宋体" w:cs="宋体" w:eastAsia="宋体" w:hint="default"/>
                <w:spacing w:val="-4"/>
                <w:sz w:val="18"/>
                <w:szCs w:val="18"/>
              </w:rPr>
              <w:t>限制性股票予以锁定，不得转让；（</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）自股票期权和限制</w:t>
            </w:r>
            <w:r>
              <w:rPr>
                <w:rFonts w:ascii="宋体" w:hAnsi="宋体" w:cs="宋体" w:eastAsia="宋体" w:hint="default"/>
                <w:spacing w:val="-77"/>
                <w:sz w:val="18"/>
                <w:szCs w:val="18"/>
              </w:rPr>
              <w:t> </w:t>
            </w:r>
            <w:r>
              <w:rPr>
                <w:rFonts w:ascii="宋体" w:hAnsi="宋体" w:cs="宋体" w:eastAsia="宋体" w:hint="default"/>
                <w:sz w:val="18"/>
                <w:szCs w:val="18"/>
              </w:rPr>
              <w:t>性股票激励计划授予日起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个月后，满足解锁</w:t>
            </w:r>
            <w:r>
              <w:rPr>
                <w:rFonts w:ascii="Times New Roman" w:hAnsi="Times New Roman" w:cs="Times New Roman" w:eastAsia="Times New Roman" w:hint="default"/>
                <w:sz w:val="18"/>
                <w:szCs w:val="18"/>
              </w:rPr>
              <w:t>/</w:t>
            </w:r>
            <w:r>
              <w:rPr>
                <w:rFonts w:ascii="宋体" w:hAnsi="宋体" w:cs="宋体" w:eastAsia="宋体" w:hint="default"/>
                <w:sz w:val="18"/>
                <w:szCs w:val="18"/>
              </w:rPr>
              <w:t>行权条件 </w:t>
            </w:r>
            <w:r>
              <w:rPr>
                <w:rFonts w:ascii="宋体" w:hAnsi="宋体" w:cs="宋体" w:eastAsia="宋体" w:hint="default"/>
                <w:spacing w:val="-2"/>
                <w:sz w:val="18"/>
                <w:szCs w:val="18"/>
              </w:rPr>
              <w:t>的，激励对象可以申请解锁</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行权。首次授予分三期申请解</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4"/>
                <w:sz w:val="18"/>
                <w:szCs w:val="18"/>
              </w:rPr>
              <w:t>锁</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行权，分别自授予日起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pacing w:val="-7"/>
                <w:sz w:val="18"/>
                <w:szCs w:val="18"/>
              </w:rPr>
              <w:t>个月后、</w:t>
            </w:r>
            <w:r>
              <w:rPr>
                <w:rFonts w:ascii="Times New Roman" w:hAnsi="Times New Roman" w:cs="Times New Roman" w:eastAsia="Times New Roman" w:hint="default"/>
                <w:spacing w:val="-7"/>
                <w:sz w:val="18"/>
                <w:szCs w:val="18"/>
              </w:rPr>
              <w:t>24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个月后及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个月 后分别申请解锁</w:t>
            </w:r>
            <w:r>
              <w:rPr>
                <w:rFonts w:ascii="Times New Roman" w:hAnsi="Times New Roman" w:cs="Times New Roman" w:eastAsia="Times New Roman" w:hint="default"/>
                <w:sz w:val="18"/>
                <w:szCs w:val="18"/>
              </w:rPr>
              <w:t>/</w:t>
            </w:r>
            <w:r>
              <w:rPr>
                <w:rFonts w:ascii="宋体" w:hAnsi="宋体" w:cs="宋体" w:eastAsia="宋体" w:hint="default"/>
                <w:sz w:val="18"/>
                <w:szCs w:val="18"/>
              </w:rPr>
              <w:t>行权所获授限制性股票</w:t>
            </w:r>
            <w:r>
              <w:rPr>
                <w:rFonts w:ascii="Times New Roman" w:hAnsi="Times New Roman" w:cs="Times New Roman" w:eastAsia="Times New Roman" w:hint="default"/>
                <w:sz w:val="18"/>
                <w:szCs w:val="18"/>
              </w:rPr>
              <w:t>/</w:t>
            </w:r>
            <w:r>
              <w:rPr>
                <w:rFonts w:ascii="宋体" w:hAnsi="宋体" w:cs="宋体" w:eastAsia="宋体" w:hint="default"/>
                <w:sz w:val="18"/>
                <w:szCs w:val="18"/>
              </w:rPr>
              <w:t>股票期权总量的 </w:t>
            </w:r>
            <w:r>
              <w:rPr>
                <w:rFonts w:ascii="Times New Roman" w:hAnsi="Times New Roman" w:cs="Times New Roman" w:eastAsia="Times New Roman" w:hint="default"/>
                <w:spacing w:val="-3"/>
                <w:sz w:val="18"/>
                <w:szCs w:val="18"/>
              </w:rPr>
              <w:t>40%</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30%</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30%</w:t>
            </w:r>
            <w:r>
              <w:rPr>
                <w:rFonts w:ascii="宋体" w:hAnsi="宋体" w:cs="宋体" w:eastAsia="宋体" w:hint="default"/>
                <w:spacing w:val="-3"/>
                <w:sz w:val="18"/>
                <w:szCs w:val="18"/>
              </w:rPr>
              <w:t>。预留部分分两次申请解锁，分别自首次</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授予日起</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个月后及</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个月后分别申请解锁</w:t>
            </w:r>
            <w:r>
              <w:rPr>
                <w:rFonts w:ascii="Times New Roman" w:hAnsi="Times New Roman" w:cs="Times New Roman" w:eastAsia="Times New Roman" w:hint="default"/>
                <w:sz w:val="18"/>
                <w:szCs w:val="18"/>
              </w:rPr>
              <w:t>/</w:t>
            </w:r>
            <w:r>
              <w:rPr>
                <w:rFonts w:ascii="宋体" w:hAnsi="宋体" w:cs="宋体" w:eastAsia="宋体" w:hint="default"/>
                <w:sz w:val="18"/>
                <w:szCs w:val="18"/>
              </w:rPr>
              <w:t>行权所获授 限制性股票</w:t>
            </w:r>
            <w:r>
              <w:rPr>
                <w:rFonts w:ascii="Times New Roman" w:hAnsi="Times New Roman" w:cs="Times New Roman" w:eastAsia="Times New Roman" w:hint="default"/>
                <w:sz w:val="18"/>
                <w:szCs w:val="18"/>
              </w:rPr>
              <w:t>/</w:t>
            </w:r>
            <w:r>
              <w:rPr>
                <w:rFonts w:ascii="宋体" w:hAnsi="宋体" w:cs="宋体" w:eastAsia="宋体" w:hint="default"/>
                <w:sz w:val="18"/>
                <w:szCs w:val="18"/>
              </w:rPr>
              <w:t>股票期权总量</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50%</w:t>
            </w:r>
            <w:r>
              <w:rPr>
                <w:rFonts w:ascii="宋体" w:hAnsi="宋体" w:cs="宋体" w:eastAsia="宋体" w:hint="default"/>
                <w:spacing w:val="-1"/>
                <w:sz w:val="18"/>
                <w:szCs w:val="18"/>
              </w:rPr>
              <w:t>和</w:t>
            </w:r>
            <w:r>
              <w:rPr>
                <w:rFonts w:ascii="宋体" w:hAnsi="宋体" w:cs="宋体" w:eastAsia="宋体" w:hint="default"/>
                <w:spacing w:val="-44"/>
                <w:sz w:val="18"/>
                <w:szCs w:val="18"/>
              </w:rPr>
              <w:t> </w:t>
            </w:r>
            <w:r>
              <w:rPr>
                <w:rFonts w:ascii="Times New Roman" w:hAnsi="Times New Roman" w:cs="Times New Roman" w:eastAsia="Times New Roman" w:hint="default"/>
                <w:spacing w:val="-12"/>
                <w:sz w:val="18"/>
                <w:szCs w:val="18"/>
              </w:rPr>
              <w:t>50%</w:t>
            </w:r>
            <w:r>
              <w:rPr>
                <w:rFonts w:ascii="宋体" w:hAnsi="宋体" w:cs="宋体" w:eastAsia="宋体" w:hint="default"/>
                <w:spacing w:val="-12"/>
                <w:sz w:val="18"/>
                <w:szCs w:val="18"/>
              </w:rPr>
              <w:t>。（</w:t>
            </w:r>
            <w:r>
              <w:rPr>
                <w:rFonts w:ascii="Times New Roman" w:hAnsi="Times New Roman" w:cs="Times New Roman" w:eastAsia="Times New Roman" w:hint="default"/>
                <w:spacing w:val="-12"/>
                <w:sz w:val="18"/>
                <w:szCs w:val="18"/>
              </w:rPr>
              <w:t>3</w:t>
            </w:r>
            <w:r>
              <w:rPr>
                <w:rFonts w:ascii="宋体" w:hAnsi="宋体" w:cs="宋体" w:eastAsia="宋体" w:hint="default"/>
                <w:spacing w:val="-12"/>
                <w:sz w:val="18"/>
                <w:szCs w:val="18"/>
              </w:rPr>
              <w:t>）激励对象获授</w:t>
            </w:r>
            <w:r>
              <w:rPr>
                <w:rFonts w:ascii="宋体" w:hAnsi="宋体" w:cs="宋体" w:eastAsia="宋体" w:hint="default"/>
                <w:sz w:val="18"/>
                <w:szCs w:val="18"/>
              </w:rPr>
              <w:t> </w:t>
            </w:r>
            <w:r>
              <w:rPr>
                <w:rFonts w:ascii="宋体" w:hAnsi="宋体" w:cs="宋体" w:eastAsia="宋体" w:hint="default"/>
                <w:spacing w:val="-4"/>
                <w:sz w:val="18"/>
                <w:szCs w:val="18"/>
              </w:rPr>
              <w:t>限制性股票</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股票期权的解锁</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行权条件为：激励对象当年年</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度考核、关键事件考核两项考核内容全部为合格。对于按 照股权激励计划授予的限制性股票，激励对象每一次申请 标的股票解锁的公司业绩条件为：以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年度净利润为 基数，</w:t>
            </w:r>
            <w:r>
              <w:rPr>
                <w:rFonts w:ascii="Times New Roman" w:hAnsi="Times New Roman" w:cs="Times New Roman" w:eastAsia="Times New Roman" w:hint="default"/>
                <w:sz w:val="18"/>
                <w:szCs w:val="18"/>
              </w:rPr>
              <w:t>2019 </w:t>
            </w:r>
            <w:r>
              <w:rPr>
                <w:rFonts w:ascii="宋体" w:hAnsi="宋体" w:cs="宋体" w:eastAsia="宋体" w:hint="default"/>
                <w:spacing w:val="-3"/>
                <w:sz w:val="18"/>
                <w:szCs w:val="18"/>
              </w:rPr>
              <w:t>年、</w:t>
            </w:r>
            <w:r>
              <w:rPr>
                <w:rFonts w:ascii="Times New Roman" w:hAnsi="Times New Roman" w:cs="Times New Roman" w:eastAsia="Times New Roman" w:hint="default"/>
                <w:spacing w:val="-3"/>
                <w:sz w:val="18"/>
                <w:szCs w:val="18"/>
              </w:rPr>
              <w:t>2020 </w:t>
            </w:r>
            <w:r>
              <w:rPr>
                <w:rFonts w:ascii="宋体" w:hAnsi="宋体" w:cs="宋体" w:eastAsia="宋体" w:hint="default"/>
                <w:spacing w:val="-3"/>
                <w:sz w:val="18"/>
                <w:szCs w:val="18"/>
              </w:rPr>
              <w:t>年、</w:t>
            </w:r>
            <w:r>
              <w:rPr>
                <w:rFonts w:ascii="Times New Roman" w:hAnsi="Times New Roman" w:cs="Times New Roman" w:eastAsia="Times New Roman" w:hint="default"/>
                <w:spacing w:val="-3"/>
                <w:sz w:val="18"/>
                <w:szCs w:val="18"/>
              </w:rPr>
              <w:t>2021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年公司每年净利润增长率 不低于基准年净利润的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w:t>
            </w:r>
            <w:r>
              <w:rPr>
                <w:rFonts w:ascii="Times New Roman" w:hAnsi="Times New Roman" w:cs="Times New Roman" w:eastAsia="Times New Roman" w:hint="default"/>
                <w:sz w:val="18"/>
                <w:szCs w:val="18"/>
              </w:rPr>
              <w:t>40%</w:t>
            </w:r>
            <w:r>
              <w:rPr>
                <w:rFonts w:ascii="宋体" w:hAnsi="宋体" w:cs="宋体" w:eastAsia="宋体" w:hint="default"/>
                <w:sz w:val="18"/>
                <w:szCs w:val="18"/>
              </w:rPr>
              <w:t>、</w:t>
            </w:r>
            <w:r>
              <w:rPr>
                <w:rFonts w:ascii="Times New Roman" w:hAnsi="Times New Roman" w:cs="Times New Roman" w:eastAsia="Times New Roman" w:hint="default"/>
                <w:sz w:val="18"/>
                <w:szCs w:val="18"/>
              </w:rPr>
              <w:t>60%</w:t>
            </w:r>
            <w:r>
              <w:rPr>
                <w:rFonts w:ascii="宋体" w:hAnsi="宋体" w:cs="宋体" w:eastAsia="宋体" w:hint="default"/>
                <w:sz w:val="18"/>
                <w:szCs w:val="18"/>
              </w:rPr>
              <w:t>。</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16</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12"/>
              <w:ind w:left="23" w:right="151"/>
              <w:jc w:val="left"/>
              <w:rPr>
                <w:rFonts w:ascii="宋体" w:hAnsi="宋体" w:cs="宋体" w:eastAsia="宋体" w:hint="default"/>
                <w:sz w:val="18"/>
                <w:szCs w:val="18"/>
              </w:rPr>
            </w:pPr>
            <w:r>
              <w:rPr>
                <w:rFonts w:ascii="宋体" w:hAnsi="宋体" w:cs="宋体" w:eastAsia="宋体" w:hint="default"/>
                <w:sz w:val="18"/>
                <w:szCs w:val="18"/>
              </w:rPr>
              <w:t>正常履 行中</w:t>
            </w:r>
          </w:p>
        </w:tc>
      </w:tr>
      <w:tr>
        <w:trPr>
          <w:trHeight w:val="1339" w:hRule="exact"/>
        </w:trPr>
        <w:tc>
          <w:tcPr>
            <w:tcW w:w="1295"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316" w:lineRule="auto"/>
              <w:ind w:left="22" w:right="180"/>
              <w:jc w:val="both"/>
              <w:rPr>
                <w:rFonts w:ascii="宋体" w:hAnsi="宋体" w:cs="宋体" w:eastAsia="宋体" w:hint="default"/>
                <w:sz w:val="18"/>
                <w:szCs w:val="18"/>
              </w:rPr>
            </w:pPr>
            <w:r>
              <w:rPr>
                <w:rFonts w:ascii="宋体" w:hAnsi="宋体" w:cs="宋体" w:eastAsia="宋体" w:hint="default"/>
                <w:sz w:val="18"/>
                <w:szCs w:val="18"/>
              </w:rPr>
              <w:t>其他对公司中 小股东所作承 诺</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李滢雪</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191"/>
              <w:jc w:val="left"/>
              <w:rPr>
                <w:rFonts w:ascii="宋体" w:hAnsi="宋体" w:cs="宋体" w:eastAsia="宋体" w:hint="default"/>
                <w:sz w:val="18"/>
                <w:szCs w:val="18"/>
              </w:rPr>
            </w:pPr>
            <w:r>
              <w:rPr>
                <w:rFonts w:ascii="宋体" w:hAnsi="宋体" w:cs="宋体" w:eastAsia="宋体" w:hint="default"/>
                <w:sz w:val="18"/>
                <w:szCs w:val="18"/>
              </w:rPr>
              <w:t>其他 承诺</w:t>
            </w:r>
          </w:p>
        </w:tc>
        <w:tc>
          <w:tcPr>
            <w:tcW w:w="4574" w:type="dxa"/>
            <w:tcBorders>
              <w:top w:val="single" w:sz="4" w:space="0" w:color="000000"/>
              <w:left w:val="single" w:sz="4" w:space="0" w:color="000000"/>
              <w:bottom w:val="single" w:sz="4" w:space="0" w:color="000000"/>
              <w:right w:val="single" w:sz="13" w:space="0" w:color="FFFFFF"/>
            </w:tcBorders>
          </w:tcPr>
          <w:p>
            <w:pPr>
              <w:pStyle w:val="TableParagraph"/>
              <w:spacing w:line="312" w:lineRule="auto" w:before="49"/>
              <w:ind w:left="23" w:right="26"/>
              <w:jc w:val="left"/>
              <w:rPr>
                <w:rFonts w:ascii="宋体" w:hAnsi="宋体" w:cs="宋体" w:eastAsia="宋体" w:hint="default"/>
                <w:sz w:val="18"/>
                <w:szCs w:val="18"/>
              </w:rPr>
            </w:pPr>
            <w:r>
              <w:rPr>
                <w:rFonts w:ascii="宋体" w:hAnsi="宋体" w:cs="宋体" w:eastAsia="宋体" w:hint="default"/>
                <w:sz w:val="18"/>
                <w:szCs w:val="18"/>
              </w:rPr>
              <w:t>李滢雪</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日递交了辞职申请，并承诺在离职 后半年内不转让其所持有的美亚柏科股份，并在其就任时 </w:t>
            </w:r>
            <w:r>
              <w:rPr>
                <w:rFonts w:ascii="宋体" w:hAnsi="宋体" w:cs="宋体" w:eastAsia="宋体" w:hint="default"/>
                <w:spacing w:val="-3"/>
                <w:sz w:val="18"/>
                <w:szCs w:val="18"/>
              </w:rPr>
              <w:t>确定的任期（第三届董事会届满）及任期届满后六个月内</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每年转让股份不超过其所持有本公司股份总数的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p>
        </w:tc>
        <w:tc>
          <w:tcPr>
            <w:tcW w:w="742"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03" w:lineRule="exact" w:before="63"/>
              <w:ind w:left="1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28</w:t>
            </w:r>
          </w:p>
          <w:p>
            <w:pPr>
              <w:pStyle w:val="TableParagraph"/>
              <w:spacing w:line="149" w:lineRule="exact"/>
              <w:ind w:left="-135"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96" w:lineRule="exact"/>
              <w:ind w:left="12" w:right="0"/>
              <w:jc w:val="left"/>
              <w:rPr>
                <w:rFonts w:ascii="宋体" w:hAnsi="宋体" w:cs="宋体" w:eastAsia="宋体" w:hint="default"/>
                <w:sz w:val="18"/>
                <w:szCs w:val="18"/>
              </w:rPr>
            </w:pPr>
            <w:r>
              <w:rPr>
                <w:rFonts w:ascii="宋体" w:hAnsi="宋体" w:cs="宋体" w:eastAsia="宋体" w:hint="default"/>
                <w:sz w:val="18"/>
                <w:szCs w:val="18"/>
              </w:rPr>
              <w:t>日</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664" w:lineRule="exact"/>
              <w:ind w:left="12" w:right="-26"/>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2"/>
                <w:sz w:val="20"/>
                <w:szCs w:val="20"/>
              </w:rPr>
              <w:pict>
                <v:group style="width:34.2pt;height:33.25pt;mso-position-horizontal-relative:char;mso-position-vertical-relative:line" coordorigin="0,0" coordsize="684,665">
                  <v:group style="position:absolute;left:0;top:0;width:684;height:312" coordorigin="0,0" coordsize="684,312">
                    <v:shape style="position:absolute;left:0;top:0;width:684;height:312" coordorigin="0,0" coordsize="684,312" path="m0,312l684,312,684,0,0,0,0,312xe" filled="true" fillcolor="#ffffff" stroked="false">
                      <v:path arrowok="t"/>
                      <v:fill type="solid"/>
                    </v:shape>
                  </v:group>
                  <v:group style="position:absolute;left:0;top:312;width:684;height:353" coordorigin="0,312" coordsize="684,353">
                    <v:shape style="position:absolute;left:0;top:312;width:684;height:353" coordorigin="0,312" coordsize="684,353" path="m0,665l684,665,684,312,0,312,0,665xe" filled="true" fillcolor="#ffffff" stroked="false">
                      <v:path arrowok="t"/>
                      <v:fill type="solid"/>
                    </v:shape>
                  </v:group>
                </v:group>
              </w:pict>
            </w:r>
            <w:r>
              <w:rPr>
                <w:rFonts w:ascii="Times New Roman" w:hAnsi="Times New Roman" w:cs="Times New Roman" w:eastAsia="Times New Roman" w:hint="default"/>
                <w:position w:val="-12"/>
                <w:sz w:val="20"/>
                <w:szCs w:val="20"/>
              </w:rPr>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151"/>
              <w:jc w:val="left"/>
              <w:rPr>
                <w:rFonts w:ascii="宋体" w:hAnsi="宋体" w:cs="宋体" w:eastAsia="宋体" w:hint="default"/>
                <w:sz w:val="18"/>
                <w:szCs w:val="18"/>
              </w:rPr>
            </w:pPr>
            <w:r>
              <w:rPr>
                <w:rFonts w:ascii="宋体" w:hAnsi="宋体" w:cs="宋体" w:eastAsia="宋体" w:hint="default"/>
                <w:sz w:val="18"/>
                <w:szCs w:val="18"/>
              </w:rPr>
              <w:t>履行完 毕</w:t>
            </w:r>
          </w:p>
        </w:tc>
      </w:tr>
      <w:tr>
        <w:trPr>
          <w:trHeight w:val="1337" w:hRule="exact"/>
        </w:trPr>
        <w:tc>
          <w:tcPr>
            <w:tcW w:w="1295" w:type="dxa"/>
            <w:vMerge/>
            <w:tcBorders>
              <w:left w:val="single" w:sz="4" w:space="0" w:color="000000"/>
              <w:bottom w:val="single" w:sz="4" w:space="0" w:color="000000"/>
              <w:right w:val="single" w:sz="4" w:space="0" w:color="000000"/>
            </w:tcBorders>
            <w:shd w:val="clear" w:color="auto" w:fill="D4D4D4"/>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赵庸</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191"/>
              <w:jc w:val="left"/>
              <w:rPr>
                <w:rFonts w:ascii="宋体" w:hAnsi="宋体" w:cs="宋体" w:eastAsia="宋体" w:hint="default"/>
                <w:sz w:val="18"/>
                <w:szCs w:val="18"/>
              </w:rPr>
            </w:pPr>
            <w:r>
              <w:rPr>
                <w:rFonts w:ascii="宋体" w:hAnsi="宋体" w:cs="宋体" w:eastAsia="宋体" w:hint="default"/>
                <w:sz w:val="18"/>
                <w:szCs w:val="18"/>
              </w:rPr>
              <w:t>其他 承诺</w:t>
            </w:r>
          </w:p>
        </w:tc>
        <w:tc>
          <w:tcPr>
            <w:tcW w:w="4574"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49"/>
              <w:ind w:left="23" w:right="38"/>
              <w:jc w:val="both"/>
              <w:rPr>
                <w:rFonts w:ascii="宋体" w:hAnsi="宋体" w:cs="宋体" w:eastAsia="宋体" w:hint="default"/>
                <w:sz w:val="18"/>
                <w:szCs w:val="18"/>
              </w:rPr>
            </w:pPr>
            <w:r>
              <w:rPr>
                <w:rFonts w:ascii="宋体" w:hAnsi="宋体" w:cs="宋体" w:eastAsia="宋体" w:hint="default"/>
                <w:sz w:val="18"/>
                <w:szCs w:val="18"/>
              </w:rPr>
              <w:t>赵庸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日递交了辞职申请，并承诺在离职后 半年内不转让其所持有的美亚柏科股份，并在其就任时确 定的任期（第四届董事会届满）及任期届满后六个月内， 每年转让股份不超过其所持有本公司股份总数的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151"/>
              <w:jc w:val="left"/>
              <w:rPr>
                <w:rFonts w:ascii="宋体" w:hAnsi="宋体" w:cs="宋体" w:eastAsia="宋体" w:hint="default"/>
                <w:sz w:val="18"/>
                <w:szCs w:val="18"/>
              </w:rPr>
            </w:pPr>
            <w:r>
              <w:rPr>
                <w:rFonts w:ascii="宋体" w:hAnsi="宋体" w:cs="宋体" w:eastAsia="宋体" w:hint="default"/>
                <w:sz w:val="18"/>
                <w:szCs w:val="18"/>
              </w:rPr>
              <w:t>正常履 行中</w:t>
            </w:r>
          </w:p>
        </w:tc>
      </w:tr>
      <w:tr>
        <w:trPr>
          <w:trHeight w:val="715" w:hRule="exact"/>
        </w:trPr>
        <w:tc>
          <w:tcPr>
            <w:tcW w:w="12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2" w:right="180"/>
              <w:jc w:val="left"/>
              <w:rPr>
                <w:rFonts w:ascii="宋体" w:hAnsi="宋体" w:cs="宋体" w:eastAsia="宋体" w:hint="default"/>
                <w:sz w:val="18"/>
                <w:szCs w:val="18"/>
              </w:rPr>
            </w:pPr>
            <w:r>
              <w:rPr>
                <w:rFonts w:ascii="宋体" w:hAnsi="宋体" w:cs="宋体" w:eastAsia="宋体" w:hint="default"/>
                <w:sz w:val="18"/>
                <w:szCs w:val="18"/>
              </w:rPr>
              <w:t>承诺是否按时 履行</w:t>
            </w:r>
          </w:p>
        </w:tc>
        <w:tc>
          <w:tcPr>
            <w:tcW w:w="8270"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1961" w:hRule="exact"/>
        </w:trPr>
        <w:tc>
          <w:tcPr>
            <w:tcW w:w="12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2" w:right="23"/>
              <w:jc w:val="left"/>
              <w:rPr>
                <w:rFonts w:ascii="宋体" w:hAnsi="宋体" w:cs="宋体" w:eastAsia="宋体" w:hint="default"/>
                <w:sz w:val="18"/>
                <w:szCs w:val="18"/>
              </w:rPr>
            </w:pPr>
            <w:r>
              <w:rPr>
                <w:rFonts w:ascii="宋体" w:hAnsi="宋体" w:cs="宋体" w:eastAsia="宋体" w:hint="default"/>
                <w:sz w:val="18"/>
                <w:szCs w:val="18"/>
              </w:rPr>
              <w:t>如承诺超期未 </w:t>
            </w:r>
            <w:r>
              <w:rPr>
                <w:rFonts w:ascii="宋体" w:hAnsi="宋体" w:cs="宋体" w:eastAsia="宋体" w:hint="default"/>
                <w:spacing w:val="-4"/>
                <w:sz w:val="18"/>
                <w:szCs w:val="18"/>
              </w:rPr>
              <w:t>履行完毕的，应</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当详细说明未 完成履行的具 体原因及下一 步的工作计划</w:t>
            </w:r>
          </w:p>
        </w:tc>
        <w:tc>
          <w:tcPr>
            <w:tcW w:w="8270"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10"/>
        <w:rPr>
          <w:rFonts w:ascii="Times New Roman" w:hAnsi="Times New Roman" w:cs="Times New Roman" w:eastAsia="Times New Roman" w:hint="default"/>
          <w:sz w:val="21"/>
          <w:szCs w:val="21"/>
        </w:rPr>
      </w:pPr>
    </w:p>
    <w:p>
      <w:pPr>
        <w:pStyle w:val="Heading4"/>
        <w:spacing w:line="259" w:lineRule="auto" w:before="36"/>
        <w:ind w:right="986"/>
        <w:jc w:val="left"/>
        <w:rPr>
          <w:b w:val="0"/>
          <w:bCs w:val="0"/>
        </w:rPr>
      </w:pPr>
      <w:bookmarkStart w:name="2、公司资产或项目存在盈利预测，且报告期仍处在盈利预测期间，公司就资产或项目达到" w:id="65"/>
      <w:bookmarkEnd w:id="65"/>
      <w:r>
        <w:rPr>
          <w:b w:val="0"/>
          <w:bCs w:val="0"/>
        </w:rPr>
      </w:r>
      <w:r>
        <w:rPr>
          <w:rFonts w:ascii="Times New Roman" w:hAnsi="Times New Roman" w:cs="Times New Roman" w:eastAsia="Times New Roman" w:hint="default"/>
        </w:rPr>
        <w:t>2</w:t>
      </w:r>
      <w:r>
        <w:rPr/>
        <w:t>、公司资产或项目存在盈利预测，且报告期仍处在盈利预测期间，公司就资产或项目达到原盈利预测及</w:t>
      </w:r>
      <w:r>
        <w:rPr>
          <w:spacing w:val="-65"/>
        </w:rPr>
        <w:t> </w:t>
      </w:r>
      <w:r>
        <w:rPr>
          <w:spacing w:val="-65"/>
        </w:rPr>
      </w:r>
      <w:r>
        <w:rPr/>
        <w:t>其原因做出说明</w:t>
      </w:r>
      <w:r>
        <w:rPr>
          <w:b w:val="0"/>
          <w:bCs w:val="0"/>
        </w:rPr>
      </w:r>
    </w:p>
    <w:p>
      <w:pPr>
        <w:spacing w:line="240" w:lineRule="auto" w:before="3"/>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986"/>
        <w:jc w:val="left"/>
        <w:rPr>
          <w:b w:val="0"/>
          <w:bCs w:val="0"/>
        </w:rPr>
      </w:pPr>
      <w:bookmarkStart w:name="三、控股股东及其关联方对上市公司的非经营性占用资金情况" w:id="66"/>
      <w:bookmarkEnd w:id="66"/>
      <w:r>
        <w:rPr>
          <w:b w:val="0"/>
          <w:bCs w:val="0"/>
        </w:rPr>
      </w:r>
      <w:r>
        <w:rPr/>
        <w:t>三、控股股东及其关联方对上市公司的非经营性占用资金情况</w:t>
      </w:r>
      <w:r>
        <w:rPr>
          <w:b w:val="0"/>
          <w:bCs w:val="0"/>
        </w:rPr>
      </w:r>
    </w:p>
    <w:p>
      <w:pPr>
        <w:spacing w:line="240" w:lineRule="auto" w:before="6"/>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9"/>
        <w:rPr>
          <w:rFonts w:ascii="宋体" w:hAnsi="宋体" w:cs="宋体" w:eastAsia="宋体" w:hint="default"/>
          <w:sz w:val="25"/>
          <w:szCs w:val="25"/>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公司报告期不存在控股股东及其关联方对上市公司的非经营性占用资金。</w:t>
      </w:r>
    </w:p>
    <w:p>
      <w:pPr>
        <w:spacing w:line="240" w:lineRule="auto" w:before="3"/>
        <w:rPr>
          <w:rFonts w:ascii="宋体" w:hAnsi="宋体" w:cs="宋体" w:eastAsia="宋体" w:hint="default"/>
          <w:sz w:val="25"/>
          <w:szCs w:val="25"/>
        </w:rPr>
      </w:pPr>
    </w:p>
    <w:p>
      <w:pPr>
        <w:pStyle w:val="Heading2"/>
        <w:spacing w:line="240" w:lineRule="auto"/>
        <w:ind w:right="986"/>
        <w:jc w:val="left"/>
        <w:rPr>
          <w:b w:val="0"/>
          <w:bCs w:val="0"/>
        </w:rPr>
      </w:pPr>
      <w:bookmarkStart w:name="四、董事会对最近一期“非标准审计报告”相关情况的说明" w:id="67"/>
      <w:bookmarkEnd w:id="67"/>
      <w:r>
        <w:rPr>
          <w:b w:val="0"/>
          <w:bCs w:val="0"/>
        </w:rPr>
      </w:r>
      <w:r>
        <w:rPr/>
        <w:t>四、董事会对最近一期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相关情况的说明</w:t>
      </w:r>
      <w:r>
        <w:rPr>
          <w:b w:val="0"/>
          <w:bCs w:val="0"/>
        </w:rPr>
      </w:r>
    </w:p>
    <w:p>
      <w:pPr>
        <w:spacing w:line="240" w:lineRule="auto" w:before="1"/>
        <w:rPr>
          <w:rFonts w:ascii="宋体" w:hAnsi="宋体" w:cs="宋体" w:eastAsia="宋体" w:hint="default"/>
          <w:b/>
          <w:bCs/>
          <w:sz w:val="25"/>
          <w:szCs w:val="25"/>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986"/>
        <w:jc w:val="left"/>
        <w:rPr>
          <w:b w:val="0"/>
          <w:bCs w:val="0"/>
        </w:rPr>
      </w:pPr>
      <w:bookmarkStart w:name="五、董事会、监事会、独立董事（如有）对会计师事务所本报告期“非标准审计报告”的说" w:id="68"/>
      <w:bookmarkEnd w:id="68"/>
      <w:r>
        <w:rPr>
          <w:b w:val="0"/>
          <w:bCs w:val="0"/>
        </w:rPr>
      </w:r>
      <w:r>
        <w:rPr/>
        <w:t>五、董事会、监事会、独立董事（如有）对会计师事务所本报告期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的说明</w:t>
      </w:r>
      <w:r>
        <w:rPr>
          <w:b w:val="0"/>
          <w:bCs w:val="0"/>
        </w:rPr>
      </w:r>
    </w:p>
    <w:p>
      <w:pPr>
        <w:spacing w:line="240" w:lineRule="auto" w:before="1"/>
        <w:rPr>
          <w:rFonts w:ascii="宋体" w:hAnsi="宋体" w:cs="宋体" w:eastAsia="宋体" w:hint="default"/>
          <w:b/>
          <w:bCs/>
          <w:sz w:val="25"/>
          <w:szCs w:val="25"/>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986"/>
        <w:jc w:val="left"/>
        <w:rPr>
          <w:b w:val="0"/>
          <w:bCs w:val="0"/>
        </w:rPr>
      </w:pPr>
      <w:bookmarkStart w:name="六、董事会关于报告期会计政策、会计估计变更或重大会计差错更正的说明" w:id="69"/>
      <w:bookmarkEnd w:id="69"/>
      <w:r>
        <w:rPr>
          <w:b w:val="0"/>
          <w:bCs w:val="0"/>
        </w:rPr>
      </w:r>
      <w:r>
        <w:rPr/>
        <w:t>六、董事会关于报告期会计政策、会计估计变更或重大会计差错更正的说明</w:t>
      </w:r>
      <w:r>
        <w:rPr>
          <w:b w:val="0"/>
          <w:bCs w:val="0"/>
        </w:rPr>
      </w:r>
    </w:p>
    <w:p>
      <w:pPr>
        <w:spacing w:line="240" w:lineRule="auto" w:before="6"/>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986"/>
        <w:jc w:val="left"/>
        <w:rPr>
          <w:b w:val="0"/>
          <w:bCs w:val="0"/>
        </w:rPr>
      </w:pPr>
      <w:bookmarkStart w:name="七、与上年度财务报告相比，合并报表范围发生变化的情况说明" w:id="70"/>
      <w:bookmarkEnd w:id="70"/>
      <w:r>
        <w:rPr>
          <w:b w:val="0"/>
          <w:bCs w:val="0"/>
        </w:rPr>
      </w:r>
      <w:r>
        <w:rPr/>
        <w:t>七、与上年度财务报告相比，合并报表范围发生变化的情况说明</w:t>
      </w:r>
      <w:r>
        <w:rPr>
          <w:b w:val="0"/>
          <w:bCs w:val="0"/>
        </w:rPr>
      </w:r>
    </w:p>
    <w:p>
      <w:pPr>
        <w:spacing w:line="240" w:lineRule="auto" w:before="6"/>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pStyle w:val="BodyText"/>
        <w:spacing w:line="240" w:lineRule="auto" w:before="159"/>
        <w:ind w:left="572" w:right="986"/>
        <w:jc w:val="left"/>
      </w:pPr>
      <w:r>
        <w:rPr>
          <w:rFonts w:ascii="宋体" w:hAnsi="宋体" w:cs="宋体" w:eastAsia="宋体" w:hint="default"/>
        </w:rPr>
        <w:t>1</w:t>
      </w:r>
      <w:r>
        <w:rPr/>
        <w:t>、设立美亚信安</w:t>
      </w:r>
    </w:p>
    <w:p>
      <w:pPr>
        <w:spacing w:line="240" w:lineRule="auto" w:before="10"/>
        <w:rPr>
          <w:rFonts w:ascii="宋体" w:hAnsi="宋体" w:cs="宋体" w:eastAsia="宋体" w:hint="default"/>
          <w:sz w:val="14"/>
          <w:szCs w:val="14"/>
        </w:rPr>
      </w:pPr>
    </w:p>
    <w:p>
      <w:pPr>
        <w:pStyle w:val="BodyText"/>
        <w:spacing w:line="240" w:lineRule="auto" w:before="0"/>
        <w:ind w:left="572" w:right="986"/>
        <w:jc w:val="left"/>
      </w:pPr>
      <w:r>
        <w:rPr>
          <w:rFonts w:ascii="宋体" w:hAnsi="宋体" w:cs="宋体" w:eastAsia="宋体" w:hint="default"/>
        </w:rPr>
        <w:t>2019</w:t>
      </w:r>
      <w:r>
        <w:rPr/>
        <w:t>年</w:t>
      </w:r>
      <w:r>
        <w:rPr>
          <w:rFonts w:ascii="宋体" w:hAnsi="宋体" w:cs="宋体" w:eastAsia="宋体" w:hint="default"/>
        </w:rPr>
        <w:t>1</w:t>
      </w:r>
      <w:r>
        <w:rPr/>
        <w:t>月</w:t>
      </w:r>
      <w:r>
        <w:rPr>
          <w:rFonts w:ascii="宋体" w:hAnsi="宋体" w:cs="宋体" w:eastAsia="宋体" w:hint="default"/>
        </w:rPr>
        <w:t>10</w:t>
      </w:r>
      <w:r>
        <w:rPr/>
        <w:t>日，本公司独资设立美亚信安，注册资本为</w:t>
      </w:r>
      <w:r>
        <w:rPr>
          <w:rFonts w:ascii="宋体" w:hAnsi="宋体" w:cs="宋体" w:eastAsia="宋体" w:hint="default"/>
        </w:rPr>
        <w:t>1,000.00</w:t>
      </w:r>
      <w:r>
        <w:rPr/>
        <w:t>万元。</w:t>
      </w:r>
    </w:p>
    <w:p>
      <w:pPr>
        <w:spacing w:line="240" w:lineRule="auto" w:before="10"/>
        <w:rPr>
          <w:rFonts w:ascii="宋体" w:hAnsi="宋体" w:cs="宋体" w:eastAsia="宋体" w:hint="default"/>
          <w:sz w:val="14"/>
          <w:szCs w:val="14"/>
        </w:rPr>
      </w:pPr>
    </w:p>
    <w:p>
      <w:pPr>
        <w:pStyle w:val="BodyText"/>
        <w:spacing w:line="240" w:lineRule="auto" w:before="0"/>
        <w:ind w:left="573" w:right="986"/>
        <w:jc w:val="left"/>
      </w:pPr>
      <w:r>
        <w:rPr>
          <w:rFonts w:ascii="宋体" w:hAnsi="宋体" w:cs="宋体" w:eastAsia="宋体" w:hint="default"/>
        </w:rPr>
        <w:t>2</w:t>
      </w:r>
      <w:r>
        <w:rPr/>
        <w:t>、设立美亚秦安</w:t>
      </w:r>
    </w:p>
    <w:p>
      <w:pPr>
        <w:spacing w:line="240" w:lineRule="auto" w:before="10"/>
        <w:rPr>
          <w:rFonts w:ascii="宋体" w:hAnsi="宋体" w:cs="宋体" w:eastAsia="宋体" w:hint="default"/>
          <w:sz w:val="14"/>
          <w:szCs w:val="14"/>
        </w:rPr>
      </w:pPr>
    </w:p>
    <w:p>
      <w:pPr>
        <w:pStyle w:val="BodyText"/>
        <w:spacing w:line="240" w:lineRule="auto" w:before="0"/>
        <w:ind w:left="573" w:right="986"/>
        <w:jc w:val="left"/>
      </w:pPr>
      <w:r>
        <w:rPr>
          <w:rFonts w:ascii="宋体" w:hAnsi="宋体" w:cs="宋体" w:eastAsia="宋体" w:hint="default"/>
        </w:rPr>
        <w:t>2019</w:t>
      </w:r>
      <w:r>
        <w:rPr/>
        <w:t>年</w:t>
      </w:r>
      <w:r>
        <w:rPr>
          <w:rFonts w:ascii="宋体" w:hAnsi="宋体" w:cs="宋体" w:eastAsia="宋体" w:hint="default"/>
        </w:rPr>
        <w:t>6</w:t>
      </w:r>
      <w:r>
        <w:rPr/>
        <w:t>月</w:t>
      </w:r>
      <w:r>
        <w:rPr>
          <w:rFonts w:ascii="宋体" w:hAnsi="宋体" w:cs="宋体" w:eastAsia="宋体" w:hint="default"/>
        </w:rPr>
        <w:t>13</w:t>
      </w:r>
      <w:r>
        <w:rPr/>
        <w:t>日，本公司独资设立美亚秦安，注册资本为</w:t>
      </w:r>
      <w:r>
        <w:rPr>
          <w:rFonts w:ascii="宋体" w:hAnsi="宋体" w:cs="宋体" w:eastAsia="宋体" w:hint="default"/>
        </w:rPr>
        <w:t>1,000.00</w:t>
      </w:r>
      <w:r>
        <w:rPr/>
        <w:t>万元。</w:t>
      </w:r>
    </w:p>
    <w:p>
      <w:pPr>
        <w:spacing w:line="240" w:lineRule="auto" w:before="10"/>
        <w:rPr>
          <w:rFonts w:ascii="宋体" w:hAnsi="宋体" w:cs="宋体" w:eastAsia="宋体" w:hint="default"/>
          <w:sz w:val="14"/>
          <w:szCs w:val="14"/>
        </w:rPr>
      </w:pPr>
    </w:p>
    <w:p>
      <w:pPr>
        <w:pStyle w:val="BodyText"/>
        <w:spacing w:line="240" w:lineRule="auto" w:before="0"/>
        <w:ind w:left="573" w:right="986"/>
        <w:jc w:val="left"/>
      </w:pPr>
      <w:r>
        <w:rPr>
          <w:rFonts w:ascii="宋体" w:hAnsi="宋体" w:cs="宋体" w:eastAsia="宋体" w:hint="default"/>
        </w:rPr>
        <w:t>3</w:t>
      </w:r>
      <w:r>
        <w:rPr/>
        <w:t>、设立美亚川安</w:t>
      </w:r>
    </w:p>
    <w:p>
      <w:pPr>
        <w:spacing w:line="240" w:lineRule="auto" w:before="12"/>
        <w:rPr>
          <w:rFonts w:ascii="宋体" w:hAnsi="宋体" w:cs="宋体" w:eastAsia="宋体" w:hint="default"/>
          <w:sz w:val="23"/>
          <w:szCs w:val="23"/>
        </w:rPr>
      </w:pPr>
    </w:p>
    <w:p>
      <w:pPr>
        <w:pStyle w:val="BodyText"/>
        <w:spacing w:line="240" w:lineRule="auto" w:before="0"/>
        <w:ind w:left="573" w:right="986"/>
        <w:jc w:val="left"/>
      </w:pPr>
      <w:r>
        <w:rPr>
          <w:rFonts w:ascii="宋体" w:hAnsi="宋体" w:cs="宋体" w:eastAsia="宋体" w:hint="default"/>
        </w:rPr>
        <w:t>2019</w:t>
      </w:r>
      <w:r>
        <w:rPr/>
        <w:t>年</w:t>
      </w:r>
      <w:r>
        <w:rPr>
          <w:rFonts w:ascii="宋体" w:hAnsi="宋体" w:cs="宋体" w:eastAsia="宋体" w:hint="default"/>
        </w:rPr>
        <w:t>10</w:t>
      </w:r>
      <w:r>
        <w:rPr/>
        <w:t>月</w:t>
      </w:r>
      <w:r>
        <w:rPr>
          <w:rFonts w:ascii="宋体" w:hAnsi="宋体" w:cs="宋体" w:eastAsia="宋体" w:hint="default"/>
        </w:rPr>
        <w:t>12</w:t>
      </w:r>
      <w:r>
        <w:rPr/>
        <w:t>日，本公司独资设立美亚川安，注册资本为</w:t>
      </w:r>
      <w:r>
        <w:rPr>
          <w:rFonts w:ascii="宋体" w:hAnsi="宋体" w:cs="宋体" w:eastAsia="宋体" w:hint="default"/>
        </w:rPr>
        <w:t>800.00</w:t>
      </w:r>
      <w:r>
        <w:rPr/>
        <w:t>万元。</w:t>
      </w:r>
    </w:p>
    <w:p>
      <w:pPr>
        <w:spacing w:line="240" w:lineRule="auto" w:before="10"/>
        <w:rPr>
          <w:rFonts w:ascii="宋体" w:hAnsi="宋体" w:cs="宋体" w:eastAsia="宋体" w:hint="default"/>
          <w:sz w:val="14"/>
          <w:szCs w:val="14"/>
        </w:rPr>
      </w:pPr>
    </w:p>
    <w:p>
      <w:pPr>
        <w:pStyle w:val="BodyText"/>
        <w:spacing w:line="240" w:lineRule="auto" w:before="0"/>
        <w:ind w:left="573" w:right="986"/>
        <w:jc w:val="left"/>
      </w:pPr>
      <w:r>
        <w:rPr>
          <w:rFonts w:ascii="宋体" w:hAnsi="宋体" w:cs="宋体" w:eastAsia="宋体" w:hint="default"/>
        </w:rPr>
        <w:t>4</w:t>
      </w:r>
      <w:r>
        <w:rPr/>
        <w:t>、设立美亚陇安</w:t>
      </w:r>
    </w:p>
    <w:p>
      <w:pPr>
        <w:spacing w:line="240" w:lineRule="auto" w:before="10"/>
        <w:rPr>
          <w:rFonts w:ascii="宋体" w:hAnsi="宋体" w:cs="宋体" w:eastAsia="宋体" w:hint="default"/>
          <w:sz w:val="14"/>
          <w:szCs w:val="14"/>
        </w:rPr>
      </w:pPr>
    </w:p>
    <w:p>
      <w:pPr>
        <w:pStyle w:val="BodyText"/>
        <w:spacing w:line="240" w:lineRule="auto" w:before="0"/>
        <w:ind w:left="573" w:right="986"/>
        <w:jc w:val="left"/>
      </w:pPr>
      <w:r>
        <w:rPr>
          <w:rFonts w:ascii="宋体" w:hAnsi="宋体" w:cs="宋体" w:eastAsia="宋体" w:hint="default"/>
        </w:rPr>
        <w:t>2019</w:t>
      </w:r>
      <w:r>
        <w:rPr/>
        <w:t>年</w:t>
      </w:r>
      <w:r>
        <w:rPr>
          <w:rFonts w:ascii="宋体" w:hAnsi="宋体" w:cs="宋体" w:eastAsia="宋体" w:hint="default"/>
        </w:rPr>
        <w:t>10</w:t>
      </w:r>
      <w:r>
        <w:rPr/>
        <w:t>月</w:t>
      </w:r>
      <w:r>
        <w:rPr>
          <w:rFonts w:ascii="宋体" w:hAnsi="宋体" w:cs="宋体" w:eastAsia="宋体" w:hint="default"/>
        </w:rPr>
        <w:t>29</w:t>
      </w:r>
      <w:r>
        <w:rPr/>
        <w:t>日，本公司独资设立美亚陇安，注册资本为</w:t>
      </w:r>
      <w:r>
        <w:rPr>
          <w:rFonts w:ascii="宋体" w:hAnsi="宋体" w:cs="宋体" w:eastAsia="宋体" w:hint="default"/>
        </w:rPr>
        <w:t>1,000.00</w:t>
      </w:r>
      <w:r>
        <w:rPr/>
        <w:t>万元。</w:t>
      </w:r>
    </w:p>
    <w:p>
      <w:pPr>
        <w:spacing w:line="240" w:lineRule="auto" w:before="10"/>
        <w:rPr>
          <w:rFonts w:ascii="宋体" w:hAnsi="宋体" w:cs="宋体" w:eastAsia="宋体" w:hint="default"/>
          <w:sz w:val="14"/>
          <w:szCs w:val="14"/>
        </w:rPr>
      </w:pPr>
    </w:p>
    <w:p>
      <w:pPr>
        <w:pStyle w:val="BodyText"/>
        <w:spacing w:line="240" w:lineRule="auto" w:before="0"/>
        <w:ind w:left="573" w:right="986"/>
        <w:jc w:val="left"/>
      </w:pPr>
      <w:r>
        <w:rPr>
          <w:rFonts w:ascii="宋体" w:hAnsi="宋体" w:cs="宋体" w:eastAsia="宋体" w:hint="default"/>
        </w:rPr>
        <w:t>5</w:t>
      </w:r>
      <w:r>
        <w:rPr/>
        <w:t>、非同一控制下合并中检美亚，</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31</w:t>
      </w:r>
      <w:r>
        <w:rPr/>
        <w:t>日将其纳入合并范围。</w:t>
      </w:r>
    </w:p>
    <w:p>
      <w:pPr>
        <w:spacing w:line="240" w:lineRule="auto" w:before="11"/>
        <w:rPr>
          <w:rFonts w:ascii="宋体" w:hAnsi="宋体" w:cs="宋体" w:eastAsia="宋体" w:hint="default"/>
          <w:sz w:val="29"/>
          <w:szCs w:val="29"/>
        </w:rPr>
      </w:pPr>
    </w:p>
    <w:p>
      <w:pPr>
        <w:pStyle w:val="Heading2"/>
        <w:spacing w:line="240" w:lineRule="auto"/>
        <w:ind w:right="986"/>
        <w:jc w:val="left"/>
        <w:rPr>
          <w:b w:val="0"/>
          <w:bCs w:val="0"/>
        </w:rPr>
      </w:pPr>
      <w:bookmarkStart w:name="八、聘任、解聘会计师事务所情况" w:id="71"/>
      <w:bookmarkEnd w:id="71"/>
      <w:r>
        <w:rPr>
          <w:b w:val="0"/>
          <w:bCs w:val="0"/>
        </w:rPr>
      </w:r>
      <w:r>
        <w:rPr/>
        <w:t>八、聘任、解聘会计师事务所情况</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现聘任的会计事务所</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9"/>
        <w:gridCol w:w="4778"/>
      </w:tblGrid>
      <w:tr>
        <w:trPr>
          <w:trHeight w:val="402" w:hRule="exact"/>
        </w:trPr>
        <w:tc>
          <w:tcPr>
            <w:tcW w:w="47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hAnsi="宋体" w:cs="宋体" w:eastAsia="宋体" w:hint="default"/>
                <w:sz w:val="18"/>
                <w:szCs w:val="18"/>
              </w:rPr>
              <w:t>中证天通会计师事务所（特殊普通合伙）</w:t>
            </w:r>
          </w:p>
        </w:tc>
      </w:tr>
      <w:tr>
        <w:trPr>
          <w:trHeight w:val="402" w:hRule="exact"/>
        </w:trPr>
        <w:tc>
          <w:tcPr>
            <w:tcW w:w="47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130</w:t>
            </w:r>
          </w:p>
        </w:tc>
      </w:tr>
      <w:tr>
        <w:trPr>
          <w:trHeight w:val="402" w:hRule="exact"/>
        </w:trPr>
        <w:tc>
          <w:tcPr>
            <w:tcW w:w="47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1</w:t>
            </w:r>
          </w:p>
        </w:tc>
      </w:tr>
      <w:tr>
        <w:trPr>
          <w:trHeight w:val="402" w:hRule="exact"/>
        </w:trPr>
        <w:tc>
          <w:tcPr>
            <w:tcW w:w="47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宋体" w:hAnsi="宋体" w:cs="宋体" w:eastAsia="宋体" w:hint="default"/>
                <w:sz w:val="18"/>
                <w:szCs w:val="18"/>
              </w:rPr>
            </w:pPr>
            <w:r>
              <w:rPr>
                <w:rFonts w:ascii="宋体" w:hAnsi="宋体" w:cs="宋体" w:eastAsia="宋体" w:hint="default"/>
                <w:sz w:val="18"/>
                <w:szCs w:val="18"/>
              </w:rPr>
              <w:t>陈峰</w:t>
            </w:r>
            <w:r>
              <w:rPr>
                <w:rFonts w:ascii="宋体" w:hAnsi="宋体" w:cs="宋体" w:eastAsia="宋体" w:hint="default"/>
                <w:spacing w:val="1"/>
                <w:sz w:val="18"/>
                <w:szCs w:val="18"/>
              </w:rPr>
              <w:t> </w:t>
            </w:r>
            <w:r>
              <w:rPr>
                <w:rFonts w:ascii="宋体" w:hAnsi="宋体" w:cs="宋体" w:eastAsia="宋体" w:hint="default"/>
                <w:sz w:val="18"/>
                <w:szCs w:val="18"/>
              </w:rPr>
              <w:t>易厚震</w:t>
            </w:r>
          </w:p>
        </w:tc>
      </w:tr>
      <w:tr>
        <w:trPr>
          <w:trHeight w:val="403" w:hRule="exact"/>
        </w:trPr>
        <w:tc>
          <w:tcPr>
            <w:tcW w:w="47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1</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是否改聘会计师事务所</w:t>
      </w:r>
    </w:p>
    <w:p>
      <w:pPr>
        <w:spacing w:line="340" w:lineRule="auto" w:before="115"/>
        <w:ind w:left="152" w:right="805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聘任、解聘会计师事务所情况说明</w:t>
      </w:r>
    </w:p>
    <w:p>
      <w:pPr>
        <w:spacing w:after="0" w:line="340"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240" w:lineRule="auto" w:before="175"/>
        <w:ind w:left="572" w:right="986"/>
        <w:jc w:val="left"/>
      </w:pPr>
      <w:r>
        <w:rPr/>
        <w:t>公司</w:t>
      </w:r>
      <w:r>
        <w:rPr>
          <w:spacing w:val="-49"/>
        </w:rPr>
        <w:t> </w:t>
      </w:r>
      <w:r>
        <w:rPr>
          <w:rFonts w:ascii="宋体" w:hAnsi="宋体" w:cs="宋体" w:eastAsia="宋体" w:hint="default"/>
        </w:rPr>
        <w:t>2019</w:t>
      </w:r>
      <w:r>
        <w:rPr>
          <w:rFonts w:ascii="宋体" w:hAnsi="宋体" w:cs="宋体" w:eastAsia="宋体" w:hint="default"/>
          <w:spacing w:val="-51"/>
        </w:rPr>
        <w:t> </w:t>
      </w:r>
      <w:r>
        <w:rPr/>
        <w:t>年第二次临时股东大会审议通过了《关于变更公司</w:t>
      </w:r>
      <w:r>
        <w:rPr>
          <w:spacing w:val="-50"/>
        </w:rPr>
        <w:t> </w:t>
      </w:r>
      <w:r>
        <w:rPr>
          <w:rFonts w:ascii="宋体" w:hAnsi="宋体" w:cs="宋体" w:eastAsia="宋体" w:hint="default"/>
        </w:rPr>
        <w:t>2019</w:t>
      </w:r>
      <w:r>
        <w:rPr>
          <w:rFonts w:ascii="宋体" w:hAnsi="宋体" w:cs="宋体" w:eastAsia="宋体" w:hint="default"/>
          <w:spacing w:val="-51"/>
        </w:rPr>
        <w:t> </w:t>
      </w:r>
      <w:r>
        <w:rPr>
          <w:spacing w:val="-3"/>
        </w:rPr>
        <w:t>年度审计机构的议案》，公司聘任</w:t>
      </w:r>
    </w:p>
    <w:p>
      <w:pPr>
        <w:spacing w:line="240" w:lineRule="auto" w:before="10"/>
        <w:rPr>
          <w:rFonts w:ascii="宋体" w:hAnsi="宋体" w:cs="宋体" w:eastAsia="宋体" w:hint="default"/>
          <w:sz w:val="14"/>
          <w:szCs w:val="14"/>
        </w:rPr>
      </w:pPr>
    </w:p>
    <w:p>
      <w:pPr>
        <w:pStyle w:val="BodyText"/>
        <w:spacing w:line="403" w:lineRule="auto" w:before="0"/>
        <w:ind w:right="986"/>
        <w:jc w:val="left"/>
        <w:rPr>
          <w:sz w:val="18"/>
          <w:szCs w:val="18"/>
        </w:rPr>
      </w:pPr>
      <w:r>
        <w:rPr>
          <w:spacing w:val="-7"/>
        </w:rPr>
        <w:t>中证天通会计师事务所（特殊普通合伙）（简称“中证天通”）为</w:t>
      </w:r>
      <w:r>
        <w:rPr>
          <w:spacing w:val="-29"/>
        </w:rPr>
        <w:t> </w:t>
      </w:r>
      <w:r>
        <w:rPr>
          <w:rFonts w:ascii="宋体" w:hAnsi="宋体" w:cs="宋体" w:eastAsia="宋体" w:hint="default"/>
        </w:rPr>
        <w:t>2019</w:t>
      </w:r>
      <w:r>
        <w:rPr>
          <w:rFonts w:ascii="宋体" w:hAnsi="宋体" w:cs="宋体" w:eastAsia="宋体" w:hint="default"/>
          <w:spacing w:val="-32"/>
        </w:rPr>
        <w:t> </w:t>
      </w:r>
      <w:r>
        <w:rPr>
          <w:spacing w:val="-5"/>
        </w:rPr>
        <w:t>年年度审计机构。中证天通在</w:t>
      </w:r>
      <w:r>
        <w:rPr>
          <w:spacing w:val="-29"/>
        </w:rPr>
        <w:t> </w:t>
      </w:r>
      <w:r>
        <w:rPr>
          <w:rFonts w:ascii="宋体" w:hAnsi="宋体" w:cs="宋体" w:eastAsia="宋体" w:hint="default"/>
          <w:spacing w:val="-3"/>
        </w:rPr>
        <w:t>2019</w:t>
      </w:r>
      <w:r>
        <w:rPr>
          <w:rFonts w:ascii="宋体" w:hAnsi="宋体" w:cs="宋体" w:eastAsia="宋体" w:hint="default"/>
          <w:spacing w:val="-93"/>
        </w:rPr>
        <w:t> </w:t>
      </w:r>
      <w:r>
        <w:rPr>
          <w:rFonts w:ascii="宋体" w:hAnsi="宋体" w:cs="宋体" w:eastAsia="宋体" w:hint="default"/>
          <w:spacing w:val="-93"/>
        </w:rPr>
      </w:r>
      <w:r>
        <w:rPr>
          <w:spacing w:val="-2"/>
        </w:rPr>
        <w:t>年度的审计工作中，遵循独立、客观、公证、公允的原则，切实履行了审计机构应尽的职责，从专业角度</w:t>
      </w:r>
      <w:r>
        <w:rPr>
          <w:spacing w:val="-45"/>
        </w:rPr>
        <w:t> </w:t>
      </w:r>
      <w:r>
        <w:rPr>
          <w:spacing w:val="-45"/>
        </w:rPr>
      </w:r>
      <w:r>
        <w:rPr/>
        <w:t>维护了公司及股东的合法权益，表现了良好的职业操守和业务素质。</w:t>
      </w:r>
      <w:r>
        <w:rPr>
          <w:w w:val="100"/>
        </w:rPr>
        <w:t> </w:t>
      </w:r>
      <w:r>
        <w:rPr>
          <w:sz w:val="18"/>
          <w:szCs w:val="18"/>
        </w:rPr>
        <w:t>聘请内部控制审计会计师事务所、财务顾问或保荐人情况</w:t>
      </w:r>
    </w:p>
    <w:p>
      <w:pPr>
        <w:spacing w:line="242" w:lineRule="exact"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986"/>
        <w:jc w:val="left"/>
        <w:rPr>
          <w:b w:val="0"/>
          <w:bCs w:val="0"/>
        </w:rPr>
      </w:pPr>
      <w:bookmarkStart w:name="九、年度报告披露后面临暂停上市和终止上市情况" w:id="72"/>
      <w:bookmarkEnd w:id="72"/>
      <w:r>
        <w:rPr>
          <w:b w:val="0"/>
          <w:bCs w:val="0"/>
        </w:rPr>
      </w:r>
      <w:r>
        <w:rPr/>
        <w:t>九、年度报告披露后面临暂停上市和终止上市情况</w:t>
      </w:r>
      <w:r>
        <w:rPr>
          <w:b w:val="0"/>
          <w:bCs w:val="0"/>
        </w:rPr>
      </w:r>
    </w:p>
    <w:p>
      <w:pPr>
        <w:spacing w:line="240" w:lineRule="auto" w:before="6"/>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986"/>
        <w:jc w:val="left"/>
        <w:rPr>
          <w:b w:val="0"/>
          <w:bCs w:val="0"/>
        </w:rPr>
      </w:pPr>
      <w:bookmarkStart w:name="十、破产重整相关事项" w:id="73"/>
      <w:bookmarkEnd w:id="73"/>
      <w:r>
        <w:rPr>
          <w:b w:val="0"/>
          <w:bCs w:val="0"/>
        </w:rPr>
      </w:r>
      <w:r>
        <w:rPr/>
        <w:t>十、破产重整相关事项</w:t>
      </w:r>
      <w:r>
        <w:rPr>
          <w:b w:val="0"/>
          <w:bCs w:val="0"/>
        </w:rPr>
      </w:r>
    </w:p>
    <w:p>
      <w:pPr>
        <w:spacing w:line="240" w:lineRule="auto" w:before="4"/>
        <w:rPr>
          <w:rFonts w:ascii="宋体" w:hAnsi="宋体" w:cs="宋体" w:eastAsia="宋体" w:hint="default"/>
          <w:b/>
          <w:bCs/>
          <w:sz w:val="26"/>
          <w:szCs w:val="26"/>
        </w:rPr>
      </w:pPr>
    </w:p>
    <w:p>
      <w:pPr>
        <w:spacing w:line="340" w:lineRule="auto" w:before="0"/>
        <w:ind w:left="152" w:right="76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公司报告期未发生破产重整相关事项。</w:t>
      </w:r>
    </w:p>
    <w:p>
      <w:pPr>
        <w:spacing w:line="240" w:lineRule="auto" w:before="6"/>
        <w:rPr>
          <w:rFonts w:ascii="宋体" w:hAnsi="宋体" w:cs="宋体" w:eastAsia="宋体" w:hint="default"/>
          <w:sz w:val="19"/>
          <w:szCs w:val="19"/>
        </w:rPr>
      </w:pPr>
    </w:p>
    <w:p>
      <w:pPr>
        <w:pStyle w:val="Heading2"/>
        <w:spacing w:line="240" w:lineRule="auto"/>
        <w:ind w:right="986"/>
        <w:jc w:val="left"/>
        <w:rPr>
          <w:b w:val="0"/>
          <w:bCs w:val="0"/>
        </w:rPr>
      </w:pPr>
      <w:bookmarkStart w:name="十一、重大诉讼、仲裁事项" w:id="74"/>
      <w:bookmarkEnd w:id="74"/>
      <w:r>
        <w:rPr>
          <w:b w:val="0"/>
          <w:bCs w:val="0"/>
        </w:rPr>
      </w:r>
      <w:r>
        <w:rPr/>
        <w:t>十一、重大诉讼、仲裁事项</w:t>
      </w:r>
      <w:r>
        <w:rPr>
          <w:b w:val="0"/>
          <w:bCs w:val="0"/>
        </w:rPr>
      </w:r>
    </w:p>
    <w:p>
      <w:pPr>
        <w:spacing w:line="240" w:lineRule="auto" w:before="6"/>
        <w:rPr>
          <w:rFonts w:ascii="宋体" w:hAnsi="宋体" w:cs="宋体" w:eastAsia="宋体" w:hint="default"/>
          <w:b/>
          <w:bCs/>
          <w:sz w:val="26"/>
          <w:szCs w:val="26"/>
        </w:rPr>
      </w:pPr>
    </w:p>
    <w:p>
      <w:pPr>
        <w:spacing w:line="338" w:lineRule="auto" w:before="0"/>
        <w:ind w:left="152" w:right="787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本年度公司无重大诉讼、仲裁事项。</w:t>
      </w:r>
    </w:p>
    <w:p>
      <w:pPr>
        <w:spacing w:line="240" w:lineRule="auto" w:before="8"/>
        <w:rPr>
          <w:rFonts w:ascii="宋体" w:hAnsi="宋体" w:cs="宋体" w:eastAsia="宋体" w:hint="default"/>
          <w:sz w:val="19"/>
          <w:szCs w:val="19"/>
        </w:rPr>
      </w:pPr>
    </w:p>
    <w:p>
      <w:pPr>
        <w:pStyle w:val="Heading2"/>
        <w:spacing w:line="240" w:lineRule="auto"/>
        <w:ind w:right="986"/>
        <w:jc w:val="left"/>
        <w:rPr>
          <w:b w:val="0"/>
          <w:bCs w:val="0"/>
        </w:rPr>
      </w:pPr>
      <w:bookmarkStart w:name="十二、处罚及整改情况" w:id="75"/>
      <w:bookmarkEnd w:id="75"/>
      <w:r>
        <w:rPr>
          <w:b w:val="0"/>
          <w:bCs w:val="0"/>
        </w:rPr>
      </w:r>
      <w:r>
        <w:rPr/>
        <w:t>十二、处罚及整改情况</w:t>
      </w:r>
      <w:r>
        <w:rPr>
          <w:b w:val="0"/>
          <w:bCs w:val="0"/>
        </w:rPr>
      </w:r>
    </w:p>
    <w:p>
      <w:pPr>
        <w:spacing w:line="240" w:lineRule="auto" w:before="6"/>
        <w:rPr>
          <w:rFonts w:ascii="宋体" w:hAnsi="宋体" w:cs="宋体" w:eastAsia="宋体" w:hint="default"/>
          <w:b/>
          <w:bCs/>
          <w:sz w:val="26"/>
          <w:szCs w:val="26"/>
        </w:rPr>
      </w:pPr>
    </w:p>
    <w:p>
      <w:pPr>
        <w:spacing w:line="338" w:lineRule="auto" w:before="0"/>
        <w:ind w:left="152" w:right="787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公司报告期不存在处罚及整改情况。</w:t>
      </w:r>
    </w:p>
    <w:p>
      <w:pPr>
        <w:spacing w:line="240" w:lineRule="auto" w:before="8"/>
        <w:rPr>
          <w:rFonts w:ascii="宋体" w:hAnsi="宋体" w:cs="宋体" w:eastAsia="宋体" w:hint="default"/>
          <w:sz w:val="19"/>
          <w:szCs w:val="19"/>
        </w:rPr>
      </w:pPr>
    </w:p>
    <w:p>
      <w:pPr>
        <w:pStyle w:val="Heading2"/>
        <w:spacing w:line="240" w:lineRule="auto"/>
        <w:ind w:right="986"/>
        <w:jc w:val="left"/>
        <w:rPr>
          <w:b w:val="0"/>
          <w:bCs w:val="0"/>
        </w:rPr>
      </w:pPr>
      <w:bookmarkStart w:name="十三、公司及其控股股东、实际控制人的诚信状况" w:id="76"/>
      <w:bookmarkEnd w:id="76"/>
      <w:r>
        <w:rPr>
          <w:b w:val="0"/>
          <w:bCs w:val="0"/>
        </w:rPr>
      </w:r>
      <w:r>
        <w:rPr/>
        <w:t>十三、公司及其控股股东、实际控制人的诚信状况</w:t>
      </w:r>
      <w:r>
        <w:rPr>
          <w:b w:val="0"/>
          <w:bCs w:val="0"/>
        </w:rPr>
      </w:r>
    </w:p>
    <w:p>
      <w:pPr>
        <w:spacing w:line="240" w:lineRule="auto" w:before="6"/>
        <w:rPr>
          <w:rFonts w:ascii="宋体" w:hAnsi="宋体" w:cs="宋体" w:eastAsia="宋体" w:hint="default"/>
          <w:b/>
          <w:bCs/>
          <w:sz w:val="26"/>
          <w:szCs w:val="26"/>
        </w:rPr>
      </w:pPr>
    </w:p>
    <w:p>
      <w:pPr>
        <w:spacing w:line="328" w:lineRule="auto"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w:t>
      </w:r>
      <w:r>
        <w:rPr>
          <w:rFonts w:ascii="宋体" w:hAnsi="宋体" w:cs="宋体" w:eastAsia="宋体" w:hint="default"/>
          <w:spacing w:val="-2"/>
          <w:sz w:val="18"/>
          <w:szCs w:val="18"/>
        </w:rPr>
        <w:t>报告期内，公司及其控股股东、实际控制人的诚信状况良好，不存在未履行法院生效判决、所负数额较大的债务到期末清偿</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等情况。</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26"/>
          <w:szCs w:val="26"/>
        </w:rPr>
      </w:pPr>
    </w:p>
    <w:p>
      <w:pPr>
        <w:pStyle w:val="Heading2"/>
        <w:spacing w:line="240" w:lineRule="auto"/>
        <w:ind w:right="986"/>
        <w:jc w:val="left"/>
        <w:rPr>
          <w:b w:val="0"/>
          <w:bCs w:val="0"/>
        </w:rPr>
      </w:pPr>
      <w:bookmarkStart w:name="十四、公司股权激励计划、员工持股计划或其他员工激励措施的实施情况" w:id="77"/>
      <w:bookmarkEnd w:id="77"/>
      <w:r>
        <w:rPr>
          <w:b w:val="0"/>
          <w:bCs w:val="0"/>
        </w:rPr>
      </w:r>
      <w:r>
        <w:rPr/>
        <w:t>十四、公司股权激励计划、员工持股计划或其他员工激励措施的实施情况</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pStyle w:val="Heading4"/>
        <w:spacing w:line="240" w:lineRule="auto" w:before="159"/>
        <w:ind w:left="604" w:right="986"/>
        <w:jc w:val="left"/>
        <w:rPr>
          <w:b w:val="0"/>
          <w:bCs w:val="0"/>
        </w:rPr>
      </w:pPr>
      <w:r>
        <w:rPr/>
        <w:t>（一）第二期限制性股票激励计划（已实施完毕）</w:t>
      </w:r>
      <w:r>
        <w:rPr>
          <w:b w:val="0"/>
          <w:bCs w:val="0"/>
        </w:rPr>
      </w:r>
    </w:p>
    <w:p>
      <w:pPr>
        <w:spacing w:line="240" w:lineRule="auto" w:before="10"/>
        <w:rPr>
          <w:rFonts w:ascii="宋体" w:hAnsi="宋体" w:cs="宋体" w:eastAsia="宋体" w:hint="default"/>
          <w:b/>
          <w:bCs/>
          <w:sz w:val="14"/>
          <w:szCs w:val="14"/>
        </w:rPr>
      </w:pPr>
    </w:p>
    <w:p>
      <w:pPr>
        <w:pStyle w:val="BodyText"/>
        <w:spacing w:line="408" w:lineRule="auto" w:before="0"/>
        <w:ind w:right="986" w:firstLine="525"/>
        <w:jc w:val="left"/>
      </w:pPr>
      <w:r>
        <w:rPr>
          <w:rFonts w:ascii="宋体" w:hAnsi="宋体" w:cs="宋体" w:eastAsia="宋体" w:hint="default"/>
          <w:spacing w:val="-2"/>
        </w:rPr>
        <w:t>2016</w:t>
      </w:r>
      <w:r>
        <w:rPr>
          <w:spacing w:val="-2"/>
        </w:rPr>
        <w:t>年公司实施了第二期限制性股票激励计划，共向激励对象授予限制性股票</w:t>
      </w:r>
      <w:r>
        <w:rPr>
          <w:rFonts w:ascii="宋体" w:hAnsi="宋体" w:cs="宋体" w:eastAsia="宋体" w:hint="default"/>
          <w:spacing w:val="-2"/>
        </w:rPr>
        <w:t>1,000</w:t>
      </w:r>
      <w:r>
        <w:rPr>
          <w:spacing w:val="-2"/>
        </w:rPr>
        <w:t>万股。本次限制</w:t>
      </w:r>
      <w:r>
        <w:rPr>
          <w:spacing w:val="-3"/>
          <w:w w:val="100"/>
        </w:rPr>
        <w:t> </w:t>
      </w:r>
      <w:r>
        <w:rPr/>
        <w:t>性股票共分两次完成授予，</w:t>
      </w:r>
      <w:r>
        <w:rPr>
          <w:rFonts w:ascii="宋体" w:hAnsi="宋体" w:cs="宋体" w:eastAsia="宋体" w:hint="default"/>
        </w:rPr>
        <w:t>2016</w:t>
      </w:r>
      <w:r>
        <w:rPr/>
        <w:t>年</w:t>
      </w:r>
      <w:r>
        <w:rPr>
          <w:rFonts w:ascii="宋体" w:hAnsi="宋体" w:cs="宋体" w:eastAsia="宋体" w:hint="default"/>
        </w:rPr>
        <w:t>12</w:t>
      </w:r>
      <w:r>
        <w:rPr/>
        <w:t>月完成了首次授予，授予的股权激励对象共</w:t>
      </w:r>
      <w:r>
        <w:rPr>
          <w:rFonts w:ascii="宋体" w:hAnsi="宋体" w:cs="宋体" w:eastAsia="宋体" w:hint="default"/>
        </w:rPr>
        <w:t>471</w:t>
      </w:r>
      <w:r>
        <w:rPr/>
        <w:t>名，授予限制性股票</w:t>
      </w:r>
      <w:r>
        <w:rPr>
          <w:spacing w:val="-3"/>
          <w:w w:val="100"/>
        </w:rPr>
        <w:t> </w:t>
      </w:r>
      <w:r>
        <w:rPr>
          <w:rFonts w:ascii="宋体" w:hAnsi="宋体" w:cs="宋体" w:eastAsia="宋体" w:hint="default"/>
          <w:spacing w:val="-2"/>
        </w:rPr>
        <w:t>9,086,100</w:t>
      </w:r>
      <w:r>
        <w:rPr>
          <w:spacing w:val="-2"/>
        </w:rPr>
        <w:t>股。</w:t>
      </w:r>
      <w:r>
        <w:rPr>
          <w:rFonts w:ascii="宋体" w:hAnsi="宋体" w:cs="宋体" w:eastAsia="宋体" w:hint="default"/>
          <w:spacing w:val="-2"/>
        </w:rPr>
        <w:t>2017</w:t>
      </w:r>
      <w:r>
        <w:rPr>
          <w:spacing w:val="-2"/>
        </w:rPr>
        <w:t>年</w:t>
      </w:r>
      <w:r>
        <w:rPr>
          <w:rFonts w:ascii="宋体" w:hAnsi="宋体" w:cs="宋体" w:eastAsia="宋体" w:hint="default"/>
          <w:spacing w:val="-2"/>
        </w:rPr>
        <w:t>12</w:t>
      </w:r>
      <w:r>
        <w:rPr>
          <w:spacing w:val="-2"/>
        </w:rPr>
        <w:t>月公司完成了预留部分股份授予，授予的股权激励对象共</w:t>
      </w:r>
      <w:r>
        <w:rPr>
          <w:rFonts w:ascii="宋体" w:hAnsi="宋体" w:cs="宋体" w:eastAsia="宋体" w:hint="default"/>
          <w:spacing w:val="-2"/>
        </w:rPr>
        <w:t>101</w:t>
      </w:r>
      <w:r>
        <w:rPr>
          <w:spacing w:val="-2"/>
        </w:rPr>
        <w:t>名，授予限制性股票</w:t>
      </w:r>
      <w:r>
        <w:rPr/>
      </w:r>
    </w:p>
    <w:p>
      <w:pPr>
        <w:spacing w:after="0" w:line="408"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986"/>
        <w:jc w:val="left"/>
      </w:pPr>
      <w:r>
        <w:rPr>
          <w:rFonts w:ascii="宋体" w:hAnsi="宋体" w:cs="宋体" w:eastAsia="宋体" w:hint="default"/>
        </w:rPr>
        <w:t>913,900</w:t>
      </w:r>
      <w:r>
        <w:rPr/>
        <w:t>股。</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13</w:t>
      </w:r>
      <w:r>
        <w:rPr/>
        <w:t>日，公司召开第四届董事会第十四会议和第四届监事会第十三次会议，审议通</w:t>
      </w:r>
      <w:r>
        <w:rPr>
          <w:w w:val="100"/>
        </w:rPr>
        <w:t> </w:t>
      </w:r>
      <w:r>
        <w:rPr>
          <w:spacing w:val="-2"/>
        </w:rPr>
        <w:t>过了《关于公司第二期限制性股票激励计划首次授予部分第三个解锁期解锁条件成就的议案》和《关于公</w:t>
      </w:r>
      <w:r>
        <w:rPr>
          <w:spacing w:val="-43"/>
        </w:rPr>
        <w:t> </w:t>
      </w:r>
      <w:r>
        <w:rPr>
          <w:spacing w:val="-43"/>
        </w:rPr>
      </w:r>
      <w:r>
        <w:rPr/>
        <w:t>司第二期限制性股票激励计划预留授予部分第二个解锁期解锁条件成就的议案》，</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31</w:t>
      </w:r>
      <w:r>
        <w:rPr/>
        <w:t>日</w:t>
      </w:r>
      <w:r>
        <w:rPr>
          <w:rFonts w:ascii="宋体" w:hAnsi="宋体" w:cs="宋体" w:eastAsia="宋体" w:hint="default"/>
        </w:rPr>
        <w:t>,</w:t>
      </w:r>
      <w:r>
        <w:rPr/>
        <w:t>首次</w:t>
      </w:r>
      <w:r>
        <w:rPr>
          <w:spacing w:val="-3"/>
          <w:w w:val="100"/>
        </w:rPr>
        <w:t> </w:t>
      </w:r>
      <w:r>
        <w:rPr>
          <w:spacing w:val="-2"/>
        </w:rPr>
        <w:t>授予部分的第三次解锁和预留授予部分的第二次解锁部分股份上市流通，第二期限制性股票激励计划实施</w:t>
      </w:r>
      <w:r>
        <w:rPr>
          <w:spacing w:val="-42"/>
        </w:rPr>
        <w:t> </w:t>
      </w:r>
      <w:r>
        <w:rPr>
          <w:spacing w:val="-42"/>
        </w:rPr>
      </w:r>
      <w:r>
        <w:rPr/>
        <w:t>完毕。</w:t>
      </w:r>
    </w:p>
    <w:p>
      <w:pPr>
        <w:pStyle w:val="Heading4"/>
        <w:spacing w:line="240" w:lineRule="auto" w:before="46"/>
        <w:ind w:left="678" w:right="986"/>
        <w:jc w:val="left"/>
        <w:rPr>
          <w:b w:val="0"/>
          <w:bCs w:val="0"/>
        </w:rPr>
      </w:pPr>
      <w:r>
        <w:rPr/>
        <w:t>（二）</w:t>
      </w:r>
      <w:r>
        <w:rPr>
          <w:rFonts w:ascii="宋体" w:hAnsi="宋体" w:cs="宋体" w:eastAsia="宋体" w:hint="default"/>
        </w:rPr>
        <w:t>2019</w:t>
      </w:r>
      <w:r>
        <w:rPr/>
        <w:t>年股票期权与限制性股票激励计划（实施中）</w:t>
      </w:r>
      <w:r>
        <w:rPr>
          <w:b w:val="0"/>
          <w:bCs w:val="0"/>
        </w:rPr>
      </w:r>
    </w:p>
    <w:p>
      <w:pPr>
        <w:spacing w:line="240" w:lineRule="auto" w:before="10"/>
        <w:rPr>
          <w:rFonts w:ascii="宋体" w:hAnsi="宋体" w:cs="宋体" w:eastAsia="宋体" w:hint="default"/>
          <w:b/>
          <w:bCs/>
          <w:sz w:val="14"/>
          <w:szCs w:val="14"/>
        </w:rPr>
      </w:pPr>
    </w:p>
    <w:p>
      <w:pPr>
        <w:pStyle w:val="BodyText"/>
        <w:spacing w:line="408" w:lineRule="auto" w:before="0"/>
        <w:ind w:right="986" w:firstLine="525"/>
        <w:jc w:val="left"/>
      </w:pPr>
      <w:r>
        <w:rPr>
          <w:rFonts w:ascii="宋体" w:hAnsi="宋体" w:cs="宋体" w:eastAsia="宋体" w:hint="default"/>
          <w:spacing w:val="-2"/>
        </w:rPr>
        <w:t>2019</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18</w:t>
      </w:r>
      <w:r>
        <w:rPr>
          <w:spacing w:val="-2"/>
        </w:rPr>
        <w:t>日，公司</w:t>
      </w:r>
      <w:r>
        <w:rPr>
          <w:rFonts w:ascii="宋体" w:hAnsi="宋体" w:cs="宋体" w:eastAsia="宋体" w:hint="default"/>
          <w:spacing w:val="-2"/>
        </w:rPr>
        <w:t>2018</w:t>
      </w:r>
      <w:r>
        <w:rPr>
          <w:spacing w:val="-2"/>
        </w:rPr>
        <w:t>年年度股东大会审议通过了《</w:t>
      </w:r>
      <w:r>
        <w:rPr>
          <w:rFonts w:ascii="宋体" w:hAnsi="宋体" w:cs="宋体" w:eastAsia="宋体" w:hint="default"/>
          <w:spacing w:val="-2"/>
        </w:rPr>
        <w:t>2019</w:t>
      </w:r>
      <w:r>
        <w:rPr>
          <w:spacing w:val="-2"/>
        </w:rPr>
        <w:t>年股票期权与限制性股票激励计划（草</w:t>
      </w:r>
      <w:r>
        <w:rPr>
          <w:w w:val="100"/>
        </w:rPr>
        <w:t> </w:t>
      </w:r>
      <w:r>
        <w:rPr>
          <w:spacing w:val="-4"/>
        </w:rPr>
        <w:t>案）》及相关议案。本股权激励计划拟向激励对象授予权益总计不超过</w:t>
      </w:r>
      <w:r>
        <w:rPr>
          <w:rFonts w:ascii="宋体" w:hAnsi="宋体" w:cs="宋体" w:eastAsia="宋体" w:hint="default"/>
          <w:spacing w:val="-4"/>
        </w:rPr>
        <w:t>1,650</w:t>
      </w:r>
      <w:r>
        <w:rPr>
          <w:spacing w:val="-4"/>
        </w:rPr>
        <w:t>万份（包括股票期权</w:t>
      </w:r>
      <w:r>
        <w:rPr>
          <w:rFonts w:ascii="宋体" w:hAnsi="宋体" w:cs="宋体" w:eastAsia="宋体" w:hint="default"/>
          <w:spacing w:val="-4"/>
        </w:rPr>
        <w:t>550</w:t>
      </w:r>
      <w:r>
        <w:rPr>
          <w:spacing w:val="-4"/>
        </w:rPr>
        <w:t>万份，</w:t>
      </w:r>
      <w:r>
        <w:rPr>
          <w:spacing w:val="-47"/>
        </w:rPr>
        <w:t> </w:t>
      </w:r>
      <w:r>
        <w:rPr>
          <w:spacing w:val="-8"/>
        </w:rPr>
        <w:t>限制性股票</w:t>
      </w:r>
      <w:r>
        <w:rPr>
          <w:rFonts w:ascii="宋体" w:hAnsi="宋体" w:cs="宋体" w:eastAsia="宋体" w:hint="default"/>
          <w:spacing w:val="-8"/>
        </w:rPr>
        <w:t>1,100</w:t>
      </w:r>
      <w:r>
        <w:rPr>
          <w:spacing w:val="-8"/>
        </w:rPr>
        <w:t>万股），其中首次授予权益总数</w:t>
      </w:r>
      <w:r>
        <w:rPr>
          <w:rFonts w:ascii="宋体" w:hAnsi="宋体" w:cs="宋体" w:eastAsia="宋体" w:hint="default"/>
          <w:spacing w:val="-8"/>
        </w:rPr>
        <w:t>1,440</w:t>
      </w:r>
      <w:r>
        <w:rPr>
          <w:spacing w:val="-8"/>
        </w:rPr>
        <w:t>万份（包括股票期权</w:t>
      </w:r>
      <w:r>
        <w:rPr>
          <w:rFonts w:ascii="宋体" w:hAnsi="宋体" w:cs="宋体" w:eastAsia="宋体" w:hint="default"/>
          <w:spacing w:val="-8"/>
        </w:rPr>
        <w:t>474</w:t>
      </w:r>
      <w:r>
        <w:rPr>
          <w:spacing w:val="-8"/>
        </w:rPr>
        <w:t>万份，限制性股票</w:t>
      </w:r>
      <w:r>
        <w:rPr>
          <w:rFonts w:ascii="宋体" w:hAnsi="宋体" w:cs="宋体" w:eastAsia="宋体" w:hint="default"/>
          <w:spacing w:val="-8"/>
        </w:rPr>
        <w:t>966</w:t>
      </w:r>
      <w:r>
        <w:rPr>
          <w:spacing w:val="-8"/>
        </w:rPr>
        <w:t>万股），</w:t>
      </w:r>
      <w:r>
        <w:rPr>
          <w:spacing w:val="-11"/>
        </w:rPr>
        <w:t> </w:t>
      </w:r>
      <w:r>
        <w:rPr>
          <w:spacing w:val="-11"/>
        </w:rPr>
      </w:r>
      <w:r>
        <w:rPr>
          <w:spacing w:val="-2"/>
        </w:rPr>
        <w:t>预留权益</w:t>
      </w:r>
      <w:r>
        <w:rPr>
          <w:rFonts w:ascii="宋体" w:hAnsi="宋体" w:cs="宋体" w:eastAsia="宋体" w:hint="default"/>
          <w:spacing w:val="-2"/>
        </w:rPr>
        <w:t>210</w:t>
      </w:r>
      <w:r>
        <w:rPr>
          <w:spacing w:val="-2"/>
        </w:rPr>
        <w:t>万份（包括股票期权</w:t>
      </w:r>
      <w:r>
        <w:rPr>
          <w:rFonts w:ascii="宋体" w:hAnsi="宋体" w:cs="宋体" w:eastAsia="宋体" w:hint="default"/>
          <w:spacing w:val="-2"/>
        </w:rPr>
        <w:t>76</w:t>
      </w:r>
      <w:r>
        <w:rPr>
          <w:spacing w:val="-2"/>
        </w:rPr>
        <w:t>万份，限制性股票</w:t>
      </w:r>
      <w:r>
        <w:rPr>
          <w:rFonts w:ascii="宋体" w:hAnsi="宋体" w:cs="宋体" w:eastAsia="宋体" w:hint="default"/>
          <w:spacing w:val="-2"/>
        </w:rPr>
        <w:t>134</w:t>
      </w:r>
      <w:r>
        <w:rPr>
          <w:spacing w:val="-2"/>
        </w:rPr>
        <w:t>万股）。本次股权激励计划分两次完成了授予。</w:t>
      </w:r>
      <w:r>
        <w:rPr>
          <w:spacing w:val="-22"/>
        </w:rPr>
        <w:t> </w:t>
      </w:r>
      <w:r>
        <w:rPr>
          <w:spacing w:val="-22"/>
        </w:rPr>
      </w:r>
      <w:r>
        <w:rPr>
          <w:rFonts w:ascii="宋体" w:hAnsi="宋体" w:cs="宋体" w:eastAsia="宋体" w:hint="default"/>
          <w:spacing w:val="-2"/>
        </w:rPr>
        <w:t>2019</w:t>
      </w:r>
      <w:r>
        <w:rPr>
          <w:spacing w:val="-2"/>
        </w:rPr>
        <w:t>年</w:t>
      </w:r>
      <w:r>
        <w:rPr>
          <w:rFonts w:ascii="宋体" w:hAnsi="宋体" w:cs="宋体" w:eastAsia="宋体" w:hint="default"/>
          <w:spacing w:val="-2"/>
        </w:rPr>
        <w:t>6</w:t>
      </w:r>
      <w:r>
        <w:rPr>
          <w:spacing w:val="-2"/>
        </w:rPr>
        <w:t>月</w:t>
      </w:r>
      <w:r>
        <w:rPr>
          <w:rFonts w:ascii="宋体" w:hAnsi="宋体" w:cs="宋体" w:eastAsia="宋体" w:hint="default"/>
          <w:spacing w:val="-2"/>
        </w:rPr>
        <w:t>11</w:t>
      </w:r>
      <w:r>
        <w:rPr>
          <w:spacing w:val="-2"/>
        </w:rPr>
        <w:t>日完成了首次部分授予，授予激励对象共</w:t>
      </w:r>
      <w:r>
        <w:rPr>
          <w:rFonts w:ascii="宋体" w:hAnsi="宋体" w:cs="宋体" w:eastAsia="宋体" w:hint="default"/>
          <w:spacing w:val="-2"/>
        </w:rPr>
        <w:t>1233</w:t>
      </w:r>
      <w:r>
        <w:rPr>
          <w:spacing w:val="-2"/>
        </w:rPr>
        <w:t>人，</w:t>
      </w:r>
      <w:r>
        <w:rPr>
          <w:rFonts w:ascii="宋体" w:hAnsi="宋体" w:cs="宋体" w:eastAsia="宋体" w:hint="default"/>
          <w:spacing w:val="-2"/>
        </w:rPr>
        <w:t>2020</w:t>
      </w:r>
      <w:r>
        <w:rPr>
          <w:spacing w:val="-2"/>
        </w:rPr>
        <w:t>年</w:t>
      </w:r>
      <w:r>
        <w:rPr>
          <w:rFonts w:ascii="宋体" w:hAnsi="宋体" w:cs="宋体" w:eastAsia="宋体" w:hint="default"/>
          <w:spacing w:val="-2"/>
        </w:rPr>
        <w:t>2</w:t>
      </w:r>
      <w:r>
        <w:rPr>
          <w:spacing w:val="-2"/>
        </w:rPr>
        <w:t>月</w:t>
      </w:r>
      <w:r>
        <w:rPr>
          <w:rFonts w:ascii="宋体" w:hAnsi="宋体" w:cs="宋体" w:eastAsia="宋体" w:hint="default"/>
          <w:spacing w:val="-2"/>
        </w:rPr>
        <w:t>26</w:t>
      </w:r>
      <w:r>
        <w:rPr>
          <w:spacing w:val="-2"/>
        </w:rPr>
        <w:t>日完成了预留部分授予，授予</w:t>
      </w:r>
      <w:r>
        <w:rPr>
          <w:spacing w:val="-35"/>
        </w:rPr>
        <w:t> </w:t>
      </w:r>
      <w:r>
        <w:rPr>
          <w:spacing w:val="-35"/>
        </w:rPr>
      </w:r>
      <w:r>
        <w:rPr/>
        <w:t>激励对象共</w:t>
      </w:r>
      <w:r>
        <w:rPr>
          <w:rFonts w:ascii="宋体" w:hAnsi="宋体" w:cs="宋体" w:eastAsia="宋体" w:hint="default"/>
        </w:rPr>
        <w:t>304</w:t>
      </w:r>
      <w:r>
        <w:rPr/>
        <w:t>人。实施本次股权激励计划履行的主要审议程序如下：</w:t>
      </w:r>
    </w:p>
    <w:p>
      <w:pPr>
        <w:pStyle w:val="BodyText"/>
        <w:spacing w:line="408" w:lineRule="auto"/>
        <w:ind w:left="153" w:right="1127" w:firstLine="412"/>
        <w:jc w:val="both"/>
      </w:pPr>
      <w:r>
        <w:rPr>
          <w:rFonts w:ascii="宋体" w:hAnsi="宋体" w:cs="宋体" w:eastAsia="宋体" w:hint="default"/>
        </w:rPr>
        <w:t>1</w:t>
      </w:r>
      <w:r>
        <w:rPr/>
        <w:t>、</w:t>
      </w:r>
      <w:r>
        <w:rPr>
          <w:rFonts w:ascii="宋体" w:hAnsi="宋体" w:cs="宋体" w:eastAsia="宋体" w:hint="default"/>
        </w:rPr>
        <w:t>2019</w:t>
      </w:r>
      <w:r>
        <w:rPr/>
        <w:t>年</w:t>
      </w:r>
      <w:r>
        <w:rPr>
          <w:rFonts w:ascii="宋体" w:hAnsi="宋体" w:cs="宋体" w:eastAsia="宋体" w:hint="default"/>
        </w:rPr>
        <w:t>3</w:t>
      </w:r>
      <w:r>
        <w:rPr/>
        <w:t>月</w:t>
      </w:r>
      <w:r>
        <w:rPr>
          <w:rFonts w:ascii="宋体" w:hAnsi="宋体" w:cs="宋体" w:eastAsia="宋体" w:hint="default"/>
        </w:rPr>
        <w:t>28</w:t>
      </w:r>
      <w:r>
        <w:rPr/>
        <w:t>日，公司第四届董事会第六次会议审议通过了《</w:t>
      </w:r>
      <w:r>
        <w:rPr>
          <w:rFonts w:ascii="宋体" w:hAnsi="宋体" w:cs="宋体" w:eastAsia="宋体" w:hint="default"/>
        </w:rPr>
        <w:t>&lt;2019</w:t>
      </w:r>
      <w:r>
        <w:rPr/>
        <w:t>年股票期权与限制性股票激励</w:t>
      </w:r>
      <w:r>
        <w:rPr>
          <w:w w:val="100"/>
        </w:rPr>
        <w:t> </w:t>
      </w:r>
      <w:r>
        <w:rPr>
          <w:spacing w:val="-2"/>
        </w:rPr>
        <w:t>计划</w:t>
      </w:r>
      <w:r>
        <w:rPr>
          <w:rFonts w:ascii="宋体" w:hAnsi="宋体" w:cs="宋体" w:eastAsia="宋体" w:hint="default"/>
          <w:spacing w:val="-2"/>
        </w:rPr>
        <w:t>(</w:t>
      </w:r>
      <w:r>
        <w:rPr>
          <w:spacing w:val="-2"/>
        </w:rPr>
        <w:t>草案）</w:t>
      </w:r>
      <w:r>
        <w:rPr>
          <w:rFonts w:ascii="宋体" w:hAnsi="宋体" w:cs="宋体" w:eastAsia="宋体" w:hint="default"/>
          <w:spacing w:val="-2"/>
        </w:rPr>
        <w:t>&gt;</w:t>
      </w:r>
      <w:r>
        <w:rPr>
          <w:spacing w:val="-2"/>
        </w:rPr>
        <w:t>及其摘要》等议案；公司第四届监事会第六次会议审议了上述事项，并对本次股权激励计划</w:t>
      </w:r>
      <w:r>
        <w:rPr>
          <w:spacing w:val="-45"/>
        </w:rPr>
        <w:t> </w:t>
      </w:r>
      <w:r>
        <w:rPr>
          <w:spacing w:val="-45"/>
        </w:rPr>
      </w:r>
      <w:r>
        <w:rPr>
          <w:spacing w:val="-2"/>
        </w:rPr>
        <w:t>首次授予激励对象名单进行了核实；公司独立董事就本次股权激励计划是否有利于公司的持续发展及是否</w:t>
      </w:r>
      <w:r>
        <w:rPr>
          <w:spacing w:val="-43"/>
        </w:rPr>
        <w:t> </w:t>
      </w:r>
      <w:r>
        <w:rPr>
          <w:spacing w:val="-43"/>
        </w:rPr>
      </w:r>
      <w:r>
        <w:rPr/>
        <w:t>存在损害公司及全体股东利益的情形发表了同意的独立意见。</w:t>
      </w:r>
    </w:p>
    <w:p>
      <w:pPr>
        <w:pStyle w:val="BodyText"/>
        <w:spacing w:line="408" w:lineRule="auto"/>
        <w:ind w:left="153" w:right="1129" w:firstLine="412"/>
        <w:jc w:val="both"/>
      </w:pPr>
      <w:r>
        <w:rPr>
          <w:rFonts w:ascii="宋体" w:hAnsi="宋体" w:cs="宋体" w:eastAsia="宋体" w:hint="default"/>
          <w:spacing w:val="-2"/>
        </w:rPr>
        <w:t>2</w:t>
      </w:r>
      <w:r>
        <w:rPr>
          <w:spacing w:val="-2"/>
        </w:rPr>
        <w:t>、</w:t>
      </w:r>
      <w:r>
        <w:rPr>
          <w:rFonts w:ascii="宋体" w:hAnsi="宋体" w:cs="宋体" w:eastAsia="宋体" w:hint="default"/>
          <w:spacing w:val="-2"/>
        </w:rPr>
        <w:t>2019</w:t>
      </w:r>
      <w:r>
        <w:rPr>
          <w:spacing w:val="-2"/>
        </w:rPr>
        <w:t>年</w:t>
      </w:r>
      <w:r>
        <w:rPr>
          <w:rFonts w:ascii="宋体" w:hAnsi="宋体" w:cs="宋体" w:eastAsia="宋体" w:hint="default"/>
          <w:spacing w:val="-2"/>
        </w:rPr>
        <w:t>3</w:t>
      </w:r>
      <w:r>
        <w:rPr>
          <w:spacing w:val="-2"/>
        </w:rPr>
        <w:t>月</w:t>
      </w:r>
      <w:r>
        <w:rPr>
          <w:rFonts w:ascii="宋体" w:hAnsi="宋体" w:cs="宋体" w:eastAsia="宋体" w:hint="default"/>
          <w:spacing w:val="-2"/>
        </w:rPr>
        <w:t>30</w:t>
      </w:r>
      <w:r>
        <w:rPr>
          <w:spacing w:val="-2"/>
        </w:rPr>
        <w:t>日至</w:t>
      </w:r>
      <w:r>
        <w:rPr>
          <w:rFonts w:ascii="宋体" w:hAnsi="宋体" w:cs="宋体" w:eastAsia="宋体" w:hint="default"/>
          <w:spacing w:val="-2"/>
        </w:rPr>
        <w:t>2019</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8</w:t>
      </w:r>
      <w:r>
        <w:rPr>
          <w:spacing w:val="-2"/>
        </w:rPr>
        <w:t>日，公司对首次授予激励对象的姓名和职务在公司内部</w:t>
      </w:r>
      <w:r>
        <w:rPr>
          <w:rFonts w:ascii="宋体" w:hAnsi="宋体" w:cs="宋体" w:eastAsia="宋体" w:hint="default"/>
          <w:spacing w:val="-2"/>
        </w:rPr>
        <w:t>OA</w:t>
      </w:r>
      <w:r>
        <w:rPr>
          <w:spacing w:val="-2"/>
        </w:rPr>
        <w:t>办公系统及</w:t>
      </w:r>
      <w:r>
        <w:rPr>
          <w:spacing w:val="-3"/>
          <w:w w:val="100"/>
        </w:rPr>
        <w:t> </w:t>
      </w:r>
      <w:r>
        <w:rPr>
          <w:spacing w:val="-2"/>
        </w:rPr>
        <w:t>内部邮件系统进行了公示。监事会对公示情况发布了核查意见，并于</w:t>
      </w:r>
      <w:r>
        <w:rPr>
          <w:rFonts w:ascii="宋体" w:hAnsi="宋体" w:cs="宋体" w:eastAsia="宋体" w:hint="default"/>
          <w:spacing w:val="-2"/>
        </w:rPr>
        <w:t>2019</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9</w:t>
      </w:r>
      <w:r>
        <w:rPr>
          <w:spacing w:val="-2"/>
        </w:rPr>
        <w:t>日，发布了《监事会关于</w:t>
      </w:r>
      <w:r>
        <w:rPr>
          <w:spacing w:val="-44"/>
        </w:rPr>
        <w:t> </w:t>
      </w:r>
      <w:r>
        <w:rPr>
          <w:spacing w:val="-44"/>
        </w:rPr>
      </w:r>
      <w:r>
        <w:rPr>
          <w:rFonts w:ascii="宋体" w:hAnsi="宋体" w:cs="宋体" w:eastAsia="宋体" w:hint="default"/>
        </w:rPr>
        <w:t>2019</w:t>
      </w:r>
      <w:r>
        <w:rPr/>
        <w:t>年股票期权与限制性股票激励计划首次授予激励对象名单的公示情况说明及核查意见》。</w:t>
      </w:r>
    </w:p>
    <w:p>
      <w:pPr>
        <w:pStyle w:val="BodyText"/>
        <w:spacing w:line="408" w:lineRule="auto"/>
        <w:ind w:left="153" w:right="1126" w:firstLine="412"/>
        <w:jc w:val="both"/>
      </w:pPr>
      <w:r>
        <w:rPr>
          <w:rFonts w:ascii="宋体" w:hAnsi="宋体" w:cs="宋体" w:eastAsia="宋体" w:hint="default"/>
          <w:spacing w:val="-6"/>
        </w:rPr>
        <w:t>3</w:t>
      </w:r>
      <w:r>
        <w:rPr>
          <w:spacing w:val="-6"/>
        </w:rPr>
        <w:t>、</w:t>
      </w:r>
      <w:r>
        <w:rPr>
          <w:rFonts w:ascii="宋体" w:hAnsi="宋体" w:cs="宋体" w:eastAsia="宋体" w:hint="default"/>
          <w:spacing w:val="-6"/>
        </w:rPr>
        <w:t>2019</w:t>
      </w:r>
      <w:r>
        <w:rPr>
          <w:spacing w:val="-6"/>
        </w:rPr>
        <w:t>年</w:t>
      </w:r>
      <w:r>
        <w:rPr>
          <w:rFonts w:ascii="宋体" w:hAnsi="宋体" w:cs="宋体" w:eastAsia="宋体" w:hint="default"/>
          <w:spacing w:val="-6"/>
        </w:rPr>
        <w:t>4</w:t>
      </w:r>
      <w:r>
        <w:rPr>
          <w:spacing w:val="-6"/>
        </w:rPr>
        <w:t>月</w:t>
      </w:r>
      <w:r>
        <w:rPr>
          <w:rFonts w:ascii="宋体" w:hAnsi="宋体" w:cs="宋体" w:eastAsia="宋体" w:hint="default"/>
          <w:spacing w:val="-6"/>
        </w:rPr>
        <w:t>18</w:t>
      </w:r>
      <w:r>
        <w:rPr>
          <w:spacing w:val="-6"/>
        </w:rPr>
        <w:t>日，公司</w:t>
      </w:r>
      <w:r>
        <w:rPr>
          <w:rFonts w:ascii="宋体" w:hAnsi="宋体" w:cs="宋体" w:eastAsia="宋体" w:hint="default"/>
          <w:spacing w:val="-6"/>
        </w:rPr>
        <w:t>2018</w:t>
      </w:r>
      <w:r>
        <w:rPr>
          <w:spacing w:val="-6"/>
        </w:rPr>
        <w:t>年年度股东大会审议通过了《</w:t>
      </w:r>
      <w:r>
        <w:rPr>
          <w:rFonts w:ascii="宋体" w:hAnsi="宋体" w:cs="宋体" w:eastAsia="宋体" w:hint="default"/>
          <w:spacing w:val="-6"/>
        </w:rPr>
        <w:t>&lt;2019</w:t>
      </w:r>
      <w:r>
        <w:rPr>
          <w:spacing w:val="-6"/>
        </w:rPr>
        <w:t>年股票期权与限制性股票激励计划</w:t>
      </w:r>
      <w:r>
        <w:rPr>
          <w:rFonts w:ascii="宋体" w:hAnsi="宋体" w:cs="宋体" w:eastAsia="宋体" w:hint="default"/>
          <w:spacing w:val="-6"/>
        </w:rPr>
        <w:t>(</w:t>
      </w:r>
      <w:r>
        <w:rPr>
          <w:spacing w:val="-6"/>
        </w:rPr>
        <w:t>草</w:t>
      </w:r>
      <w:r>
        <w:rPr>
          <w:w w:val="100"/>
        </w:rPr>
        <w:t> </w:t>
      </w:r>
      <w:r>
        <w:rPr/>
        <w:t>案）</w:t>
      </w:r>
      <w:r>
        <w:rPr>
          <w:rFonts w:ascii="宋体" w:hAnsi="宋体" w:cs="宋体" w:eastAsia="宋体" w:hint="default"/>
        </w:rPr>
        <w:t>&gt;</w:t>
      </w:r>
      <w:r>
        <w:rPr/>
        <w:t>及其摘要》等事项。</w:t>
      </w:r>
    </w:p>
    <w:p>
      <w:pPr>
        <w:pStyle w:val="BodyText"/>
        <w:spacing w:line="408" w:lineRule="auto"/>
        <w:ind w:left="154" w:right="1126" w:firstLine="412"/>
        <w:jc w:val="both"/>
      </w:pPr>
      <w:r>
        <w:rPr>
          <w:rFonts w:ascii="宋体" w:hAnsi="宋体" w:cs="宋体" w:eastAsia="宋体" w:hint="default"/>
          <w:spacing w:val="-2"/>
        </w:rPr>
        <w:t>4</w:t>
      </w:r>
      <w:r>
        <w:rPr>
          <w:spacing w:val="-2"/>
        </w:rPr>
        <w:t>、</w:t>
      </w:r>
      <w:r>
        <w:rPr>
          <w:rFonts w:ascii="宋体" w:hAnsi="宋体" w:cs="宋体" w:eastAsia="宋体" w:hint="default"/>
          <w:spacing w:val="-2"/>
        </w:rPr>
        <w:t>2019</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2"/>
        </w:rPr>
        <w:t>16</w:t>
      </w:r>
      <w:r>
        <w:rPr>
          <w:spacing w:val="-2"/>
        </w:rPr>
        <w:t>日，公司召开第四届董事会第八次会议和第四届监事会第八次会议，审议通过了《关</w:t>
      </w:r>
      <w:r>
        <w:rPr>
          <w:w w:val="100"/>
        </w:rPr>
        <w:t> </w:t>
      </w:r>
      <w:r>
        <w:rPr>
          <w:spacing w:val="-7"/>
        </w:rPr>
        <w:t>于调整</w:t>
      </w:r>
      <w:r>
        <w:rPr>
          <w:rFonts w:ascii="宋体" w:hAnsi="宋体" w:cs="宋体" w:eastAsia="宋体" w:hint="default"/>
          <w:spacing w:val="-7"/>
        </w:rPr>
        <w:t>2019</w:t>
      </w:r>
      <w:r>
        <w:rPr>
          <w:spacing w:val="-7"/>
        </w:rPr>
        <w:t>年股票期权与限制性股票激励计划首次授予激励对象名单、授予数量及授予价格的议案》和《关</w:t>
      </w:r>
      <w:r>
        <w:rPr>
          <w:spacing w:val="-9"/>
        </w:rPr>
        <w:t> </w:t>
      </w:r>
      <w:r>
        <w:rPr>
          <w:spacing w:val="-9"/>
        </w:rPr>
      </w:r>
      <w:r>
        <w:rPr/>
        <w:t>于向激励对象首次授予股票期权与限制性股票的议案》，确定</w:t>
      </w:r>
      <w:r>
        <w:rPr>
          <w:rFonts w:ascii="宋体" w:hAnsi="宋体" w:cs="宋体" w:eastAsia="宋体" w:hint="default"/>
        </w:rPr>
        <w:t>2019</w:t>
      </w:r>
      <w:r>
        <w:rPr/>
        <w:t>年</w:t>
      </w:r>
      <w:r>
        <w:rPr>
          <w:rFonts w:ascii="宋体" w:hAnsi="宋体" w:cs="宋体" w:eastAsia="宋体" w:hint="default"/>
        </w:rPr>
        <w:t>5</w:t>
      </w:r>
      <w:r>
        <w:rPr/>
        <w:t>月</w:t>
      </w:r>
      <w:r>
        <w:rPr>
          <w:rFonts w:ascii="宋体" w:hAnsi="宋体" w:cs="宋体" w:eastAsia="宋体" w:hint="default"/>
        </w:rPr>
        <w:t>16</w:t>
      </w:r>
      <w:r>
        <w:rPr/>
        <w:t>日为本次股权激励计划的首次</w:t>
      </w:r>
      <w:r>
        <w:rPr>
          <w:spacing w:val="-28"/>
        </w:rPr>
        <w:t> </w:t>
      </w:r>
      <w:r>
        <w:rPr>
          <w:spacing w:val="-28"/>
        </w:rPr>
      </w:r>
      <w:r>
        <w:rPr/>
        <w:t>授予日，同意公司向符合授予条件的</w:t>
      </w:r>
      <w:r>
        <w:rPr>
          <w:rFonts w:ascii="宋体" w:hAnsi="宋体" w:cs="宋体" w:eastAsia="宋体" w:hint="default"/>
        </w:rPr>
        <w:t>961</w:t>
      </w:r>
      <w:r>
        <w:rPr/>
        <w:t>名激励对象授予</w:t>
      </w:r>
      <w:r>
        <w:rPr>
          <w:rFonts w:ascii="宋体" w:hAnsi="宋体" w:cs="宋体" w:eastAsia="宋体" w:hint="default"/>
        </w:rPr>
        <w:t>468.54</w:t>
      </w:r>
      <w:r>
        <w:rPr/>
        <w:t>万份股票期权，授予价格为</w:t>
      </w:r>
      <w:r>
        <w:rPr>
          <w:rFonts w:ascii="宋体" w:hAnsi="宋体" w:cs="宋体" w:eastAsia="宋体" w:hint="default"/>
        </w:rPr>
        <w:t>17.17</w:t>
      </w:r>
      <w:r>
        <w:rPr/>
        <w:t>元</w:t>
      </w:r>
      <w:r>
        <w:rPr>
          <w:rFonts w:ascii="宋体" w:hAnsi="宋体" w:cs="宋体" w:eastAsia="宋体" w:hint="default"/>
        </w:rPr>
        <w:t>/</w:t>
      </w:r>
      <w:r>
        <w:rPr/>
        <w:t>份；</w:t>
      </w:r>
      <w:r>
        <w:rPr>
          <w:spacing w:val="-28"/>
        </w:rPr>
        <w:t> </w:t>
      </w:r>
      <w:r>
        <w:rPr>
          <w:spacing w:val="-2"/>
        </w:rPr>
        <w:t>同意公司向符合授予条件的</w:t>
      </w:r>
      <w:r>
        <w:rPr>
          <w:rFonts w:ascii="宋体" w:hAnsi="宋体" w:cs="宋体" w:eastAsia="宋体" w:hint="default"/>
          <w:spacing w:val="-2"/>
        </w:rPr>
        <w:t>841</w:t>
      </w:r>
      <w:r>
        <w:rPr>
          <w:spacing w:val="-2"/>
        </w:rPr>
        <w:t>名激励对象授予</w:t>
      </w:r>
      <w:r>
        <w:rPr>
          <w:rFonts w:ascii="宋体" w:hAnsi="宋体" w:cs="宋体" w:eastAsia="宋体" w:hint="default"/>
          <w:spacing w:val="-2"/>
        </w:rPr>
        <w:t>957.79</w:t>
      </w:r>
      <w:r>
        <w:rPr>
          <w:spacing w:val="-2"/>
        </w:rPr>
        <w:t>万股限制性股票，授予价格为</w:t>
      </w:r>
      <w:r>
        <w:rPr>
          <w:rFonts w:ascii="宋体" w:hAnsi="宋体" w:cs="宋体" w:eastAsia="宋体" w:hint="default"/>
          <w:spacing w:val="-2"/>
        </w:rPr>
        <w:t>8.55</w:t>
      </w:r>
      <w:r>
        <w:rPr>
          <w:spacing w:val="-2"/>
        </w:rPr>
        <w:t>元</w:t>
      </w:r>
      <w:r>
        <w:rPr>
          <w:rFonts w:ascii="宋体" w:hAnsi="宋体" w:cs="宋体" w:eastAsia="宋体" w:hint="default"/>
          <w:spacing w:val="-2"/>
        </w:rPr>
        <w:t>/</w:t>
      </w:r>
      <w:r>
        <w:rPr>
          <w:spacing w:val="-2"/>
        </w:rPr>
        <w:t>股。公司独立</w:t>
      </w:r>
      <w:r>
        <w:rPr>
          <w:spacing w:val="-35"/>
        </w:rPr>
        <w:t> </w:t>
      </w:r>
      <w:r>
        <w:rPr>
          <w:spacing w:val="-35"/>
        </w:rPr>
      </w:r>
      <w:r>
        <w:rPr>
          <w:spacing w:val="-2"/>
        </w:rPr>
        <w:t>董事对此发表了同意的独立意见。监事会对首次授予部分激励对象调整后的名单进行核实并发表了核查意</w:t>
      </w:r>
      <w:r>
        <w:rPr>
          <w:spacing w:val="-42"/>
        </w:rPr>
        <w:t> </w:t>
      </w:r>
      <w:r>
        <w:rPr>
          <w:spacing w:val="-42"/>
        </w:rPr>
      </w:r>
      <w:r>
        <w:rPr/>
        <w:t>见。</w:t>
      </w:r>
      <w:r>
        <w:rPr>
          <w:rFonts w:ascii="宋体" w:hAnsi="宋体" w:cs="宋体" w:eastAsia="宋体" w:hint="default"/>
        </w:rPr>
        <w:t>2019</w:t>
      </w:r>
      <w:r>
        <w:rPr/>
        <w:t>年</w:t>
      </w:r>
      <w:r>
        <w:rPr>
          <w:rFonts w:ascii="宋体" w:hAnsi="宋体" w:cs="宋体" w:eastAsia="宋体" w:hint="default"/>
        </w:rPr>
        <w:t>6</w:t>
      </w:r>
      <w:r>
        <w:rPr/>
        <w:t>月</w:t>
      </w:r>
      <w:r>
        <w:rPr>
          <w:rFonts w:ascii="宋体" w:hAnsi="宋体" w:cs="宋体" w:eastAsia="宋体" w:hint="default"/>
        </w:rPr>
        <w:t>11</w:t>
      </w:r>
      <w:r>
        <w:rPr/>
        <w:t>日，公司完成中国证券登记结算有限责任公司深圳分公司首期股票期权和限制性股票的</w:t>
      </w:r>
      <w:r>
        <w:rPr>
          <w:spacing w:val="-28"/>
        </w:rPr>
        <w:t> </w:t>
      </w:r>
      <w:r>
        <w:rPr>
          <w:spacing w:val="-28"/>
        </w:rPr>
      </w:r>
      <w:r>
        <w:rPr/>
        <w:t>授予工作，确定首期股票期权和限制性股票的授予登记日为</w:t>
      </w:r>
      <w:r>
        <w:rPr>
          <w:rFonts w:ascii="宋体" w:hAnsi="宋体" w:cs="宋体" w:eastAsia="宋体" w:hint="default"/>
        </w:rPr>
        <w:t>2019</w:t>
      </w:r>
      <w:r>
        <w:rPr/>
        <w:t>年</w:t>
      </w:r>
      <w:r>
        <w:rPr>
          <w:rFonts w:ascii="宋体" w:hAnsi="宋体" w:cs="宋体" w:eastAsia="宋体" w:hint="default"/>
        </w:rPr>
        <w:t>6</w:t>
      </w:r>
      <w:r>
        <w:rPr/>
        <w:t>月</w:t>
      </w:r>
      <w:r>
        <w:rPr>
          <w:rFonts w:ascii="宋体" w:hAnsi="宋体" w:cs="宋体" w:eastAsia="宋体" w:hint="default"/>
        </w:rPr>
        <w:t>11</w:t>
      </w:r>
      <w:r>
        <w:rPr/>
        <w:t>日。</w:t>
      </w:r>
    </w:p>
    <w:p>
      <w:pPr>
        <w:pStyle w:val="BodyText"/>
        <w:spacing w:line="240" w:lineRule="auto"/>
        <w:ind w:left="567" w:right="986"/>
        <w:jc w:val="left"/>
      </w:pPr>
      <w:r>
        <w:rPr>
          <w:rFonts w:ascii="宋体" w:hAnsi="宋体" w:cs="宋体" w:eastAsia="宋体" w:hint="default"/>
        </w:rPr>
        <w:t>6</w:t>
      </w:r>
      <w:r>
        <w:rPr/>
        <w:t>、</w:t>
      </w:r>
      <w:r>
        <w:rPr>
          <w:rFonts w:ascii="宋体" w:hAnsi="宋体" w:cs="宋体" w:eastAsia="宋体" w:hint="default"/>
        </w:rPr>
        <w:t>2019</w:t>
      </w:r>
      <w:r>
        <w:rPr/>
        <w:t>年</w:t>
      </w:r>
      <w:r>
        <w:rPr>
          <w:rFonts w:ascii="宋体" w:hAnsi="宋体" w:cs="宋体" w:eastAsia="宋体" w:hint="default"/>
        </w:rPr>
        <w:t>7</w:t>
      </w:r>
      <w:r>
        <w:rPr/>
        <w:t>月</w:t>
      </w:r>
      <w:r>
        <w:rPr>
          <w:rFonts w:ascii="宋体" w:hAnsi="宋体" w:cs="宋体" w:eastAsia="宋体" w:hint="default"/>
        </w:rPr>
        <w:t>17</w:t>
      </w:r>
      <w:r>
        <w:rPr/>
        <w:t>日，公司召开第四届董事会第九次会议和第四届监事会第九次会议，审议通过了《关</w:t>
      </w:r>
    </w:p>
    <w:p>
      <w:pPr>
        <w:spacing w:after="0" w:line="240"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1128"/>
        <w:jc w:val="both"/>
      </w:pPr>
      <w:r>
        <w:rPr>
          <w:spacing w:val="-2"/>
        </w:rPr>
        <w:t>于注销部分股票期权和回购注销部分限制性股票的议案》，决定对</w:t>
      </w:r>
      <w:r>
        <w:rPr>
          <w:rFonts w:ascii="宋体" w:hAnsi="宋体" w:cs="宋体" w:eastAsia="宋体" w:hint="default"/>
          <w:spacing w:val="-2"/>
        </w:rPr>
        <w:t>11</w:t>
      </w:r>
      <w:r>
        <w:rPr>
          <w:spacing w:val="-2"/>
        </w:rPr>
        <w:t>名离职激励对象已获授尚未行权的股</w:t>
      </w:r>
      <w:r>
        <w:rPr>
          <w:spacing w:val="-40"/>
        </w:rPr>
        <w:t> </w:t>
      </w:r>
      <w:r>
        <w:rPr>
          <w:spacing w:val="-40"/>
        </w:rPr>
      </w:r>
      <w:r>
        <w:rPr/>
        <w:t>票期权共计</w:t>
      </w:r>
      <w:r>
        <w:rPr>
          <w:rFonts w:ascii="宋体" w:hAnsi="宋体" w:cs="宋体" w:eastAsia="宋体" w:hint="default"/>
        </w:rPr>
        <w:t>50,000</w:t>
      </w:r>
      <w:r>
        <w:rPr/>
        <w:t>份进行注销，对</w:t>
      </w:r>
      <w:r>
        <w:rPr>
          <w:rFonts w:ascii="宋体" w:hAnsi="宋体" w:cs="宋体" w:eastAsia="宋体" w:hint="default"/>
        </w:rPr>
        <w:t>7</w:t>
      </w:r>
      <w:r>
        <w:rPr/>
        <w:t>名离职激励对象已获授尚未解锁的限制性股票共计</w:t>
      </w:r>
      <w:r>
        <w:rPr>
          <w:rFonts w:ascii="宋体" w:hAnsi="宋体" w:cs="宋体" w:eastAsia="宋体" w:hint="default"/>
        </w:rPr>
        <w:t>30,300</w:t>
      </w:r>
      <w:r>
        <w:rPr/>
        <w:t>股进行回购</w:t>
      </w:r>
      <w:r>
        <w:rPr>
          <w:spacing w:val="-30"/>
        </w:rPr>
        <w:t> </w:t>
      </w:r>
      <w:r>
        <w:rPr>
          <w:spacing w:val="-30"/>
        </w:rPr>
      </w:r>
      <w:r>
        <w:rPr>
          <w:spacing w:val="-2"/>
        </w:rPr>
        <w:t>注销。本次回购注销完成后，公司</w:t>
      </w:r>
      <w:r>
        <w:rPr>
          <w:rFonts w:ascii="宋体" w:hAnsi="宋体" w:cs="宋体" w:eastAsia="宋体" w:hint="default"/>
          <w:spacing w:val="-2"/>
        </w:rPr>
        <w:t>2019</w:t>
      </w:r>
      <w:r>
        <w:rPr>
          <w:spacing w:val="-2"/>
        </w:rPr>
        <w:t>年股票期权与限制性股票激励计划首次授予部分的激励对象总人数</w:t>
      </w:r>
      <w:r>
        <w:rPr>
          <w:spacing w:val="-39"/>
        </w:rPr>
        <w:t> </w:t>
      </w:r>
      <w:r>
        <w:rPr>
          <w:spacing w:val="-39"/>
        </w:rPr>
      </w:r>
      <w:r>
        <w:rPr>
          <w:spacing w:val="-2"/>
        </w:rPr>
        <w:t>将有</w:t>
      </w:r>
      <w:r>
        <w:rPr>
          <w:rFonts w:ascii="宋体" w:hAnsi="宋体" w:cs="宋体" w:eastAsia="宋体" w:hint="default"/>
          <w:spacing w:val="-2"/>
        </w:rPr>
        <w:t>1,233</w:t>
      </w:r>
      <w:r>
        <w:rPr>
          <w:spacing w:val="-2"/>
        </w:rPr>
        <w:t>名调整至</w:t>
      </w:r>
      <w:r>
        <w:rPr>
          <w:rFonts w:ascii="宋体" w:hAnsi="宋体" w:cs="宋体" w:eastAsia="宋体" w:hint="default"/>
          <w:spacing w:val="-2"/>
        </w:rPr>
        <w:t>1,219</w:t>
      </w:r>
      <w:r>
        <w:rPr>
          <w:spacing w:val="-2"/>
        </w:rPr>
        <w:t>名，其中首次授予的股票期权人数由</w:t>
      </w:r>
      <w:r>
        <w:rPr>
          <w:rFonts w:ascii="宋体" w:hAnsi="宋体" w:cs="宋体" w:eastAsia="宋体" w:hint="default"/>
          <w:spacing w:val="-2"/>
        </w:rPr>
        <w:t>961</w:t>
      </w:r>
      <w:r>
        <w:rPr>
          <w:spacing w:val="-2"/>
        </w:rPr>
        <w:t>名调整为</w:t>
      </w:r>
      <w:r>
        <w:rPr>
          <w:rFonts w:ascii="宋体" w:hAnsi="宋体" w:cs="宋体" w:eastAsia="宋体" w:hint="default"/>
          <w:spacing w:val="-2"/>
        </w:rPr>
        <w:t>950</w:t>
      </w:r>
      <w:r>
        <w:rPr>
          <w:spacing w:val="-2"/>
        </w:rPr>
        <w:t>名，首次授予的股票期权数</w:t>
      </w:r>
      <w:r>
        <w:rPr>
          <w:spacing w:val="-33"/>
        </w:rPr>
        <w:t> </w:t>
      </w:r>
      <w:r>
        <w:rPr>
          <w:spacing w:val="-33"/>
        </w:rPr>
      </w:r>
      <w:r>
        <w:rPr>
          <w:spacing w:val="-2"/>
        </w:rPr>
        <w:t>量由</w:t>
      </w:r>
      <w:r>
        <w:rPr>
          <w:rFonts w:ascii="宋体" w:hAnsi="宋体" w:cs="宋体" w:eastAsia="宋体" w:hint="default"/>
          <w:spacing w:val="-2"/>
        </w:rPr>
        <w:t>4,685,400</w:t>
      </w:r>
      <w:r>
        <w:rPr>
          <w:spacing w:val="-2"/>
        </w:rPr>
        <w:t>份调整为</w:t>
      </w:r>
      <w:r>
        <w:rPr>
          <w:rFonts w:ascii="宋体" w:hAnsi="宋体" w:cs="宋体" w:eastAsia="宋体" w:hint="default"/>
          <w:spacing w:val="-2"/>
        </w:rPr>
        <w:t>4,635,400</w:t>
      </w:r>
      <w:r>
        <w:rPr>
          <w:spacing w:val="-2"/>
        </w:rPr>
        <w:t>份；首次授予的限制性股票人数由</w:t>
      </w:r>
      <w:r>
        <w:rPr>
          <w:rFonts w:ascii="宋体" w:hAnsi="宋体" w:cs="宋体" w:eastAsia="宋体" w:hint="default"/>
          <w:spacing w:val="-2"/>
        </w:rPr>
        <w:t>841</w:t>
      </w:r>
      <w:r>
        <w:rPr>
          <w:spacing w:val="-2"/>
        </w:rPr>
        <w:t>名调整为</w:t>
      </w:r>
      <w:r>
        <w:rPr>
          <w:rFonts w:ascii="宋体" w:hAnsi="宋体" w:cs="宋体" w:eastAsia="宋体" w:hint="default"/>
          <w:spacing w:val="-2"/>
        </w:rPr>
        <w:t>834</w:t>
      </w:r>
      <w:r>
        <w:rPr>
          <w:spacing w:val="-2"/>
        </w:rPr>
        <w:t>名，首次授予的限制</w:t>
      </w:r>
      <w:r>
        <w:rPr>
          <w:spacing w:val="-22"/>
        </w:rPr>
        <w:t> </w:t>
      </w:r>
      <w:r>
        <w:rPr>
          <w:spacing w:val="-22"/>
        </w:rPr>
      </w:r>
      <w:r>
        <w:rPr>
          <w:spacing w:val="-2"/>
        </w:rPr>
        <w:t>性股票数量由</w:t>
      </w:r>
      <w:r>
        <w:rPr>
          <w:rFonts w:ascii="宋体" w:hAnsi="宋体" w:cs="宋体" w:eastAsia="宋体" w:hint="default"/>
          <w:spacing w:val="-2"/>
        </w:rPr>
        <w:t>9,577,900</w:t>
      </w:r>
      <w:r>
        <w:rPr>
          <w:spacing w:val="-2"/>
        </w:rPr>
        <w:t>股调整为</w:t>
      </w:r>
      <w:r>
        <w:rPr>
          <w:rFonts w:ascii="宋体" w:hAnsi="宋体" w:cs="宋体" w:eastAsia="宋体" w:hint="default"/>
          <w:spacing w:val="-2"/>
        </w:rPr>
        <w:t>9,547,600</w:t>
      </w:r>
      <w:r>
        <w:rPr>
          <w:spacing w:val="-2"/>
        </w:rPr>
        <w:t>股。该部分股票期权</w:t>
      </w:r>
      <w:r>
        <w:rPr>
          <w:rFonts w:ascii="宋体" w:hAnsi="宋体" w:cs="宋体" w:eastAsia="宋体" w:hint="default"/>
          <w:spacing w:val="-2"/>
        </w:rPr>
        <w:t>/</w:t>
      </w:r>
      <w:r>
        <w:rPr>
          <w:spacing w:val="-2"/>
        </w:rPr>
        <w:t>限制性股票已于</w:t>
      </w:r>
      <w:r>
        <w:rPr>
          <w:rFonts w:ascii="宋体" w:hAnsi="宋体" w:cs="宋体" w:eastAsia="宋体" w:hint="default"/>
          <w:spacing w:val="-2"/>
        </w:rPr>
        <w:t>2019</w:t>
      </w:r>
      <w:r>
        <w:rPr>
          <w:spacing w:val="-2"/>
        </w:rPr>
        <w:t>年</w:t>
      </w:r>
      <w:r>
        <w:rPr>
          <w:rFonts w:ascii="宋体" w:hAnsi="宋体" w:cs="宋体" w:eastAsia="宋体" w:hint="default"/>
          <w:spacing w:val="-2"/>
        </w:rPr>
        <w:t>11</w:t>
      </w:r>
      <w:r>
        <w:rPr>
          <w:spacing w:val="-2"/>
        </w:rPr>
        <w:t>月</w:t>
      </w:r>
      <w:r>
        <w:rPr>
          <w:rFonts w:ascii="宋体" w:hAnsi="宋体" w:cs="宋体" w:eastAsia="宋体" w:hint="default"/>
          <w:spacing w:val="-2"/>
        </w:rPr>
        <w:t>5</w:t>
      </w:r>
      <w:r>
        <w:rPr>
          <w:spacing w:val="-2"/>
        </w:rPr>
        <w:t>日在中国证</w:t>
      </w:r>
      <w:r>
        <w:rPr>
          <w:spacing w:val="-27"/>
        </w:rPr>
        <w:t> </w:t>
      </w:r>
      <w:r>
        <w:rPr>
          <w:spacing w:val="-27"/>
        </w:rPr>
      </w:r>
      <w:r>
        <w:rPr/>
        <w:t>券登记结算有限责任公司深圳分公司完成注销</w:t>
      </w:r>
      <w:r>
        <w:rPr>
          <w:rFonts w:ascii="宋体" w:hAnsi="宋体" w:cs="宋体" w:eastAsia="宋体" w:hint="default"/>
        </w:rPr>
        <w:t>/</w:t>
      </w:r>
      <w:r>
        <w:rPr/>
        <w:t>回购注销手续。</w:t>
      </w:r>
    </w:p>
    <w:p>
      <w:pPr>
        <w:pStyle w:val="BodyText"/>
        <w:spacing w:line="240" w:lineRule="auto"/>
        <w:ind w:left="566" w:right="986"/>
        <w:jc w:val="left"/>
      </w:pPr>
      <w:r>
        <w:rPr>
          <w:rFonts w:ascii="宋体" w:hAnsi="宋体" w:cs="宋体" w:eastAsia="宋体" w:hint="default"/>
        </w:rPr>
        <w:t>7</w:t>
      </w:r>
      <w:r>
        <w:rPr/>
        <w:t>、</w:t>
      </w:r>
      <w:r>
        <w:rPr>
          <w:rFonts w:ascii="宋体" w:hAnsi="宋体" w:cs="宋体" w:eastAsia="宋体" w:hint="default"/>
        </w:rPr>
        <w:t>2019</w:t>
      </w:r>
      <w:r>
        <w:rPr/>
        <w:t>年</w:t>
      </w:r>
      <w:r>
        <w:rPr>
          <w:rFonts w:ascii="宋体" w:hAnsi="宋体" w:cs="宋体" w:eastAsia="宋体" w:hint="default"/>
        </w:rPr>
        <w:t>9</w:t>
      </w:r>
      <w:r>
        <w:rPr/>
        <w:t>月</w:t>
      </w:r>
      <w:r>
        <w:rPr>
          <w:rFonts w:ascii="宋体" w:hAnsi="宋体" w:cs="宋体" w:eastAsia="宋体" w:hint="default"/>
        </w:rPr>
        <w:t>29</w:t>
      </w:r>
      <w:r>
        <w:rPr/>
        <w:t>日，公司召开第四届董事会第十二次会议和第四届监事会第十一次会议，审议通过了</w:t>
      </w:r>
    </w:p>
    <w:p>
      <w:pPr>
        <w:spacing w:line="240" w:lineRule="auto" w:before="10"/>
        <w:rPr>
          <w:rFonts w:ascii="宋体" w:hAnsi="宋体" w:cs="宋体" w:eastAsia="宋体" w:hint="default"/>
          <w:sz w:val="14"/>
          <w:szCs w:val="14"/>
        </w:rPr>
      </w:pPr>
    </w:p>
    <w:p>
      <w:pPr>
        <w:pStyle w:val="BodyText"/>
        <w:spacing w:line="408" w:lineRule="auto" w:before="0"/>
        <w:ind w:left="153" w:right="1129"/>
        <w:jc w:val="both"/>
      </w:pPr>
      <w:r>
        <w:rPr>
          <w:spacing w:val="-2"/>
        </w:rPr>
        <w:t>《关于注销部分股票期权和回购注销部分限制性股票的议案》，决定对</w:t>
      </w:r>
      <w:r>
        <w:rPr>
          <w:rFonts w:ascii="宋体" w:hAnsi="宋体" w:cs="宋体" w:eastAsia="宋体" w:hint="default"/>
          <w:spacing w:val="-2"/>
        </w:rPr>
        <w:t>21</w:t>
      </w:r>
      <w:r>
        <w:rPr>
          <w:spacing w:val="-2"/>
        </w:rPr>
        <w:t>名离职激励对象已获授尚未行权</w:t>
      </w:r>
      <w:r>
        <w:rPr>
          <w:spacing w:val="-40"/>
        </w:rPr>
        <w:t> </w:t>
      </w:r>
      <w:r>
        <w:rPr>
          <w:spacing w:val="-40"/>
        </w:rPr>
      </w:r>
      <w:r>
        <w:rPr/>
        <w:t>的股票期权共计</w:t>
      </w:r>
      <w:r>
        <w:rPr>
          <w:rFonts w:ascii="宋体" w:hAnsi="宋体" w:cs="宋体" w:eastAsia="宋体" w:hint="default"/>
        </w:rPr>
        <w:t>131,700</w:t>
      </w:r>
      <w:r>
        <w:rPr/>
        <w:t>份进行注销，对</w:t>
      </w:r>
      <w:r>
        <w:rPr>
          <w:rFonts w:ascii="宋体" w:hAnsi="宋体" w:cs="宋体" w:eastAsia="宋体" w:hint="default"/>
        </w:rPr>
        <w:t>14</w:t>
      </w:r>
      <w:r>
        <w:rPr/>
        <w:t>名离职激励对象已获授尚未解锁的限制性股票共计</w:t>
      </w:r>
      <w:r>
        <w:rPr>
          <w:rFonts w:ascii="宋体" w:hAnsi="宋体" w:cs="宋体" w:eastAsia="宋体" w:hint="default"/>
        </w:rPr>
        <w:t>99,300</w:t>
      </w:r>
      <w:r>
        <w:rPr/>
        <w:t>股进</w:t>
      </w:r>
      <w:r>
        <w:rPr>
          <w:spacing w:val="-29"/>
        </w:rPr>
        <w:t> </w:t>
      </w:r>
      <w:r>
        <w:rPr/>
        <w:t>行回购注销。本次注销</w:t>
      </w:r>
      <w:r>
        <w:rPr>
          <w:rFonts w:ascii="宋体" w:hAnsi="宋体" w:cs="宋体" w:eastAsia="宋体" w:hint="default"/>
        </w:rPr>
        <w:t>/</w:t>
      </w:r>
      <w:r>
        <w:rPr/>
        <w:t>回购注销完成后，</w:t>
      </w:r>
      <w:r>
        <w:rPr>
          <w:rFonts w:ascii="宋体" w:hAnsi="宋体" w:cs="宋体" w:eastAsia="宋体" w:hint="default"/>
        </w:rPr>
        <w:t>2019</w:t>
      </w:r>
      <w:r>
        <w:rPr/>
        <w:t>年股票期权与限制性股票激励计划首次授予部分的激励对</w:t>
      </w:r>
      <w:r>
        <w:rPr>
          <w:spacing w:val="-28"/>
        </w:rPr>
        <w:t> </w:t>
      </w:r>
      <w:r>
        <w:rPr>
          <w:spacing w:val="-28"/>
        </w:rPr>
      </w:r>
      <w:r>
        <w:rPr>
          <w:spacing w:val="-2"/>
        </w:rPr>
        <w:t>象总人数将有</w:t>
      </w:r>
      <w:r>
        <w:rPr>
          <w:rFonts w:ascii="宋体" w:hAnsi="宋体" w:cs="宋体" w:eastAsia="宋体" w:hint="default"/>
          <w:spacing w:val="-2"/>
        </w:rPr>
        <w:t>1,219</w:t>
      </w:r>
      <w:r>
        <w:rPr>
          <w:spacing w:val="-2"/>
        </w:rPr>
        <w:t>名调整至</w:t>
      </w:r>
      <w:r>
        <w:rPr>
          <w:rFonts w:ascii="宋体" w:hAnsi="宋体" w:cs="宋体" w:eastAsia="宋体" w:hint="default"/>
          <w:spacing w:val="-2"/>
        </w:rPr>
        <w:t>1,194</w:t>
      </w:r>
      <w:r>
        <w:rPr>
          <w:spacing w:val="-2"/>
        </w:rPr>
        <w:t>名，其中首次授予的股票期权人数由</w:t>
      </w:r>
      <w:r>
        <w:rPr>
          <w:rFonts w:ascii="宋体" w:hAnsi="宋体" w:cs="宋体" w:eastAsia="宋体" w:hint="default"/>
          <w:spacing w:val="-2"/>
        </w:rPr>
        <w:t>950</w:t>
      </w:r>
      <w:r>
        <w:rPr>
          <w:spacing w:val="-2"/>
        </w:rPr>
        <w:t>名调整为</w:t>
      </w:r>
      <w:r>
        <w:rPr>
          <w:rFonts w:ascii="宋体" w:hAnsi="宋体" w:cs="宋体" w:eastAsia="宋体" w:hint="default"/>
          <w:spacing w:val="-2"/>
        </w:rPr>
        <w:t>929</w:t>
      </w:r>
      <w:r>
        <w:rPr>
          <w:spacing w:val="-2"/>
        </w:rPr>
        <w:t>名，首次授予的股</w:t>
      </w:r>
      <w:r>
        <w:rPr>
          <w:spacing w:val="-32"/>
        </w:rPr>
        <w:t> </w:t>
      </w:r>
      <w:r>
        <w:rPr>
          <w:spacing w:val="-32"/>
        </w:rPr>
      </w:r>
      <w:r>
        <w:rPr>
          <w:spacing w:val="-2"/>
        </w:rPr>
        <w:t>票期权数量由</w:t>
      </w:r>
      <w:r>
        <w:rPr>
          <w:rFonts w:ascii="宋体" w:hAnsi="宋体" w:cs="宋体" w:eastAsia="宋体" w:hint="default"/>
          <w:spacing w:val="-2"/>
        </w:rPr>
        <w:t>4,635,400</w:t>
      </w:r>
      <w:r>
        <w:rPr>
          <w:spacing w:val="-2"/>
        </w:rPr>
        <w:t>份调整为</w:t>
      </w:r>
      <w:r>
        <w:rPr>
          <w:rFonts w:ascii="宋体" w:hAnsi="宋体" w:cs="宋体" w:eastAsia="宋体" w:hint="default"/>
          <w:spacing w:val="-2"/>
        </w:rPr>
        <w:t>4,503,700</w:t>
      </w:r>
      <w:r>
        <w:rPr>
          <w:spacing w:val="-2"/>
        </w:rPr>
        <w:t>份；首次授予的限制性股票人数由</w:t>
      </w:r>
      <w:r>
        <w:rPr>
          <w:rFonts w:ascii="宋体" w:hAnsi="宋体" w:cs="宋体" w:eastAsia="宋体" w:hint="default"/>
          <w:spacing w:val="-2"/>
        </w:rPr>
        <w:t>834</w:t>
      </w:r>
      <w:r>
        <w:rPr>
          <w:spacing w:val="-2"/>
        </w:rPr>
        <w:t>名调整为</w:t>
      </w:r>
      <w:r>
        <w:rPr>
          <w:rFonts w:ascii="宋体" w:hAnsi="宋体" w:cs="宋体" w:eastAsia="宋体" w:hint="default"/>
          <w:spacing w:val="-2"/>
        </w:rPr>
        <w:t>820</w:t>
      </w:r>
      <w:r>
        <w:rPr>
          <w:spacing w:val="-2"/>
        </w:rPr>
        <w:t>名，首次授</w:t>
      </w:r>
      <w:r>
        <w:rPr>
          <w:spacing w:val="-21"/>
        </w:rPr>
        <w:t> </w:t>
      </w:r>
      <w:r>
        <w:rPr>
          <w:spacing w:val="-21"/>
        </w:rPr>
      </w:r>
      <w:r>
        <w:rPr/>
        <w:t>予的限制性股票数量由</w:t>
      </w:r>
      <w:r>
        <w:rPr>
          <w:rFonts w:ascii="宋体" w:hAnsi="宋体" w:cs="宋体" w:eastAsia="宋体" w:hint="default"/>
        </w:rPr>
        <w:t>9,547,600</w:t>
      </w:r>
      <w:r>
        <w:rPr/>
        <w:t>股调整为</w:t>
      </w:r>
      <w:r>
        <w:rPr>
          <w:rFonts w:ascii="宋体" w:hAnsi="宋体" w:cs="宋体" w:eastAsia="宋体" w:hint="default"/>
        </w:rPr>
        <w:t>9,448,300</w:t>
      </w:r>
      <w:r>
        <w:rPr/>
        <w:t>股。该部分股票期权</w:t>
      </w:r>
      <w:r>
        <w:rPr>
          <w:rFonts w:ascii="宋体" w:hAnsi="宋体" w:cs="宋体" w:eastAsia="宋体" w:hint="default"/>
        </w:rPr>
        <w:t>/</w:t>
      </w:r>
      <w:r>
        <w:rPr/>
        <w:t>限制性股票已于</w:t>
      </w:r>
      <w:r>
        <w:rPr>
          <w:rFonts w:ascii="宋体" w:hAnsi="宋体" w:cs="宋体" w:eastAsia="宋体" w:hint="default"/>
        </w:rPr>
        <w:t>2019</w:t>
      </w:r>
      <w:r>
        <w:rPr/>
        <w:t>年</w:t>
      </w:r>
      <w:r>
        <w:rPr>
          <w:rFonts w:ascii="宋体" w:hAnsi="宋体" w:cs="宋体" w:eastAsia="宋体" w:hint="default"/>
        </w:rPr>
        <w:t>11</w:t>
      </w:r>
      <w:r>
        <w:rPr/>
        <w:t>月</w:t>
      </w:r>
      <w:r>
        <w:rPr>
          <w:rFonts w:ascii="宋体" w:hAnsi="宋体" w:cs="宋体" w:eastAsia="宋体" w:hint="default"/>
        </w:rPr>
        <w:t>20</w:t>
      </w:r>
      <w:r>
        <w:rPr>
          <w:rFonts w:ascii="宋体" w:hAnsi="宋体" w:cs="宋体" w:eastAsia="宋体" w:hint="default"/>
          <w:spacing w:val="-28"/>
        </w:rPr>
        <w:t> </w:t>
      </w:r>
      <w:r>
        <w:rPr/>
        <w:t>日在中国证券登记结算有限责任公司深圳分公司完成注销</w:t>
      </w:r>
      <w:r>
        <w:rPr>
          <w:rFonts w:ascii="宋体" w:hAnsi="宋体" w:cs="宋体" w:eastAsia="宋体" w:hint="default"/>
        </w:rPr>
        <w:t>/</w:t>
      </w:r>
      <w:r>
        <w:rPr/>
        <w:t>回购注销手续。</w:t>
      </w:r>
    </w:p>
    <w:p>
      <w:pPr>
        <w:pStyle w:val="BodyText"/>
        <w:spacing w:line="408" w:lineRule="auto"/>
        <w:ind w:left="153" w:right="1127" w:firstLine="412"/>
        <w:jc w:val="both"/>
      </w:pPr>
      <w:r>
        <w:rPr>
          <w:rFonts w:ascii="宋体" w:hAnsi="宋体" w:cs="宋体" w:eastAsia="宋体" w:hint="default"/>
          <w:spacing w:val="-2"/>
        </w:rPr>
        <w:t>8</w:t>
      </w:r>
      <w:r>
        <w:rPr>
          <w:spacing w:val="-2"/>
        </w:rPr>
        <w:t>、</w:t>
      </w:r>
      <w:r>
        <w:rPr>
          <w:rFonts w:ascii="宋体" w:hAnsi="宋体" w:cs="宋体" w:eastAsia="宋体" w:hint="default"/>
          <w:spacing w:val="-2"/>
        </w:rPr>
        <w:t>2020</w:t>
      </w:r>
      <w:r>
        <w:rPr>
          <w:spacing w:val="-2"/>
        </w:rPr>
        <w:t>年</w:t>
      </w:r>
      <w:r>
        <w:rPr>
          <w:rFonts w:ascii="宋体" w:hAnsi="宋体" w:cs="宋体" w:eastAsia="宋体" w:hint="default"/>
          <w:spacing w:val="-2"/>
        </w:rPr>
        <w:t>1</w:t>
      </w:r>
      <w:r>
        <w:rPr>
          <w:spacing w:val="-2"/>
        </w:rPr>
        <w:t>月</w:t>
      </w:r>
      <w:r>
        <w:rPr>
          <w:rFonts w:ascii="宋体" w:hAnsi="宋体" w:cs="宋体" w:eastAsia="宋体" w:hint="default"/>
          <w:spacing w:val="-2"/>
        </w:rPr>
        <w:t>23</w:t>
      </w:r>
      <w:r>
        <w:rPr>
          <w:spacing w:val="-2"/>
        </w:rPr>
        <w:t>日，公司召开第四届董事会第十五次会议和监事会第十四次会议，审议通过了《关于</w:t>
      </w:r>
      <w:r>
        <w:rPr>
          <w:spacing w:val="-3"/>
          <w:w w:val="100"/>
        </w:rPr>
        <w:t> </w:t>
      </w:r>
      <w:r>
        <w:rPr/>
        <w:t>向激励对象授予</w:t>
      </w:r>
      <w:r>
        <w:rPr>
          <w:rFonts w:ascii="宋体" w:hAnsi="宋体" w:cs="宋体" w:eastAsia="宋体" w:hint="default"/>
        </w:rPr>
        <w:t>2019</w:t>
      </w:r>
      <w:r>
        <w:rPr/>
        <w:t>年股票期权与限制性股票激励计划预留权益的议案》，确定</w:t>
      </w:r>
      <w:r>
        <w:rPr>
          <w:rFonts w:ascii="宋体" w:hAnsi="宋体" w:cs="宋体" w:eastAsia="宋体" w:hint="default"/>
        </w:rPr>
        <w:t>2020</w:t>
      </w:r>
      <w:r>
        <w:rPr/>
        <w:t>年</w:t>
      </w:r>
      <w:r>
        <w:rPr>
          <w:rFonts w:ascii="宋体" w:hAnsi="宋体" w:cs="宋体" w:eastAsia="宋体" w:hint="default"/>
        </w:rPr>
        <w:t>1</w:t>
      </w:r>
      <w:r>
        <w:rPr/>
        <w:t>月</w:t>
      </w:r>
      <w:r>
        <w:rPr>
          <w:rFonts w:ascii="宋体" w:hAnsi="宋体" w:cs="宋体" w:eastAsia="宋体" w:hint="default"/>
        </w:rPr>
        <w:t>23</w:t>
      </w:r>
      <w:r>
        <w:rPr/>
        <w:t>日为本次股</w:t>
      </w:r>
      <w:r>
        <w:rPr>
          <w:spacing w:val="-29"/>
        </w:rPr>
        <w:t> </w:t>
      </w:r>
      <w:r>
        <w:rPr>
          <w:spacing w:val="-29"/>
        </w:rPr>
      </w:r>
      <w:r>
        <w:rPr/>
        <w:t>权激励计划的预留权益授予日，同意公司向符合授予条件的</w:t>
      </w:r>
      <w:r>
        <w:rPr>
          <w:rFonts w:ascii="宋体" w:hAnsi="宋体" w:cs="宋体" w:eastAsia="宋体" w:hint="default"/>
        </w:rPr>
        <w:t>149</w:t>
      </w:r>
      <w:r>
        <w:rPr/>
        <w:t>名激励对象授予</w:t>
      </w:r>
      <w:r>
        <w:rPr>
          <w:rFonts w:ascii="宋体" w:hAnsi="宋体" w:cs="宋体" w:eastAsia="宋体" w:hint="default"/>
        </w:rPr>
        <w:t>76</w:t>
      </w:r>
      <w:r>
        <w:rPr/>
        <w:t>万份股票期权，授予价</w:t>
      </w:r>
      <w:r>
        <w:rPr>
          <w:spacing w:val="-28"/>
        </w:rPr>
        <w:t> </w:t>
      </w:r>
      <w:r>
        <w:rPr>
          <w:spacing w:val="-28"/>
        </w:rPr>
      </w:r>
      <w:r>
        <w:rPr/>
        <w:t>格为</w:t>
      </w:r>
      <w:r>
        <w:rPr>
          <w:rFonts w:ascii="宋体" w:hAnsi="宋体" w:cs="宋体" w:eastAsia="宋体" w:hint="default"/>
        </w:rPr>
        <w:t>21.37</w:t>
      </w:r>
      <w:r>
        <w:rPr/>
        <w:t>元</w:t>
      </w:r>
      <w:r>
        <w:rPr>
          <w:rFonts w:ascii="宋体" w:hAnsi="宋体" w:cs="宋体" w:eastAsia="宋体" w:hint="default"/>
        </w:rPr>
        <w:t>/</w:t>
      </w:r>
      <w:r>
        <w:rPr/>
        <w:t>份；同意公司向符合授予条件的</w:t>
      </w:r>
      <w:r>
        <w:rPr>
          <w:rFonts w:ascii="宋体" w:hAnsi="宋体" w:cs="宋体" w:eastAsia="宋体" w:hint="default"/>
        </w:rPr>
        <w:t>210</w:t>
      </w:r>
      <w:r>
        <w:rPr/>
        <w:t>名激励对象授予</w:t>
      </w:r>
      <w:r>
        <w:rPr>
          <w:rFonts w:ascii="宋体" w:hAnsi="宋体" w:cs="宋体" w:eastAsia="宋体" w:hint="default"/>
        </w:rPr>
        <w:t>134</w:t>
      </w:r>
      <w:r>
        <w:rPr/>
        <w:t>万股限制性股票，授予价格为</w:t>
      </w:r>
      <w:r>
        <w:rPr>
          <w:rFonts w:ascii="宋体" w:hAnsi="宋体" w:cs="宋体" w:eastAsia="宋体" w:hint="default"/>
        </w:rPr>
        <w:t>10.69</w:t>
      </w:r>
      <w:r>
        <w:rPr>
          <w:rFonts w:ascii="宋体" w:hAnsi="宋体" w:cs="宋体" w:eastAsia="宋体" w:hint="default"/>
          <w:spacing w:val="-27"/>
        </w:rPr>
        <w:t> </w:t>
      </w:r>
      <w:r>
        <w:rPr>
          <w:rFonts w:ascii="宋体" w:hAnsi="宋体" w:cs="宋体" w:eastAsia="宋体" w:hint="default"/>
          <w:spacing w:val="-27"/>
        </w:rPr>
      </w:r>
      <w:r>
        <w:rPr/>
        <w:t>元</w:t>
      </w:r>
      <w:r>
        <w:rPr>
          <w:rFonts w:ascii="宋体" w:hAnsi="宋体" w:cs="宋体" w:eastAsia="宋体" w:hint="default"/>
        </w:rPr>
        <w:t>/</w:t>
      </w:r>
      <w:r>
        <w:rPr/>
        <w:t>股。公司独立董事对此发表了同意的独立意见。监事会对预留权益授予部分激励对象名单进行核实并</w:t>
      </w:r>
      <w:r>
        <w:rPr>
          <w:spacing w:val="-25"/>
        </w:rPr>
        <w:t> </w:t>
      </w:r>
      <w:r>
        <w:rPr>
          <w:spacing w:val="-25"/>
        </w:rPr>
      </w:r>
      <w:r>
        <w:rPr/>
        <w:t>发表了核查意见。</w:t>
      </w:r>
      <w:r>
        <w:rPr>
          <w:rFonts w:ascii="宋体" w:hAnsi="宋体" w:cs="宋体" w:eastAsia="宋体" w:hint="default"/>
        </w:rPr>
        <w:t>2020</w:t>
      </w:r>
      <w:r>
        <w:rPr/>
        <w:t>年</w:t>
      </w:r>
      <w:r>
        <w:rPr>
          <w:rFonts w:ascii="宋体" w:hAnsi="宋体" w:cs="宋体" w:eastAsia="宋体" w:hint="default"/>
        </w:rPr>
        <w:t>2</w:t>
      </w:r>
      <w:r>
        <w:rPr/>
        <w:t>月</w:t>
      </w:r>
      <w:r>
        <w:rPr>
          <w:rFonts w:ascii="宋体" w:hAnsi="宋体" w:cs="宋体" w:eastAsia="宋体" w:hint="default"/>
        </w:rPr>
        <w:t>26</w:t>
      </w:r>
      <w:r>
        <w:rPr/>
        <w:t>日，公司完成中国证券登记结算有限责任公司深圳分公司预留部分股票期</w:t>
      </w:r>
      <w:r>
        <w:rPr>
          <w:spacing w:val="-28"/>
        </w:rPr>
        <w:t> </w:t>
      </w:r>
      <w:r>
        <w:rPr>
          <w:spacing w:val="-28"/>
        </w:rPr>
      </w:r>
      <w:r>
        <w:rPr/>
        <w:t>权和限制性股票的授予工作，确定预留部分股票期权和限制性股票的授予登记日为</w:t>
      </w:r>
      <w:r>
        <w:rPr>
          <w:rFonts w:ascii="宋体" w:hAnsi="宋体" w:cs="宋体" w:eastAsia="宋体" w:hint="default"/>
        </w:rPr>
        <w:t>2020</w:t>
      </w:r>
      <w:r>
        <w:rPr/>
        <w:t>年</w:t>
      </w:r>
      <w:r>
        <w:rPr>
          <w:rFonts w:ascii="宋体" w:hAnsi="宋体" w:cs="宋体" w:eastAsia="宋体" w:hint="default"/>
        </w:rPr>
        <w:t>2</w:t>
      </w:r>
      <w:r>
        <w:rPr/>
        <w:t>月</w:t>
      </w:r>
      <w:r>
        <w:rPr>
          <w:rFonts w:ascii="宋体" w:hAnsi="宋体" w:cs="宋体" w:eastAsia="宋体" w:hint="default"/>
        </w:rPr>
        <w:t>26</w:t>
      </w:r>
      <w:r>
        <w:rPr/>
        <w:t>日。</w:t>
      </w:r>
    </w:p>
    <w:p>
      <w:pPr>
        <w:spacing w:line="240" w:lineRule="auto" w:before="8"/>
        <w:rPr>
          <w:rFonts w:ascii="宋体" w:hAnsi="宋体" w:cs="宋体" w:eastAsia="宋体" w:hint="default"/>
          <w:sz w:val="24"/>
          <w:szCs w:val="24"/>
        </w:rPr>
      </w:pPr>
    </w:p>
    <w:p>
      <w:pPr>
        <w:pStyle w:val="BodyText"/>
        <w:spacing w:line="273" w:lineRule="auto" w:before="0"/>
        <w:ind w:left="153" w:right="1215" w:hanging="1"/>
        <w:jc w:val="both"/>
      </w:pPr>
      <w:r>
        <w:rPr/>
        <w:t>公司需遵守《深圳证券交易所行业信息披露指引第</w:t>
      </w:r>
      <w:r>
        <w:rPr>
          <w:spacing w:val="-60"/>
        </w:rPr>
        <w:t> </w:t>
      </w:r>
      <w:r>
        <w:rPr>
          <w:rFonts w:ascii="宋体" w:hAnsi="宋体" w:cs="宋体" w:eastAsia="宋体" w:hint="default"/>
        </w:rPr>
        <w:t>12</w:t>
      </w:r>
      <w:r>
        <w:rPr>
          <w:rFonts w:ascii="宋体" w:hAnsi="宋体" w:cs="宋体" w:eastAsia="宋体" w:hint="default"/>
          <w:spacing w:val="-58"/>
        </w:rPr>
        <w:t> </w:t>
      </w:r>
      <w:r>
        <w:rPr/>
        <w:t>号</w:t>
      </w:r>
      <w:r>
        <w:rPr>
          <w:rFonts w:ascii="宋体" w:hAnsi="宋体" w:cs="宋体" w:eastAsia="宋体" w:hint="default"/>
        </w:rPr>
        <w:t>——</w:t>
      </w:r>
      <w:r>
        <w:rPr/>
        <w:t>上市公司从事软件与信息技术服务业务》的</w:t>
      </w:r>
      <w:r>
        <w:rPr>
          <w:spacing w:val="-3"/>
          <w:w w:val="100"/>
        </w:rPr>
        <w:t> </w:t>
      </w:r>
      <w:r>
        <w:rPr/>
        <w:t>披露要求</w:t>
      </w:r>
    </w:p>
    <w:p>
      <w:pPr>
        <w:pStyle w:val="BodyText"/>
        <w:spacing w:line="240" w:lineRule="auto" w:before="123"/>
        <w:ind w:left="681" w:right="986"/>
        <w:jc w:val="left"/>
      </w:pPr>
      <w:r>
        <w:rPr>
          <w:rFonts w:ascii="宋体" w:hAnsi="宋体" w:cs="宋体" w:eastAsia="宋体" w:hint="default"/>
        </w:rPr>
        <w:t>2019</w:t>
      </w:r>
      <w:r>
        <w:rPr/>
        <w:t>年公司实施股权激励计提的费用为</w:t>
      </w:r>
      <w:r>
        <w:rPr>
          <w:rFonts w:ascii="宋体" w:hAnsi="宋体" w:cs="宋体" w:eastAsia="宋体" w:hint="default"/>
        </w:rPr>
        <w:t>2,903.84</w:t>
      </w:r>
      <w:r>
        <w:rPr/>
        <w:t>万元，影响公司利润总额</w:t>
      </w:r>
      <w:r>
        <w:rPr>
          <w:rFonts w:ascii="宋体" w:hAnsi="宋体" w:cs="宋体" w:eastAsia="宋体" w:hint="default"/>
        </w:rPr>
        <w:t>2,663.41</w:t>
      </w:r>
      <w:r>
        <w:rPr/>
        <w:t>万元，其中</w:t>
      </w:r>
    </w:p>
    <w:p>
      <w:pPr>
        <w:spacing w:line="240" w:lineRule="auto" w:before="10"/>
        <w:rPr>
          <w:rFonts w:ascii="宋体" w:hAnsi="宋体" w:cs="宋体" w:eastAsia="宋体" w:hint="default"/>
          <w:sz w:val="14"/>
          <w:szCs w:val="14"/>
        </w:rPr>
      </w:pPr>
    </w:p>
    <w:p>
      <w:pPr>
        <w:pStyle w:val="BodyText"/>
        <w:spacing w:line="240" w:lineRule="auto" w:before="0"/>
        <w:ind w:left="153" w:right="0"/>
        <w:jc w:val="both"/>
      </w:pPr>
      <w:r>
        <w:rPr>
          <w:rFonts w:ascii="宋体" w:hAnsi="宋体" w:cs="宋体" w:eastAsia="宋体" w:hint="default"/>
        </w:rPr>
        <w:t>1,052.25</w:t>
      </w:r>
      <w:r>
        <w:rPr/>
        <w:t>万元股权激励费用计入研发投入，占当期计提股权激励费用的</w:t>
      </w:r>
      <w:r>
        <w:rPr>
          <w:rFonts w:ascii="宋体" w:hAnsi="宋体" w:cs="宋体" w:eastAsia="宋体" w:hint="default"/>
        </w:rPr>
        <w:t>36.23%</w:t>
      </w:r>
      <w:r>
        <w:rPr/>
        <w:t>。</w:t>
      </w:r>
    </w:p>
    <w:p>
      <w:pPr>
        <w:spacing w:after="0" w:line="240" w:lineRule="auto"/>
        <w:jc w:val="both"/>
        <w:sectPr>
          <w:pgSz w:w="11910" w:h="16840"/>
          <w:pgMar w:header="745" w:footer="982" w:top="1060" w:bottom="118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986"/>
        <w:jc w:val="left"/>
        <w:rPr>
          <w:b w:val="0"/>
          <w:bCs w:val="0"/>
        </w:rPr>
      </w:pPr>
      <w:bookmarkStart w:name="十五、重大关联交易" w:id="78"/>
      <w:bookmarkEnd w:id="78"/>
      <w:r>
        <w:rPr>
          <w:b w:val="0"/>
          <w:bCs w:val="0"/>
        </w:rPr>
      </w:r>
      <w:r>
        <w:rPr/>
        <w:t>十五、重大关联交易</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6"/>
        <w:jc w:val="left"/>
        <w:rPr>
          <w:b w:val="0"/>
          <w:bCs w:val="0"/>
        </w:rPr>
      </w:pPr>
      <w:bookmarkStart w:name="1、与日常经营相关的关联交易" w:id="79"/>
      <w:bookmarkEnd w:id="79"/>
      <w:r>
        <w:rPr>
          <w:b w:val="0"/>
          <w:bCs w:val="0"/>
        </w:rPr>
      </w:r>
      <w:r>
        <w:rPr>
          <w:rFonts w:ascii="Times New Roman" w:hAnsi="Times New Roman" w:cs="Times New Roman" w:eastAsia="Times New Roman" w:hint="default"/>
        </w:rPr>
        <w:t>1</w:t>
      </w:r>
      <w:r>
        <w:rPr/>
        <w:t>、与日常经营相关的关联交易</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696"/>
        <w:gridCol w:w="480"/>
        <w:gridCol w:w="734"/>
        <w:gridCol w:w="734"/>
        <w:gridCol w:w="526"/>
        <w:gridCol w:w="674"/>
        <w:gridCol w:w="780"/>
        <w:gridCol w:w="706"/>
        <w:gridCol w:w="674"/>
        <w:gridCol w:w="706"/>
        <w:gridCol w:w="554"/>
        <w:gridCol w:w="586"/>
        <w:gridCol w:w="646"/>
        <w:gridCol w:w="1073"/>
      </w:tblGrid>
      <w:tr>
        <w:trPr>
          <w:trHeight w:val="1649" w:hRule="exact"/>
        </w:trPr>
        <w:tc>
          <w:tcPr>
            <w:tcW w:w="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163" w:right="72" w:hanging="92"/>
              <w:jc w:val="left"/>
              <w:rPr>
                <w:rFonts w:ascii="宋体" w:hAnsi="宋体" w:cs="宋体" w:eastAsia="宋体" w:hint="default"/>
                <w:sz w:val="18"/>
                <w:szCs w:val="18"/>
              </w:rPr>
            </w:pPr>
            <w:r>
              <w:rPr>
                <w:rFonts w:ascii="宋体" w:hAnsi="宋体" w:cs="宋体" w:eastAsia="宋体" w:hint="default"/>
                <w:sz w:val="18"/>
                <w:szCs w:val="18"/>
              </w:rPr>
              <w:t>关联交 易方</w:t>
            </w:r>
          </w:p>
        </w:tc>
        <w:tc>
          <w:tcPr>
            <w:tcW w:w="48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55" w:right="53"/>
              <w:jc w:val="left"/>
              <w:rPr>
                <w:rFonts w:ascii="宋体" w:hAnsi="宋体" w:cs="宋体" w:eastAsia="宋体" w:hint="default"/>
                <w:sz w:val="18"/>
                <w:szCs w:val="18"/>
              </w:rPr>
            </w:pPr>
            <w:r>
              <w:rPr>
                <w:rFonts w:ascii="宋体" w:hAnsi="宋体" w:cs="宋体" w:eastAsia="宋体" w:hint="default"/>
                <w:sz w:val="18"/>
                <w:szCs w:val="18"/>
              </w:rPr>
              <w:t>关联 关系</w:t>
            </w:r>
          </w:p>
        </w:tc>
        <w:tc>
          <w:tcPr>
            <w:tcW w:w="7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93" w:right="89"/>
              <w:jc w:val="left"/>
              <w:rPr>
                <w:rFonts w:ascii="宋体" w:hAnsi="宋体" w:cs="宋体" w:eastAsia="宋体" w:hint="default"/>
                <w:sz w:val="18"/>
                <w:szCs w:val="18"/>
              </w:rPr>
            </w:pPr>
            <w:r>
              <w:rPr>
                <w:rFonts w:ascii="宋体" w:hAnsi="宋体" w:cs="宋体" w:eastAsia="宋体" w:hint="default"/>
                <w:sz w:val="18"/>
                <w:szCs w:val="18"/>
              </w:rPr>
              <w:t>关联交 易类型</w:t>
            </w:r>
          </w:p>
        </w:tc>
        <w:tc>
          <w:tcPr>
            <w:tcW w:w="7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93" w:right="89"/>
              <w:jc w:val="left"/>
              <w:rPr>
                <w:rFonts w:ascii="宋体" w:hAnsi="宋体" w:cs="宋体" w:eastAsia="宋体" w:hint="default"/>
                <w:sz w:val="18"/>
                <w:szCs w:val="18"/>
              </w:rPr>
            </w:pPr>
            <w:r>
              <w:rPr>
                <w:rFonts w:ascii="宋体" w:hAnsi="宋体" w:cs="宋体" w:eastAsia="宋体" w:hint="default"/>
                <w:sz w:val="18"/>
                <w:szCs w:val="18"/>
              </w:rPr>
              <w:t>关联交 易内容</w:t>
            </w:r>
          </w:p>
        </w:tc>
        <w:tc>
          <w:tcPr>
            <w:tcW w:w="5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76" w:right="77"/>
              <w:jc w:val="both"/>
              <w:rPr>
                <w:rFonts w:ascii="宋体" w:hAnsi="宋体" w:cs="宋体" w:eastAsia="宋体" w:hint="default"/>
                <w:sz w:val="18"/>
                <w:szCs w:val="18"/>
              </w:rPr>
            </w:pPr>
            <w:r>
              <w:rPr>
                <w:rFonts w:ascii="宋体" w:hAnsi="宋体" w:cs="宋体" w:eastAsia="宋体" w:hint="default"/>
                <w:sz w:val="18"/>
                <w:szCs w:val="18"/>
              </w:rPr>
              <w:t>关联 交易 定价 原则</w:t>
            </w:r>
          </w:p>
        </w:tc>
        <w:tc>
          <w:tcPr>
            <w:tcW w:w="67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62" w:right="60"/>
              <w:jc w:val="left"/>
              <w:rPr>
                <w:rFonts w:ascii="宋体" w:hAnsi="宋体" w:cs="宋体" w:eastAsia="宋体" w:hint="default"/>
                <w:sz w:val="18"/>
                <w:szCs w:val="18"/>
              </w:rPr>
            </w:pPr>
            <w:r>
              <w:rPr>
                <w:rFonts w:ascii="宋体" w:hAnsi="宋体" w:cs="宋体" w:eastAsia="宋体" w:hint="default"/>
                <w:sz w:val="18"/>
                <w:szCs w:val="18"/>
              </w:rPr>
              <w:t>关联交 易价格</w:t>
            </w:r>
          </w:p>
        </w:tc>
        <w:tc>
          <w:tcPr>
            <w:tcW w:w="78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6" w:right="23"/>
              <w:jc w:val="center"/>
              <w:rPr>
                <w:rFonts w:ascii="宋体" w:hAnsi="宋体" w:cs="宋体" w:eastAsia="宋体" w:hint="default"/>
                <w:sz w:val="18"/>
                <w:szCs w:val="18"/>
              </w:rPr>
            </w:pPr>
            <w:r>
              <w:rPr>
                <w:rFonts w:ascii="宋体" w:hAnsi="宋体" w:cs="宋体" w:eastAsia="宋体" w:hint="default"/>
                <w:sz w:val="18"/>
                <w:szCs w:val="18"/>
              </w:rPr>
              <w:t>关联交易 金额（万 元）</w:t>
            </w:r>
          </w:p>
        </w:tc>
        <w:tc>
          <w:tcPr>
            <w:tcW w:w="70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76" w:right="77"/>
              <w:jc w:val="center"/>
              <w:rPr>
                <w:rFonts w:ascii="宋体" w:hAnsi="宋体" w:cs="宋体" w:eastAsia="宋体" w:hint="default"/>
                <w:sz w:val="18"/>
                <w:szCs w:val="18"/>
              </w:rPr>
            </w:pPr>
            <w:r>
              <w:rPr>
                <w:rFonts w:ascii="宋体" w:hAnsi="宋体" w:cs="宋体" w:eastAsia="宋体" w:hint="default"/>
                <w:sz w:val="18"/>
                <w:szCs w:val="18"/>
              </w:rPr>
              <w:t>占同类 交易金 额的比 例</w:t>
            </w:r>
          </w:p>
        </w:tc>
        <w:tc>
          <w:tcPr>
            <w:tcW w:w="67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62" w:right="60"/>
              <w:jc w:val="both"/>
              <w:rPr>
                <w:rFonts w:ascii="宋体" w:hAnsi="宋体" w:cs="宋体" w:eastAsia="宋体" w:hint="default"/>
                <w:sz w:val="18"/>
                <w:szCs w:val="18"/>
              </w:rPr>
            </w:pPr>
            <w:r>
              <w:rPr>
                <w:rFonts w:ascii="宋体" w:hAnsi="宋体" w:cs="宋体" w:eastAsia="宋体" w:hint="default"/>
                <w:sz w:val="18"/>
                <w:szCs w:val="18"/>
              </w:rPr>
              <w:t>获批的 交易额 度（万 元）</w:t>
            </w:r>
          </w:p>
        </w:tc>
        <w:tc>
          <w:tcPr>
            <w:tcW w:w="70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76" w:right="77"/>
              <w:jc w:val="both"/>
              <w:rPr>
                <w:rFonts w:ascii="宋体" w:hAnsi="宋体" w:cs="宋体" w:eastAsia="宋体" w:hint="default"/>
                <w:sz w:val="18"/>
                <w:szCs w:val="18"/>
              </w:rPr>
            </w:pPr>
            <w:r>
              <w:rPr>
                <w:rFonts w:ascii="宋体" w:hAnsi="宋体" w:cs="宋体" w:eastAsia="宋体" w:hint="default"/>
                <w:sz w:val="18"/>
                <w:szCs w:val="18"/>
              </w:rPr>
              <w:t>是否超 过获批 额度</w:t>
            </w:r>
          </w:p>
        </w:tc>
        <w:tc>
          <w:tcPr>
            <w:tcW w:w="55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93" w:right="89"/>
              <w:jc w:val="both"/>
              <w:rPr>
                <w:rFonts w:ascii="宋体" w:hAnsi="宋体" w:cs="宋体" w:eastAsia="宋体" w:hint="default"/>
                <w:sz w:val="18"/>
                <w:szCs w:val="18"/>
              </w:rPr>
            </w:pPr>
            <w:r>
              <w:rPr>
                <w:rFonts w:ascii="宋体" w:hAnsi="宋体" w:cs="宋体" w:eastAsia="宋体" w:hint="default"/>
                <w:sz w:val="18"/>
                <w:szCs w:val="18"/>
              </w:rPr>
              <w:t>关联 交易 结算 方式</w:t>
            </w:r>
          </w:p>
        </w:tc>
        <w:tc>
          <w:tcPr>
            <w:tcW w:w="58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07" w:right="107"/>
              <w:jc w:val="both"/>
              <w:rPr>
                <w:rFonts w:ascii="宋体" w:hAnsi="宋体" w:cs="宋体" w:eastAsia="宋体" w:hint="default"/>
                <w:sz w:val="18"/>
                <w:szCs w:val="18"/>
              </w:rPr>
            </w:pPr>
            <w:r>
              <w:rPr>
                <w:rFonts w:ascii="宋体" w:hAnsi="宋体" w:cs="宋体" w:eastAsia="宋体" w:hint="default"/>
                <w:sz w:val="18"/>
                <w:szCs w:val="18"/>
              </w:rPr>
              <w:t>可获 得的 同类 交易 市价</w:t>
            </w:r>
          </w:p>
        </w:tc>
        <w:tc>
          <w:tcPr>
            <w:tcW w:w="64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27" w:right="47" w:hanging="180"/>
              <w:jc w:val="left"/>
              <w:rPr>
                <w:rFonts w:ascii="宋体" w:hAnsi="宋体" w:cs="宋体" w:eastAsia="宋体" w:hint="default"/>
                <w:sz w:val="18"/>
                <w:szCs w:val="18"/>
              </w:rPr>
            </w:pPr>
            <w:r>
              <w:rPr>
                <w:rFonts w:ascii="宋体" w:hAnsi="宋体" w:cs="宋体" w:eastAsia="宋体" w:hint="default"/>
                <w:sz w:val="18"/>
                <w:szCs w:val="18"/>
              </w:rPr>
              <w:t>披露日 期</w:t>
            </w:r>
          </w:p>
        </w:tc>
        <w:tc>
          <w:tcPr>
            <w:tcW w:w="1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72"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1339" w:hRule="exact"/>
        </w:trPr>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0"/>
              <w:jc w:val="both"/>
              <w:rPr>
                <w:rFonts w:ascii="宋体" w:hAnsi="宋体" w:cs="宋体" w:eastAsia="宋体" w:hint="default"/>
                <w:sz w:val="18"/>
                <w:szCs w:val="18"/>
              </w:rPr>
            </w:pPr>
            <w:r>
              <w:rPr>
                <w:rFonts w:ascii="宋体" w:hAnsi="宋体" w:cs="宋体" w:eastAsia="宋体" w:hint="default"/>
                <w:sz w:val="18"/>
                <w:szCs w:val="18"/>
              </w:rPr>
              <w:t>厦门服 云信息 科技有 限公司</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84"/>
              <w:jc w:val="left"/>
              <w:rPr>
                <w:rFonts w:ascii="宋体" w:hAnsi="宋体" w:cs="宋体" w:eastAsia="宋体" w:hint="default"/>
                <w:sz w:val="18"/>
                <w:szCs w:val="18"/>
              </w:rPr>
            </w:pPr>
            <w:r>
              <w:rPr>
                <w:rFonts w:ascii="宋体" w:hAnsi="宋体" w:cs="宋体" w:eastAsia="宋体" w:hint="default"/>
                <w:sz w:val="18"/>
                <w:szCs w:val="18"/>
              </w:rPr>
              <w:t>关联 法人</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09" w:lineRule="auto"/>
              <w:ind w:left="23" w:right="108"/>
              <w:jc w:val="both"/>
              <w:rPr>
                <w:rFonts w:ascii="宋体" w:hAnsi="宋体" w:cs="宋体" w:eastAsia="宋体" w:hint="default"/>
                <w:sz w:val="18"/>
                <w:szCs w:val="18"/>
              </w:rPr>
            </w:pPr>
            <w:r>
              <w:rPr>
                <w:rFonts w:ascii="宋体" w:hAnsi="宋体" w:cs="宋体" w:eastAsia="宋体" w:hint="default"/>
                <w:sz w:val="18"/>
                <w:szCs w:val="18"/>
              </w:rPr>
              <w:t>采购商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 劳务</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09" w:lineRule="auto"/>
              <w:ind w:left="24" w:right="108"/>
              <w:jc w:val="both"/>
              <w:rPr>
                <w:rFonts w:ascii="宋体" w:hAnsi="宋体" w:cs="宋体" w:eastAsia="宋体" w:hint="default"/>
                <w:sz w:val="18"/>
                <w:szCs w:val="18"/>
              </w:rPr>
            </w:pPr>
            <w:r>
              <w:rPr>
                <w:rFonts w:ascii="宋体" w:hAnsi="宋体" w:cs="宋体" w:eastAsia="宋体" w:hint="default"/>
                <w:sz w:val="18"/>
                <w:szCs w:val="18"/>
              </w:rPr>
              <w:t>采购商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 劳务</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131"/>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市场价</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549.54</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0.52%</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1,000</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158"/>
              <w:jc w:val="left"/>
              <w:rPr>
                <w:rFonts w:ascii="宋体" w:hAnsi="宋体" w:cs="宋体" w:eastAsia="宋体" w:hint="default"/>
                <w:sz w:val="18"/>
                <w:szCs w:val="18"/>
              </w:rPr>
            </w:pPr>
            <w:r>
              <w:rPr>
                <w:rFonts w:ascii="宋体" w:hAnsi="宋体" w:cs="宋体" w:eastAsia="宋体" w:hint="default"/>
                <w:sz w:val="18"/>
                <w:szCs w:val="18"/>
              </w:rPr>
              <w:t>定期 结算</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91"/>
              <w:ind w:left="23" w:right="28"/>
              <w:jc w:val="both"/>
              <w:rPr>
                <w:rFonts w:ascii="宋体" w:hAnsi="宋体" w:cs="宋体" w:eastAsia="宋体" w:hint="default"/>
                <w:sz w:val="18"/>
                <w:szCs w:val="18"/>
              </w:rPr>
            </w:pPr>
            <w:hyperlink r:id="rId21">
              <w:r>
                <w:rPr>
                  <w:rFonts w:ascii="Times New Roman" w:hAnsi="Times New Roman" w:cs="Times New Roman" w:eastAsia="Times New Roman" w:hint="default"/>
                  <w:spacing w:val="-2"/>
                  <w:sz w:val="18"/>
                  <w:szCs w:val="18"/>
                </w:rPr>
                <w:t>www.cninfo.c</w:t>
              </w:r>
            </w:hyperlink>
            <w:r>
              <w:rPr>
                <w:rFonts w:ascii="Times New Roman" w:hAnsi="Times New Roman" w:cs="Times New Roman" w:eastAsia="Times New Roman" w:hint="default"/>
                <w:spacing w:val="-37"/>
                <w:sz w:val="18"/>
                <w:szCs w:val="18"/>
              </w:rPr>
              <w:t> </w:t>
            </w:r>
            <w:r>
              <w:rPr>
                <w:rFonts w:ascii="Times New Roman" w:hAnsi="Times New Roman" w:cs="Times New Roman" w:eastAsia="Times New Roman" w:hint="default"/>
                <w:spacing w:val="-37"/>
                <w:sz w:val="18"/>
                <w:szCs w:val="18"/>
              </w:rPr>
            </w:r>
            <w:r>
              <w:rPr>
                <w:rFonts w:ascii="Times New Roman" w:hAnsi="Times New Roman" w:cs="Times New Roman" w:eastAsia="Times New Roman" w:hint="default"/>
                <w:sz w:val="18"/>
                <w:szCs w:val="18"/>
              </w:rPr>
              <w:t>om.cn</w:t>
            </w:r>
            <w:r>
              <w:rPr>
                <w:rFonts w:ascii="宋体" w:hAnsi="宋体" w:cs="宋体" w:eastAsia="宋体" w:hint="default"/>
                <w:sz w:val="18"/>
                <w:szCs w:val="18"/>
              </w:rPr>
              <w:t>，公告 编号：</w:t>
            </w:r>
          </w:p>
          <w:p>
            <w:pPr>
              <w:pStyle w:val="TableParagraph"/>
              <w:spacing w:line="240" w:lineRule="auto" w:before="68"/>
              <w:ind w:left="23" w:right="0"/>
              <w:jc w:val="both"/>
              <w:rPr>
                <w:rFonts w:ascii="Times New Roman" w:hAnsi="Times New Roman" w:cs="Times New Roman" w:eastAsia="Times New Roman" w:hint="default"/>
                <w:sz w:val="18"/>
                <w:szCs w:val="18"/>
              </w:rPr>
            </w:pPr>
            <w:r>
              <w:rPr>
                <w:rFonts w:ascii="Times New Roman"/>
                <w:sz w:val="18"/>
              </w:rPr>
              <w:t>2019-19</w:t>
            </w:r>
          </w:p>
        </w:tc>
      </w:tr>
      <w:tr>
        <w:trPr>
          <w:trHeight w:val="1649" w:hRule="exact"/>
        </w:trPr>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0"/>
              <w:jc w:val="both"/>
              <w:rPr>
                <w:rFonts w:ascii="宋体" w:hAnsi="宋体" w:cs="宋体" w:eastAsia="宋体" w:hint="default"/>
                <w:sz w:val="18"/>
                <w:szCs w:val="18"/>
              </w:rPr>
            </w:pPr>
            <w:r>
              <w:rPr>
                <w:rFonts w:ascii="宋体" w:hAnsi="宋体" w:cs="宋体" w:eastAsia="宋体" w:hint="default"/>
                <w:sz w:val="18"/>
                <w:szCs w:val="18"/>
              </w:rPr>
              <w:t>厦门市 巨龙信 息科技 有限公 司</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3" w:right="84"/>
              <w:jc w:val="left"/>
              <w:rPr>
                <w:rFonts w:ascii="宋体" w:hAnsi="宋体" w:cs="宋体" w:eastAsia="宋体" w:hint="default"/>
                <w:sz w:val="18"/>
                <w:szCs w:val="18"/>
              </w:rPr>
            </w:pPr>
            <w:r>
              <w:rPr>
                <w:rFonts w:ascii="宋体" w:hAnsi="宋体" w:cs="宋体" w:eastAsia="宋体" w:hint="default"/>
                <w:sz w:val="18"/>
                <w:szCs w:val="18"/>
              </w:rPr>
              <w:t>关联 法人</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9" w:lineRule="auto" w:before="125"/>
              <w:ind w:left="23" w:right="108"/>
              <w:jc w:val="both"/>
              <w:rPr>
                <w:rFonts w:ascii="宋体" w:hAnsi="宋体" w:cs="宋体" w:eastAsia="宋体" w:hint="default"/>
                <w:sz w:val="18"/>
                <w:szCs w:val="18"/>
              </w:rPr>
            </w:pPr>
            <w:r>
              <w:rPr>
                <w:rFonts w:ascii="宋体" w:hAnsi="宋体" w:cs="宋体" w:eastAsia="宋体" w:hint="default"/>
                <w:sz w:val="18"/>
                <w:szCs w:val="18"/>
              </w:rPr>
              <w:t>采购商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 劳务</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9" w:lineRule="auto" w:before="125"/>
              <w:ind w:left="24" w:right="108"/>
              <w:jc w:val="both"/>
              <w:rPr>
                <w:rFonts w:ascii="宋体" w:hAnsi="宋体" w:cs="宋体" w:eastAsia="宋体" w:hint="default"/>
                <w:sz w:val="18"/>
                <w:szCs w:val="18"/>
              </w:rPr>
            </w:pPr>
            <w:r>
              <w:rPr>
                <w:rFonts w:ascii="宋体" w:hAnsi="宋体" w:cs="宋体" w:eastAsia="宋体" w:hint="default"/>
                <w:sz w:val="18"/>
                <w:szCs w:val="18"/>
              </w:rPr>
              <w:t>采购商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 劳务</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3" w:right="131"/>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市场价</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328.3</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0.32%</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5,000</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3" w:right="158"/>
              <w:jc w:val="left"/>
              <w:rPr>
                <w:rFonts w:ascii="宋体" w:hAnsi="宋体" w:cs="宋体" w:eastAsia="宋体" w:hint="default"/>
                <w:sz w:val="18"/>
                <w:szCs w:val="18"/>
              </w:rPr>
            </w:pPr>
            <w:r>
              <w:rPr>
                <w:rFonts w:ascii="宋体" w:hAnsi="宋体" w:cs="宋体" w:eastAsia="宋体" w:hint="default"/>
                <w:sz w:val="18"/>
                <w:szCs w:val="18"/>
              </w:rPr>
              <w:t>定期 结算</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307" w:lineRule="auto"/>
              <w:ind w:left="23" w:right="28"/>
              <w:jc w:val="both"/>
              <w:rPr>
                <w:rFonts w:ascii="宋体" w:hAnsi="宋体" w:cs="宋体" w:eastAsia="宋体" w:hint="default"/>
                <w:sz w:val="18"/>
                <w:szCs w:val="18"/>
              </w:rPr>
            </w:pPr>
            <w:hyperlink r:id="rId21">
              <w:r>
                <w:rPr>
                  <w:rFonts w:ascii="Times New Roman" w:hAnsi="Times New Roman" w:cs="Times New Roman" w:eastAsia="Times New Roman" w:hint="default"/>
                  <w:spacing w:val="-2"/>
                  <w:sz w:val="18"/>
                  <w:szCs w:val="18"/>
                </w:rPr>
                <w:t>www.cninfo.c</w:t>
              </w:r>
            </w:hyperlink>
            <w:r>
              <w:rPr>
                <w:rFonts w:ascii="Times New Roman" w:hAnsi="Times New Roman" w:cs="Times New Roman" w:eastAsia="Times New Roman" w:hint="default"/>
                <w:spacing w:val="-37"/>
                <w:sz w:val="18"/>
                <w:szCs w:val="18"/>
              </w:rPr>
              <w:t> </w:t>
            </w:r>
            <w:r>
              <w:rPr>
                <w:rFonts w:ascii="Times New Roman" w:hAnsi="Times New Roman" w:cs="Times New Roman" w:eastAsia="Times New Roman" w:hint="default"/>
                <w:spacing w:val="-37"/>
                <w:sz w:val="18"/>
                <w:szCs w:val="18"/>
              </w:rPr>
            </w:r>
            <w:r>
              <w:rPr>
                <w:rFonts w:ascii="Times New Roman" w:hAnsi="Times New Roman" w:cs="Times New Roman" w:eastAsia="Times New Roman" w:hint="default"/>
                <w:sz w:val="18"/>
                <w:szCs w:val="18"/>
              </w:rPr>
              <w:t>om.cn</w:t>
            </w:r>
            <w:r>
              <w:rPr>
                <w:rFonts w:ascii="宋体" w:hAnsi="宋体" w:cs="宋体" w:eastAsia="宋体" w:hint="default"/>
                <w:sz w:val="18"/>
                <w:szCs w:val="18"/>
              </w:rPr>
              <w:t>，公告 编号：</w:t>
            </w:r>
          </w:p>
          <w:p>
            <w:pPr>
              <w:pStyle w:val="TableParagraph"/>
              <w:spacing w:line="240" w:lineRule="auto" w:before="68"/>
              <w:ind w:left="23" w:right="0"/>
              <w:jc w:val="both"/>
              <w:rPr>
                <w:rFonts w:ascii="Times New Roman" w:hAnsi="Times New Roman" w:cs="Times New Roman" w:eastAsia="Times New Roman" w:hint="default"/>
                <w:sz w:val="18"/>
                <w:szCs w:val="18"/>
              </w:rPr>
            </w:pPr>
            <w:r>
              <w:rPr>
                <w:rFonts w:ascii="Times New Roman"/>
                <w:sz w:val="18"/>
              </w:rPr>
              <w:t>2019-19</w:t>
            </w:r>
          </w:p>
        </w:tc>
      </w:tr>
      <w:tr>
        <w:trPr>
          <w:trHeight w:val="1339" w:hRule="exact"/>
        </w:trPr>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3"/>
              <w:jc w:val="left"/>
              <w:rPr>
                <w:rFonts w:ascii="宋体" w:hAnsi="宋体" w:cs="宋体" w:eastAsia="宋体" w:hint="default"/>
                <w:sz w:val="18"/>
                <w:szCs w:val="18"/>
              </w:rPr>
            </w:pPr>
            <w:r>
              <w:rPr>
                <w:rFonts w:ascii="宋体" w:hAnsi="宋体" w:cs="宋体" w:eastAsia="宋体" w:hint="default"/>
                <w:spacing w:val="-21"/>
                <w:sz w:val="18"/>
                <w:szCs w:val="18"/>
              </w:rPr>
              <w:t>柏科（常</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21"/>
                <w:sz w:val="18"/>
                <w:szCs w:val="18"/>
              </w:rPr>
              <w:t>熟）电机</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有限公 司</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84"/>
              <w:jc w:val="left"/>
              <w:rPr>
                <w:rFonts w:ascii="宋体" w:hAnsi="宋体" w:cs="宋体" w:eastAsia="宋体" w:hint="default"/>
                <w:sz w:val="18"/>
                <w:szCs w:val="18"/>
              </w:rPr>
            </w:pPr>
            <w:r>
              <w:rPr>
                <w:rFonts w:ascii="宋体" w:hAnsi="宋体" w:cs="宋体" w:eastAsia="宋体" w:hint="default"/>
                <w:sz w:val="18"/>
                <w:szCs w:val="18"/>
              </w:rPr>
              <w:t>关联 法人</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09" w:lineRule="auto"/>
              <w:ind w:left="23" w:right="108"/>
              <w:jc w:val="both"/>
              <w:rPr>
                <w:rFonts w:ascii="宋体" w:hAnsi="宋体" w:cs="宋体" w:eastAsia="宋体" w:hint="default"/>
                <w:sz w:val="18"/>
                <w:szCs w:val="18"/>
              </w:rPr>
            </w:pPr>
            <w:r>
              <w:rPr>
                <w:rFonts w:ascii="宋体" w:hAnsi="宋体" w:cs="宋体" w:eastAsia="宋体" w:hint="default"/>
                <w:sz w:val="18"/>
                <w:szCs w:val="18"/>
              </w:rPr>
              <w:t>采购商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 劳务</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09" w:lineRule="auto"/>
              <w:ind w:left="24" w:right="108"/>
              <w:jc w:val="both"/>
              <w:rPr>
                <w:rFonts w:ascii="宋体" w:hAnsi="宋体" w:cs="宋体" w:eastAsia="宋体" w:hint="default"/>
                <w:sz w:val="18"/>
                <w:szCs w:val="18"/>
              </w:rPr>
            </w:pPr>
            <w:r>
              <w:rPr>
                <w:rFonts w:ascii="宋体" w:hAnsi="宋体" w:cs="宋体" w:eastAsia="宋体" w:hint="default"/>
                <w:sz w:val="18"/>
                <w:szCs w:val="18"/>
              </w:rPr>
              <w:t>采购商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 劳务</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131"/>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市场价</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1,672.34</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1.61%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2,000</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158"/>
              <w:jc w:val="left"/>
              <w:rPr>
                <w:rFonts w:ascii="宋体" w:hAnsi="宋体" w:cs="宋体" w:eastAsia="宋体" w:hint="default"/>
                <w:sz w:val="18"/>
                <w:szCs w:val="18"/>
              </w:rPr>
            </w:pPr>
            <w:r>
              <w:rPr>
                <w:rFonts w:ascii="宋体" w:hAnsi="宋体" w:cs="宋体" w:eastAsia="宋体" w:hint="default"/>
                <w:sz w:val="18"/>
                <w:szCs w:val="18"/>
              </w:rPr>
              <w:t>定期 结算</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28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91"/>
              <w:ind w:left="23" w:right="28"/>
              <w:jc w:val="both"/>
              <w:rPr>
                <w:rFonts w:ascii="宋体" w:hAnsi="宋体" w:cs="宋体" w:eastAsia="宋体" w:hint="default"/>
                <w:sz w:val="18"/>
                <w:szCs w:val="18"/>
              </w:rPr>
            </w:pPr>
            <w:hyperlink r:id="rId21">
              <w:r>
                <w:rPr>
                  <w:rFonts w:ascii="Times New Roman" w:hAnsi="Times New Roman" w:cs="Times New Roman" w:eastAsia="Times New Roman" w:hint="default"/>
                  <w:spacing w:val="-2"/>
                  <w:sz w:val="18"/>
                  <w:szCs w:val="18"/>
                </w:rPr>
                <w:t>www.cninfo.c</w:t>
              </w:r>
            </w:hyperlink>
            <w:r>
              <w:rPr>
                <w:rFonts w:ascii="Times New Roman" w:hAnsi="Times New Roman" w:cs="Times New Roman" w:eastAsia="Times New Roman" w:hint="default"/>
                <w:spacing w:val="-37"/>
                <w:sz w:val="18"/>
                <w:szCs w:val="18"/>
              </w:rPr>
              <w:t> </w:t>
            </w:r>
            <w:r>
              <w:rPr>
                <w:rFonts w:ascii="Times New Roman" w:hAnsi="Times New Roman" w:cs="Times New Roman" w:eastAsia="Times New Roman" w:hint="default"/>
                <w:spacing w:val="-37"/>
                <w:sz w:val="18"/>
                <w:szCs w:val="18"/>
              </w:rPr>
            </w:r>
            <w:r>
              <w:rPr>
                <w:rFonts w:ascii="Times New Roman" w:hAnsi="Times New Roman" w:cs="Times New Roman" w:eastAsia="Times New Roman" w:hint="default"/>
                <w:sz w:val="18"/>
                <w:szCs w:val="18"/>
              </w:rPr>
              <w:t>om.cn</w:t>
            </w:r>
            <w:r>
              <w:rPr>
                <w:rFonts w:ascii="宋体" w:hAnsi="宋体" w:cs="宋体" w:eastAsia="宋体" w:hint="default"/>
                <w:sz w:val="18"/>
                <w:szCs w:val="18"/>
              </w:rPr>
              <w:t>，公告 编号：</w:t>
            </w:r>
          </w:p>
          <w:p>
            <w:pPr>
              <w:pStyle w:val="TableParagraph"/>
              <w:spacing w:line="240" w:lineRule="auto" w:before="68"/>
              <w:ind w:left="23" w:right="0"/>
              <w:jc w:val="both"/>
              <w:rPr>
                <w:rFonts w:ascii="Times New Roman" w:hAnsi="Times New Roman" w:cs="Times New Roman" w:eastAsia="Times New Roman" w:hint="default"/>
                <w:sz w:val="18"/>
                <w:szCs w:val="18"/>
              </w:rPr>
            </w:pPr>
            <w:r>
              <w:rPr>
                <w:rFonts w:ascii="Times New Roman"/>
                <w:sz w:val="18"/>
              </w:rPr>
              <w:t>2019-100</w:t>
            </w:r>
          </w:p>
        </w:tc>
      </w:tr>
      <w:tr>
        <w:trPr>
          <w:trHeight w:val="1649" w:hRule="exact"/>
        </w:trPr>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3"/>
              <w:jc w:val="left"/>
              <w:rPr>
                <w:rFonts w:ascii="宋体" w:hAnsi="宋体" w:cs="宋体" w:eastAsia="宋体" w:hint="default"/>
                <w:sz w:val="18"/>
                <w:szCs w:val="18"/>
              </w:rPr>
            </w:pPr>
            <w:r>
              <w:rPr>
                <w:rFonts w:ascii="宋体" w:hAnsi="宋体" w:cs="宋体" w:eastAsia="宋体" w:hint="default"/>
                <w:sz w:val="18"/>
                <w:szCs w:val="18"/>
              </w:rPr>
              <w:t>柏科智 能（厦 </w:t>
            </w:r>
            <w:r>
              <w:rPr>
                <w:rFonts w:ascii="宋体" w:hAnsi="宋体" w:cs="宋体" w:eastAsia="宋体" w:hint="default"/>
                <w:spacing w:val="-21"/>
                <w:sz w:val="18"/>
                <w:szCs w:val="18"/>
              </w:rPr>
              <w:t>门）科技</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有限公 司</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3" w:right="84"/>
              <w:jc w:val="left"/>
              <w:rPr>
                <w:rFonts w:ascii="宋体" w:hAnsi="宋体" w:cs="宋体" w:eastAsia="宋体" w:hint="default"/>
                <w:sz w:val="18"/>
                <w:szCs w:val="18"/>
              </w:rPr>
            </w:pPr>
            <w:r>
              <w:rPr>
                <w:rFonts w:ascii="宋体" w:hAnsi="宋体" w:cs="宋体" w:eastAsia="宋体" w:hint="default"/>
                <w:sz w:val="18"/>
                <w:szCs w:val="18"/>
              </w:rPr>
              <w:t>关联 法人</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9" w:lineRule="auto" w:before="125"/>
              <w:ind w:left="23" w:right="108"/>
              <w:jc w:val="both"/>
              <w:rPr>
                <w:rFonts w:ascii="宋体" w:hAnsi="宋体" w:cs="宋体" w:eastAsia="宋体" w:hint="default"/>
                <w:sz w:val="18"/>
                <w:szCs w:val="18"/>
              </w:rPr>
            </w:pPr>
            <w:r>
              <w:rPr>
                <w:rFonts w:ascii="宋体" w:hAnsi="宋体" w:cs="宋体" w:eastAsia="宋体" w:hint="default"/>
                <w:sz w:val="18"/>
                <w:szCs w:val="18"/>
              </w:rPr>
              <w:t>采购商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 劳务</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9" w:lineRule="auto" w:before="125"/>
              <w:ind w:left="24" w:right="108"/>
              <w:jc w:val="both"/>
              <w:rPr>
                <w:rFonts w:ascii="宋体" w:hAnsi="宋体" w:cs="宋体" w:eastAsia="宋体" w:hint="default"/>
                <w:sz w:val="18"/>
                <w:szCs w:val="18"/>
              </w:rPr>
            </w:pPr>
            <w:r>
              <w:rPr>
                <w:rFonts w:ascii="宋体" w:hAnsi="宋体" w:cs="宋体" w:eastAsia="宋体" w:hint="default"/>
                <w:sz w:val="18"/>
                <w:szCs w:val="18"/>
              </w:rPr>
              <w:t>采购商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 劳务</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3" w:right="131"/>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市场价</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381.9</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0.37%</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400</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3" w:right="158"/>
              <w:jc w:val="left"/>
              <w:rPr>
                <w:rFonts w:ascii="宋体" w:hAnsi="宋体" w:cs="宋体" w:eastAsia="宋体" w:hint="default"/>
                <w:sz w:val="18"/>
                <w:szCs w:val="18"/>
              </w:rPr>
            </w:pPr>
            <w:r>
              <w:rPr>
                <w:rFonts w:ascii="宋体" w:hAnsi="宋体" w:cs="宋体" w:eastAsia="宋体" w:hint="default"/>
                <w:sz w:val="18"/>
                <w:szCs w:val="18"/>
              </w:rPr>
              <w:t>定期 结算</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307" w:lineRule="auto"/>
              <w:ind w:left="23" w:right="28"/>
              <w:jc w:val="both"/>
              <w:rPr>
                <w:rFonts w:ascii="宋体" w:hAnsi="宋体" w:cs="宋体" w:eastAsia="宋体" w:hint="default"/>
                <w:sz w:val="18"/>
                <w:szCs w:val="18"/>
              </w:rPr>
            </w:pPr>
            <w:hyperlink r:id="rId21">
              <w:r>
                <w:rPr>
                  <w:rFonts w:ascii="Times New Roman" w:hAnsi="Times New Roman" w:cs="Times New Roman" w:eastAsia="Times New Roman" w:hint="default"/>
                  <w:spacing w:val="-2"/>
                  <w:sz w:val="18"/>
                  <w:szCs w:val="18"/>
                </w:rPr>
                <w:t>www.cninfo.c</w:t>
              </w:r>
            </w:hyperlink>
            <w:r>
              <w:rPr>
                <w:rFonts w:ascii="Times New Roman" w:hAnsi="Times New Roman" w:cs="Times New Roman" w:eastAsia="Times New Roman" w:hint="default"/>
                <w:spacing w:val="-37"/>
                <w:sz w:val="18"/>
                <w:szCs w:val="18"/>
              </w:rPr>
              <w:t> </w:t>
            </w:r>
            <w:r>
              <w:rPr>
                <w:rFonts w:ascii="Times New Roman" w:hAnsi="Times New Roman" w:cs="Times New Roman" w:eastAsia="Times New Roman" w:hint="default"/>
                <w:spacing w:val="-37"/>
                <w:sz w:val="18"/>
                <w:szCs w:val="18"/>
              </w:rPr>
            </w:r>
            <w:r>
              <w:rPr>
                <w:rFonts w:ascii="Times New Roman" w:hAnsi="Times New Roman" w:cs="Times New Roman" w:eastAsia="Times New Roman" w:hint="default"/>
                <w:sz w:val="18"/>
                <w:szCs w:val="18"/>
              </w:rPr>
              <w:t>om.cn</w:t>
            </w:r>
            <w:r>
              <w:rPr>
                <w:rFonts w:ascii="宋体" w:hAnsi="宋体" w:cs="宋体" w:eastAsia="宋体" w:hint="default"/>
                <w:sz w:val="18"/>
                <w:szCs w:val="18"/>
              </w:rPr>
              <w:t>，公告 编号：</w:t>
            </w:r>
          </w:p>
          <w:p>
            <w:pPr>
              <w:pStyle w:val="TableParagraph"/>
              <w:spacing w:line="240" w:lineRule="auto" w:before="68"/>
              <w:ind w:left="23" w:right="0"/>
              <w:jc w:val="both"/>
              <w:rPr>
                <w:rFonts w:ascii="Times New Roman" w:hAnsi="Times New Roman" w:cs="Times New Roman" w:eastAsia="Times New Roman" w:hint="default"/>
                <w:sz w:val="18"/>
                <w:szCs w:val="18"/>
              </w:rPr>
            </w:pPr>
            <w:r>
              <w:rPr>
                <w:rFonts w:ascii="Times New Roman"/>
                <w:sz w:val="18"/>
              </w:rPr>
              <w:t>2019-19</w:t>
            </w:r>
          </w:p>
        </w:tc>
      </w:tr>
      <w:tr>
        <w:trPr>
          <w:trHeight w:val="1651" w:hRule="exact"/>
        </w:trPr>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0"/>
              <w:jc w:val="both"/>
              <w:rPr>
                <w:rFonts w:ascii="宋体" w:hAnsi="宋体" w:cs="宋体" w:eastAsia="宋体" w:hint="default"/>
                <w:sz w:val="18"/>
                <w:szCs w:val="18"/>
              </w:rPr>
            </w:pPr>
            <w:r>
              <w:rPr>
                <w:rFonts w:ascii="宋体" w:hAnsi="宋体" w:cs="宋体" w:eastAsia="宋体" w:hint="default"/>
                <w:sz w:val="18"/>
                <w:szCs w:val="18"/>
              </w:rPr>
              <w:t>北京万 方智讯 信息技 术有限 公司</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3" w:right="84"/>
              <w:jc w:val="left"/>
              <w:rPr>
                <w:rFonts w:ascii="宋体" w:hAnsi="宋体" w:cs="宋体" w:eastAsia="宋体" w:hint="default"/>
                <w:sz w:val="18"/>
                <w:szCs w:val="18"/>
              </w:rPr>
            </w:pPr>
            <w:r>
              <w:rPr>
                <w:rFonts w:ascii="宋体" w:hAnsi="宋体" w:cs="宋体" w:eastAsia="宋体" w:hint="default"/>
                <w:sz w:val="18"/>
                <w:szCs w:val="18"/>
              </w:rPr>
              <w:t>关联 法人</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9" w:lineRule="auto" w:before="125"/>
              <w:ind w:left="23" w:right="108"/>
              <w:jc w:val="both"/>
              <w:rPr>
                <w:rFonts w:ascii="宋体" w:hAnsi="宋体" w:cs="宋体" w:eastAsia="宋体" w:hint="default"/>
                <w:sz w:val="18"/>
                <w:szCs w:val="18"/>
              </w:rPr>
            </w:pPr>
            <w:r>
              <w:rPr>
                <w:rFonts w:ascii="宋体" w:hAnsi="宋体" w:cs="宋体" w:eastAsia="宋体" w:hint="default"/>
                <w:sz w:val="18"/>
                <w:szCs w:val="18"/>
              </w:rPr>
              <w:t>采购商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 劳务</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9" w:lineRule="auto" w:before="125"/>
              <w:ind w:left="24" w:right="108"/>
              <w:jc w:val="both"/>
              <w:rPr>
                <w:rFonts w:ascii="宋体" w:hAnsi="宋体" w:cs="宋体" w:eastAsia="宋体" w:hint="default"/>
                <w:sz w:val="18"/>
                <w:szCs w:val="18"/>
              </w:rPr>
            </w:pPr>
            <w:r>
              <w:rPr>
                <w:rFonts w:ascii="宋体" w:hAnsi="宋体" w:cs="宋体" w:eastAsia="宋体" w:hint="default"/>
                <w:sz w:val="18"/>
                <w:szCs w:val="18"/>
              </w:rPr>
              <w:t>采购商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 劳务</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3" w:right="131"/>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市场价</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8.91</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8.91</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3" w:right="158"/>
              <w:jc w:val="left"/>
              <w:rPr>
                <w:rFonts w:ascii="宋体" w:hAnsi="宋体" w:cs="宋体" w:eastAsia="宋体" w:hint="default"/>
                <w:sz w:val="18"/>
                <w:szCs w:val="18"/>
              </w:rPr>
            </w:pPr>
            <w:r>
              <w:rPr>
                <w:rFonts w:ascii="宋体" w:hAnsi="宋体" w:cs="宋体" w:eastAsia="宋体" w:hint="default"/>
                <w:sz w:val="18"/>
                <w:szCs w:val="18"/>
              </w:rPr>
              <w:t>定期 结算</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r>
      <w:tr>
        <w:trPr>
          <w:trHeight w:val="1649" w:hRule="exact"/>
        </w:trPr>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3"/>
              <w:jc w:val="left"/>
              <w:rPr>
                <w:rFonts w:ascii="宋体" w:hAnsi="宋体" w:cs="宋体" w:eastAsia="宋体" w:hint="default"/>
                <w:sz w:val="18"/>
                <w:szCs w:val="18"/>
              </w:rPr>
            </w:pPr>
            <w:r>
              <w:rPr>
                <w:rFonts w:ascii="宋体" w:hAnsi="宋体" w:cs="宋体" w:eastAsia="宋体" w:hint="default"/>
                <w:sz w:val="18"/>
                <w:szCs w:val="18"/>
              </w:rPr>
              <w:t>中检美 亚（北 </w:t>
            </w:r>
            <w:r>
              <w:rPr>
                <w:rFonts w:ascii="宋体" w:hAnsi="宋体" w:cs="宋体" w:eastAsia="宋体" w:hint="default"/>
                <w:spacing w:val="-21"/>
                <w:sz w:val="18"/>
                <w:szCs w:val="18"/>
              </w:rPr>
              <w:t>京）科技</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有限公 司</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3" w:right="84"/>
              <w:jc w:val="left"/>
              <w:rPr>
                <w:rFonts w:ascii="宋体" w:hAnsi="宋体" w:cs="宋体" w:eastAsia="宋体" w:hint="default"/>
                <w:sz w:val="18"/>
                <w:szCs w:val="18"/>
              </w:rPr>
            </w:pPr>
            <w:r>
              <w:rPr>
                <w:rFonts w:ascii="宋体" w:hAnsi="宋体" w:cs="宋体" w:eastAsia="宋体" w:hint="default"/>
                <w:sz w:val="18"/>
                <w:szCs w:val="18"/>
              </w:rPr>
              <w:t>关联 法人</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9" w:lineRule="auto" w:before="125"/>
              <w:ind w:left="23" w:right="108"/>
              <w:jc w:val="both"/>
              <w:rPr>
                <w:rFonts w:ascii="宋体" w:hAnsi="宋体" w:cs="宋体" w:eastAsia="宋体" w:hint="default"/>
                <w:sz w:val="18"/>
                <w:szCs w:val="18"/>
              </w:rPr>
            </w:pPr>
            <w:r>
              <w:rPr>
                <w:rFonts w:ascii="宋体" w:hAnsi="宋体" w:cs="宋体" w:eastAsia="宋体" w:hint="default"/>
                <w:sz w:val="18"/>
                <w:szCs w:val="18"/>
              </w:rPr>
              <w:t>采购商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 劳务</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9" w:lineRule="auto" w:before="125"/>
              <w:ind w:left="24" w:right="108"/>
              <w:jc w:val="both"/>
              <w:rPr>
                <w:rFonts w:ascii="宋体" w:hAnsi="宋体" w:cs="宋体" w:eastAsia="宋体" w:hint="default"/>
                <w:sz w:val="18"/>
                <w:szCs w:val="18"/>
              </w:rPr>
            </w:pPr>
            <w:r>
              <w:rPr>
                <w:rFonts w:ascii="宋体" w:hAnsi="宋体" w:cs="宋体" w:eastAsia="宋体" w:hint="default"/>
                <w:sz w:val="18"/>
                <w:szCs w:val="18"/>
              </w:rPr>
              <w:t>采购商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 劳务</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3" w:right="131"/>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市场价</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809.19</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0.78%</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809.19</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3" w:right="158"/>
              <w:jc w:val="left"/>
              <w:rPr>
                <w:rFonts w:ascii="宋体" w:hAnsi="宋体" w:cs="宋体" w:eastAsia="宋体" w:hint="default"/>
                <w:sz w:val="18"/>
                <w:szCs w:val="18"/>
              </w:rPr>
            </w:pPr>
            <w:r>
              <w:rPr>
                <w:rFonts w:ascii="宋体" w:hAnsi="宋体" w:cs="宋体" w:eastAsia="宋体" w:hint="default"/>
                <w:sz w:val="18"/>
                <w:szCs w:val="18"/>
              </w:rPr>
              <w:t>定期 结算</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0"/>
              <w:jc w:val="both"/>
              <w:rPr>
                <w:rFonts w:ascii="宋体" w:hAnsi="宋体" w:cs="宋体" w:eastAsia="宋体" w:hint="default"/>
                <w:sz w:val="18"/>
                <w:szCs w:val="18"/>
              </w:rPr>
            </w:pPr>
            <w:r>
              <w:rPr>
                <w:rFonts w:ascii="宋体" w:hAnsi="宋体" w:cs="宋体" w:eastAsia="宋体" w:hint="default"/>
                <w:sz w:val="18"/>
                <w:szCs w:val="18"/>
              </w:rPr>
              <w:t>福建宏 创科技 信息有 限公司</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84"/>
              <w:jc w:val="left"/>
              <w:rPr>
                <w:rFonts w:ascii="宋体" w:hAnsi="宋体" w:cs="宋体" w:eastAsia="宋体" w:hint="default"/>
                <w:sz w:val="18"/>
                <w:szCs w:val="18"/>
              </w:rPr>
            </w:pPr>
            <w:r>
              <w:rPr>
                <w:rFonts w:ascii="宋体" w:hAnsi="宋体" w:cs="宋体" w:eastAsia="宋体" w:hint="default"/>
                <w:sz w:val="18"/>
                <w:szCs w:val="18"/>
              </w:rPr>
              <w:t>关联 法人</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09" w:lineRule="auto"/>
              <w:ind w:left="23" w:right="108"/>
              <w:jc w:val="both"/>
              <w:rPr>
                <w:rFonts w:ascii="宋体" w:hAnsi="宋体" w:cs="宋体" w:eastAsia="宋体" w:hint="default"/>
                <w:sz w:val="18"/>
                <w:szCs w:val="18"/>
              </w:rPr>
            </w:pPr>
            <w:r>
              <w:rPr>
                <w:rFonts w:ascii="宋体" w:hAnsi="宋体" w:cs="宋体" w:eastAsia="宋体" w:hint="default"/>
                <w:sz w:val="18"/>
                <w:szCs w:val="18"/>
              </w:rPr>
              <w:t>采购商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 劳务</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09" w:lineRule="auto"/>
              <w:ind w:left="24" w:right="108"/>
              <w:jc w:val="both"/>
              <w:rPr>
                <w:rFonts w:ascii="宋体" w:hAnsi="宋体" w:cs="宋体" w:eastAsia="宋体" w:hint="default"/>
                <w:sz w:val="18"/>
                <w:szCs w:val="18"/>
              </w:rPr>
            </w:pPr>
            <w:r>
              <w:rPr>
                <w:rFonts w:ascii="宋体" w:hAnsi="宋体" w:cs="宋体" w:eastAsia="宋体" w:hint="default"/>
                <w:sz w:val="18"/>
                <w:szCs w:val="18"/>
              </w:rPr>
              <w:t>采购商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 劳务</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131"/>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市场价</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535.62</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0.52%</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1000</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158"/>
              <w:jc w:val="left"/>
              <w:rPr>
                <w:rFonts w:ascii="宋体" w:hAnsi="宋体" w:cs="宋体" w:eastAsia="宋体" w:hint="default"/>
                <w:sz w:val="18"/>
                <w:szCs w:val="18"/>
              </w:rPr>
            </w:pPr>
            <w:r>
              <w:rPr>
                <w:rFonts w:ascii="宋体" w:hAnsi="宋体" w:cs="宋体" w:eastAsia="宋体" w:hint="default"/>
                <w:sz w:val="18"/>
                <w:szCs w:val="18"/>
              </w:rPr>
              <w:t>定期 结算</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91"/>
              <w:ind w:left="23" w:right="28"/>
              <w:jc w:val="both"/>
              <w:rPr>
                <w:rFonts w:ascii="宋体" w:hAnsi="宋体" w:cs="宋体" w:eastAsia="宋体" w:hint="default"/>
                <w:sz w:val="18"/>
                <w:szCs w:val="18"/>
              </w:rPr>
            </w:pPr>
            <w:hyperlink r:id="rId21">
              <w:r>
                <w:rPr>
                  <w:rFonts w:ascii="Times New Roman" w:hAnsi="Times New Roman" w:cs="Times New Roman" w:eastAsia="Times New Roman" w:hint="default"/>
                  <w:spacing w:val="-2"/>
                  <w:sz w:val="18"/>
                  <w:szCs w:val="18"/>
                </w:rPr>
                <w:t>www.cninfo.c</w:t>
              </w:r>
            </w:hyperlink>
            <w:r>
              <w:rPr>
                <w:rFonts w:ascii="Times New Roman" w:hAnsi="Times New Roman" w:cs="Times New Roman" w:eastAsia="Times New Roman" w:hint="default"/>
                <w:spacing w:val="-37"/>
                <w:sz w:val="18"/>
                <w:szCs w:val="18"/>
              </w:rPr>
              <w:t> </w:t>
            </w:r>
            <w:r>
              <w:rPr>
                <w:rFonts w:ascii="Times New Roman" w:hAnsi="Times New Roman" w:cs="Times New Roman" w:eastAsia="Times New Roman" w:hint="default"/>
                <w:spacing w:val="-37"/>
                <w:sz w:val="18"/>
                <w:szCs w:val="18"/>
              </w:rPr>
            </w:r>
            <w:r>
              <w:rPr>
                <w:rFonts w:ascii="Times New Roman" w:hAnsi="Times New Roman" w:cs="Times New Roman" w:eastAsia="Times New Roman" w:hint="default"/>
                <w:sz w:val="18"/>
                <w:szCs w:val="18"/>
              </w:rPr>
              <w:t>om.cn</w:t>
            </w:r>
            <w:r>
              <w:rPr>
                <w:rFonts w:ascii="宋体" w:hAnsi="宋体" w:cs="宋体" w:eastAsia="宋体" w:hint="default"/>
                <w:sz w:val="18"/>
                <w:szCs w:val="18"/>
              </w:rPr>
              <w:t>，公告 编号：</w:t>
            </w:r>
          </w:p>
          <w:p>
            <w:pPr>
              <w:pStyle w:val="TableParagraph"/>
              <w:spacing w:line="240" w:lineRule="auto" w:before="68"/>
              <w:ind w:left="23" w:right="0"/>
              <w:jc w:val="both"/>
              <w:rPr>
                <w:rFonts w:ascii="Times New Roman" w:hAnsi="Times New Roman" w:cs="Times New Roman" w:eastAsia="Times New Roman" w:hint="default"/>
                <w:sz w:val="18"/>
                <w:szCs w:val="18"/>
              </w:rPr>
            </w:pPr>
            <w:r>
              <w:rPr>
                <w:rFonts w:ascii="Times New Roman"/>
                <w:sz w:val="18"/>
              </w:rPr>
              <w:t>2019-19</w:t>
            </w:r>
          </w:p>
        </w:tc>
      </w:tr>
    </w:tbl>
    <w:p>
      <w:pPr>
        <w:spacing w:after="0" w:line="240" w:lineRule="auto"/>
        <w:jc w:val="both"/>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696"/>
        <w:gridCol w:w="480"/>
        <w:gridCol w:w="734"/>
        <w:gridCol w:w="734"/>
        <w:gridCol w:w="526"/>
        <w:gridCol w:w="674"/>
        <w:gridCol w:w="780"/>
        <w:gridCol w:w="706"/>
        <w:gridCol w:w="674"/>
        <w:gridCol w:w="706"/>
        <w:gridCol w:w="554"/>
        <w:gridCol w:w="586"/>
        <w:gridCol w:w="646"/>
        <w:gridCol w:w="1073"/>
      </w:tblGrid>
      <w:tr>
        <w:trPr>
          <w:trHeight w:val="1337" w:hRule="exact"/>
        </w:trPr>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0"/>
              <w:jc w:val="both"/>
              <w:rPr>
                <w:rFonts w:ascii="宋体" w:hAnsi="宋体" w:cs="宋体" w:eastAsia="宋体" w:hint="default"/>
                <w:sz w:val="18"/>
                <w:szCs w:val="18"/>
              </w:rPr>
            </w:pPr>
            <w:r>
              <w:rPr>
                <w:rFonts w:ascii="宋体" w:hAnsi="宋体" w:cs="宋体" w:eastAsia="宋体" w:hint="default"/>
                <w:sz w:val="18"/>
                <w:szCs w:val="18"/>
              </w:rPr>
              <w:t>厦门服 云信息 科技有 限公司</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84"/>
              <w:jc w:val="left"/>
              <w:rPr>
                <w:rFonts w:ascii="宋体" w:hAnsi="宋体" w:cs="宋体" w:eastAsia="宋体" w:hint="default"/>
                <w:sz w:val="18"/>
                <w:szCs w:val="18"/>
              </w:rPr>
            </w:pPr>
            <w:r>
              <w:rPr>
                <w:rFonts w:ascii="宋体" w:hAnsi="宋体" w:cs="宋体" w:eastAsia="宋体" w:hint="default"/>
                <w:sz w:val="18"/>
                <w:szCs w:val="18"/>
              </w:rPr>
              <w:t>关联 法人</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09" w:lineRule="auto"/>
              <w:ind w:left="23"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09" w:lineRule="auto"/>
              <w:ind w:left="24"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131"/>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市场价</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6"/>
              <w:jc w:val="right"/>
              <w:rPr>
                <w:rFonts w:ascii="Times New Roman" w:hAnsi="Times New Roman" w:cs="Times New Roman" w:eastAsia="Times New Roman" w:hint="default"/>
                <w:sz w:val="18"/>
                <w:szCs w:val="18"/>
              </w:rPr>
            </w:pPr>
            <w:r>
              <w:rPr>
                <w:rFonts w:ascii="Times New Roman"/>
                <w:sz w:val="18"/>
              </w:rPr>
              <w:t>28.87</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z w:val="18"/>
              </w:rPr>
              <w:t>0.01%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7"/>
              <w:jc w:val="right"/>
              <w:rPr>
                <w:rFonts w:ascii="Times New Roman" w:hAnsi="Times New Roman" w:cs="Times New Roman" w:eastAsia="Times New Roman" w:hint="default"/>
                <w:sz w:val="18"/>
                <w:szCs w:val="18"/>
              </w:rPr>
            </w:pPr>
            <w:r>
              <w:rPr>
                <w:rFonts w:ascii="Times New Roman"/>
                <w:sz w:val="18"/>
              </w:rPr>
              <w:t>100</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158"/>
              <w:jc w:val="left"/>
              <w:rPr>
                <w:rFonts w:ascii="宋体" w:hAnsi="宋体" w:cs="宋体" w:eastAsia="宋体" w:hint="default"/>
                <w:sz w:val="18"/>
                <w:szCs w:val="18"/>
              </w:rPr>
            </w:pPr>
            <w:r>
              <w:rPr>
                <w:rFonts w:ascii="宋体" w:hAnsi="宋体" w:cs="宋体" w:eastAsia="宋体" w:hint="default"/>
                <w:sz w:val="18"/>
                <w:szCs w:val="18"/>
              </w:rPr>
              <w:t>定期 结算</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91"/>
              <w:ind w:left="23" w:right="28"/>
              <w:jc w:val="both"/>
              <w:rPr>
                <w:rFonts w:ascii="宋体" w:hAnsi="宋体" w:cs="宋体" w:eastAsia="宋体" w:hint="default"/>
                <w:sz w:val="18"/>
                <w:szCs w:val="18"/>
              </w:rPr>
            </w:pPr>
            <w:hyperlink r:id="rId21">
              <w:r>
                <w:rPr>
                  <w:rFonts w:ascii="Times New Roman" w:hAnsi="Times New Roman" w:cs="Times New Roman" w:eastAsia="Times New Roman" w:hint="default"/>
                  <w:spacing w:val="-2"/>
                  <w:sz w:val="18"/>
                  <w:szCs w:val="18"/>
                </w:rPr>
                <w:t>www.cninfo.c</w:t>
              </w:r>
            </w:hyperlink>
            <w:r>
              <w:rPr>
                <w:rFonts w:ascii="Times New Roman" w:hAnsi="Times New Roman" w:cs="Times New Roman" w:eastAsia="Times New Roman" w:hint="default"/>
                <w:spacing w:val="-37"/>
                <w:sz w:val="18"/>
                <w:szCs w:val="18"/>
              </w:rPr>
              <w:t> </w:t>
            </w:r>
            <w:r>
              <w:rPr>
                <w:rFonts w:ascii="Times New Roman" w:hAnsi="Times New Roman" w:cs="Times New Roman" w:eastAsia="Times New Roman" w:hint="default"/>
                <w:spacing w:val="-37"/>
                <w:sz w:val="18"/>
                <w:szCs w:val="18"/>
              </w:rPr>
            </w:r>
            <w:r>
              <w:rPr>
                <w:rFonts w:ascii="Times New Roman" w:hAnsi="Times New Roman" w:cs="Times New Roman" w:eastAsia="Times New Roman" w:hint="default"/>
                <w:sz w:val="18"/>
                <w:szCs w:val="18"/>
              </w:rPr>
              <w:t>om.cn</w:t>
            </w:r>
            <w:r>
              <w:rPr>
                <w:rFonts w:ascii="宋体" w:hAnsi="宋体" w:cs="宋体" w:eastAsia="宋体" w:hint="default"/>
                <w:sz w:val="18"/>
                <w:szCs w:val="18"/>
              </w:rPr>
              <w:t>，公告 编号：</w:t>
            </w:r>
          </w:p>
          <w:p>
            <w:pPr>
              <w:pStyle w:val="TableParagraph"/>
              <w:spacing w:line="240" w:lineRule="auto" w:before="68"/>
              <w:ind w:left="23" w:right="0"/>
              <w:jc w:val="both"/>
              <w:rPr>
                <w:rFonts w:ascii="Times New Roman" w:hAnsi="Times New Roman" w:cs="Times New Roman" w:eastAsia="Times New Roman" w:hint="default"/>
                <w:sz w:val="18"/>
                <w:szCs w:val="18"/>
              </w:rPr>
            </w:pPr>
            <w:r>
              <w:rPr>
                <w:rFonts w:ascii="Times New Roman"/>
                <w:sz w:val="18"/>
              </w:rPr>
              <w:t>2019-19</w:t>
            </w:r>
          </w:p>
        </w:tc>
      </w:tr>
      <w:tr>
        <w:trPr>
          <w:trHeight w:val="1339" w:hRule="exact"/>
        </w:trPr>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20"/>
              <w:jc w:val="both"/>
              <w:rPr>
                <w:rFonts w:ascii="宋体" w:hAnsi="宋体" w:cs="宋体" w:eastAsia="宋体" w:hint="default"/>
                <w:sz w:val="18"/>
                <w:szCs w:val="18"/>
              </w:rPr>
            </w:pPr>
            <w:r>
              <w:rPr>
                <w:rFonts w:ascii="宋体" w:hAnsi="宋体" w:cs="宋体" w:eastAsia="宋体" w:hint="default"/>
                <w:sz w:val="18"/>
                <w:szCs w:val="18"/>
              </w:rPr>
              <w:t>福建宏 创科技 信息有 限公司</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56"/>
              <w:ind w:left="23" w:right="84"/>
              <w:jc w:val="left"/>
              <w:rPr>
                <w:rFonts w:ascii="宋体" w:hAnsi="宋体" w:cs="宋体" w:eastAsia="宋体" w:hint="default"/>
                <w:sz w:val="18"/>
                <w:szCs w:val="18"/>
              </w:rPr>
            </w:pPr>
            <w:r>
              <w:rPr>
                <w:rFonts w:ascii="宋体" w:hAnsi="宋体" w:cs="宋体" w:eastAsia="宋体" w:hint="default"/>
                <w:sz w:val="18"/>
                <w:szCs w:val="18"/>
              </w:rPr>
              <w:t>关联 法人</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7" w:lineRule="auto"/>
              <w:ind w:left="23"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7" w:lineRule="auto"/>
              <w:ind w:left="24"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56"/>
              <w:ind w:left="23" w:right="131"/>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4" w:right="0"/>
              <w:jc w:val="left"/>
              <w:rPr>
                <w:rFonts w:ascii="宋体" w:hAnsi="宋体" w:cs="宋体" w:eastAsia="宋体" w:hint="default"/>
                <w:sz w:val="18"/>
                <w:szCs w:val="18"/>
              </w:rPr>
            </w:pPr>
            <w:r>
              <w:rPr>
                <w:rFonts w:ascii="宋体" w:hAnsi="宋体" w:cs="宋体" w:eastAsia="宋体" w:hint="default"/>
                <w:sz w:val="18"/>
                <w:szCs w:val="18"/>
              </w:rPr>
              <w:t>市场价</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9"/>
              <w:jc w:val="right"/>
              <w:rPr>
                <w:rFonts w:ascii="Times New Roman" w:hAnsi="Times New Roman" w:cs="Times New Roman" w:eastAsia="Times New Roman" w:hint="default"/>
                <w:sz w:val="18"/>
                <w:szCs w:val="18"/>
              </w:rPr>
            </w:pPr>
            <w:r>
              <w:rPr>
                <w:rFonts w:ascii="Times New Roman"/>
                <w:spacing w:val="-1"/>
                <w:sz w:val="18"/>
              </w:rPr>
              <w:t>474.47</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9"/>
              <w:jc w:val="right"/>
              <w:rPr>
                <w:rFonts w:ascii="Times New Roman" w:hAnsi="Times New Roman" w:cs="Times New Roman" w:eastAsia="Times New Roman" w:hint="default"/>
                <w:sz w:val="18"/>
                <w:szCs w:val="18"/>
              </w:rPr>
            </w:pPr>
            <w:r>
              <w:rPr>
                <w:rFonts w:ascii="Times New Roman"/>
                <w:sz w:val="18"/>
              </w:rPr>
              <w:t>0.23%</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7"/>
              <w:jc w:val="right"/>
              <w:rPr>
                <w:rFonts w:ascii="Times New Roman" w:hAnsi="Times New Roman" w:cs="Times New Roman" w:eastAsia="Times New Roman" w:hint="default"/>
                <w:sz w:val="18"/>
                <w:szCs w:val="18"/>
              </w:rPr>
            </w:pPr>
            <w:r>
              <w:rPr>
                <w:rFonts w:ascii="Times New Roman"/>
                <w:sz w:val="18"/>
              </w:rPr>
              <w:t>200</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56"/>
              <w:ind w:left="23" w:right="158"/>
              <w:jc w:val="left"/>
              <w:rPr>
                <w:rFonts w:ascii="宋体" w:hAnsi="宋体" w:cs="宋体" w:eastAsia="宋体" w:hint="default"/>
                <w:sz w:val="18"/>
                <w:szCs w:val="18"/>
              </w:rPr>
            </w:pPr>
            <w:r>
              <w:rPr>
                <w:rFonts w:ascii="宋体" w:hAnsi="宋体" w:cs="宋体" w:eastAsia="宋体" w:hint="default"/>
                <w:sz w:val="18"/>
                <w:szCs w:val="18"/>
              </w:rPr>
              <w:t>定期 结算</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left="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93"/>
              <w:ind w:left="23" w:right="28"/>
              <w:jc w:val="both"/>
              <w:rPr>
                <w:rFonts w:ascii="宋体" w:hAnsi="宋体" w:cs="宋体" w:eastAsia="宋体" w:hint="default"/>
                <w:sz w:val="18"/>
                <w:szCs w:val="18"/>
              </w:rPr>
            </w:pPr>
            <w:hyperlink r:id="rId21">
              <w:r>
                <w:rPr>
                  <w:rFonts w:ascii="Times New Roman" w:hAnsi="Times New Roman" w:cs="Times New Roman" w:eastAsia="Times New Roman" w:hint="default"/>
                  <w:spacing w:val="-2"/>
                  <w:sz w:val="18"/>
                  <w:szCs w:val="18"/>
                </w:rPr>
                <w:t>www.cninfo.c</w:t>
              </w:r>
            </w:hyperlink>
            <w:r>
              <w:rPr>
                <w:rFonts w:ascii="Times New Roman" w:hAnsi="Times New Roman" w:cs="Times New Roman" w:eastAsia="Times New Roman" w:hint="default"/>
                <w:spacing w:val="-37"/>
                <w:sz w:val="18"/>
                <w:szCs w:val="18"/>
              </w:rPr>
              <w:t> </w:t>
            </w:r>
            <w:r>
              <w:rPr>
                <w:rFonts w:ascii="Times New Roman" w:hAnsi="Times New Roman" w:cs="Times New Roman" w:eastAsia="Times New Roman" w:hint="default"/>
                <w:spacing w:val="-37"/>
                <w:sz w:val="18"/>
                <w:szCs w:val="18"/>
              </w:rPr>
            </w:r>
            <w:r>
              <w:rPr>
                <w:rFonts w:ascii="Times New Roman" w:hAnsi="Times New Roman" w:cs="Times New Roman" w:eastAsia="Times New Roman" w:hint="default"/>
                <w:sz w:val="18"/>
                <w:szCs w:val="18"/>
              </w:rPr>
              <w:t>om.cn</w:t>
            </w:r>
            <w:r>
              <w:rPr>
                <w:rFonts w:ascii="宋体" w:hAnsi="宋体" w:cs="宋体" w:eastAsia="宋体" w:hint="default"/>
                <w:sz w:val="18"/>
                <w:szCs w:val="18"/>
              </w:rPr>
              <w:t>，公告 编号：</w:t>
            </w:r>
          </w:p>
          <w:p>
            <w:pPr>
              <w:pStyle w:val="TableParagraph"/>
              <w:spacing w:line="240" w:lineRule="auto" w:before="70"/>
              <w:ind w:left="23" w:right="0"/>
              <w:jc w:val="both"/>
              <w:rPr>
                <w:rFonts w:ascii="Times New Roman" w:hAnsi="Times New Roman" w:cs="Times New Roman" w:eastAsia="Times New Roman" w:hint="default"/>
                <w:sz w:val="18"/>
                <w:szCs w:val="18"/>
              </w:rPr>
            </w:pPr>
            <w:r>
              <w:rPr>
                <w:rFonts w:ascii="Times New Roman"/>
                <w:sz w:val="18"/>
              </w:rPr>
              <w:t>2019-19</w:t>
            </w:r>
          </w:p>
        </w:tc>
      </w:tr>
      <w:tr>
        <w:trPr>
          <w:trHeight w:val="1649" w:hRule="exact"/>
        </w:trPr>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0"/>
              <w:jc w:val="both"/>
              <w:rPr>
                <w:rFonts w:ascii="宋体" w:hAnsi="宋体" w:cs="宋体" w:eastAsia="宋体" w:hint="default"/>
                <w:sz w:val="18"/>
                <w:szCs w:val="18"/>
              </w:rPr>
            </w:pPr>
            <w:r>
              <w:rPr>
                <w:rFonts w:ascii="宋体" w:hAnsi="宋体" w:cs="宋体" w:eastAsia="宋体" w:hint="default"/>
                <w:sz w:val="18"/>
                <w:szCs w:val="18"/>
              </w:rPr>
              <w:t>北京万 方智讯 信息技 术有限 公司</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316" w:lineRule="auto"/>
              <w:ind w:left="23" w:right="84"/>
              <w:jc w:val="left"/>
              <w:rPr>
                <w:rFonts w:ascii="宋体" w:hAnsi="宋体" w:cs="宋体" w:eastAsia="宋体" w:hint="default"/>
                <w:sz w:val="18"/>
                <w:szCs w:val="18"/>
              </w:rPr>
            </w:pPr>
            <w:r>
              <w:rPr>
                <w:rFonts w:ascii="宋体" w:hAnsi="宋体" w:cs="宋体" w:eastAsia="宋体" w:hint="default"/>
                <w:sz w:val="18"/>
                <w:szCs w:val="18"/>
              </w:rPr>
              <w:t>关联 法人</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9" w:lineRule="auto" w:before="154"/>
              <w:ind w:left="23"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9" w:lineRule="auto" w:before="154"/>
              <w:ind w:left="24"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316" w:lineRule="auto"/>
              <w:ind w:left="23" w:right="131"/>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市场价</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28.35</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2,000</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316" w:lineRule="auto"/>
              <w:ind w:left="23" w:right="158"/>
              <w:jc w:val="left"/>
              <w:rPr>
                <w:rFonts w:ascii="宋体" w:hAnsi="宋体" w:cs="宋体" w:eastAsia="宋体" w:hint="default"/>
                <w:sz w:val="18"/>
                <w:szCs w:val="18"/>
              </w:rPr>
            </w:pPr>
            <w:r>
              <w:rPr>
                <w:rFonts w:ascii="宋体" w:hAnsi="宋体" w:cs="宋体" w:eastAsia="宋体" w:hint="default"/>
                <w:sz w:val="18"/>
                <w:szCs w:val="18"/>
              </w:rPr>
              <w:t>定期 结算</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307" w:lineRule="auto"/>
              <w:ind w:left="23" w:right="28"/>
              <w:jc w:val="both"/>
              <w:rPr>
                <w:rFonts w:ascii="宋体" w:hAnsi="宋体" w:cs="宋体" w:eastAsia="宋体" w:hint="default"/>
                <w:sz w:val="18"/>
                <w:szCs w:val="18"/>
              </w:rPr>
            </w:pPr>
            <w:hyperlink r:id="rId21">
              <w:r>
                <w:rPr>
                  <w:rFonts w:ascii="Times New Roman" w:hAnsi="Times New Roman" w:cs="Times New Roman" w:eastAsia="Times New Roman" w:hint="default"/>
                  <w:spacing w:val="-2"/>
                  <w:sz w:val="18"/>
                  <w:szCs w:val="18"/>
                </w:rPr>
                <w:t>www.cninfo.c</w:t>
              </w:r>
            </w:hyperlink>
            <w:r>
              <w:rPr>
                <w:rFonts w:ascii="Times New Roman" w:hAnsi="Times New Roman" w:cs="Times New Roman" w:eastAsia="Times New Roman" w:hint="default"/>
                <w:spacing w:val="-37"/>
                <w:sz w:val="18"/>
                <w:szCs w:val="18"/>
              </w:rPr>
              <w:t> </w:t>
            </w:r>
            <w:r>
              <w:rPr>
                <w:rFonts w:ascii="Times New Roman" w:hAnsi="Times New Roman" w:cs="Times New Roman" w:eastAsia="Times New Roman" w:hint="default"/>
                <w:spacing w:val="-37"/>
                <w:sz w:val="18"/>
                <w:szCs w:val="18"/>
              </w:rPr>
            </w:r>
            <w:r>
              <w:rPr>
                <w:rFonts w:ascii="Times New Roman" w:hAnsi="Times New Roman" w:cs="Times New Roman" w:eastAsia="Times New Roman" w:hint="default"/>
                <w:sz w:val="18"/>
                <w:szCs w:val="18"/>
              </w:rPr>
              <w:t>om.cn</w:t>
            </w:r>
            <w:r>
              <w:rPr>
                <w:rFonts w:ascii="宋体" w:hAnsi="宋体" w:cs="宋体" w:eastAsia="宋体" w:hint="default"/>
                <w:sz w:val="18"/>
                <w:szCs w:val="18"/>
              </w:rPr>
              <w:t>，公告 编号：</w:t>
            </w:r>
          </w:p>
          <w:p>
            <w:pPr>
              <w:pStyle w:val="TableParagraph"/>
              <w:spacing w:line="240" w:lineRule="auto" w:before="68"/>
              <w:ind w:left="23" w:right="0"/>
              <w:jc w:val="both"/>
              <w:rPr>
                <w:rFonts w:ascii="Times New Roman" w:hAnsi="Times New Roman" w:cs="Times New Roman" w:eastAsia="Times New Roman" w:hint="default"/>
                <w:sz w:val="18"/>
                <w:szCs w:val="18"/>
              </w:rPr>
            </w:pPr>
            <w:r>
              <w:rPr>
                <w:rFonts w:ascii="Times New Roman"/>
                <w:sz w:val="18"/>
              </w:rPr>
              <w:t>2019-19</w:t>
            </w:r>
          </w:p>
        </w:tc>
      </w:tr>
      <w:tr>
        <w:trPr>
          <w:trHeight w:val="1651" w:hRule="exact"/>
        </w:trPr>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20"/>
              <w:jc w:val="both"/>
              <w:rPr>
                <w:rFonts w:ascii="宋体" w:hAnsi="宋体" w:cs="宋体" w:eastAsia="宋体" w:hint="default"/>
                <w:sz w:val="18"/>
                <w:szCs w:val="18"/>
              </w:rPr>
            </w:pPr>
            <w:r>
              <w:rPr>
                <w:rFonts w:ascii="宋体" w:hAnsi="宋体" w:cs="宋体" w:eastAsia="宋体" w:hint="default"/>
                <w:sz w:val="18"/>
                <w:szCs w:val="18"/>
              </w:rPr>
              <w:t>厦门市 巨龙信 息科技 有限公 司</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05"/>
              <w:ind w:left="23" w:right="84"/>
              <w:jc w:val="left"/>
              <w:rPr>
                <w:rFonts w:ascii="宋体" w:hAnsi="宋体" w:cs="宋体" w:eastAsia="宋体" w:hint="default"/>
                <w:sz w:val="18"/>
                <w:szCs w:val="18"/>
              </w:rPr>
            </w:pPr>
            <w:r>
              <w:rPr>
                <w:rFonts w:ascii="宋体" w:hAnsi="宋体" w:cs="宋体" w:eastAsia="宋体" w:hint="default"/>
                <w:sz w:val="18"/>
                <w:szCs w:val="18"/>
              </w:rPr>
              <w:t>关联 法人</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7" w:lineRule="auto" w:before="156"/>
              <w:ind w:left="23"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7" w:lineRule="auto" w:before="156"/>
              <w:ind w:left="24"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05"/>
              <w:ind w:left="23" w:right="131"/>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市场价</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138.57</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0.07%</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500</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05"/>
              <w:ind w:left="23" w:right="158"/>
              <w:jc w:val="left"/>
              <w:rPr>
                <w:rFonts w:ascii="宋体" w:hAnsi="宋体" w:cs="宋体" w:eastAsia="宋体" w:hint="default"/>
                <w:sz w:val="18"/>
                <w:szCs w:val="18"/>
              </w:rPr>
            </w:pPr>
            <w:r>
              <w:rPr>
                <w:rFonts w:ascii="宋体" w:hAnsi="宋体" w:cs="宋体" w:eastAsia="宋体" w:hint="default"/>
                <w:sz w:val="18"/>
                <w:szCs w:val="18"/>
              </w:rPr>
              <w:t>定期 结算</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304" w:lineRule="auto"/>
              <w:ind w:left="23" w:right="28"/>
              <w:jc w:val="both"/>
              <w:rPr>
                <w:rFonts w:ascii="宋体" w:hAnsi="宋体" w:cs="宋体" w:eastAsia="宋体" w:hint="default"/>
                <w:sz w:val="18"/>
                <w:szCs w:val="18"/>
              </w:rPr>
            </w:pPr>
            <w:hyperlink r:id="rId21">
              <w:r>
                <w:rPr>
                  <w:rFonts w:ascii="Times New Roman" w:hAnsi="Times New Roman" w:cs="Times New Roman" w:eastAsia="Times New Roman" w:hint="default"/>
                  <w:spacing w:val="-2"/>
                  <w:sz w:val="18"/>
                  <w:szCs w:val="18"/>
                </w:rPr>
                <w:t>www.cninfo.c</w:t>
              </w:r>
            </w:hyperlink>
            <w:r>
              <w:rPr>
                <w:rFonts w:ascii="Times New Roman" w:hAnsi="Times New Roman" w:cs="Times New Roman" w:eastAsia="Times New Roman" w:hint="default"/>
                <w:spacing w:val="-37"/>
                <w:sz w:val="18"/>
                <w:szCs w:val="18"/>
              </w:rPr>
              <w:t> </w:t>
            </w:r>
            <w:r>
              <w:rPr>
                <w:rFonts w:ascii="Times New Roman" w:hAnsi="Times New Roman" w:cs="Times New Roman" w:eastAsia="Times New Roman" w:hint="default"/>
                <w:spacing w:val="-37"/>
                <w:sz w:val="18"/>
                <w:szCs w:val="18"/>
              </w:rPr>
            </w:r>
            <w:r>
              <w:rPr>
                <w:rFonts w:ascii="Times New Roman" w:hAnsi="Times New Roman" w:cs="Times New Roman" w:eastAsia="Times New Roman" w:hint="default"/>
                <w:sz w:val="18"/>
                <w:szCs w:val="18"/>
              </w:rPr>
              <w:t>om.cn</w:t>
            </w:r>
            <w:r>
              <w:rPr>
                <w:rFonts w:ascii="宋体" w:hAnsi="宋体" w:cs="宋体" w:eastAsia="宋体" w:hint="default"/>
                <w:sz w:val="18"/>
                <w:szCs w:val="18"/>
              </w:rPr>
              <w:t>，公告 编号：</w:t>
            </w:r>
          </w:p>
          <w:p>
            <w:pPr>
              <w:pStyle w:val="TableParagraph"/>
              <w:spacing w:line="240" w:lineRule="auto" w:before="70"/>
              <w:ind w:left="23" w:right="0"/>
              <w:jc w:val="both"/>
              <w:rPr>
                <w:rFonts w:ascii="Times New Roman" w:hAnsi="Times New Roman" w:cs="Times New Roman" w:eastAsia="Times New Roman" w:hint="default"/>
                <w:sz w:val="18"/>
                <w:szCs w:val="18"/>
              </w:rPr>
            </w:pPr>
            <w:r>
              <w:rPr>
                <w:rFonts w:ascii="Times New Roman"/>
                <w:sz w:val="18"/>
              </w:rPr>
              <w:t>2019-19</w:t>
            </w:r>
          </w:p>
        </w:tc>
      </w:tr>
      <w:tr>
        <w:trPr>
          <w:trHeight w:val="1649" w:hRule="exact"/>
        </w:trPr>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0"/>
              <w:jc w:val="both"/>
              <w:rPr>
                <w:rFonts w:ascii="宋体" w:hAnsi="宋体" w:cs="宋体" w:eastAsia="宋体" w:hint="default"/>
                <w:sz w:val="18"/>
                <w:szCs w:val="18"/>
              </w:rPr>
            </w:pPr>
            <w:r>
              <w:rPr>
                <w:rFonts w:ascii="宋体" w:hAnsi="宋体" w:cs="宋体" w:eastAsia="宋体" w:hint="default"/>
                <w:sz w:val="18"/>
                <w:szCs w:val="18"/>
              </w:rPr>
              <w:t>厦门市 美亚梧 桐投资 管理有 限公司</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316" w:lineRule="auto"/>
              <w:ind w:left="23" w:right="84"/>
              <w:jc w:val="left"/>
              <w:rPr>
                <w:rFonts w:ascii="宋体" w:hAnsi="宋体" w:cs="宋体" w:eastAsia="宋体" w:hint="default"/>
                <w:sz w:val="18"/>
                <w:szCs w:val="18"/>
              </w:rPr>
            </w:pPr>
            <w:r>
              <w:rPr>
                <w:rFonts w:ascii="宋体" w:hAnsi="宋体" w:cs="宋体" w:eastAsia="宋体" w:hint="default"/>
                <w:sz w:val="18"/>
                <w:szCs w:val="18"/>
              </w:rPr>
              <w:t>关联 法人</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9" w:lineRule="auto" w:before="154"/>
              <w:ind w:left="23"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9" w:lineRule="auto" w:before="154"/>
              <w:ind w:left="24"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316" w:lineRule="auto"/>
              <w:ind w:left="23" w:right="131"/>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市场价</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4.57</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4.57</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316" w:lineRule="auto"/>
              <w:ind w:left="23" w:right="158"/>
              <w:jc w:val="left"/>
              <w:rPr>
                <w:rFonts w:ascii="宋体" w:hAnsi="宋体" w:cs="宋体" w:eastAsia="宋体" w:hint="default"/>
                <w:sz w:val="18"/>
                <w:szCs w:val="18"/>
              </w:rPr>
            </w:pPr>
            <w:r>
              <w:rPr>
                <w:rFonts w:ascii="宋体" w:hAnsi="宋体" w:cs="宋体" w:eastAsia="宋体" w:hint="default"/>
                <w:sz w:val="18"/>
                <w:szCs w:val="18"/>
              </w:rPr>
              <w:t>定期 结算</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4" w:lineRule="auto"/>
              <w:ind w:left="24" w:right="120"/>
              <w:jc w:val="left"/>
              <w:rPr>
                <w:rFonts w:ascii="宋体" w:hAnsi="宋体" w:cs="宋体" w:eastAsia="宋体" w:hint="default"/>
                <w:sz w:val="18"/>
                <w:szCs w:val="18"/>
              </w:rPr>
            </w:pPr>
            <w:r>
              <w:rPr>
                <w:rFonts w:ascii="宋体" w:hAnsi="宋体" w:cs="宋体" w:eastAsia="宋体" w:hint="default"/>
                <w:sz w:val="18"/>
                <w:szCs w:val="18"/>
              </w:rPr>
              <w:t>香港柏 科</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4" w:lineRule="auto"/>
              <w:ind w:left="23" w:right="84"/>
              <w:jc w:val="left"/>
              <w:rPr>
                <w:rFonts w:ascii="宋体" w:hAnsi="宋体" w:cs="宋体" w:eastAsia="宋体" w:hint="default"/>
                <w:sz w:val="18"/>
                <w:szCs w:val="18"/>
              </w:rPr>
            </w:pPr>
            <w:r>
              <w:rPr>
                <w:rFonts w:ascii="宋体" w:hAnsi="宋体" w:cs="宋体" w:eastAsia="宋体" w:hint="default"/>
                <w:sz w:val="18"/>
                <w:szCs w:val="18"/>
              </w:rPr>
              <w:t>关联 法人</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1"/>
              <w:ind w:left="23"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1"/>
              <w:ind w:left="24"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4" w:lineRule="auto"/>
              <w:ind w:left="23" w:right="131"/>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市场价</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28.6</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28.6</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4" w:lineRule="auto"/>
              <w:ind w:left="23" w:right="158"/>
              <w:jc w:val="left"/>
              <w:rPr>
                <w:rFonts w:ascii="宋体" w:hAnsi="宋体" w:cs="宋体" w:eastAsia="宋体" w:hint="default"/>
                <w:sz w:val="18"/>
                <w:szCs w:val="18"/>
              </w:rPr>
            </w:pPr>
            <w:r>
              <w:rPr>
                <w:rFonts w:ascii="宋体" w:hAnsi="宋体" w:cs="宋体" w:eastAsia="宋体" w:hint="default"/>
                <w:sz w:val="18"/>
                <w:szCs w:val="18"/>
              </w:rPr>
              <w:t>定期 结算</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r>
      <w:tr>
        <w:trPr>
          <w:trHeight w:val="1649" w:hRule="exact"/>
        </w:trPr>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3"/>
              <w:jc w:val="left"/>
              <w:rPr>
                <w:rFonts w:ascii="宋体" w:hAnsi="宋体" w:cs="宋体" w:eastAsia="宋体" w:hint="default"/>
                <w:sz w:val="18"/>
                <w:szCs w:val="18"/>
              </w:rPr>
            </w:pPr>
            <w:r>
              <w:rPr>
                <w:rFonts w:ascii="宋体" w:hAnsi="宋体" w:cs="宋体" w:eastAsia="宋体" w:hint="default"/>
                <w:sz w:val="18"/>
                <w:szCs w:val="18"/>
              </w:rPr>
              <w:t>柏科智 能（厦 </w:t>
            </w:r>
            <w:r>
              <w:rPr>
                <w:rFonts w:ascii="宋体" w:hAnsi="宋体" w:cs="宋体" w:eastAsia="宋体" w:hint="default"/>
                <w:spacing w:val="-21"/>
                <w:sz w:val="18"/>
                <w:szCs w:val="18"/>
              </w:rPr>
              <w:t>门）科技</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有限公 司</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316" w:lineRule="auto"/>
              <w:ind w:left="23" w:right="84"/>
              <w:jc w:val="left"/>
              <w:rPr>
                <w:rFonts w:ascii="宋体" w:hAnsi="宋体" w:cs="宋体" w:eastAsia="宋体" w:hint="default"/>
                <w:sz w:val="18"/>
                <w:szCs w:val="18"/>
              </w:rPr>
            </w:pPr>
            <w:r>
              <w:rPr>
                <w:rFonts w:ascii="宋体" w:hAnsi="宋体" w:cs="宋体" w:eastAsia="宋体" w:hint="default"/>
                <w:sz w:val="18"/>
                <w:szCs w:val="18"/>
              </w:rPr>
              <w:t>关联 法人</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9" w:lineRule="auto" w:before="154"/>
              <w:ind w:left="23"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9" w:lineRule="auto" w:before="154"/>
              <w:ind w:left="24"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316" w:lineRule="auto"/>
              <w:ind w:left="23" w:right="131"/>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市场价</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10.1</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10.1</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316" w:lineRule="auto"/>
              <w:ind w:left="23" w:right="158"/>
              <w:jc w:val="left"/>
              <w:rPr>
                <w:rFonts w:ascii="宋体" w:hAnsi="宋体" w:cs="宋体" w:eastAsia="宋体" w:hint="default"/>
                <w:sz w:val="18"/>
                <w:szCs w:val="18"/>
              </w:rPr>
            </w:pPr>
            <w:r>
              <w:rPr>
                <w:rFonts w:ascii="宋体" w:hAnsi="宋体" w:cs="宋体" w:eastAsia="宋体" w:hint="default"/>
                <w:sz w:val="18"/>
                <w:szCs w:val="18"/>
              </w:rPr>
              <w:t>定期 结算</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w:t>
            </w:r>
          </w:p>
        </w:tc>
        <w:tc>
          <w:tcPr>
            <w:tcW w:w="6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23"/>
              <w:jc w:val="left"/>
              <w:rPr>
                <w:rFonts w:ascii="宋体" w:hAnsi="宋体" w:cs="宋体" w:eastAsia="宋体" w:hint="default"/>
                <w:sz w:val="18"/>
                <w:szCs w:val="18"/>
              </w:rPr>
            </w:pPr>
            <w:r>
              <w:rPr>
                <w:rFonts w:ascii="宋体" w:hAnsi="宋体" w:cs="宋体" w:eastAsia="宋体" w:hint="default"/>
                <w:spacing w:val="-21"/>
                <w:sz w:val="18"/>
                <w:szCs w:val="18"/>
              </w:rPr>
              <w:t>柏科（常</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21"/>
                <w:sz w:val="18"/>
                <w:szCs w:val="18"/>
              </w:rPr>
              <w:t>熟）电机</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有限公 司</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56"/>
              <w:ind w:left="23" w:right="84"/>
              <w:jc w:val="left"/>
              <w:rPr>
                <w:rFonts w:ascii="宋体" w:hAnsi="宋体" w:cs="宋体" w:eastAsia="宋体" w:hint="default"/>
                <w:sz w:val="18"/>
                <w:szCs w:val="18"/>
              </w:rPr>
            </w:pPr>
            <w:r>
              <w:rPr>
                <w:rFonts w:ascii="宋体" w:hAnsi="宋体" w:cs="宋体" w:eastAsia="宋体" w:hint="default"/>
                <w:sz w:val="18"/>
                <w:szCs w:val="18"/>
              </w:rPr>
              <w:t>关联 法人</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7" w:lineRule="auto"/>
              <w:ind w:left="23"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7" w:lineRule="auto"/>
              <w:ind w:left="24"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56"/>
              <w:ind w:left="23" w:right="131"/>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4" w:right="0"/>
              <w:jc w:val="left"/>
              <w:rPr>
                <w:rFonts w:ascii="宋体" w:hAnsi="宋体" w:cs="宋体" w:eastAsia="宋体" w:hint="default"/>
                <w:sz w:val="18"/>
                <w:szCs w:val="18"/>
              </w:rPr>
            </w:pPr>
            <w:r>
              <w:rPr>
                <w:rFonts w:ascii="宋体" w:hAnsi="宋体" w:cs="宋体" w:eastAsia="宋体" w:hint="default"/>
                <w:sz w:val="18"/>
                <w:szCs w:val="18"/>
              </w:rPr>
              <w:t>市场价</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7"/>
              <w:jc w:val="right"/>
              <w:rPr>
                <w:rFonts w:ascii="Times New Roman" w:hAnsi="Times New Roman" w:cs="Times New Roman" w:eastAsia="Times New Roman" w:hint="default"/>
                <w:sz w:val="18"/>
                <w:szCs w:val="18"/>
              </w:rPr>
            </w:pPr>
            <w:r>
              <w:rPr>
                <w:rFonts w:ascii="Times New Roman"/>
                <w:sz w:val="18"/>
              </w:rPr>
              <w:t>8.5</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9"/>
              <w:jc w:val="right"/>
              <w:rPr>
                <w:rFonts w:ascii="Times New Roman" w:hAnsi="Times New Roman" w:cs="Times New Roman" w:eastAsia="Times New Roman" w:hint="default"/>
                <w:sz w:val="18"/>
                <w:szCs w:val="18"/>
              </w:rPr>
            </w:pPr>
            <w:r>
              <w:rPr>
                <w:rFonts w:ascii="Times New Roman"/>
                <w:sz w:val="18"/>
              </w:rPr>
              <w:t>0.01%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7"/>
              <w:jc w:val="right"/>
              <w:rPr>
                <w:rFonts w:ascii="Times New Roman" w:hAnsi="Times New Roman" w:cs="Times New Roman" w:eastAsia="Times New Roman" w:hint="default"/>
                <w:sz w:val="18"/>
                <w:szCs w:val="18"/>
              </w:rPr>
            </w:pPr>
            <w:r>
              <w:rPr>
                <w:rFonts w:ascii="Times New Roman"/>
                <w:sz w:val="18"/>
              </w:rPr>
              <w:t>100</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56"/>
              <w:ind w:left="23" w:right="158"/>
              <w:jc w:val="left"/>
              <w:rPr>
                <w:rFonts w:ascii="宋体" w:hAnsi="宋体" w:cs="宋体" w:eastAsia="宋体" w:hint="default"/>
                <w:sz w:val="18"/>
                <w:szCs w:val="18"/>
              </w:rPr>
            </w:pPr>
            <w:r>
              <w:rPr>
                <w:rFonts w:ascii="宋体" w:hAnsi="宋体" w:cs="宋体" w:eastAsia="宋体" w:hint="default"/>
                <w:sz w:val="18"/>
                <w:szCs w:val="18"/>
              </w:rPr>
              <w:t>定期 结算</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left="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93"/>
              <w:ind w:left="23" w:right="28"/>
              <w:jc w:val="both"/>
              <w:rPr>
                <w:rFonts w:ascii="宋体" w:hAnsi="宋体" w:cs="宋体" w:eastAsia="宋体" w:hint="default"/>
                <w:sz w:val="18"/>
                <w:szCs w:val="18"/>
              </w:rPr>
            </w:pPr>
            <w:hyperlink r:id="rId21">
              <w:r>
                <w:rPr>
                  <w:rFonts w:ascii="Times New Roman" w:hAnsi="Times New Roman" w:cs="Times New Roman" w:eastAsia="Times New Roman" w:hint="default"/>
                  <w:spacing w:val="-2"/>
                  <w:sz w:val="18"/>
                  <w:szCs w:val="18"/>
                </w:rPr>
                <w:t>www.cninfo.c</w:t>
              </w:r>
            </w:hyperlink>
            <w:r>
              <w:rPr>
                <w:rFonts w:ascii="Times New Roman" w:hAnsi="Times New Roman" w:cs="Times New Roman" w:eastAsia="Times New Roman" w:hint="default"/>
                <w:spacing w:val="-37"/>
                <w:sz w:val="18"/>
                <w:szCs w:val="18"/>
              </w:rPr>
              <w:t> </w:t>
            </w:r>
            <w:r>
              <w:rPr>
                <w:rFonts w:ascii="Times New Roman" w:hAnsi="Times New Roman" w:cs="Times New Roman" w:eastAsia="Times New Roman" w:hint="default"/>
                <w:spacing w:val="-37"/>
                <w:sz w:val="18"/>
                <w:szCs w:val="18"/>
              </w:rPr>
            </w:r>
            <w:r>
              <w:rPr>
                <w:rFonts w:ascii="Times New Roman" w:hAnsi="Times New Roman" w:cs="Times New Roman" w:eastAsia="Times New Roman" w:hint="default"/>
                <w:sz w:val="18"/>
                <w:szCs w:val="18"/>
              </w:rPr>
              <w:t>om.cn</w:t>
            </w:r>
            <w:r>
              <w:rPr>
                <w:rFonts w:ascii="宋体" w:hAnsi="宋体" w:cs="宋体" w:eastAsia="宋体" w:hint="default"/>
                <w:sz w:val="18"/>
                <w:szCs w:val="18"/>
              </w:rPr>
              <w:t>，公告 编号：</w:t>
            </w:r>
          </w:p>
          <w:p>
            <w:pPr>
              <w:pStyle w:val="TableParagraph"/>
              <w:spacing w:line="240" w:lineRule="auto" w:before="70"/>
              <w:ind w:left="23" w:right="0"/>
              <w:jc w:val="both"/>
              <w:rPr>
                <w:rFonts w:ascii="Times New Roman" w:hAnsi="Times New Roman" w:cs="Times New Roman" w:eastAsia="Times New Roman" w:hint="default"/>
                <w:sz w:val="18"/>
                <w:szCs w:val="18"/>
              </w:rPr>
            </w:pPr>
            <w:r>
              <w:rPr>
                <w:rFonts w:ascii="Times New Roman"/>
                <w:sz w:val="18"/>
              </w:rPr>
              <w:t>2019-19</w:t>
            </w:r>
          </w:p>
        </w:tc>
      </w:tr>
      <w:tr>
        <w:trPr>
          <w:trHeight w:val="1651" w:hRule="exact"/>
        </w:trPr>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3"/>
              <w:jc w:val="left"/>
              <w:rPr>
                <w:rFonts w:ascii="宋体" w:hAnsi="宋体" w:cs="宋体" w:eastAsia="宋体" w:hint="default"/>
                <w:sz w:val="18"/>
                <w:szCs w:val="18"/>
              </w:rPr>
            </w:pPr>
            <w:r>
              <w:rPr>
                <w:rFonts w:ascii="宋体" w:hAnsi="宋体" w:cs="宋体" w:eastAsia="宋体" w:hint="default"/>
                <w:sz w:val="18"/>
                <w:szCs w:val="18"/>
              </w:rPr>
              <w:t>中检美 亚（北 </w:t>
            </w:r>
            <w:r>
              <w:rPr>
                <w:rFonts w:ascii="宋体" w:hAnsi="宋体" w:cs="宋体" w:eastAsia="宋体" w:hint="default"/>
                <w:spacing w:val="-21"/>
                <w:sz w:val="18"/>
                <w:szCs w:val="18"/>
              </w:rPr>
              <w:t>京）科技</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有限公 司</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316" w:lineRule="auto"/>
              <w:ind w:left="23" w:right="84"/>
              <w:jc w:val="left"/>
              <w:rPr>
                <w:rFonts w:ascii="宋体" w:hAnsi="宋体" w:cs="宋体" w:eastAsia="宋体" w:hint="default"/>
                <w:sz w:val="18"/>
                <w:szCs w:val="18"/>
              </w:rPr>
            </w:pPr>
            <w:r>
              <w:rPr>
                <w:rFonts w:ascii="宋体" w:hAnsi="宋体" w:cs="宋体" w:eastAsia="宋体" w:hint="default"/>
                <w:sz w:val="18"/>
                <w:szCs w:val="18"/>
              </w:rPr>
              <w:t>关联 法人</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9" w:lineRule="auto" w:before="154"/>
              <w:ind w:left="23"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9" w:lineRule="auto" w:before="154"/>
              <w:ind w:left="24"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316" w:lineRule="auto"/>
              <w:ind w:left="23" w:right="131"/>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市场价</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78</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0.04%</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1,000</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316" w:lineRule="auto"/>
              <w:ind w:left="23" w:right="158"/>
              <w:jc w:val="left"/>
              <w:rPr>
                <w:rFonts w:ascii="宋体" w:hAnsi="宋体" w:cs="宋体" w:eastAsia="宋体" w:hint="default"/>
                <w:sz w:val="18"/>
                <w:szCs w:val="18"/>
              </w:rPr>
            </w:pPr>
            <w:r>
              <w:rPr>
                <w:rFonts w:ascii="宋体" w:hAnsi="宋体" w:cs="宋体" w:eastAsia="宋体" w:hint="default"/>
                <w:sz w:val="18"/>
                <w:szCs w:val="18"/>
              </w:rPr>
              <w:t>定期 结算</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307" w:lineRule="auto"/>
              <w:ind w:left="23" w:right="28"/>
              <w:jc w:val="both"/>
              <w:rPr>
                <w:rFonts w:ascii="宋体" w:hAnsi="宋体" w:cs="宋体" w:eastAsia="宋体" w:hint="default"/>
                <w:sz w:val="18"/>
                <w:szCs w:val="18"/>
              </w:rPr>
            </w:pPr>
            <w:hyperlink r:id="rId21">
              <w:r>
                <w:rPr>
                  <w:rFonts w:ascii="Times New Roman" w:hAnsi="Times New Roman" w:cs="Times New Roman" w:eastAsia="Times New Roman" w:hint="default"/>
                  <w:spacing w:val="-2"/>
                  <w:sz w:val="18"/>
                  <w:szCs w:val="18"/>
                </w:rPr>
                <w:t>www.cninfo.c</w:t>
              </w:r>
            </w:hyperlink>
            <w:r>
              <w:rPr>
                <w:rFonts w:ascii="Times New Roman" w:hAnsi="Times New Roman" w:cs="Times New Roman" w:eastAsia="Times New Roman" w:hint="default"/>
                <w:spacing w:val="-37"/>
                <w:sz w:val="18"/>
                <w:szCs w:val="18"/>
              </w:rPr>
              <w:t> </w:t>
            </w:r>
            <w:r>
              <w:rPr>
                <w:rFonts w:ascii="Times New Roman" w:hAnsi="Times New Roman" w:cs="Times New Roman" w:eastAsia="Times New Roman" w:hint="default"/>
                <w:spacing w:val="-37"/>
                <w:sz w:val="18"/>
                <w:szCs w:val="18"/>
              </w:rPr>
            </w:r>
            <w:r>
              <w:rPr>
                <w:rFonts w:ascii="Times New Roman" w:hAnsi="Times New Roman" w:cs="Times New Roman" w:eastAsia="Times New Roman" w:hint="default"/>
                <w:sz w:val="18"/>
                <w:szCs w:val="18"/>
              </w:rPr>
              <w:t>om.cn</w:t>
            </w:r>
            <w:r>
              <w:rPr>
                <w:rFonts w:ascii="宋体" w:hAnsi="宋体" w:cs="宋体" w:eastAsia="宋体" w:hint="default"/>
                <w:sz w:val="18"/>
                <w:szCs w:val="18"/>
              </w:rPr>
              <w:t>，公告 编号：</w:t>
            </w:r>
          </w:p>
          <w:p>
            <w:pPr>
              <w:pStyle w:val="TableParagraph"/>
              <w:spacing w:line="240" w:lineRule="auto" w:before="68"/>
              <w:ind w:left="23" w:right="0"/>
              <w:jc w:val="both"/>
              <w:rPr>
                <w:rFonts w:ascii="Times New Roman" w:hAnsi="Times New Roman" w:cs="Times New Roman" w:eastAsia="Times New Roman" w:hint="default"/>
                <w:sz w:val="18"/>
                <w:szCs w:val="18"/>
              </w:rPr>
            </w:pPr>
            <w:r>
              <w:rPr>
                <w:rFonts w:ascii="Times New Roman"/>
                <w:sz w:val="18"/>
              </w:rPr>
              <w:t>2019-19</w:t>
            </w:r>
          </w:p>
        </w:tc>
      </w:tr>
    </w:tbl>
    <w:p>
      <w:pPr>
        <w:spacing w:after="0" w:line="240" w:lineRule="auto"/>
        <w:jc w:val="both"/>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9"/>
          <w:szCs w:val="19"/>
        </w:rPr>
      </w:pPr>
    </w:p>
    <w:p>
      <w:pPr>
        <w:spacing w:before="0"/>
        <w:ind w:left="0" w:right="1140" w:firstLine="0"/>
        <w:jc w:val="right"/>
        <w:rPr>
          <w:rFonts w:ascii="宋体" w:hAnsi="宋体" w:cs="宋体" w:eastAsia="宋体" w:hint="default"/>
          <w:sz w:val="18"/>
          <w:szCs w:val="18"/>
        </w:rPr>
      </w:pPr>
      <w:r>
        <w:rPr/>
        <w:pict>
          <v:shape style="position:absolute;margin-left:56.400002pt;margin-top:-337.369263pt;width:479.2pt;height:502pt;mso-position-horizontal-relative:page;mso-position-vertical-relative:paragraph;z-index:18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696"/>
                    <w:gridCol w:w="480"/>
                    <w:gridCol w:w="734"/>
                    <w:gridCol w:w="734"/>
                    <w:gridCol w:w="526"/>
                    <w:gridCol w:w="674"/>
                    <w:gridCol w:w="780"/>
                    <w:gridCol w:w="706"/>
                    <w:gridCol w:w="674"/>
                    <w:gridCol w:w="706"/>
                    <w:gridCol w:w="554"/>
                    <w:gridCol w:w="586"/>
                    <w:gridCol w:w="646"/>
                    <w:gridCol w:w="1073"/>
                  </w:tblGrid>
                  <w:tr>
                    <w:trPr>
                      <w:trHeight w:val="1649" w:hRule="exact"/>
                    </w:trPr>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0"/>
                          <w:jc w:val="both"/>
                          <w:rPr>
                            <w:rFonts w:ascii="宋体" w:hAnsi="宋体" w:cs="宋体" w:eastAsia="宋体" w:hint="default"/>
                            <w:sz w:val="18"/>
                            <w:szCs w:val="18"/>
                          </w:rPr>
                        </w:pPr>
                        <w:r>
                          <w:rPr>
                            <w:rFonts w:ascii="宋体" w:hAnsi="宋体" w:cs="宋体" w:eastAsia="宋体" w:hint="default"/>
                            <w:sz w:val="18"/>
                            <w:szCs w:val="18"/>
                          </w:rPr>
                          <w:t>厦门吉 比特网 络技术 股份有 限公司</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3" w:right="84"/>
                          <w:jc w:val="left"/>
                          <w:rPr>
                            <w:rFonts w:ascii="宋体" w:hAnsi="宋体" w:cs="宋体" w:eastAsia="宋体" w:hint="default"/>
                            <w:sz w:val="18"/>
                            <w:szCs w:val="18"/>
                          </w:rPr>
                        </w:pPr>
                        <w:r>
                          <w:rPr>
                            <w:rFonts w:ascii="宋体" w:hAnsi="宋体" w:cs="宋体" w:eastAsia="宋体" w:hint="default"/>
                            <w:sz w:val="18"/>
                            <w:szCs w:val="18"/>
                          </w:rPr>
                          <w:t>关联 法人</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9" w:lineRule="auto" w:before="125"/>
                          <w:ind w:left="23"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9" w:lineRule="auto" w:before="125"/>
                          <w:ind w:left="24"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3" w:right="131"/>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74"/>
                          <w:jc w:val="center"/>
                          <w:rPr>
                            <w:rFonts w:ascii="宋体" w:hAnsi="宋体" w:cs="宋体" w:eastAsia="宋体" w:hint="default"/>
                            <w:sz w:val="18"/>
                            <w:szCs w:val="18"/>
                          </w:rPr>
                        </w:pPr>
                        <w:r>
                          <w:rPr>
                            <w:rFonts w:ascii="宋体" w:hAnsi="宋体" w:cs="宋体" w:eastAsia="宋体" w:hint="default"/>
                            <w:sz w:val="18"/>
                            <w:szCs w:val="18"/>
                          </w:rPr>
                          <w:t>市场价</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0.49</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0.49</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3" w:right="158"/>
                          <w:jc w:val="left"/>
                          <w:rPr>
                            <w:rFonts w:ascii="宋体" w:hAnsi="宋体" w:cs="宋体" w:eastAsia="宋体" w:hint="default"/>
                            <w:sz w:val="18"/>
                            <w:szCs w:val="18"/>
                          </w:rPr>
                        </w:pPr>
                        <w:r>
                          <w:rPr>
                            <w:rFonts w:ascii="宋体" w:hAnsi="宋体" w:cs="宋体" w:eastAsia="宋体" w:hint="default"/>
                            <w:sz w:val="18"/>
                            <w:szCs w:val="18"/>
                          </w:rPr>
                          <w:t>定期 结算</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20"/>
                          <w:jc w:val="both"/>
                          <w:rPr>
                            <w:rFonts w:ascii="宋体" w:hAnsi="宋体" w:cs="宋体" w:eastAsia="宋体" w:hint="default"/>
                            <w:sz w:val="18"/>
                            <w:szCs w:val="18"/>
                          </w:rPr>
                        </w:pPr>
                        <w:r>
                          <w:rPr>
                            <w:rFonts w:ascii="宋体" w:hAnsi="宋体" w:cs="宋体" w:eastAsia="宋体" w:hint="default"/>
                            <w:sz w:val="18"/>
                            <w:szCs w:val="18"/>
                          </w:rPr>
                          <w:t>国投钦 州发电 有限公 司</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8"/>
                          <w:ind w:left="23" w:right="84"/>
                          <w:jc w:val="left"/>
                          <w:rPr>
                            <w:rFonts w:ascii="宋体" w:hAnsi="宋体" w:cs="宋体" w:eastAsia="宋体" w:hint="default"/>
                            <w:sz w:val="18"/>
                            <w:szCs w:val="18"/>
                          </w:rPr>
                        </w:pPr>
                        <w:r>
                          <w:rPr>
                            <w:rFonts w:ascii="宋体" w:hAnsi="宋体" w:cs="宋体" w:eastAsia="宋体" w:hint="default"/>
                            <w:sz w:val="18"/>
                            <w:szCs w:val="18"/>
                          </w:rPr>
                          <w:t>关联 法人</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07" w:lineRule="auto"/>
                          <w:ind w:left="23"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07" w:lineRule="auto"/>
                          <w:ind w:left="24"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8"/>
                          <w:ind w:left="23" w:right="131"/>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74"/>
                          <w:jc w:val="center"/>
                          <w:rPr>
                            <w:rFonts w:ascii="宋体" w:hAnsi="宋体" w:cs="宋体" w:eastAsia="宋体" w:hint="default"/>
                            <w:sz w:val="18"/>
                            <w:szCs w:val="18"/>
                          </w:rPr>
                        </w:pPr>
                        <w:r>
                          <w:rPr>
                            <w:rFonts w:ascii="宋体" w:hAnsi="宋体" w:cs="宋体" w:eastAsia="宋体" w:hint="default"/>
                            <w:sz w:val="18"/>
                            <w:szCs w:val="18"/>
                          </w:rPr>
                          <w:t>市场价</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45.24</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0.02%</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45.24</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8"/>
                          <w:ind w:left="23" w:right="158"/>
                          <w:jc w:val="left"/>
                          <w:rPr>
                            <w:rFonts w:ascii="宋体" w:hAnsi="宋体" w:cs="宋体" w:eastAsia="宋体" w:hint="default"/>
                            <w:sz w:val="18"/>
                            <w:szCs w:val="18"/>
                          </w:rPr>
                        </w:pPr>
                        <w:r>
                          <w:rPr>
                            <w:rFonts w:ascii="宋体" w:hAnsi="宋体" w:cs="宋体" w:eastAsia="宋体" w:hint="default"/>
                            <w:sz w:val="18"/>
                            <w:szCs w:val="18"/>
                          </w:rPr>
                          <w:t>定期 结算</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r>
                  <w:tr>
                    <w:trPr>
                      <w:trHeight w:val="1337" w:hRule="exact"/>
                    </w:trPr>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0"/>
                          <w:jc w:val="both"/>
                          <w:rPr>
                            <w:rFonts w:ascii="宋体" w:hAnsi="宋体" w:cs="宋体" w:eastAsia="宋体" w:hint="default"/>
                            <w:sz w:val="18"/>
                            <w:szCs w:val="18"/>
                          </w:rPr>
                        </w:pPr>
                        <w:r>
                          <w:rPr>
                            <w:rFonts w:ascii="宋体" w:hAnsi="宋体" w:cs="宋体" w:eastAsia="宋体" w:hint="default"/>
                            <w:sz w:val="18"/>
                            <w:szCs w:val="18"/>
                          </w:rPr>
                          <w:t>国投智 能科技 有限公 司</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84"/>
                          <w:jc w:val="left"/>
                          <w:rPr>
                            <w:rFonts w:ascii="宋体" w:hAnsi="宋体" w:cs="宋体" w:eastAsia="宋体" w:hint="default"/>
                            <w:sz w:val="18"/>
                            <w:szCs w:val="18"/>
                          </w:rPr>
                        </w:pPr>
                        <w:r>
                          <w:rPr>
                            <w:rFonts w:ascii="宋体" w:hAnsi="宋体" w:cs="宋体" w:eastAsia="宋体" w:hint="default"/>
                            <w:sz w:val="18"/>
                            <w:szCs w:val="18"/>
                          </w:rPr>
                          <w:t>关联 法人</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09" w:lineRule="auto"/>
                          <w:ind w:left="23"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09" w:lineRule="auto"/>
                          <w:ind w:left="24" w:right="108"/>
                          <w:jc w:val="both"/>
                          <w:rPr>
                            <w:rFonts w:ascii="宋体" w:hAnsi="宋体" w:cs="宋体" w:eastAsia="宋体" w:hint="default"/>
                            <w:sz w:val="18"/>
                            <w:szCs w:val="18"/>
                          </w:rPr>
                        </w:pPr>
                        <w:r>
                          <w:rPr>
                            <w:rFonts w:ascii="宋体" w:hAnsi="宋体" w:cs="宋体" w:eastAsia="宋体" w:hint="default"/>
                            <w:sz w:val="18"/>
                            <w:szCs w:val="18"/>
                          </w:rPr>
                          <w:t>出售商 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 劳务</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131"/>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74"/>
                          <w:jc w:val="center"/>
                          <w:rPr>
                            <w:rFonts w:ascii="宋体" w:hAnsi="宋体" w:cs="宋体" w:eastAsia="宋体" w:hint="default"/>
                            <w:sz w:val="18"/>
                            <w:szCs w:val="18"/>
                          </w:rPr>
                        </w:pPr>
                        <w:r>
                          <w:rPr>
                            <w:rFonts w:ascii="宋体" w:hAnsi="宋体" w:cs="宋体" w:eastAsia="宋体" w:hint="default"/>
                            <w:sz w:val="18"/>
                            <w:szCs w:val="18"/>
                          </w:rPr>
                          <w:t>市场价</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0.29</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0.29</w:t>
                        </w:r>
                        <w:r>
                          <w:rPr>
                            <w:rFonts w:ascii="Times New Roman"/>
                            <w:sz w:val="18"/>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158"/>
                          <w:jc w:val="left"/>
                          <w:rPr>
                            <w:rFonts w:ascii="宋体" w:hAnsi="宋体" w:cs="宋体" w:eastAsia="宋体" w:hint="default"/>
                            <w:sz w:val="18"/>
                            <w:szCs w:val="18"/>
                          </w:rPr>
                        </w:pPr>
                        <w:r>
                          <w:rPr>
                            <w:rFonts w:ascii="宋体" w:hAnsi="宋体" w:cs="宋体" w:eastAsia="宋体" w:hint="default"/>
                            <w:sz w:val="18"/>
                            <w:szCs w:val="18"/>
                          </w:rPr>
                          <w:t>定期 结算</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2645" w:type="dxa"/>
                        <w:gridSpan w:val="4"/>
                        <w:tcBorders>
                          <w:top w:val="single" w:sz="4" w:space="0" w:color="000000"/>
                          <w:left w:val="single" w:sz="4" w:space="0" w:color="000000"/>
                          <w:bottom w:val="nil" w:sz="6" w:space="0" w:color="auto"/>
                          <w:right w:val="single" w:sz="4" w:space="0" w:color="000000"/>
                        </w:tcBorders>
                        <w:shd w:val="clear" w:color="auto" w:fill="D4D4D4"/>
                      </w:tcPr>
                      <w:p>
                        <w:pPr/>
                      </w:p>
                    </w:tc>
                    <w:tc>
                      <w:tcPr>
                        <w:tcW w:w="526" w:type="dxa"/>
                        <w:tcBorders>
                          <w:top w:val="single" w:sz="4" w:space="0" w:color="000000"/>
                          <w:left w:val="single" w:sz="4" w:space="0" w:color="000000"/>
                          <w:bottom w:val="nil" w:sz="6" w:space="0" w:color="auto"/>
                          <w:right w:val="single" w:sz="4" w:space="0" w:color="000000"/>
                        </w:tcBorders>
                        <w:shd w:val="clear" w:color="auto" w:fill="D4D4D4"/>
                      </w:tcPr>
                      <w:p>
                        <w:pPr/>
                      </w:p>
                    </w:tc>
                    <w:tc>
                      <w:tcPr>
                        <w:tcW w:w="674" w:type="dxa"/>
                        <w:tcBorders>
                          <w:top w:val="single" w:sz="4" w:space="0" w:color="000000"/>
                          <w:left w:val="single" w:sz="4" w:space="0" w:color="000000"/>
                          <w:bottom w:val="nil" w:sz="6" w:space="0" w:color="auto"/>
                          <w:right w:val="single" w:sz="4" w:space="0" w:color="000000"/>
                        </w:tcBorders>
                        <w:shd w:val="clear" w:color="auto" w:fill="D4D4D4"/>
                      </w:tcPr>
                      <w:p>
                        <w:pPr/>
                      </w:p>
                    </w:tc>
                    <w:tc>
                      <w:tcPr>
                        <w:tcW w:w="780" w:type="dxa"/>
                        <w:vMerge w:val="restart"/>
                        <w:tcBorders>
                          <w:top w:val="single" w:sz="4" w:space="0" w:color="000000"/>
                          <w:left w:val="single" w:sz="9" w:space="0" w:color="D4D4D4"/>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11" w:right="0"/>
                          <w:jc w:val="left"/>
                          <w:rPr>
                            <w:rFonts w:ascii="Times New Roman" w:hAnsi="Times New Roman" w:cs="Times New Roman" w:eastAsia="Times New Roman" w:hint="default"/>
                            <w:sz w:val="18"/>
                            <w:szCs w:val="18"/>
                          </w:rPr>
                        </w:pPr>
                        <w:r>
                          <w:rPr>
                            <w:rFonts w:ascii="Times New Roman"/>
                            <w:sz w:val="18"/>
                          </w:rPr>
                          <w:t>5,131.85</w:t>
                        </w:r>
                      </w:p>
                    </w:tc>
                    <w:tc>
                      <w:tcPr>
                        <w:tcW w:w="706"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674" w:type="dxa"/>
                        <w:vMerge w:val="restart"/>
                        <w:tcBorders>
                          <w:top w:val="single" w:sz="4" w:space="0" w:color="000000"/>
                          <w:left w:val="single" w:sz="4" w:space="0" w:color="000000"/>
                          <w:right w:val="single" w:sz="4" w:space="0" w:color="000000"/>
                        </w:tcBorders>
                      </w:tcPr>
                      <w:p>
                        <w:pPr>
                          <w:pStyle w:val="TableParagraph"/>
                          <w:spacing w:line="240" w:lineRule="auto" w:before="52"/>
                          <w:ind w:right="16"/>
                          <w:jc w:val="right"/>
                          <w:rPr>
                            <w:rFonts w:ascii="Times New Roman" w:hAnsi="Times New Roman" w:cs="Times New Roman" w:eastAsia="Times New Roman" w:hint="default"/>
                            <w:sz w:val="18"/>
                            <w:szCs w:val="18"/>
                          </w:rPr>
                        </w:pPr>
                        <w:r>
                          <w:rPr>
                            <w:rFonts w:ascii="Times New Roman"/>
                            <w:sz w:val="18"/>
                          </w:rPr>
                          <w:t>14,207.</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39</w:t>
                        </w:r>
                      </w:p>
                    </w:tc>
                    <w:tc>
                      <w:tcPr>
                        <w:tcW w:w="706"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554"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586"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646"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073"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r>
                  <w:tr>
                    <w:trPr>
                      <w:trHeight w:val="391" w:hRule="exact"/>
                    </w:trPr>
                    <w:tc>
                      <w:tcPr>
                        <w:tcW w:w="2645" w:type="dxa"/>
                        <w:gridSpan w:val="4"/>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526"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674"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780" w:type="dxa"/>
                        <w:vMerge/>
                        <w:tcBorders>
                          <w:left w:val="single" w:sz="9" w:space="0" w:color="D4D4D4"/>
                          <w:right w:val="single" w:sz="4" w:space="0" w:color="000000"/>
                        </w:tcBorders>
                      </w:tcPr>
                      <w:p>
                        <w:pPr/>
                      </w:p>
                    </w:tc>
                    <w:tc>
                      <w:tcPr>
                        <w:tcW w:w="706" w:type="dxa"/>
                        <w:vMerge/>
                        <w:tcBorders>
                          <w:left w:val="single" w:sz="4" w:space="0" w:color="000000"/>
                          <w:right w:val="single" w:sz="4" w:space="0" w:color="000000"/>
                        </w:tcBorders>
                        <w:shd w:val="clear" w:color="auto" w:fill="D4D4D4"/>
                      </w:tcPr>
                      <w:p>
                        <w:pPr/>
                      </w:p>
                    </w:tc>
                    <w:tc>
                      <w:tcPr>
                        <w:tcW w:w="674" w:type="dxa"/>
                        <w:vMerge/>
                        <w:tcBorders>
                          <w:left w:val="single" w:sz="4" w:space="0" w:color="000000"/>
                          <w:right w:val="single" w:sz="4" w:space="0" w:color="000000"/>
                        </w:tcBorders>
                      </w:tcPr>
                      <w:p>
                        <w:pPr/>
                      </w:p>
                    </w:tc>
                    <w:tc>
                      <w:tcPr>
                        <w:tcW w:w="706" w:type="dxa"/>
                        <w:vMerge/>
                        <w:tcBorders>
                          <w:left w:val="single" w:sz="4" w:space="0" w:color="000000"/>
                          <w:right w:val="single" w:sz="4" w:space="0" w:color="000000"/>
                        </w:tcBorders>
                        <w:shd w:val="clear" w:color="auto" w:fill="D4D4D4"/>
                      </w:tcPr>
                      <w:p>
                        <w:pPr/>
                      </w:p>
                    </w:tc>
                    <w:tc>
                      <w:tcPr>
                        <w:tcW w:w="554" w:type="dxa"/>
                        <w:vMerge/>
                        <w:tcBorders>
                          <w:left w:val="single" w:sz="4" w:space="0" w:color="000000"/>
                          <w:right w:val="single" w:sz="4" w:space="0" w:color="000000"/>
                        </w:tcBorders>
                        <w:shd w:val="clear" w:color="auto" w:fill="D4D4D4"/>
                      </w:tcPr>
                      <w:p>
                        <w:pPr/>
                      </w:p>
                    </w:tc>
                    <w:tc>
                      <w:tcPr>
                        <w:tcW w:w="586" w:type="dxa"/>
                        <w:vMerge/>
                        <w:tcBorders>
                          <w:left w:val="single" w:sz="4" w:space="0" w:color="000000"/>
                          <w:right w:val="single" w:sz="4" w:space="0" w:color="000000"/>
                        </w:tcBorders>
                        <w:shd w:val="clear" w:color="auto" w:fill="D4D4D4"/>
                      </w:tcPr>
                      <w:p>
                        <w:pPr/>
                      </w:p>
                    </w:tc>
                    <w:tc>
                      <w:tcPr>
                        <w:tcW w:w="646" w:type="dxa"/>
                        <w:vMerge/>
                        <w:tcBorders>
                          <w:left w:val="single" w:sz="4" w:space="0" w:color="000000"/>
                          <w:right w:val="single" w:sz="4" w:space="0" w:color="000000"/>
                        </w:tcBorders>
                        <w:shd w:val="clear" w:color="auto" w:fill="D4D4D4"/>
                      </w:tcPr>
                      <w:p>
                        <w:pPr/>
                      </w:p>
                    </w:tc>
                    <w:tc>
                      <w:tcPr>
                        <w:tcW w:w="1073" w:type="dxa"/>
                        <w:vMerge/>
                        <w:tcBorders>
                          <w:left w:val="single" w:sz="4" w:space="0" w:color="000000"/>
                          <w:right w:val="single" w:sz="4" w:space="0" w:color="000000"/>
                        </w:tcBorders>
                        <w:shd w:val="clear" w:color="auto" w:fill="D4D4D4"/>
                      </w:tcPr>
                      <w:p>
                        <w:pPr/>
                      </w:p>
                    </w:tc>
                  </w:tr>
                  <w:tr>
                    <w:trPr>
                      <w:trHeight w:val="317" w:hRule="exact"/>
                    </w:trPr>
                    <w:tc>
                      <w:tcPr>
                        <w:tcW w:w="2645" w:type="dxa"/>
                        <w:gridSpan w:val="4"/>
                        <w:tcBorders>
                          <w:top w:val="nil" w:sz="6" w:space="0" w:color="auto"/>
                          <w:left w:val="single" w:sz="4" w:space="0" w:color="000000"/>
                          <w:bottom w:val="single" w:sz="4" w:space="0" w:color="000000"/>
                          <w:right w:val="single" w:sz="4" w:space="0" w:color="000000"/>
                        </w:tcBorders>
                        <w:shd w:val="clear" w:color="auto" w:fill="D4D4D4"/>
                      </w:tcPr>
                      <w:p>
                        <w:pPr/>
                      </w:p>
                    </w:tc>
                    <w:tc>
                      <w:tcPr>
                        <w:tcW w:w="526" w:type="dxa"/>
                        <w:tcBorders>
                          <w:top w:val="nil" w:sz="6" w:space="0" w:color="auto"/>
                          <w:left w:val="single" w:sz="4" w:space="0" w:color="000000"/>
                          <w:bottom w:val="single" w:sz="4" w:space="0" w:color="000000"/>
                          <w:right w:val="single" w:sz="4" w:space="0" w:color="000000"/>
                        </w:tcBorders>
                        <w:shd w:val="clear" w:color="auto" w:fill="D4D4D4"/>
                      </w:tcPr>
                      <w:p>
                        <w:pPr/>
                      </w:p>
                    </w:tc>
                    <w:tc>
                      <w:tcPr>
                        <w:tcW w:w="674" w:type="dxa"/>
                        <w:tcBorders>
                          <w:top w:val="nil" w:sz="6" w:space="0" w:color="auto"/>
                          <w:left w:val="single" w:sz="4" w:space="0" w:color="000000"/>
                          <w:bottom w:val="single" w:sz="4" w:space="0" w:color="000000"/>
                          <w:right w:val="single" w:sz="4" w:space="0" w:color="000000"/>
                        </w:tcBorders>
                        <w:shd w:val="clear" w:color="auto" w:fill="D4D4D4"/>
                      </w:tcPr>
                      <w:p>
                        <w:pPr/>
                      </w:p>
                    </w:tc>
                    <w:tc>
                      <w:tcPr>
                        <w:tcW w:w="780" w:type="dxa"/>
                        <w:vMerge/>
                        <w:tcBorders>
                          <w:left w:val="single" w:sz="9" w:space="0" w:color="D4D4D4"/>
                          <w:bottom w:val="single" w:sz="4" w:space="0" w:color="000000"/>
                          <w:right w:val="single" w:sz="4" w:space="0" w:color="000000"/>
                        </w:tcBorders>
                      </w:tcPr>
                      <w:p>
                        <w:pPr/>
                      </w:p>
                    </w:tc>
                    <w:tc>
                      <w:tcPr>
                        <w:tcW w:w="706" w:type="dxa"/>
                        <w:vMerge/>
                        <w:tcBorders>
                          <w:left w:val="single" w:sz="4" w:space="0" w:color="000000"/>
                          <w:bottom w:val="single" w:sz="4" w:space="0" w:color="000000"/>
                          <w:right w:val="single" w:sz="4" w:space="0" w:color="000000"/>
                        </w:tcBorders>
                        <w:shd w:val="clear" w:color="auto" w:fill="D4D4D4"/>
                      </w:tcPr>
                      <w:p>
                        <w:pPr/>
                      </w:p>
                    </w:tc>
                    <w:tc>
                      <w:tcPr>
                        <w:tcW w:w="674" w:type="dxa"/>
                        <w:vMerge/>
                        <w:tcBorders>
                          <w:left w:val="single" w:sz="4" w:space="0" w:color="000000"/>
                          <w:bottom w:val="single" w:sz="4" w:space="0" w:color="000000"/>
                          <w:right w:val="single" w:sz="4" w:space="0" w:color="000000"/>
                        </w:tcBorders>
                      </w:tcPr>
                      <w:p>
                        <w:pPr/>
                      </w:p>
                    </w:tc>
                    <w:tc>
                      <w:tcPr>
                        <w:tcW w:w="706" w:type="dxa"/>
                        <w:vMerge/>
                        <w:tcBorders>
                          <w:left w:val="single" w:sz="4" w:space="0" w:color="000000"/>
                          <w:bottom w:val="single" w:sz="4" w:space="0" w:color="000000"/>
                          <w:right w:val="single" w:sz="4" w:space="0" w:color="000000"/>
                        </w:tcBorders>
                        <w:shd w:val="clear" w:color="auto" w:fill="D4D4D4"/>
                      </w:tcPr>
                      <w:p>
                        <w:pPr/>
                      </w:p>
                    </w:tc>
                    <w:tc>
                      <w:tcPr>
                        <w:tcW w:w="554" w:type="dxa"/>
                        <w:vMerge/>
                        <w:tcBorders>
                          <w:left w:val="single" w:sz="4" w:space="0" w:color="000000"/>
                          <w:bottom w:val="single" w:sz="4" w:space="0" w:color="000000"/>
                          <w:right w:val="single" w:sz="4" w:space="0" w:color="000000"/>
                        </w:tcBorders>
                        <w:shd w:val="clear" w:color="auto" w:fill="D4D4D4"/>
                      </w:tcPr>
                      <w:p>
                        <w:pPr/>
                      </w:p>
                    </w:tc>
                    <w:tc>
                      <w:tcPr>
                        <w:tcW w:w="586" w:type="dxa"/>
                        <w:vMerge/>
                        <w:tcBorders>
                          <w:left w:val="single" w:sz="4" w:space="0" w:color="000000"/>
                          <w:bottom w:val="single" w:sz="4" w:space="0" w:color="000000"/>
                          <w:right w:val="single" w:sz="4" w:space="0" w:color="000000"/>
                        </w:tcBorders>
                        <w:shd w:val="clear" w:color="auto" w:fill="D4D4D4"/>
                      </w:tcPr>
                      <w:p>
                        <w:pPr/>
                      </w:p>
                    </w:tc>
                    <w:tc>
                      <w:tcPr>
                        <w:tcW w:w="646" w:type="dxa"/>
                        <w:vMerge/>
                        <w:tcBorders>
                          <w:left w:val="single" w:sz="4" w:space="0" w:color="000000"/>
                          <w:bottom w:val="single" w:sz="4" w:space="0" w:color="000000"/>
                          <w:right w:val="single" w:sz="4" w:space="0" w:color="000000"/>
                        </w:tcBorders>
                        <w:shd w:val="clear" w:color="auto" w:fill="D4D4D4"/>
                      </w:tcPr>
                      <w:p>
                        <w:pPr/>
                      </w:p>
                    </w:tc>
                    <w:tc>
                      <w:tcPr>
                        <w:tcW w:w="1073" w:type="dxa"/>
                        <w:vMerge/>
                        <w:tcBorders>
                          <w:left w:val="single" w:sz="4" w:space="0" w:color="000000"/>
                          <w:bottom w:val="single" w:sz="4" w:space="0" w:color="000000"/>
                          <w:right w:val="single" w:sz="4" w:space="0" w:color="000000"/>
                        </w:tcBorders>
                        <w:shd w:val="clear" w:color="auto" w:fill="D4D4D4"/>
                      </w:tcPr>
                      <w:p>
                        <w:pPr/>
                      </w:p>
                    </w:tc>
                  </w:tr>
                  <w:tr>
                    <w:trPr>
                      <w:trHeight w:val="401" w:hRule="exact"/>
                    </w:trPr>
                    <w:tc>
                      <w:tcPr>
                        <w:tcW w:w="2645" w:type="dxa"/>
                        <w:gridSpan w:val="4"/>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大额销货退回的详细情况</w:t>
                        </w:r>
                      </w:p>
                    </w:tc>
                    <w:tc>
                      <w:tcPr>
                        <w:tcW w:w="6924" w:type="dxa"/>
                        <w:gridSpan w:val="10"/>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17"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1274" w:hRule="exact"/>
                    </w:trPr>
                    <w:tc>
                      <w:tcPr>
                        <w:tcW w:w="2645" w:type="dxa"/>
                        <w:gridSpan w:val="4"/>
                        <w:tcBorders>
                          <w:top w:val="single" w:sz="4" w:space="0" w:color="000000"/>
                          <w:left w:val="single" w:sz="4" w:space="0" w:color="000000"/>
                          <w:bottom w:val="nil" w:sz="6" w:space="0" w:color="auto"/>
                          <w:right w:val="single" w:sz="4" w:space="0" w:color="000000"/>
                        </w:tcBorders>
                        <w:shd w:val="clear" w:color="auto" w:fill="D4D4D4"/>
                      </w:tcPr>
                      <w:p>
                        <w:pPr/>
                      </w:p>
                    </w:tc>
                    <w:tc>
                      <w:tcPr>
                        <w:tcW w:w="6924" w:type="dxa"/>
                        <w:gridSpan w:val="10"/>
                        <w:vMerge w:val="restart"/>
                        <w:tcBorders>
                          <w:top w:val="single" w:sz="4" w:space="0" w:color="000000"/>
                          <w:left w:val="single" w:sz="9" w:space="0" w:color="D4D4D4"/>
                          <w:right w:val="single" w:sz="4" w:space="0" w:color="000000"/>
                        </w:tcBorders>
                      </w:tcPr>
                      <w:p>
                        <w:pPr>
                          <w:pStyle w:val="TableParagraph"/>
                          <w:spacing w:line="240" w:lineRule="auto" w:before="51"/>
                          <w:ind w:left="17"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22</w:t>
                        </w:r>
                        <w:r>
                          <w:rPr>
                            <w:rFonts w:ascii="宋体" w:hAnsi="宋体" w:cs="宋体" w:eastAsia="宋体" w:hint="default"/>
                            <w:spacing w:val="-45"/>
                            <w:sz w:val="18"/>
                            <w:szCs w:val="18"/>
                          </w:rPr>
                          <w:t> </w:t>
                        </w:r>
                        <w:r>
                          <w:rPr>
                            <w:rFonts w:ascii="宋体" w:hAnsi="宋体" w:cs="宋体" w:eastAsia="宋体" w:hint="default"/>
                            <w:sz w:val="18"/>
                            <w:szCs w:val="18"/>
                          </w:rPr>
                          <w:t>日，公司第四届董事会第五次会议及第四届监事会第五次会议审议通过</w:t>
                        </w:r>
                      </w:p>
                      <w:p>
                        <w:pPr>
                          <w:pStyle w:val="TableParagraph"/>
                          <w:spacing w:line="240" w:lineRule="auto" w:before="74"/>
                          <w:ind w:left="17" w:right="0"/>
                          <w:jc w:val="left"/>
                          <w:rPr>
                            <w:rFonts w:ascii="宋体" w:hAnsi="宋体" w:cs="宋体" w:eastAsia="宋体" w:hint="default"/>
                            <w:sz w:val="18"/>
                            <w:szCs w:val="18"/>
                          </w:rPr>
                        </w:pPr>
                        <w:r>
                          <w:rPr>
                            <w:rFonts w:ascii="宋体" w:hAnsi="宋体" w:cs="宋体" w:eastAsia="宋体" w:hint="default"/>
                            <w:sz w:val="18"/>
                            <w:szCs w:val="18"/>
                          </w:rPr>
                          <w:t>了《关于公司</w:t>
                        </w:r>
                        <w:r>
                          <w:rPr>
                            <w:rFonts w:ascii="宋体" w:hAnsi="宋体" w:cs="宋体" w:eastAsia="宋体" w:hint="default"/>
                            <w:spacing w:val="-45"/>
                            <w:sz w:val="18"/>
                            <w:szCs w:val="18"/>
                          </w:rPr>
                          <w:t> </w:t>
                        </w:r>
                        <w:r>
                          <w:rPr>
                            <w:rFonts w:ascii="宋体" w:hAnsi="宋体" w:cs="宋体" w:eastAsia="宋体" w:hint="default"/>
                            <w:spacing w:val="1"/>
                            <w:sz w:val="18"/>
                            <w:szCs w:val="18"/>
                          </w:rPr>
                          <w:t>2</w:t>
                        </w:r>
                        <w:r>
                          <w:rPr>
                            <w:rFonts w:ascii="宋体" w:hAnsi="宋体" w:cs="宋体" w:eastAsia="宋体" w:hint="default"/>
                            <w:spacing w:val="-2"/>
                            <w:sz w:val="18"/>
                            <w:szCs w:val="18"/>
                          </w:rPr>
                          <w:t>0</w:t>
                        </w:r>
                        <w:r>
                          <w:rPr>
                            <w:rFonts w:ascii="宋体" w:hAnsi="宋体" w:cs="宋体" w:eastAsia="宋体" w:hint="default"/>
                            <w:spacing w:val="1"/>
                            <w:sz w:val="18"/>
                            <w:szCs w:val="18"/>
                          </w:rPr>
                          <w:t>1</w:t>
                        </w:r>
                        <w:r>
                          <w:rPr>
                            <w:rFonts w:ascii="宋体" w:hAnsi="宋体" w:cs="宋体" w:eastAsia="宋体" w:hint="default"/>
                            <w:sz w:val="18"/>
                            <w:szCs w:val="18"/>
                          </w:rPr>
                          <w:t>9</w:t>
                        </w:r>
                        <w:r>
                          <w:rPr>
                            <w:rFonts w:ascii="宋体" w:hAnsi="宋体" w:cs="宋体" w:eastAsia="宋体" w:hint="default"/>
                            <w:spacing w:val="-44"/>
                            <w:sz w:val="18"/>
                            <w:szCs w:val="18"/>
                          </w:rPr>
                          <w:t> </w:t>
                        </w:r>
                        <w:r>
                          <w:rPr>
                            <w:rFonts w:ascii="宋体" w:hAnsi="宋体" w:cs="宋体" w:eastAsia="宋体" w:hint="default"/>
                            <w:sz w:val="18"/>
                            <w:szCs w:val="18"/>
                          </w:rPr>
                          <w:t>年度日常</w:t>
                        </w:r>
                        <w:r>
                          <w:rPr>
                            <w:rFonts w:ascii="宋体" w:hAnsi="宋体" w:cs="宋体" w:eastAsia="宋体" w:hint="default"/>
                            <w:spacing w:val="-3"/>
                            <w:sz w:val="18"/>
                            <w:szCs w:val="18"/>
                          </w:rPr>
                          <w:t>关</w:t>
                        </w:r>
                        <w:r>
                          <w:rPr>
                            <w:rFonts w:ascii="宋体" w:hAnsi="宋体" w:cs="宋体" w:eastAsia="宋体" w:hint="default"/>
                            <w:sz w:val="18"/>
                            <w:szCs w:val="18"/>
                          </w:rPr>
                          <w:t>联交易预计的议案</w:t>
                        </w:r>
                        <w:r>
                          <w:rPr>
                            <w:rFonts w:ascii="宋体" w:hAnsi="宋体" w:cs="宋体" w:eastAsia="宋体" w:hint="default"/>
                            <w:spacing w:val="-92"/>
                            <w:sz w:val="18"/>
                            <w:szCs w:val="18"/>
                          </w:rPr>
                          <w:t>》</w:t>
                        </w:r>
                        <w:r>
                          <w:rPr>
                            <w:rFonts w:ascii="宋体" w:hAnsi="宋体" w:cs="宋体" w:eastAsia="宋体" w:hint="default"/>
                            <w:sz w:val="18"/>
                            <w:szCs w:val="18"/>
                          </w:rPr>
                          <w:t>，预计公</w:t>
                        </w:r>
                        <w:r>
                          <w:rPr>
                            <w:rFonts w:ascii="宋体" w:hAnsi="宋体" w:cs="宋体" w:eastAsia="宋体" w:hint="default"/>
                            <w:spacing w:val="2"/>
                            <w:sz w:val="18"/>
                            <w:szCs w:val="18"/>
                          </w:rPr>
                          <w:t>司</w:t>
                        </w:r>
                        <w:r>
                          <w:rPr>
                            <w:rFonts w:ascii="宋体" w:hAnsi="宋体" w:cs="宋体" w:eastAsia="宋体" w:hint="default"/>
                            <w:sz w:val="18"/>
                            <w:szCs w:val="18"/>
                          </w:rPr>
                          <w:t>及子公司与关联方实际发</w:t>
                        </w:r>
                      </w:p>
                      <w:p>
                        <w:pPr>
                          <w:pStyle w:val="TableParagraph"/>
                          <w:spacing w:line="240" w:lineRule="auto" w:before="76"/>
                          <w:ind w:left="17" w:right="0"/>
                          <w:jc w:val="left"/>
                          <w:rPr>
                            <w:rFonts w:ascii="宋体" w:hAnsi="宋体" w:cs="宋体" w:eastAsia="宋体" w:hint="default"/>
                            <w:sz w:val="18"/>
                            <w:szCs w:val="18"/>
                          </w:rPr>
                        </w:pPr>
                        <w:r>
                          <w:rPr>
                            <w:rFonts w:ascii="宋体" w:hAnsi="宋体" w:cs="宋体" w:eastAsia="宋体" w:hint="default"/>
                            <w:sz w:val="18"/>
                            <w:szCs w:val="18"/>
                          </w:rPr>
                          <w:t>生总金额不超过</w:t>
                        </w:r>
                        <w:r>
                          <w:rPr>
                            <w:rFonts w:ascii="宋体" w:hAnsi="宋体" w:cs="宋体" w:eastAsia="宋体" w:hint="default"/>
                            <w:spacing w:val="-47"/>
                            <w:sz w:val="18"/>
                            <w:szCs w:val="18"/>
                          </w:rPr>
                          <w:t> </w:t>
                        </w:r>
                        <w:r>
                          <w:rPr>
                            <w:rFonts w:ascii="宋体" w:hAnsi="宋体" w:cs="宋体" w:eastAsia="宋体" w:hint="default"/>
                            <w:sz w:val="18"/>
                            <w:szCs w:val="18"/>
                          </w:rPr>
                          <w:t>12,600</w:t>
                        </w:r>
                        <w:r>
                          <w:rPr>
                            <w:rFonts w:ascii="宋体" w:hAnsi="宋体" w:cs="宋体" w:eastAsia="宋体" w:hint="default"/>
                            <w:spacing w:val="-46"/>
                            <w:sz w:val="18"/>
                            <w:szCs w:val="18"/>
                          </w:rPr>
                          <w:t> </w:t>
                        </w:r>
                        <w:r>
                          <w:rPr>
                            <w:rFonts w:ascii="宋体" w:hAnsi="宋体" w:cs="宋体" w:eastAsia="宋体" w:hint="default"/>
                            <w:sz w:val="18"/>
                            <w:szCs w:val="18"/>
                          </w:rPr>
                          <w:t>万元的日常关联交易；</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28</w:t>
                        </w:r>
                        <w:r>
                          <w:rPr>
                            <w:rFonts w:ascii="宋体" w:hAnsi="宋体" w:cs="宋体" w:eastAsia="宋体" w:hint="default"/>
                            <w:spacing w:val="-46"/>
                            <w:sz w:val="18"/>
                            <w:szCs w:val="18"/>
                          </w:rPr>
                          <w:t> </w:t>
                        </w:r>
                        <w:r>
                          <w:rPr>
                            <w:rFonts w:ascii="宋体" w:hAnsi="宋体" w:cs="宋体" w:eastAsia="宋体" w:hint="default"/>
                            <w:sz w:val="18"/>
                            <w:szCs w:val="18"/>
                          </w:rPr>
                          <w:t>日公司第四届董事会第</w:t>
                        </w:r>
                      </w:p>
                      <w:p>
                        <w:pPr>
                          <w:pStyle w:val="TableParagraph"/>
                          <w:spacing w:line="240" w:lineRule="auto" w:before="76"/>
                          <w:ind w:left="17" w:right="0"/>
                          <w:jc w:val="left"/>
                          <w:rPr>
                            <w:rFonts w:ascii="宋体" w:hAnsi="宋体" w:cs="宋体" w:eastAsia="宋体" w:hint="default"/>
                            <w:sz w:val="18"/>
                            <w:szCs w:val="18"/>
                          </w:rPr>
                        </w:pPr>
                        <w:r>
                          <w:rPr>
                            <w:rFonts w:ascii="宋体" w:hAnsi="宋体" w:cs="宋体" w:eastAsia="宋体" w:hint="default"/>
                            <w:sz w:val="18"/>
                            <w:szCs w:val="18"/>
                          </w:rPr>
                          <w:t>十三次会议审议通过</w:t>
                        </w:r>
                        <w:r>
                          <w:rPr>
                            <w:rFonts w:ascii="宋体" w:hAnsi="宋体" w:cs="宋体" w:eastAsia="宋体" w:hint="default"/>
                            <w:spacing w:val="-32"/>
                            <w:sz w:val="18"/>
                            <w:szCs w:val="18"/>
                          </w:rPr>
                          <w:t>了</w:t>
                        </w:r>
                        <w:r>
                          <w:rPr>
                            <w:rFonts w:ascii="宋体" w:hAnsi="宋体" w:cs="宋体" w:eastAsia="宋体" w:hint="default"/>
                            <w:sz w:val="18"/>
                            <w:szCs w:val="18"/>
                          </w:rPr>
                          <w:t>《关于增加公司</w:t>
                        </w:r>
                        <w:r>
                          <w:rPr>
                            <w:rFonts w:ascii="宋体" w:hAnsi="宋体" w:cs="宋体" w:eastAsia="宋体" w:hint="default"/>
                            <w:spacing w:val="-45"/>
                            <w:sz w:val="18"/>
                            <w:szCs w:val="18"/>
                          </w:rPr>
                          <w:t> </w:t>
                        </w:r>
                        <w:r>
                          <w:rPr>
                            <w:rFonts w:ascii="宋体" w:hAnsi="宋体" w:cs="宋体" w:eastAsia="宋体" w:hint="default"/>
                            <w:spacing w:val="1"/>
                            <w:sz w:val="18"/>
                            <w:szCs w:val="18"/>
                          </w:rPr>
                          <w:t>2</w:t>
                        </w:r>
                        <w:r>
                          <w:rPr>
                            <w:rFonts w:ascii="宋体" w:hAnsi="宋体" w:cs="宋体" w:eastAsia="宋体" w:hint="default"/>
                            <w:spacing w:val="-2"/>
                            <w:sz w:val="18"/>
                            <w:szCs w:val="18"/>
                          </w:rPr>
                          <w:t>0</w:t>
                        </w:r>
                        <w:r>
                          <w:rPr>
                            <w:rFonts w:ascii="宋体" w:hAnsi="宋体" w:cs="宋体" w:eastAsia="宋体" w:hint="default"/>
                            <w:spacing w:val="1"/>
                            <w:sz w:val="18"/>
                            <w:szCs w:val="18"/>
                          </w:rPr>
                          <w:t>1</w:t>
                        </w:r>
                        <w:r>
                          <w:rPr>
                            <w:rFonts w:ascii="宋体" w:hAnsi="宋体" w:cs="宋体" w:eastAsia="宋体" w:hint="default"/>
                            <w:sz w:val="18"/>
                            <w:szCs w:val="18"/>
                          </w:rPr>
                          <w:t>9</w:t>
                        </w:r>
                        <w:r>
                          <w:rPr>
                            <w:rFonts w:ascii="宋体" w:hAnsi="宋体" w:cs="宋体" w:eastAsia="宋体" w:hint="default"/>
                            <w:spacing w:val="-44"/>
                            <w:sz w:val="18"/>
                            <w:szCs w:val="18"/>
                          </w:rPr>
                          <w:t> </w:t>
                        </w:r>
                        <w:r>
                          <w:rPr>
                            <w:rFonts w:ascii="宋体" w:hAnsi="宋体" w:cs="宋体" w:eastAsia="宋体" w:hint="default"/>
                            <w:sz w:val="18"/>
                            <w:szCs w:val="18"/>
                          </w:rPr>
                          <w:t>年度日常关联</w:t>
                        </w:r>
                        <w:r>
                          <w:rPr>
                            <w:rFonts w:ascii="宋体" w:hAnsi="宋体" w:cs="宋体" w:eastAsia="宋体" w:hint="default"/>
                            <w:spacing w:val="-3"/>
                            <w:sz w:val="18"/>
                            <w:szCs w:val="18"/>
                          </w:rPr>
                          <w:t>交</w:t>
                        </w:r>
                        <w:r>
                          <w:rPr>
                            <w:rFonts w:ascii="宋体" w:hAnsi="宋体" w:cs="宋体" w:eastAsia="宋体" w:hint="default"/>
                            <w:sz w:val="18"/>
                            <w:szCs w:val="18"/>
                          </w:rPr>
                          <w:t>易预计额的议案</w:t>
                        </w:r>
                        <w:r>
                          <w:rPr>
                            <w:rFonts w:ascii="宋体" w:hAnsi="宋体" w:cs="宋体" w:eastAsia="宋体" w:hint="default"/>
                            <w:spacing w:val="-92"/>
                            <w:sz w:val="18"/>
                            <w:szCs w:val="18"/>
                          </w:rPr>
                          <w:t>》</w:t>
                        </w:r>
                        <w:r>
                          <w:rPr>
                            <w:rFonts w:ascii="宋体" w:hAnsi="宋体" w:cs="宋体" w:eastAsia="宋体" w:hint="default"/>
                            <w:spacing w:val="-32"/>
                            <w:sz w:val="18"/>
                            <w:szCs w:val="18"/>
                          </w:rPr>
                          <w:t>，</w:t>
                        </w:r>
                        <w:r>
                          <w:rPr>
                            <w:rFonts w:ascii="宋体" w:hAnsi="宋体" w:cs="宋体" w:eastAsia="宋体" w:hint="default"/>
                            <w:sz w:val="18"/>
                            <w:szCs w:val="18"/>
                          </w:rPr>
                          <w:t>新增后</w:t>
                        </w:r>
                      </w:p>
                      <w:p>
                        <w:pPr>
                          <w:pStyle w:val="TableParagraph"/>
                          <w:spacing w:line="338" w:lineRule="auto" w:before="76"/>
                          <w:ind w:left="17" w:right="19"/>
                          <w:jc w:val="left"/>
                          <w:rPr>
                            <w:rFonts w:ascii="宋体" w:hAnsi="宋体" w:cs="宋体" w:eastAsia="宋体" w:hint="default"/>
                            <w:sz w:val="18"/>
                            <w:szCs w:val="18"/>
                          </w:rPr>
                        </w:pPr>
                        <w:r>
                          <w:rPr>
                            <w:rFonts w:ascii="宋体" w:hAnsi="宋体" w:cs="宋体" w:eastAsia="宋体" w:hint="default"/>
                            <w:sz w:val="18"/>
                            <w:szCs w:val="18"/>
                          </w:rPr>
                          <w:t>预计公司与子公司与关联方实际发生总金额不超过</w:t>
                        </w:r>
                        <w:r>
                          <w:rPr>
                            <w:rFonts w:ascii="宋体" w:hAnsi="宋体" w:cs="宋体" w:eastAsia="宋体" w:hint="default"/>
                            <w:spacing w:val="-42"/>
                            <w:sz w:val="18"/>
                            <w:szCs w:val="18"/>
                          </w:rPr>
                          <w:t> </w:t>
                        </w:r>
                        <w:r>
                          <w:rPr>
                            <w:rFonts w:ascii="宋体" w:hAnsi="宋体" w:cs="宋体" w:eastAsia="宋体" w:hint="default"/>
                            <w:sz w:val="18"/>
                            <w:szCs w:val="18"/>
                          </w:rPr>
                          <w:t>13,400</w:t>
                        </w:r>
                        <w:r>
                          <w:rPr>
                            <w:rFonts w:ascii="宋体" w:hAnsi="宋体" w:cs="宋体" w:eastAsia="宋体" w:hint="default"/>
                            <w:spacing w:val="-41"/>
                            <w:sz w:val="18"/>
                            <w:szCs w:val="18"/>
                          </w:rPr>
                          <w:t> </w:t>
                        </w:r>
                        <w:r>
                          <w:rPr>
                            <w:rFonts w:ascii="宋体" w:hAnsi="宋体" w:cs="宋体" w:eastAsia="宋体" w:hint="default"/>
                            <w:spacing w:val="-6"/>
                            <w:sz w:val="18"/>
                            <w:szCs w:val="18"/>
                          </w:rPr>
                          <w:t>万元。报告期内，实际发生的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关联交易总金额未超过预计总额度。 在发生的日常关联交易中，未做预计的采购商品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接受劳务总金额为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818.10 </w:t>
                        </w:r>
                        <w:r>
                          <w:rPr>
                            <w:rFonts w:ascii="宋体" w:hAnsi="宋体" w:cs="宋体" w:eastAsia="宋体" w:hint="default"/>
                            <w:sz w:val="18"/>
                            <w:szCs w:val="18"/>
                          </w:rPr>
                          <w:t>万，占公司</w:t>
                        </w:r>
                      </w:p>
                      <w:p>
                        <w:pPr>
                          <w:pStyle w:val="TableParagraph"/>
                          <w:spacing w:line="230" w:lineRule="exact"/>
                          <w:ind w:left="17"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7"/>
                            <w:sz w:val="18"/>
                            <w:szCs w:val="18"/>
                          </w:rPr>
                          <w:t> </w:t>
                        </w:r>
                        <w:r>
                          <w:rPr>
                            <w:rFonts w:ascii="宋体" w:hAnsi="宋体" w:cs="宋体" w:eastAsia="宋体" w:hint="default"/>
                            <w:sz w:val="18"/>
                            <w:szCs w:val="18"/>
                          </w:rPr>
                          <w:t>年经审计净资产的</w:t>
                        </w:r>
                        <w:r>
                          <w:rPr>
                            <w:rFonts w:ascii="宋体" w:hAnsi="宋体" w:cs="宋体" w:eastAsia="宋体" w:hint="default"/>
                            <w:spacing w:val="-49"/>
                            <w:sz w:val="18"/>
                            <w:szCs w:val="18"/>
                          </w:rPr>
                          <w:t> </w:t>
                        </w:r>
                        <w:r>
                          <w:rPr>
                            <w:rFonts w:ascii="宋体" w:hAnsi="宋体" w:cs="宋体" w:eastAsia="宋体" w:hint="default"/>
                            <w:sz w:val="18"/>
                            <w:szCs w:val="18"/>
                          </w:rPr>
                          <w:t>0.32%</w:t>
                        </w:r>
                        <w:r>
                          <w:rPr>
                            <w:rFonts w:ascii="宋体" w:hAnsi="宋体" w:cs="宋体" w:eastAsia="宋体" w:hint="default"/>
                            <w:sz w:val="18"/>
                            <w:szCs w:val="18"/>
                          </w:rPr>
                          <w:t>；未做预计或超过预计的出售商品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提供劳务总金额为</w:t>
                        </w:r>
                      </w:p>
                      <w:p>
                        <w:pPr>
                          <w:pStyle w:val="TableParagraph"/>
                          <w:spacing w:line="240" w:lineRule="auto" w:before="63"/>
                          <w:ind w:left="1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363.76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万元，占公司</w:t>
                        </w:r>
                        <w:r>
                          <w:rPr>
                            <w:rFonts w:ascii="宋体" w:hAnsi="宋体" w:cs="宋体" w:eastAsia="宋体" w:hint="default"/>
                            <w:spacing w:val="-50"/>
                            <w:sz w:val="18"/>
                            <w:szCs w:val="18"/>
                          </w:rPr>
                          <w:t> </w:t>
                        </w:r>
                        <w:r>
                          <w:rPr>
                            <w:rFonts w:ascii="宋体" w:hAnsi="宋体" w:cs="宋体" w:eastAsia="宋体" w:hint="default"/>
                            <w:sz w:val="18"/>
                            <w:szCs w:val="18"/>
                          </w:rPr>
                          <w:t>2018</w:t>
                        </w:r>
                        <w:r>
                          <w:rPr>
                            <w:rFonts w:ascii="宋体" w:hAnsi="宋体" w:cs="宋体" w:eastAsia="宋体" w:hint="default"/>
                            <w:spacing w:val="-47"/>
                            <w:sz w:val="18"/>
                            <w:szCs w:val="18"/>
                          </w:rPr>
                          <w:t> </w:t>
                        </w:r>
                        <w:r>
                          <w:rPr>
                            <w:rFonts w:ascii="宋体" w:hAnsi="宋体" w:cs="宋体" w:eastAsia="宋体" w:hint="default"/>
                            <w:sz w:val="18"/>
                            <w:szCs w:val="18"/>
                          </w:rPr>
                          <w:t>年经审计净资产的</w:t>
                        </w:r>
                        <w:r>
                          <w:rPr>
                            <w:rFonts w:ascii="宋体" w:hAnsi="宋体" w:cs="宋体" w:eastAsia="宋体" w:hint="default"/>
                            <w:spacing w:val="-48"/>
                            <w:sz w:val="18"/>
                            <w:szCs w:val="18"/>
                          </w:rPr>
                          <w:t> </w:t>
                        </w:r>
                        <w:r>
                          <w:rPr>
                            <w:rFonts w:ascii="宋体" w:hAnsi="宋体" w:cs="宋体" w:eastAsia="宋体" w:hint="default"/>
                            <w:sz w:val="18"/>
                            <w:szCs w:val="18"/>
                          </w:rPr>
                          <w:t>0.14%</w:t>
                        </w:r>
                        <w:r>
                          <w:rPr>
                            <w:rFonts w:ascii="宋体" w:hAnsi="宋体" w:cs="宋体" w:eastAsia="宋体" w:hint="default"/>
                            <w:sz w:val="18"/>
                            <w:szCs w:val="18"/>
                          </w:rPr>
                          <w:t>；两者累计日常关联交易总额为</w:t>
                        </w:r>
                      </w:p>
                      <w:p>
                        <w:pPr>
                          <w:pStyle w:val="TableParagraph"/>
                          <w:spacing w:line="316" w:lineRule="auto" w:before="63"/>
                          <w:ind w:left="17" w:right="21"/>
                          <w:jc w:val="left"/>
                          <w:rPr>
                            <w:rFonts w:ascii="宋体" w:hAnsi="宋体" w:cs="宋体" w:eastAsia="宋体" w:hint="default"/>
                            <w:sz w:val="18"/>
                            <w:szCs w:val="18"/>
                          </w:rPr>
                        </w:pPr>
                        <w:r>
                          <w:rPr>
                            <w:rFonts w:ascii="宋体" w:hAnsi="宋体" w:cs="宋体" w:eastAsia="宋体" w:hint="default"/>
                            <w:sz w:val="18"/>
                            <w:szCs w:val="18"/>
                          </w:rPr>
                          <w:t>1,181.86</w:t>
                        </w:r>
                        <w:r>
                          <w:rPr>
                            <w:rFonts w:ascii="宋体" w:hAnsi="宋体" w:cs="宋体" w:eastAsia="宋体" w:hint="default"/>
                            <w:spacing w:val="-53"/>
                            <w:sz w:val="18"/>
                            <w:szCs w:val="18"/>
                          </w:rPr>
                          <w:t> </w:t>
                        </w:r>
                        <w:r>
                          <w:rPr>
                            <w:rFonts w:ascii="宋体" w:hAnsi="宋体" w:cs="宋体" w:eastAsia="宋体" w:hint="default"/>
                            <w:spacing w:val="-6"/>
                            <w:sz w:val="18"/>
                            <w:szCs w:val="18"/>
                          </w:rPr>
                          <w:t>万元，占公司</w:t>
                        </w:r>
                        <w:r>
                          <w:rPr>
                            <w:rFonts w:ascii="宋体" w:hAnsi="宋体" w:cs="宋体" w:eastAsia="宋体" w:hint="default"/>
                            <w:spacing w:val="-56"/>
                            <w:sz w:val="18"/>
                            <w:szCs w:val="18"/>
                          </w:rPr>
                          <w:t> </w:t>
                        </w:r>
                        <w:r>
                          <w:rPr>
                            <w:rFonts w:ascii="宋体" w:hAnsi="宋体" w:cs="宋体" w:eastAsia="宋体" w:hint="default"/>
                            <w:sz w:val="18"/>
                            <w:szCs w:val="18"/>
                          </w:rPr>
                          <w:t>2018</w:t>
                        </w:r>
                        <w:r>
                          <w:rPr>
                            <w:rFonts w:ascii="宋体" w:hAnsi="宋体" w:cs="宋体" w:eastAsia="宋体" w:hint="default"/>
                            <w:spacing w:val="-53"/>
                            <w:sz w:val="18"/>
                            <w:szCs w:val="18"/>
                          </w:rPr>
                          <w:t> </w:t>
                        </w:r>
                        <w:r>
                          <w:rPr>
                            <w:rFonts w:ascii="宋体" w:hAnsi="宋体" w:cs="宋体" w:eastAsia="宋体" w:hint="default"/>
                            <w:sz w:val="18"/>
                            <w:szCs w:val="18"/>
                          </w:rPr>
                          <w:t>年经审计净资产的</w:t>
                        </w:r>
                        <w:r>
                          <w:rPr>
                            <w:rFonts w:ascii="宋体" w:hAnsi="宋体" w:cs="宋体" w:eastAsia="宋体" w:hint="default"/>
                            <w:spacing w:val="-54"/>
                            <w:sz w:val="18"/>
                            <w:szCs w:val="18"/>
                          </w:rPr>
                          <w:t> </w:t>
                        </w:r>
                        <w:r>
                          <w:rPr>
                            <w:rFonts w:ascii="宋体" w:hAnsi="宋体" w:cs="宋体" w:eastAsia="宋体" w:hint="default"/>
                            <w:sz w:val="18"/>
                            <w:szCs w:val="18"/>
                          </w:rPr>
                          <w:t>0.46%</w:t>
                        </w:r>
                        <w:r>
                          <w:rPr>
                            <w:rFonts w:ascii="宋体" w:hAnsi="宋体" w:cs="宋体" w:eastAsia="宋体" w:hint="default"/>
                            <w:sz w:val="18"/>
                            <w:szCs w:val="18"/>
                          </w:rPr>
                          <w:t>，均未达到需公司董事会审议的标 准。</w:t>
                        </w:r>
                      </w:p>
                    </w:tc>
                  </w:tr>
                  <w:tr>
                    <w:trPr>
                      <w:trHeight w:val="1015" w:hRule="exact"/>
                    </w:trPr>
                    <w:tc>
                      <w:tcPr>
                        <w:tcW w:w="2645" w:type="dxa"/>
                        <w:gridSpan w:val="4"/>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316" w:lineRule="auto" w:before="49"/>
                          <w:ind w:left="24" w:right="89"/>
                          <w:jc w:val="both"/>
                          <w:rPr>
                            <w:rFonts w:ascii="宋体" w:hAnsi="宋体" w:cs="宋体" w:eastAsia="宋体" w:hint="default"/>
                            <w:sz w:val="18"/>
                            <w:szCs w:val="18"/>
                          </w:rPr>
                        </w:pPr>
                        <w:r>
                          <w:rPr>
                            <w:rFonts w:ascii="宋体" w:hAnsi="宋体" w:cs="宋体" w:eastAsia="宋体" w:hint="default"/>
                            <w:sz w:val="18"/>
                            <w:szCs w:val="18"/>
                          </w:rPr>
                          <w:t>按类别对本期将发生的日常关联 交易进行总金额预计的，在报告 期内的实际履行情况（如有）</w:t>
                        </w:r>
                      </w:p>
                    </w:tc>
                    <w:tc>
                      <w:tcPr>
                        <w:tcW w:w="6924" w:type="dxa"/>
                        <w:gridSpan w:val="10"/>
                        <w:vMerge/>
                        <w:tcBorders>
                          <w:left w:val="single" w:sz="9" w:space="0" w:color="D4D4D4"/>
                          <w:right w:val="single" w:sz="4" w:space="0" w:color="000000"/>
                        </w:tcBorders>
                      </w:tcPr>
                      <w:p>
                        <w:pPr/>
                      </w:p>
                    </w:tc>
                  </w:tr>
                  <w:tr>
                    <w:trPr>
                      <w:trHeight w:val="1274" w:hRule="exact"/>
                    </w:trPr>
                    <w:tc>
                      <w:tcPr>
                        <w:tcW w:w="2645" w:type="dxa"/>
                        <w:gridSpan w:val="4"/>
                        <w:tcBorders>
                          <w:top w:val="nil" w:sz="6" w:space="0" w:color="auto"/>
                          <w:left w:val="single" w:sz="4" w:space="0" w:color="000000"/>
                          <w:bottom w:val="single" w:sz="4" w:space="0" w:color="000000"/>
                          <w:right w:val="single" w:sz="4" w:space="0" w:color="000000"/>
                        </w:tcBorders>
                        <w:shd w:val="clear" w:color="auto" w:fill="D4D4D4"/>
                      </w:tcPr>
                      <w:p>
                        <w:pPr/>
                      </w:p>
                    </w:tc>
                    <w:tc>
                      <w:tcPr>
                        <w:tcW w:w="6924" w:type="dxa"/>
                        <w:gridSpan w:val="10"/>
                        <w:vMerge/>
                        <w:tcBorders>
                          <w:left w:val="single" w:sz="9" w:space="0" w:color="D4D4D4"/>
                          <w:bottom w:val="single" w:sz="4" w:space="0" w:color="000000"/>
                          <w:right w:val="single" w:sz="4" w:space="0" w:color="000000"/>
                        </w:tcBorders>
                      </w:tcPr>
                      <w:p>
                        <w:pPr/>
                      </w:p>
                    </w:tc>
                  </w:tr>
                  <w:tr>
                    <w:trPr>
                      <w:trHeight w:val="713" w:hRule="exact"/>
                    </w:trPr>
                    <w:tc>
                      <w:tcPr>
                        <w:tcW w:w="2645" w:type="dxa"/>
                        <w:gridSpan w:val="4"/>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49"/>
                          <w:ind w:left="24" w:right="89"/>
                          <w:jc w:val="left"/>
                          <w:rPr>
                            <w:rFonts w:ascii="宋体" w:hAnsi="宋体" w:cs="宋体" w:eastAsia="宋体" w:hint="default"/>
                            <w:sz w:val="18"/>
                            <w:szCs w:val="18"/>
                          </w:rPr>
                        </w:pPr>
                        <w:r>
                          <w:rPr>
                            <w:rFonts w:ascii="宋体" w:hAnsi="宋体" w:cs="宋体" w:eastAsia="宋体" w:hint="default"/>
                            <w:sz w:val="18"/>
                            <w:szCs w:val="18"/>
                          </w:rPr>
                          <w:t>交易价格与市场参考价格差异较 大的原因（如适用）</w:t>
                        </w:r>
                      </w:p>
                    </w:tc>
                    <w:tc>
                      <w:tcPr>
                        <w:tcW w:w="6924" w:type="dxa"/>
                        <w:gridSpan w:val="10"/>
                        <w:tcBorders>
                          <w:top w:val="single" w:sz="4" w:space="0" w:color="000000"/>
                          <w:left w:val="single" w:sz="9" w:space="0" w:color="D4D4D4"/>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7"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pStyle w:val="Heading4"/>
        <w:spacing w:line="240" w:lineRule="auto"/>
        <w:ind w:right="986"/>
        <w:jc w:val="left"/>
        <w:rPr>
          <w:b w:val="0"/>
          <w:bCs w:val="0"/>
        </w:rPr>
      </w:pPr>
      <w:bookmarkStart w:name="2、资产或股权收购、出售发生的关联交易" w:id="80"/>
      <w:bookmarkEnd w:id="80"/>
      <w:r>
        <w:rPr>
          <w:b w:val="0"/>
          <w:bCs w:val="0"/>
        </w:rPr>
      </w: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4"/>
        <w:rPr>
          <w:rFonts w:ascii="宋体" w:hAnsi="宋体" w:cs="宋体" w:eastAsia="宋体" w:hint="default"/>
          <w:b/>
          <w:bCs/>
          <w:sz w:val="26"/>
          <w:szCs w:val="26"/>
        </w:rPr>
      </w:pPr>
    </w:p>
    <w:p>
      <w:pPr>
        <w:spacing w:line="340" w:lineRule="auto" w:before="0"/>
        <w:ind w:left="152" w:right="64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公司报告期未发生资产或股权收购、出售的关联交易。</w:t>
      </w:r>
    </w:p>
    <w:p>
      <w:pPr>
        <w:spacing w:line="240" w:lineRule="auto" w:before="3"/>
        <w:rPr>
          <w:rFonts w:ascii="宋体" w:hAnsi="宋体" w:cs="宋体" w:eastAsia="宋体" w:hint="default"/>
          <w:sz w:val="21"/>
          <w:szCs w:val="21"/>
        </w:rPr>
      </w:pPr>
    </w:p>
    <w:p>
      <w:pPr>
        <w:pStyle w:val="Heading4"/>
        <w:spacing w:line="240" w:lineRule="auto"/>
        <w:ind w:right="986"/>
        <w:jc w:val="left"/>
        <w:rPr>
          <w:b w:val="0"/>
          <w:bCs w:val="0"/>
        </w:rPr>
      </w:pPr>
      <w:bookmarkStart w:name="3、共同对外投资的关联交易" w:id="81"/>
      <w:bookmarkEnd w:id="81"/>
      <w:r>
        <w:rPr>
          <w:b w:val="0"/>
          <w:bCs w:val="0"/>
        </w:rPr>
      </w:r>
      <w:r>
        <w:rPr>
          <w:rFonts w:ascii="Times New Roman" w:hAnsi="Times New Roman" w:cs="Times New Roman" w:eastAsia="Times New Roman" w:hint="default"/>
        </w:rPr>
        <w:t>3</w:t>
      </w:r>
      <w:r>
        <w:rPr/>
        <w:t>、共同对外投资的关联交易</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074"/>
        <w:gridCol w:w="835"/>
        <w:gridCol w:w="1486"/>
        <w:gridCol w:w="1054"/>
        <w:gridCol w:w="1080"/>
        <w:gridCol w:w="1349"/>
        <w:gridCol w:w="1349"/>
        <w:gridCol w:w="1342"/>
      </w:tblGrid>
      <w:tr>
        <w:trPr>
          <w:trHeight w:val="1025" w:hRule="exact"/>
        </w:trPr>
        <w:tc>
          <w:tcPr>
            <w:tcW w:w="107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82" w:right="0"/>
              <w:jc w:val="left"/>
              <w:rPr>
                <w:rFonts w:ascii="宋体" w:hAnsi="宋体" w:cs="宋体" w:eastAsia="宋体" w:hint="default"/>
                <w:sz w:val="18"/>
                <w:szCs w:val="18"/>
              </w:rPr>
            </w:pPr>
            <w:r>
              <w:rPr>
                <w:rFonts w:ascii="宋体" w:hAnsi="宋体" w:cs="宋体" w:eastAsia="宋体" w:hint="default"/>
                <w:sz w:val="18"/>
                <w:szCs w:val="18"/>
              </w:rPr>
              <w:t>共同投资方</w:t>
            </w:r>
          </w:p>
        </w:tc>
        <w:tc>
          <w:tcPr>
            <w:tcW w:w="8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52" w:right="0"/>
              <w:jc w:val="left"/>
              <w:rPr>
                <w:rFonts w:ascii="宋体" w:hAnsi="宋体" w:cs="宋体" w:eastAsia="宋体" w:hint="default"/>
                <w:sz w:val="18"/>
                <w:szCs w:val="18"/>
              </w:rPr>
            </w:pPr>
            <w:r>
              <w:rPr>
                <w:rFonts w:ascii="宋体" w:hAnsi="宋体" w:cs="宋体" w:eastAsia="宋体" w:hint="default"/>
                <w:sz w:val="18"/>
                <w:szCs w:val="18"/>
              </w:rPr>
              <w:t>关联关系</w:t>
            </w:r>
          </w:p>
        </w:tc>
        <w:tc>
          <w:tcPr>
            <w:tcW w:w="148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648" w:right="107" w:hanging="540"/>
              <w:jc w:val="left"/>
              <w:rPr>
                <w:rFonts w:ascii="宋体" w:hAnsi="宋体" w:cs="宋体" w:eastAsia="宋体" w:hint="default"/>
                <w:sz w:val="18"/>
                <w:szCs w:val="18"/>
              </w:rPr>
            </w:pPr>
            <w:r>
              <w:rPr>
                <w:rFonts w:ascii="宋体" w:hAnsi="宋体" w:cs="宋体" w:eastAsia="宋体" w:hint="default"/>
                <w:sz w:val="18"/>
                <w:szCs w:val="18"/>
              </w:rPr>
              <w:t>被投资企业的名 称</w:t>
            </w:r>
          </w:p>
        </w:tc>
        <w:tc>
          <w:tcPr>
            <w:tcW w:w="105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71" w:right="71"/>
              <w:jc w:val="left"/>
              <w:rPr>
                <w:rFonts w:ascii="宋体" w:hAnsi="宋体" w:cs="宋体" w:eastAsia="宋体" w:hint="default"/>
                <w:sz w:val="18"/>
                <w:szCs w:val="18"/>
              </w:rPr>
            </w:pPr>
            <w:r>
              <w:rPr>
                <w:rFonts w:ascii="宋体" w:hAnsi="宋体" w:cs="宋体" w:eastAsia="宋体" w:hint="default"/>
                <w:sz w:val="18"/>
                <w:szCs w:val="18"/>
              </w:rPr>
              <w:t>被投资企业 的主营业务</w:t>
            </w:r>
          </w:p>
        </w:tc>
        <w:tc>
          <w:tcPr>
            <w:tcW w:w="108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86" w:right="83"/>
              <w:jc w:val="left"/>
              <w:rPr>
                <w:rFonts w:ascii="宋体" w:hAnsi="宋体" w:cs="宋体" w:eastAsia="宋体" w:hint="default"/>
                <w:sz w:val="18"/>
                <w:szCs w:val="18"/>
              </w:rPr>
            </w:pPr>
            <w:r>
              <w:rPr>
                <w:rFonts w:ascii="宋体" w:hAnsi="宋体" w:cs="宋体" w:eastAsia="宋体" w:hint="default"/>
                <w:sz w:val="18"/>
                <w:szCs w:val="18"/>
              </w:rPr>
              <w:t>被投资企业 的注册资本</w:t>
            </w:r>
          </w:p>
          <w:p>
            <w:pPr>
              <w:pStyle w:val="TableParagraph"/>
              <w:spacing w:line="240" w:lineRule="auto" w:before="19"/>
              <w:ind w:left="175"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34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29" w:right="36" w:hanging="89"/>
              <w:jc w:val="left"/>
              <w:rPr>
                <w:rFonts w:ascii="宋体" w:hAnsi="宋体" w:cs="宋体" w:eastAsia="宋体" w:hint="default"/>
                <w:sz w:val="18"/>
                <w:szCs w:val="18"/>
              </w:rPr>
            </w:pPr>
            <w:r>
              <w:rPr>
                <w:rFonts w:ascii="宋体" w:hAnsi="宋体" w:cs="宋体" w:eastAsia="宋体" w:hint="default"/>
                <w:sz w:val="18"/>
                <w:szCs w:val="18"/>
              </w:rPr>
              <w:t>被投资企业的总 资产（万元）</w:t>
            </w:r>
          </w:p>
        </w:tc>
        <w:tc>
          <w:tcPr>
            <w:tcW w:w="134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29" w:right="38" w:hanging="92"/>
              <w:jc w:val="left"/>
              <w:rPr>
                <w:rFonts w:ascii="宋体" w:hAnsi="宋体" w:cs="宋体" w:eastAsia="宋体" w:hint="default"/>
                <w:sz w:val="18"/>
                <w:szCs w:val="18"/>
              </w:rPr>
            </w:pPr>
            <w:r>
              <w:rPr>
                <w:rFonts w:ascii="宋体" w:hAnsi="宋体" w:cs="宋体" w:eastAsia="宋体" w:hint="default"/>
                <w:sz w:val="18"/>
                <w:szCs w:val="18"/>
              </w:rPr>
              <w:t>被投资企业的净 资产（万元）</w:t>
            </w:r>
          </w:p>
        </w:tc>
        <w:tc>
          <w:tcPr>
            <w:tcW w:w="134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27" w:right="35" w:hanging="92"/>
              <w:jc w:val="left"/>
              <w:rPr>
                <w:rFonts w:ascii="宋体" w:hAnsi="宋体" w:cs="宋体" w:eastAsia="宋体" w:hint="default"/>
                <w:sz w:val="18"/>
                <w:szCs w:val="18"/>
              </w:rPr>
            </w:pPr>
            <w:r>
              <w:rPr>
                <w:rFonts w:ascii="宋体" w:hAnsi="宋体" w:cs="宋体" w:eastAsia="宋体" w:hint="default"/>
                <w:sz w:val="18"/>
                <w:szCs w:val="18"/>
              </w:rPr>
              <w:t>被投资企业的净 利润（万元）</w:t>
            </w:r>
          </w:p>
        </w:tc>
      </w:tr>
    </w:tbl>
    <w:p>
      <w:pPr>
        <w:spacing w:after="0" w:line="316"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087"/>
        <w:gridCol w:w="823"/>
        <w:gridCol w:w="1486"/>
        <w:gridCol w:w="1054"/>
        <w:gridCol w:w="1080"/>
        <w:gridCol w:w="1349"/>
        <w:gridCol w:w="1349"/>
        <w:gridCol w:w="1342"/>
      </w:tblGrid>
      <w:tr>
        <w:trPr>
          <w:trHeight w:val="1025" w:hRule="exact"/>
        </w:trPr>
        <w:tc>
          <w:tcPr>
            <w:tcW w:w="1087" w:type="dxa"/>
            <w:tcBorders>
              <w:top w:val="single" w:sz="4" w:space="0" w:color="000000"/>
              <w:left w:val="single" w:sz="4" w:space="0" w:color="000000"/>
              <w:bottom w:val="single" w:sz="4" w:space="0" w:color="000000"/>
              <w:right w:val="single" w:sz="13" w:space="0" w:color="FFFFFF"/>
            </w:tcBorders>
          </w:tcPr>
          <w:p>
            <w:pPr>
              <w:pStyle w:val="TableParagraph"/>
              <w:spacing w:line="316" w:lineRule="auto" w:before="49"/>
              <w:ind w:left="24" w:right="-39" w:hanging="60"/>
              <w:jc w:val="center"/>
              <w:rPr>
                <w:rFonts w:ascii="宋体" w:hAnsi="宋体" w:cs="宋体" w:eastAsia="宋体" w:hint="default"/>
                <w:sz w:val="18"/>
                <w:szCs w:val="18"/>
              </w:rPr>
            </w:pPr>
            <w:r>
              <w:rPr>
                <w:rFonts w:ascii="宋体" w:hAnsi="宋体" w:cs="宋体" w:eastAsia="宋体" w:hint="default"/>
                <w:sz w:val="18"/>
                <w:szCs w:val="18"/>
              </w:rPr>
              <w:t>国投智能科 技有限公司、 滕达</w:t>
            </w:r>
          </w:p>
        </w:tc>
        <w:tc>
          <w:tcPr>
            <w:tcW w:w="823" w:type="dxa"/>
            <w:tcBorders>
              <w:top w:val="single" w:sz="4" w:space="0" w:color="000000"/>
              <w:left w:val="single" w:sz="13" w:space="0" w:color="FFFFFF"/>
              <w:bottom w:val="single" w:sz="4" w:space="0" w:color="000000"/>
              <w:right w:val="single" w:sz="4" w:space="0" w:color="000000"/>
            </w:tcBorders>
          </w:tcPr>
          <w:p>
            <w:pPr>
              <w:pStyle w:val="TableParagraph"/>
              <w:spacing w:line="316" w:lineRule="auto" w:before="49"/>
              <w:ind w:left="28" w:right="50"/>
              <w:jc w:val="center"/>
              <w:rPr>
                <w:rFonts w:ascii="宋体" w:hAnsi="宋体" w:cs="宋体" w:eastAsia="宋体" w:hint="default"/>
                <w:sz w:val="18"/>
                <w:szCs w:val="18"/>
              </w:rPr>
            </w:pPr>
            <w:r>
              <w:rPr>
                <w:rFonts w:ascii="宋体" w:hAnsi="宋体" w:cs="宋体" w:eastAsia="宋体" w:hint="default"/>
                <w:sz w:val="18"/>
                <w:szCs w:val="18"/>
              </w:rPr>
              <w:t>公司控股 股东、董 事长</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8" w:right="107"/>
              <w:jc w:val="both"/>
              <w:rPr>
                <w:rFonts w:ascii="宋体" w:hAnsi="宋体" w:cs="宋体" w:eastAsia="宋体" w:hint="default"/>
                <w:sz w:val="18"/>
                <w:szCs w:val="18"/>
              </w:rPr>
            </w:pPr>
            <w:r>
              <w:rPr>
                <w:rFonts w:ascii="宋体" w:hAnsi="宋体" w:cs="宋体" w:eastAsia="宋体" w:hint="default"/>
                <w:sz w:val="18"/>
                <w:szCs w:val="18"/>
              </w:rPr>
              <w:t>厦门市柏科晔济 投资管理合伙企 业（有限合伙）</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33" w:right="0"/>
              <w:jc w:val="left"/>
              <w:rPr>
                <w:rFonts w:ascii="Times New Roman" w:hAnsi="Times New Roman" w:cs="Times New Roman" w:eastAsia="Times New Roman" w:hint="default"/>
                <w:sz w:val="18"/>
                <w:szCs w:val="18"/>
              </w:rPr>
            </w:pPr>
            <w:r>
              <w:rPr>
                <w:rFonts w:ascii="Times New Roman"/>
                <w:sz w:val="18"/>
              </w:rPr>
              <w:t>1,000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55" w:right="0"/>
              <w:jc w:val="left"/>
              <w:rPr>
                <w:rFonts w:ascii="Times New Roman" w:hAnsi="Times New Roman" w:cs="Times New Roman" w:eastAsia="Times New Roman" w:hint="default"/>
                <w:sz w:val="18"/>
                <w:szCs w:val="18"/>
              </w:rPr>
            </w:pPr>
            <w:r>
              <w:rPr>
                <w:rFonts w:ascii="Times New Roman"/>
                <w:sz w:val="18"/>
              </w:rPr>
              <w:t>1,000.22</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52" w:right="0"/>
              <w:jc w:val="left"/>
              <w:rPr>
                <w:rFonts w:ascii="Times New Roman" w:hAnsi="Times New Roman" w:cs="Times New Roman" w:eastAsia="Times New Roman" w:hint="default"/>
                <w:sz w:val="18"/>
                <w:szCs w:val="18"/>
              </w:rPr>
            </w:pPr>
            <w:r>
              <w:rPr>
                <w:rFonts w:ascii="Times New Roman"/>
                <w:sz w:val="18"/>
              </w:rPr>
              <w:t>1,000.22</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0.22</w:t>
            </w:r>
          </w:p>
        </w:tc>
      </w:tr>
      <w:tr>
        <w:trPr>
          <w:trHeight w:val="715" w:hRule="exact"/>
        </w:trPr>
        <w:tc>
          <w:tcPr>
            <w:tcW w:w="1910"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1"/>
              <w:ind w:left="24" w:right="74"/>
              <w:jc w:val="left"/>
              <w:rPr>
                <w:rFonts w:ascii="宋体" w:hAnsi="宋体" w:cs="宋体" w:eastAsia="宋体" w:hint="default"/>
                <w:sz w:val="18"/>
                <w:szCs w:val="18"/>
              </w:rPr>
            </w:pPr>
            <w:r>
              <w:rPr>
                <w:rFonts w:ascii="宋体" w:hAnsi="宋体" w:cs="宋体" w:eastAsia="宋体" w:hint="default"/>
                <w:sz w:val="18"/>
                <w:szCs w:val="18"/>
              </w:rPr>
              <w:t>被投资企业的重大在建 </w:t>
            </w:r>
            <w:r>
              <w:rPr>
                <w:rFonts w:ascii="宋体" w:hAnsi="宋体" w:cs="宋体" w:eastAsia="宋体" w:hint="default"/>
                <w:spacing w:val="-4"/>
                <w:sz w:val="18"/>
                <w:szCs w:val="18"/>
              </w:rPr>
              <w:t>项目的进展情况（如有</w:t>
            </w:r>
          </w:p>
        </w:tc>
        <w:tc>
          <w:tcPr>
            <w:tcW w:w="765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195" w:lineRule="exact"/>
              <w:ind w:left="24" w:right="0"/>
              <w:jc w:val="left"/>
              <w:rPr>
                <w:rFonts w:ascii="宋体" w:hAnsi="宋体" w:cs="宋体" w:eastAsia="宋体" w:hint="default"/>
                <w:sz w:val="18"/>
                <w:szCs w:val="18"/>
              </w:rPr>
            </w:pPr>
            <w:r>
              <w:rPr>
                <w:rFonts w:ascii="宋体" w:hAnsi="宋体" w:cs="宋体" w:eastAsia="宋体" w:hint="default"/>
                <w:sz w:val="18"/>
                <w:szCs w:val="18"/>
              </w:rPr>
              <w:t>不适用</w:t>
            </w:r>
          </w:p>
          <w:p>
            <w:pPr>
              <w:pStyle w:val="TableParagraph"/>
              <w:spacing w:line="195" w:lineRule="exact"/>
              <w:ind w:left="-123" w:right="0"/>
              <w:jc w:val="left"/>
              <w:rPr>
                <w:rFonts w:ascii="宋体" w:hAnsi="宋体" w:cs="宋体" w:eastAsia="宋体" w:hint="default"/>
                <w:sz w:val="18"/>
                <w:szCs w:val="18"/>
              </w:rPr>
            </w:pPr>
            <w:r>
              <w:rPr>
                <w:rFonts w:ascii="宋体" w:hAnsi="宋体" w:cs="宋体" w:eastAsia="宋体" w:hint="default"/>
                <w:sz w:val="18"/>
                <w:szCs w:val="18"/>
              </w:rPr>
              <w:t>）</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r>
        <w:rPr/>
        <w:pict>
          <v:group style="position:absolute;margin-left:152.399994pt;margin-top:-41.016342pt;width:382.45pt;height:28pt;mso-position-horizontal-relative:page;mso-position-vertical-relative:paragraph;z-index:-1348384" coordorigin="3048,-820" coordsize="7649,560">
            <v:group style="position:absolute;left:3060;top:-808;width:2;height:392" coordorigin="3060,-808" coordsize="2,392">
              <v:shape style="position:absolute;left:3060;top:-808;width:2;height:392" coordorigin="3060,-808" coordsize="0,392" path="m3060,-808l3060,-417e" filled="false" stroked="true" strokeweight="1.2pt" strokecolor="#ffffff">
                <v:path arrowok="t"/>
              </v:shape>
            </v:group>
            <v:group style="position:absolute;left:3048;top:-417;width:7649;height:156" coordorigin="3048,-417" coordsize="7649,156">
              <v:shape style="position:absolute;left:3048;top:-417;width:7649;height:156" coordorigin="3048,-417" coordsize="7649,156" path="m3048,-261l10697,-261,10697,-417,3048,-417,3048,-261xe" filled="true" fillcolor="#ffffff" stroked="false">
                <v:path arrowok="t"/>
                <v:fill type="solid"/>
              </v:shape>
            </v:group>
            <v:group style="position:absolute;left:3072;top:-808;width:7601;height:392" coordorigin="3072,-808" coordsize="7601,392">
              <v:shape style="position:absolute;left:3072;top:-808;width:7601;height:392" coordorigin="3072,-808" coordsize="7601,392" path="m3072,-417l10673,-417,10673,-808,3072,-808,3072,-417xe" filled="true" fillcolor="#ffffff" stroked="false">
                <v:path arrowok="t"/>
                <v:fill type="solid"/>
              </v:shape>
            </v:group>
            <w10:wrap type="none"/>
          </v:group>
        </w:pict>
      </w:r>
      <w:bookmarkStart w:name="4、关联债权债务往来" w:id="82"/>
      <w:bookmarkEnd w:id="82"/>
      <w:r>
        <w:rPr>
          <w:b w:val="0"/>
          <w:bCs w:val="0"/>
        </w:rPr>
      </w:r>
      <w:r>
        <w:rPr>
          <w:rFonts w:ascii="Times New Roman" w:hAnsi="Times New Roman" w:cs="Times New Roman" w:eastAsia="Times New Roman" w:hint="default"/>
        </w:rPr>
        <w:t>4</w:t>
      </w:r>
      <w:r>
        <w:rPr/>
        <w:t>、关联债权债务往来</w:t>
      </w:r>
      <w:r>
        <w:rPr>
          <w:b w:val="0"/>
          <w:bCs w:val="0"/>
        </w:rPr>
      </w:r>
    </w:p>
    <w:p>
      <w:pPr>
        <w:spacing w:line="240" w:lineRule="auto" w:before="4"/>
        <w:rPr>
          <w:rFonts w:ascii="宋体" w:hAnsi="宋体" w:cs="宋体" w:eastAsia="宋体" w:hint="default"/>
          <w:b/>
          <w:bCs/>
          <w:sz w:val="26"/>
          <w:szCs w:val="26"/>
        </w:rPr>
      </w:pPr>
    </w:p>
    <w:p>
      <w:pPr>
        <w:spacing w:line="338" w:lineRule="auto" w:before="0"/>
        <w:ind w:left="152" w:right="76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公司报告期不存在关联债权债务往来。</w:t>
      </w:r>
    </w:p>
    <w:p>
      <w:pPr>
        <w:spacing w:line="240" w:lineRule="auto" w:before="7"/>
        <w:rPr>
          <w:rFonts w:ascii="宋体" w:hAnsi="宋体" w:cs="宋体" w:eastAsia="宋体" w:hint="default"/>
          <w:sz w:val="21"/>
          <w:szCs w:val="21"/>
        </w:rPr>
      </w:pPr>
    </w:p>
    <w:p>
      <w:pPr>
        <w:pStyle w:val="Heading4"/>
        <w:spacing w:line="240" w:lineRule="auto"/>
        <w:ind w:right="986"/>
        <w:jc w:val="left"/>
        <w:rPr>
          <w:b w:val="0"/>
          <w:bCs w:val="0"/>
        </w:rPr>
      </w:pPr>
      <w:bookmarkStart w:name="5、其他重大关联交易" w:id="83"/>
      <w:bookmarkEnd w:id="83"/>
      <w:r>
        <w:rPr>
          <w:b w:val="0"/>
          <w:bCs w:val="0"/>
        </w:rPr>
      </w:r>
      <w:r>
        <w:rPr>
          <w:rFonts w:ascii="Times New Roman" w:hAnsi="Times New Roman" w:cs="Times New Roman" w:eastAsia="Times New Roman" w:hint="default"/>
        </w:rPr>
        <w:t>5</w:t>
      </w:r>
      <w:r>
        <w:rPr/>
        <w:t>、其他重大关联交易</w:t>
      </w:r>
      <w:r>
        <w:rPr>
          <w:b w:val="0"/>
          <w:bCs w:val="0"/>
        </w:rPr>
      </w:r>
    </w:p>
    <w:p>
      <w:pPr>
        <w:spacing w:line="240" w:lineRule="auto" w:before="4"/>
        <w:rPr>
          <w:rFonts w:ascii="宋体" w:hAnsi="宋体" w:cs="宋体" w:eastAsia="宋体" w:hint="default"/>
          <w:b/>
          <w:bCs/>
          <w:sz w:val="26"/>
          <w:szCs w:val="26"/>
        </w:rPr>
      </w:pPr>
    </w:p>
    <w:p>
      <w:pPr>
        <w:pStyle w:val="BodyText"/>
        <w:spacing w:line="403" w:lineRule="auto" w:before="0"/>
        <w:ind w:right="986"/>
        <w:jc w:val="left"/>
      </w:pPr>
      <w:r>
        <w:rPr>
          <w:rFonts w:ascii="Times New Roman" w:hAnsi="Times New Roman" w:cs="Times New Roman" w:eastAsia="Times New Roman" w:hint="default"/>
          <w:sz w:val="18"/>
          <w:szCs w:val="18"/>
        </w:rPr>
        <w:t>√ </w:t>
      </w:r>
      <w:r>
        <w:rPr>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sz w:val="18"/>
          <w:szCs w:val="18"/>
        </w:rPr>
        <w:t>不适用 </w:t>
      </w:r>
      <w:r>
        <w:rPr>
          <w:spacing w:val="-2"/>
        </w:rPr>
        <w:t>公司与控股股东及部分高级管理成立厦门市百英全美投资合伙企业，共同对外投资设立投资管理企业，并</w:t>
      </w:r>
      <w:r>
        <w:rPr>
          <w:spacing w:val="-42"/>
        </w:rPr>
        <w:t> </w:t>
      </w:r>
      <w:r>
        <w:rPr>
          <w:spacing w:val="-42"/>
        </w:rPr>
      </w:r>
      <w:r>
        <w:rPr/>
        <w:t>参与认购美桐贰期产业并购基金</w:t>
      </w:r>
      <w:r>
        <w:rPr>
          <w:rFonts w:ascii="宋体" w:hAnsi="宋体" w:cs="宋体" w:eastAsia="宋体" w:hint="default"/>
        </w:rPr>
        <w:t>250</w:t>
      </w:r>
      <w:r>
        <w:rPr/>
        <w:t>万。该事项已经公司第四届董事会第十一次会议及第四届监事会第十</w:t>
      </w:r>
      <w:r>
        <w:rPr>
          <w:w w:val="100"/>
        </w:rPr>
        <w:t> </w:t>
      </w:r>
      <w:r>
        <w:rPr/>
        <w:t>次会议，和公司</w:t>
      </w:r>
      <w:r>
        <w:rPr>
          <w:rFonts w:ascii="宋体" w:hAnsi="宋体" w:cs="宋体" w:eastAsia="宋体" w:hint="default"/>
        </w:rPr>
        <w:t>2019</w:t>
      </w:r>
      <w:r>
        <w:rPr/>
        <w:t>年第二次临时股东大会审议通过。</w:t>
      </w:r>
    </w:p>
    <w:p>
      <w:pPr>
        <w:spacing w:before="35"/>
        <w:ind w:left="152" w:right="986" w:firstLine="0"/>
        <w:jc w:val="left"/>
        <w:rPr>
          <w:rFonts w:ascii="宋体" w:hAnsi="宋体" w:cs="宋体" w:eastAsia="宋体" w:hint="default"/>
          <w:sz w:val="18"/>
          <w:szCs w:val="18"/>
        </w:rPr>
      </w:pPr>
      <w:r>
        <w:rPr>
          <w:rFonts w:ascii="宋体" w:hAnsi="宋体" w:cs="宋体" w:eastAsia="宋体" w:hint="default"/>
          <w:sz w:val="18"/>
          <w:szCs w:val="18"/>
        </w:rPr>
        <w:t>重大关联交易临时报告披露网站相关查询</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010"/>
        <w:gridCol w:w="2098"/>
        <w:gridCol w:w="3461"/>
      </w:tblGrid>
      <w:tr>
        <w:trPr>
          <w:trHeight w:val="401" w:hRule="exact"/>
        </w:trPr>
        <w:tc>
          <w:tcPr>
            <w:tcW w:w="401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临时公告名称</w:t>
            </w:r>
          </w:p>
        </w:tc>
        <w:tc>
          <w:tcPr>
            <w:tcW w:w="20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23" w:right="0"/>
              <w:jc w:val="left"/>
              <w:rPr>
                <w:rFonts w:ascii="宋体" w:hAnsi="宋体" w:cs="宋体" w:eastAsia="宋体" w:hint="default"/>
                <w:sz w:val="18"/>
                <w:szCs w:val="18"/>
              </w:rPr>
            </w:pPr>
            <w:r>
              <w:rPr>
                <w:rFonts w:ascii="宋体" w:hAnsi="宋体" w:cs="宋体" w:eastAsia="宋体" w:hint="default"/>
                <w:sz w:val="18"/>
                <w:szCs w:val="18"/>
              </w:rPr>
              <w:t>临时公告披露日期</w:t>
            </w:r>
          </w:p>
        </w:tc>
        <w:tc>
          <w:tcPr>
            <w:tcW w:w="346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临时公告披露网站名称</w:t>
            </w:r>
          </w:p>
        </w:tc>
      </w:tr>
      <w:tr>
        <w:trPr>
          <w:trHeight w:val="715" w:hRule="exact"/>
        </w:trPr>
        <w:tc>
          <w:tcPr>
            <w:tcW w:w="401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650" w:right="108" w:hanging="540"/>
              <w:jc w:val="left"/>
              <w:rPr>
                <w:rFonts w:ascii="宋体" w:hAnsi="宋体" w:cs="宋体" w:eastAsia="宋体" w:hint="default"/>
                <w:sz w:val="18"/>
                <w:szCs w:val="18"/>
              </w:rPr>
            </w:pPr>
            <w:r>
              <w:rPr>
                <w:rFonts w:ascii="宋体" w:hAnsi="宋体" w:cs="宋体" w:eastAsia="宋体" w:hint="default"/>
                <w:sz w:val="18"/>
                <w:szCs w:val="18"/>
              </w:rPr>
              <w:t>关于美桐贰期产业并购基金相关事项变更及关联 方参与认购基金暨关联交易的公告</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w:t>
            </w:r>
          </w:p>
        </w:tc>
        <w:tc>
          <w:tcPr>
            <w:tcW w:w="3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www.cninfo.com.cn,</w:t>
            </w:r>
            <w:r>
              <w:rPr>
                <w:rFonts w:ascii="宋体" w:hAnsi="宋体" w:cs="宋体" w:eastAsia="宋体" w:hint="default"/>
                <w:sz w:val="18"/>
                <w:szCs w:val="18"/>
              </w:rPr>
              <w:t>公告编号</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2019-79</w:t>
            </w:r>
          </w:p>
        </w:tc>
      </w:tr>
      <w:tr>
        <w:trPr>
          <w:trHeight w:val="715" w:hRule="exact"/>
        </w:trPr>
        <w:tc>
          <w:tcPr>
            <w:tcW w:w="401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470" w:right="108" w:hanging="360"/>
              <w:jc w:val="left"/>
              <w:rPr>
                <w:rFonts w:ascii="宋体" w:hAnsi="宋体" w:cs="宋体" w:eastAsia="宋体" w:hint="default"/>
                <w:sz w:val="18"/>
                <w:szCs w:val="18"/>
              </w:rPr>
            </w:pPr>
            <w:r>
              <w:rPr>
                <w:rFonts w:ascii="宋体" w:hAnsi="宋体" w:cs="宋体" w:eastAsia="宋体" w:hint="default"/>
                <w:sz w:val="18"/>
                <w:szCs w:val="18"/>
              </w:rPr>
              <w:t>关于美桐贰期产业并购基金相关事项变更及关联 方参与认购基金暨关联交易的补充公告</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日</w:t>
            </w:r>
          </w:p>
        </w:tc>
        <w:tc>
          <w:tcPr>
            <w:tcW w:w="3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www.cninfo.com.cn,</w:t>
            </w:r>
            <w:r>
              <w:rPr>
                <w:rFonts w:ascii="宋体" w:hAnsi="宋体" w:cs="宋体" w:eastAsia="宋体" w:hint="default"/>
                <w:sz w:val="18"/>
                <w:szCs w:val="18"/>
              </w:rPr>
              <w:t>公告编号</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2019-80</w:t>
            </w:r>
          </w:p>
        </w:tc>
      </w:tr>
    </w:tbl>
    <w:p>
      <w:pPr>
        <w:spacing w:line="240" w:lineRule="auto" w:before="1"/>
        <w:rPr>
          <w:rFonts w:ascii="宋体" w:hAnsi="宋体" w:cs="宋体" w:eastAsia="宋体" w:hint="default"/>
          <w:sz w:val="18"/>
          <w:szCs w:val="18"/>
        </w:rPr>
      </w:pPr>
    </w:p>
    <w:p>
      <w:pPr>
        <w:pStyle w:val="Heading2"/>
        <w:spacing w:line="240" w:lineRule="auto" w:before="26"/>
        <w:ind w:right="986"/>
        <w:jc w:val="left"/>
        <w:rPr>
          <w:b w:val="0"/>
          <w:bCs w:val="0"/>
        </w:rPr>
      </w:pPr>
      <w:bookmarkStart w:name="十六、重大合同及其履行情况" w:id="84"/>
      <w:bookmarkEnd w:id="84"/>
      <w:r>
        <w:rPr>
          <w:b w:val="0"/>
          <w:bCs w:val="0"/>
        </w:rPr>
      </w:r>
      <w:r>
        <w:rPr/>
        <w:t>十六、重大合同及其履行情况</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986"/>
        <w:jc w:val="left"/>
        <w:rPr>
          <w:b w:val="0"/>
          <w:bCs w:val="0"/>
        </w:rPr>
      </w:pPr>
      <w:bookmarkStart w:name="1、托管、承包、租赁事项情况" w:id="85"/>
      <w:bookmarkEnd w:id="85"/>
      <w:r>
        <w:rPr>
          <w:b w:val="0"/>
          <w:bCs w:val="0"/>
        </w:rPr>
      </w:r>
      <w:r>
        <w:rPr>
          <w:rFonts w:ascii="Times New Roman" w:hAnsi="Times New Roman" w:cs="Times New Roman" w:eastAsia="Times New Roman" w:hint="default"/>
        </w:rPr>
        <w:t>1</w:t>
      </w:r>
      <w:r>
        <w:rPr/>
        <w:t>、托管、承包、租赁事项情况</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托管情况" w:id="86"/>
      <w:bookmarkEnd w:id="86"/>
      <w:r>
        <w:rPr>
          <w:b w:val="0"/>
          <w:bCs w:val="0"/>
        </w:rPr>
      </w:r>
      <w:r>
        <w:rPr/>
        <w:t>（</w:t>
      </w:r>
      <w:r>
        <w:rPr>
          <w:rFonts w:ascii="Times New Roman" w:hAnsi="Times New Roman" w:cs="Times New Roman" w:eastAsia="Times New Roman" w:hint="default"/>
        </w:rPr>
        <w:t>1</w:t>
      </w:r>
      <w:r>
        <w:rPr/>
        <w:t>）托管情况</w:t>
      </w:r>
      <w:r>
        <w:rPr>
          <w:b w:val="0"/>
          <w:bCs w:val="0"/>
        </w:rPr>
      </w:r>
    </w:p>
    <w:p>
      <w:pPr>
        <w:spacing w:line="240" w:lineRule="auto" w:before="2"/>
        <w:rPr>
          <w:rFonts w:ascii="宋体" w:hAnsi="宋体" w:cs="宋体" w:eastAsia="宋体" w:hint="default"/>
          <w:b/>
          <w:bCs/>
          <w:sz w:val="26"/>
          <w:szCs w:val="26"/>
        </w:rPr>
      </w:pPr>
    </w:p>
    <w:p>
      <w:pPr>
        <w:spacing w:line="360" w:lineRule="auto" w:before="0"/>
        <w:ind w:left="152" w:right="8414" w:hanging="1"/>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r>
        <w:rPr>
          <w:rFonts w:ascii="宋体" w:hAnsi="宋体" w:cs="宋体" w:eastAsia="宋体" w:hint="default"/>
          <w:sz w:val="18"/>
          <w:szCs w:val="18"/>
        </w:rPr>
        <w:t> 公司报告期不存在托管情况。</w:t>
      </w:r>
    </w:p>
    <w:p>
      <w:pPr>
        <w:spacing w:line="240" w:lineRule="auto" w:before="4"/>
        <w:rPr>
          <w:rFonts w:ascii="宋体" w:hAnsi="宋体" w:cs="宋体" w:eastAsia="宋体" w:hint="default"/>
          <w:sz w:val="20"/>
          <w:szCs w:val="20"/>
        </w:rPr>
      </w:pPr>
    </w:p>
    <w:p>
      <w:pPr>
        <w:pStyle w:val="Heading4"/>
        <w:spacing w:line="240" w:lineRule="auto"/>
        <w:ind w:right="986"/>
        <w:jc w:val="left"/>
        <w:rPr>
          <w:b w:val="0"/>
          <w:bCs w:val="0"/>
        </w:rPr>
      </w:pPr>
      <w:bookmarkStart w:name="（2）承包情况" w:id="87"/>
      <w:bookmarkEnd w:id="87"/>
      <w:r>
        <w:rPr>
          <w:b w:val="0"/>
          <w:bCs w:val="0"/>
        </w:rPr>
      </w:r>
      <w:r>
        <w:rPr/>
        <w:t>（</w:t>
      </w:r>
      <w:r>
        <w:rPr>
          <w:rFonts w:ascii="Times New Roman" w:hAnsi="Times New Roman" w:cs="Times New Roman" w:eastAsia="Times New Roman" w:hint="default"/>
        </w:rPr>
        <w:t>2</w:t>
      </w:r>
      <w:r>
        <w:rPr/>
        <w:t>）承包情况</w:t>
      </w:r>
      <w:r>
        <w:rPr>
          <w:b w:val="0"/>
          <w:bCs w:val="0"/>
        </w:rPr>
      </w:r>
    </w:p>
    <w:p>
      <w:pPr>
        <w:spacing w:line="240" w:lineRule="auto" w:before="2"/>
        <w:rPr>
          <w:rFonts w:ascii="宋体" w:hAnsi="宋体" w:cs="宋体" w:eastAsia="宋体" w:hint="default"/>
          <w:b/>
          <w:bCs/>
          <w:sz w:val="26"/>
          <w:szCs w:val="26"/>
        </w:rPr>
      </w:pPr>
    </w:p>
    <w:p>
      <w:pPr>
        <w:spacing w:line="360" w:lineRule="auto" w:before="0"/>
        <w:ind w:left="152" w:right="8414" w:hanging="1"/>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r>
        <w:rPr>
          <w:rFonts w:ascii="宋体" w:hAnsi="宋体" w:cs="宋体" w:eastAsia="宋体" w:hint="default"/>
          <w:sz w:val="18"/>
          <w:szCs w:val="18"/>
        </w:rPr>
        <w:t> 公司报告期不存在承包情况。</w:t>
      </w:r>
    </w:p>
    <w:p>
      <w:pPr>
        <w:spacing w:line="240" w:lineRule="auto" w:before="4"/>
        <w:rPr>
          <w:rFonts w:ascii="宋体" w:hAnsi="宋体" w:cs="宋体" w:eastAsia="宋体" w:hint="default"/>
          <w:sz w:val="20"/>
          <w:szCs w:val="20"/>
        </w:rPr>
      </w:pPr>
    </w:p>
    <w:p>
      <w:pPr>
        <w:pStyle w:val="Heading4"/>
        <w:spacing w:line="240" w:lineRule="auto"/>
        <w:ind w:right="986"/>
        <w:jc w:val="left"/>
        <w:rPr>
          <w:b w:val="0"/>
          <w:bCs w:val="0"/>
        </w:rPr>
      </w:pPr>
      <w:bookmarkStart w:name="（3）租赁情况" w:id="88"/>
      <w:bookmarkEnd w:id="88"/>
      <w:r>
        <w:rPr>
          <w:b w:val="0"/>
          <w:bCs w:val="0"/>
        </w:rPr>
      </w:r>
      <w:r>
        <w:rPr/>
        <w:t>（</w:t>
      </w:r>
      <w:r>
        <w:rPr>
          <w:rFonts w:ascii="Times New Roman" w:hAnsi="Times New Roman" w:cs="Times New Roman" w:eastAsia="Times New Roman" w:hint="default"/>
        </w:rPr>
        <w:t>3</w:t>
      </w:r>
      <w:r>
        <w:rPr/>
        <w:t>）租赁情况</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9"/>
        <w:rPr>
          <w:rFonts w:ascii="宋体" w:hAnsi="宋体" w:cs="宋体" w:eastAsia="宋体" w:hint="default"/>
          <w:sz w:val="25"/>
          <w:szCs w:val="25"/>
        </w:rPr>
      </w:pPr>
    </w:p>
    <w:p>
      <w:pPr>
        <w:spacing w:before="44"/>
        <w:ind w:left="152" w:right="0" w:firstLine="0"/>
        <w:jc w:val="both"/>
        <w:rPr>
          <w:rFonts w:ascii="宋体" w:hAnsi="宋体" w:cs="宋体" w:eastAsia="宋体" w:hint="default"/>
          <w:sz w:val="18"/>
          <w:szCs w:val="18"/>
        </w:rPr>
      </w:pPr>
      <w:r>
        <w:rPr>
          <w:rFonts w:ascii="宋体" w:hAnsi="宋体" w:cs="宋体" w:eastAsia="宋体" w:hint="default"/>
          <w:sz w:val="18"/>
          <w:szCs w:val="18"/>
        </w:rPr>
        <w:t>公司报告期不存在租赁情况。</w:t>
      </w:r>
    </w:p>
    <w:p>
      <w:pPr>
        <w:spacing w:line="240" w:lineRule="auto" w:before="0"/>
        <w:rPr>
          <w:rFonts w:ascii="宋体" w:hAnsi="宋体" w:cs="宋体" w:eastAsia="宋体" w:hint="default"/>
          <w:sz w:val="18"/>
          <w:szCs w:val="18"/>
        </w:rPr>
      </w:pPr>
    </w:p>
    <w:p>
      <w:pPr>
        <w:pStyle w:val="Heading4"/>
        <w:spacing w:line="240" w:lineRule="auto" w:before="120"/>
        <w:ind w:right="0"/>
        <w:jc w:val="both"/>
        <w:rPr>
          <w:b w:val="0"/>
          <w:bCs w:val="0"/>
        </w:rPr>
      </w:pPr>
      <w:bookmarkStart w:name="2、重大担保" w:id="89"/>
      <w:bookmarkEnd w:id="89"/>
      <w:r>
        <w:rPr>
          <w:b w:val="0"/>
          <w:bCs w:val="0"/>
        </w:rPr>
      </w:r>
      <w:r>
        <w:rPr>
          <w:rFonts w:ascii="Times New Roman" w:hAnsi="Times New Roman" w:cs="Times New Roman" w:eastAsia="Times New Roman" w:hint="default"/>
        </w:rPr>
        <w:t>2</w:t>
      </w:r>
      <w:r>
        <w:rPr/>
        <w:t>、重大担保</w:t>
      </w:r>
      <w:r>
        <w:rPr>
          <w:b w:val="0"/>
          <w:bCs w:val="0"/>
        </w:rPr>
      </w:r>
    </w:p>
    <w:p>
      <w:pPr>
        <w:spacing w:line="240" w:lineRule="auto" w:before="4"/>
        <w:rPr>
          <w:rFonts w:ascii="宋体" w:hAnsi="宋体" w:cs="宋体" w:eastAsia="宋体" w:hint="default"/>
          <w:b/>
          <w:bCs/>
          <w:sz w:val="26"/>
          <w:szCs w:val="26"/>
        </w:rPr>
      </w:pPr>
    </w:p>
    <w:p>
      <w:pPr>
        <w:spacing w:line="357" w:lineRule="auto" w:before="0"/>
        <w:ind w:left="152" w:right="7334"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r>
        <w:rPr>
          <w:rFonts w:ascii="宋体" w:hAnsi="宋体" w:cs="宋体" w:eastAsia="宋体" w:hint="default"/>
          <w:sz w:val="18"/>
          <w:szCs w:val="18"/>
        </w:rPr>
        <w:t> 公司报告期不存在担保情况。</w:t>
      </w:r>
    </w:p>
    <w:p>
      <w:pPr>
        <w:spacing w:line="240" w:lineRule="auto" w:before="6"/>
        <w:rPr>
          <w:rFonts w:ascii="宋体" w:hAnsi="宋体" w:cs="宋体" w:eastAsia="宋体" w:hint="default"/>
          <w:sz w:val="20"/>
          <w:szCs w:val="20"/>
        </w:rPr>
      </w:pPr>
    </w:p>
    <w:p>
      <w:pPr>
        <w:pStyle w:val="Heading4"/>
        <w:spacing w:line="240" w:lineRule="auto"/>
        <w:ind w:right="0"/>
        <w:jc w:val="both"/>
        <w:rPr>
          <w:b w:val="0"/>
          <w:bCs w:val="0"/>
        </w:rPr>
      </w:pPr>
      <w:bookmarkStart w:name="3、委托他人进行现金资产管理情况" w:id="90"/>
      <w:bookmarkEnd w:id="90"/>
      <w:r>
        <w:rPr>
          <w:b w:val="0"/>
          <w:bCs w:val="0"/>
        </w:rPr>
      </w:r>
      <w:r>
        <w:rPr>
          <w:rFonts w:ascii="Times New Roman" w:hAnsi="Times New Roman" w:cs="Times New Roman" w:eastAsia="Times New Roman" w:hint="default"/>
        </w:rPr>
        <w:t>3</w:t>
      </w:r>
      <w:r>
        <w:rPr/>
        <w:t>、委托他人进行现金资产管理情况</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both"/>
        <w:rPr>
          <w:b w:val="0"/>
          <w:bCs w:val="0"/>
        </w:rPr>
      </w:pPr>
      <w:bookmarkStart w:name="（1）委托理财情况" w:id="91"/>
      <w:bookmarkEnd w:id="91"/>
      <w:r>
        <w:rPr>
          <w:b w:val="0"/>
          <w:bCs w:val="0"/>
        </w:rPr>
      </w:r>
      <w:r>
        <w:rPr/>
        <w:t>（</w:t>
      </w:r>
      <w:r>
        <w:rPr>
          <w:rFonts w:ascii="Times New Roman" w:hAnsi="Times New Roman" w:cs="Times New Roman" w:eastAsia="Times New Roman" w:hint="default"/>
        </w:rPr>
        <w:t>1</w:t>
      </w:r>
      <w:r>
        <w:rPr/>
        <w:t>）委托理财情况</w:t>
      </w:r>
      <w:r>
        <w:rPr>
          <w:b w:val="0"/>
          <w:bCs w:val="0"/>
        </w:rPr>
      </w:r>
    </w:p>
    <w:p>
      <w:pPr>
        <w:spacing w:line="240" w:lineRule="auto" w:before="2"/>
        <w:rPr>
          <w:rFonts w:ascii="宋体" w:hAnsi="宋体" w:cs="宋体" w:eastAsia="宋体" w:hint="default"/>
          <w:b/>
          <w:bCs/>
          <w:sz w:val="26"/>
          <w:szCs w:val="26"/>
        </w:rPr>
      </w:pPr>
    </w:p>
    <w:p>
      <w:pPr>
        <w:spacing w:line="360" w:lineRule="auto" w:before="0"/>
        <w:ind w:left="152" w:right="8414" w:hanging="1"/>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r>
        <w:rPr>
          <w:rFonts w:ascii="宋体" w:hAnsi="宋体" w:cs="宋体" w:eastAsia="宋体" w:hint="default"/>
          <w:sz w:val="18"/>
          <w:szCs w:val="18"/>
        </w:rPr>
        <w:t> 公司报告期不存在委托理财。</w:t>
      </w:r>
    </w:p>
    <w:p>
      <w:pPr>
        <w:spacing w:line="240" w:lineRule="auto" w:before="4"/>
        <w:rPr>
          <w:rFonts w:ascii="宋体" w:hAnsi="宋体" w:cs="宋体" w:eastAsia="宋体" w:hint="default"/>
          <w:sz w:val="20"/>
          <w:szCs w:val="20"/>
        </w:rPr>
      </w:pPr>
    </w:p>
    <w:p>
      <w:pPr>
        <w:pStyle w:val="Heading4"/>
        <w:spacing w:line="240" w:lineRule="auto"/>
        <w:ind w:right="0"/>
        <w:jc w:val="both"/>
        <w:rPr>
          <w:b w:val="0"/>
          <w:bCs w:val="0"/>
        </w:rPr>
      </w:pPr>
      <w:bookmarkStart w:name="（2）委托贷款情况" w:id="92"/>
      <w:bookmarkEnd w:id="92"/>
      <w:r>
        <w:rPr>
          <w:b w:val="0"/>
          <w:bCs w:val="0"/>
        </w:rPr>
      </w:r>
      <w:r>
        <w:rPr/>
        <w:t>（</w:t>
      </w:r>
      <w:r>
        <w:rPr>
          <w:rFonts w:ascii="Times New Roman" w:hAnsi="Times New Roman" w:cs="Times New Roman" w:eastAsia="Times New Roman" w:hint="default"/>
        </w:rPr>
        <w:t>2</w:t>
      </w:r>
      <w:r>
        <w:rPr/>
        <w:t>）委托贷款情况</w:t>
      </w:r>
      <w:r>
        <w:rPr>
          <w:b w:val="0"/>
          <w:bCs w:val="0"/>
        </w:rPr>
      </w:r>
    </w:p>
    <w:p>
      <w:pPr>
        <w:spacing w:line="240" w:lineRule="auto" w:before="2"/>
        <w:rPr>
          <w:rFonts w:ascii="宋体" w:hAnsi="宋体" w:cs="宋体" w:eastAsia="宋体" w:hint="default"/>
          <w:b/>
          <w:bCs/>
          <w:sz w:val="26"/>
          <w:szCs w:val="26"/>
        </w:rPr>
      </w:pPr>
    </w:p>
    <w:p>
      <w:pPr>
        <w:spacing w:line="360" w:lineRule="auto" w:before="0"/>
        <w:ind w:left="152" w:right="8414"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r>
        <w:rPr>
          <w:rFonts w:ascii="宋体" w:hAnsi="宋体" w:cs="宋体" w:eastAsia="宋体" w:hint="default"/>
          <w:sz w:val="18"/>
          <w:szCs w:val="18"/>
        </w:rPr>
        <w:t> 公司报告期不存在委托贷款。</w:t>
      </w:r>
    </w:p>
    <w:p>
      <w:pPr>
        <w:spacing w:line="240" w:lineRule="auto" w:before="4"/>
        <w:rPr>
          <w:rFonts w:ascii="宋体" w:hAnsi="宋体" w:cs="宋体" w:eastAsia="宋体" w:hint="default"/>
          <w:sz w:val="20"/>
          <w:szCs w:val="20"/>
        </w:rPr>
      </w:pPr>
    </w:p>
    <w:p>
      <w:pPr>
        <w:pStyle w:val="Heading4"/>
        <w:spacing w:line="240" w:lineRule="auto"/>
        <w:ind w:right="0"/>
        <w:jc w:val="both"/>
        <w:rPr>
          <w:b w:val="0"/>
          <w:bCs w:val="0"/>
        </w:rPr>
      </w:pPr>
      <w:bookmarkStart w:name="4、其他重大合同" w:id="93"/>
      <w:bookmarkEnd w:id="93"/>
      <w:r>
        <w:rPr>
          <w:b w:val="0"/>
          <w:bCs w:val="0"/>
        </w:rPr>
      </w:r>
      <w:r>
        <w:rPr>
          <w:rFonts w:ascii="Times New Roman" w:hAnsi="Times New Roman" w:cs="Times New Roman" w:eastAsia="Times New Roman" w:hint="default"/>
        </w:rPr>
        <w:t>4</w:t>
      </w:r>
      <w:r>
        <w:rPr/>
        <w:t>、其他重大合同</w:t>
      </w:r>
      <w:r>
        <w:rPr>
          <w:b w:val="0"/>
          <w:bCs w:val="0"/>
        </w:rPr>
      </w:r>
    </w:p>
    <w:p>
      <w:pPr>
        <w:spacing w:line="240" w:lineRule="auto" w:before="4"/>
        <w:rPr>
          <w:rFonts w:ascii="宋体" w:hAnsi="宋体" w:cs="宋体" w:eastAsia="宋体" w:hint="default"/>
          <w:b/>
          <w:bCs/>
          <w:sz w:val="26"/>
          <w:szCs w:val="26"/>
        </w:rPr>
      </w:pPr>
    </w:p>
    <w:p>
      <w:pPr>
        <w:spacing w:line="357" w:lineRule="auto" w:before="0"/>
        <w:ind w:left="152" w:right="8054" w:hanging="1"/>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r>
        <w:rPr>
          <w:rFonts w:ascii="宋体" w:hAnsi="宋体" w:cs="宋体" w:eastAsia="宋体" w:hint="default"/>
          <w:sz w:val="18"/>
          <w:szCs w:val="18"/>
        </w:rPr>
        <w:t> 公司报告期不存在其他重大合同。</w:t>
      </w:r>
    </w:p>
    <w:p>
      <w:pPr>
        <w:spacing w:line="240" w:lineRule="auto" w:before="7"/>
        <w:rPr>
          <w:rFonts w:ascii="宋体" w:hAnsi="宋体" w:cs="宋体" w:eastAsia="宋体" w:hint="default"/>
          <w:sz w:val="18"/>
          <w:szCs w:val="18"/>
        </w:rPr>
      </w:pPr>
    </w:p>
    <w:p>
      <w:pPr>
        <w:pStyle w:val="Heading2"/>
        <w:spacing w:line="240" w:lineRule="auto"/>
        <w:ind w:right="0"/>
        <w:jc w:val="both"/>
        <w:rPr>
          <w:b w:val="0"/>
          <w:bCs w:val="0"/>
        </w:rPr>
      </w:pPr>
      <w:bookmarkStart w:name="十七、社会责任情况" w:id="94"/>
      <w:bookmarkEnd w:id="94"/>
      <w:r>
        <w:rPr>
          <w:b w:val="0"/>
          <w:bCs w:val="0"/>
        </w:rPr>
      </w:r>
      <w:r>
        <w:rPr/>
        <w:t>十七、社会责任情况</w:t>
      </w:r>
      <w:r>
        <w:rPr>
          <w:b w:val="0"/>
          <w:bCs w:val="0"/>
        </w:rPr>
      </w:r>
    </w:p>
    <w:p>
      <w:pPr>
        <w:pStyle w:val="BodyText"/>
        <w:spacing w:line="688" w:lineRule="exact" w:before="20"/>
        <w:ind w:left="572" w:right="986" w:hanging="420"/>
        <w:jc w:val="left"/>
      </w:pPr>
      <w:bookmarkStart w:name="1、履行社会责任情况" w:id="95"/>
      <w:bookmarkEnd w:id="95"/>
      <w:r>
        <w:rPr/>
      </w:r>
      <w:r>
        <w:rPr>
          <w:rFonts w:ascii="Times New Roman" w:hAnsi="Times New Roman" w:cs="Times New Roman" w:eastAsia="Times New Roman" w:hint="default"/>
          <w:b/>
          <w:bCs/>
        </w:rPr>
        <w:t>1</w:t>
      </w:r>
      <w:r>
        <w:rPr>
          <w:rFonts w:ascii="宋体" w:hAnsi="宋体" w:cs="宋体" w:eastAsia="宋体" w:hint="default"/>
          <w:b/>
          <w:bCs/>
        </w:rPr>
        <w:t>、履行社会责任情况</w:t>
      </w:r>
      <w:r>
        <w:rPr>
          <w:rFonts w:ascii="宋体" w:hAnsi="宋体" w:cs="宋体" w:eastAsia="宋体" w:hint="default"/>
          <w:b/>
          <w:bCs/>
          <w:w w:val="100"/>
        </w:rPr>
        <w:t> </w:t>
      </w:r>
      <w:r>
        <w:rPr>
          <w:spacing w:val="-2"/>
        </w:rPr>
        <w:t>作为上市公司，公司注重投资者管理和投资者保护，尤其是维护中小投资者的合法权益。公司也在努</w:t>
      </w:r>
    </w:p>
    <w:p>
      <w:pPr>
        <w:pStyle w:val="BodyText"/>
        <w:spacing w:line="408" w:lineRule="auto" w:before="85"/>
        <w:ind w:right="1128"/>
        <w:jc w:val="both"/>
      </w:pPr>
      <w:r>
        <w:rPr>
          <w:spacing w:val="-2"/>
        </w:rPr>
        <w:t>力平衡经济、环境和社会三者的关系，在不断发展的同时，重视履行社会责任，切实做到经济效益与社会</w:t>
      </w:r>
      <w:r>
        <w:rPr>
          <w:spacing w:val="-50"/>
        </w:rPr>
        <w:t> </w:t>
      </w:r>
      <w:r>
        <w:rPr>
          <w:spacing w:val="-50"/>
        </w:rPr>
      </w:r>
      <w:r>
        <w:rPr>
          <w:spacing w:val="-2"/>
        </w:rPr>
        <w:t>效益、短期利益与长远利益、自身发展与社会发展相互协调，实现公司与员工、公司与社会、公司与环境</w:t>
      </w:r>
      <w:r>
        <w:rPr>
          <w:spacing w:val="-43"/>
        </w:rPr>
        <w:t> </w:t>
      </w:r>
      <w:r>
        <w:rPr>
          <w:spacing w:val="-43"/>
        </w:rPr>
      </w:r>
      <w:r>
        <w:rPr/>
        <w:t>的健康和谐发展。</w:t>
      </w:r>
    </w:p>
    <w:p>
      <w:pPr>
        <w:pStyle w:val="BodyText"/>
        <w:spacing w:line="408" w:lineRule="auto"/>
        <w:ind w:right="1130" w:firstLine="422"/>
        <w:jc w:val="both"/>
      </w:pPr>
      <w:r>
        <w:rPr>
          <w:rFonts w:ascii="宋体" w:hAnsi="宋体" w:cs="宋体" w:eastAsia="宋体" w:hint="default"/>
          <w:b/>
          <w:bCs/>
          <w:spacing w:val="-3"/>
        </w:rPr>
        <w:t>投资者关系管理和投资者保护：</w:t>
      </w:r>
      <w:r>
        <w:rPr>
          <w:spacing w:val="-3"/>
        </w:rPr>
        <w:t>公司管理层与全体员工齐心协力努力创造优良的业绩，提升公司的内</w:t>
      </w:r>
      <w:r>
        <w:rPr>
          <w:spacing w:val="-3"/>
          <w:w w:val="100"/>
        </w:rPr>
        <w:t> </w:t>
      </w:r>
      <w:r>
        <w:rPr/>
        <w:t>在价值，为投资者创造良好的投资回报。公司根据《公司章程》及公司《未来三年（</w:t>
      </w:r>
      <w:r>
        <w:rPr>
          <w:rFonts w:ascii="宋体" w:hAnsi="宋体" w:cs="宋体" w:eastAsia="宋体" w:hint="default"/>
        </w:rPr>
        <w:t>2018-2020</w:t>
      </w:r>
      <w:r>
        <w:rPr/>
        <w:t>年）股东</w:t>
      </w:r>
      <w:r>
        <w:rPr>
          <w:spacing w:val="-28"/>
        </w:rPr>
        <w:t> </w:t>
      </w:r>
      <w:r>
        <w:rPr>
          <w:spacing w:val="-28"/>
        </w:rPr>
      </w:r>
      <w:r>
        <w:rPr/>
        <w:t>回报规划》等的相关规定，</w:t>
      </w:r>
      <w:r>
        <w:rPr>
          <w:rFonts w:ascii="宋体" w:hAnsi="宋体" w:cs="宋体" w:eastAsia="宋体" w:hint="default"/>
        </w:rPr>
        <w:t>2019</w:t>
      </w:r>
      <w:r>
        <w:rPr/>
        <w:t>年公司利润分配方案为，以现金分红的方式，每</w:t>
      </w:r>
      <w:r>
        <w:rPr>
          <w:rFonts w:ascii="宋体" w:hAnsi="宋体" w:cs="宋体" w:eastAsia="宋体" w:hint="default"/>
        </w:rPr>
        <w:t>10</w:t>
      </w:r>
      <w:r>
        <w:rPr/>
        <w:t>股派发现金红利</w:t>
      </w:r>
      <w:r>
        <w:rPr>
          <w:rFonts w:ascii="宋体" w:hAnsi="宋体" w:cs="宋体" w:eastAsia="宋体" w:hint="default"/>
        </w:rPr>
        <w:t>0.9</w:t>
      </w:r>
      <w:r>
        <w:rPr/>
        <w:t>元</w:t>
      </w:r>
      <w:r>
        <w:rPr>
          <w:spacing w:val="-29"/>
        </w:rPr>
        <w:t> </w:t>
      </w:r>
      <w:r>
        <w:rPr/>
        <w:t>人民币（含税）。近三年以现金分红方式累计分配利润不低于公司近三年实现的平均可分配利润的</w:t>
      </w:r>
      <w:r>
        <w:rPr>
          <w:rFonts w:ascii="宋体" w:hAnsi="宋体" w:cs="宋体" w:eastAsia="宋体" w:hint="default"/>
        </w:rPr>
        <w:t>20%</w:t>
      </w:r>
      <w:r>
        <w:rPr/>
        <w:t>。</w:t>
      </w:r>
    </w:p>
    <w:p>
      <w:pPr>
        <w:pStyle w:val="BodyText"/>
        <w:spacing w:line="408" w:lineRule="auto"/>
        <w:ind w:right="1106" w:firstLine="420"/>
        <w:jc w:val="both"/>
      </w:pPr>
      <w:r>
        <w:rPr>
          <w:spacing w:val="-2"/>
        </w:rPr>
        <w:t>在股东交流上，公司提供了多样化的交流方式，包括投资者热线、运用移动互联网的工具举办线上交</w:t>
      </w:r>
      <w:r>
        <w:rPr>
          <w:spacing w:val="-3"/>
          <w:w w:val="100"/>
        </w:rPr>
        <w:t> </w:t>
      </w:r>
      <w:r>
        <w:rPr>
          <w:spacing w:val="-2"/>
        </w:rPr>
        <w:t>流会、举办线下调研、参与投资策略会等灵活多样方式，向投资者、资本市场传达公司的业务概括及发展</w:t>
      </w:r>
      <w:r>
        <w:rPr>
          <w:spacing w:val="-44"/>
        </w:rPr>
        <w:t> </w:t>
      </w:r>
      <w:r>
        <w:rPr>
          <w:spacing w:val="-44"/>
        </w:rPr>
      </w:r>
      <w:r>
        <w:rPr>
          <w:spacing w:val="-2"/>
        </w:rPr>
        <w:t>规划，提高市场对公司的认知程度，使得公司的价值能够得到充分正确地体现。经过不断地探索和改进，</w:t>
      </w:r>
    </w:p>
    <w:p>
      <w:pPr>
        <w:spacing w:after="0" w:line="408" w:lineRule="auto"/>
        <w:jc w:val="both"/>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left="575" w:right="986" w:hanging="423"/>
        <w:jc w:val="left"/>
      </w:pPr>
      <w:r>
        <w:rPr/>
        <w:t>公司现已形成了较为有效的投资者关系管理和保护模式。</w:t>
      </w:r>
      <w:r>
        <w:rPr>
          <w:w w:val="100"/>
        </w:rPr>
        <w:t> </w:t>
      </w:r>
      <w:r>
        <w:rPr>
          <w:rFonts w:ascii="宋体" w:hAnsi="宋体" w:cs="宋体" w:eastAsia="宋体" w:hint="default"/>
          <w:b/>
          <w:bCs/>
          <w:spacing w:val="-2"/>
        </w:rPr>
        <w:t>员工权益保护：</w:t>
      </w:r>
      <w:r>
        <w:rPr>
          <w:spacing w:val="-2"/>
        </w:rPr>
        <w:t>公司严格按照《公司法》、《劳动合同法》等法律法规的要求，保护员工依法享有劳</w:t>
      </w:r>
    </w:p>
    <w:p>
      <w:pPr>
        <w:pStyle w:val="BodyText"/>
        <w:spacing w:line="408" w:lineRule="auto"/>
        <w:ind w:right="986"/>
        <w:jc w:val="left"/>
      </w:pPr>
      <w:r>
        <w:rPr>
          <w:spacing w:val="-2"/>
        </w:rPr>
        <w:t>动权利和履行劳动义务，保持工作岗位相对稳定，积极促进充分就业。公司建立了完善的人力资源管理体</w:t>
      </w:r>
      <w:r>
        <w:rPr>
          <w:spacing w:val="-42"/>
        </w:rPr>
        <w:t> </w:t>
      </w:r>
      <w:r>
        <w:rPr>
          <w:spacing w:val="-42"/>
        </w:rPr>
      </w:r>
      <w:r>
        <w:rPr/>
        <w:t>系，建立了完善科学的员工培训和晋升机制、科学合理的薪酬机制。</w:t>
      </w:r>
    </w:p>
    <w:p>
      <w:pPr>
        <w:pStyle w:val="BodyText"/>
        <w:spacing w:line="408" w:lineRule="auto"/>
        <w:ind w:right="1100" w:firstLine="422"/>
        <w:jc w:val="both"/>
      </w:pPr>
      <w:r>
        <w:rPr>
          <w:rFonts w:ascii="宋体" w:hAnsi="宋体" w:cs="宋体" w:eastAsia="宋体" w:hint="default"/>
          <w:b/>
          <w:bCs/>
          <w:spacing w:val="-2"/>
        </w:rPr>
        <w:t>客户权益保护：</w:t>
      </w:r>
      <w:r>
        <w:rPr>
          <w:spacing w:val="-2"/>
        </w:rPr>
        <w:t>公司的经营理念是“不断创新、追求卓越”，价值观是“以客户为中心，艰苦奋斗，</w:t>
      </w:r>
      <w:r>
        <w:rPr>
          <w:spacing w:val="-3"/>
          <w:w w:val="100"/>
        </w:rPr>
        <w:t> </w:t>
      </w:r>
      <w:r>
        <w:rPr/>
        <w:t>持续创新，极致执行，协作共赢”。公司严格把控产品质量，将</w:t>
      </w:r>
      <w:r>
        <w:rPr>
          <w:rFonts w:ascii="宋体" w:hAnsi="宋体" w:cs="宋体" w:eastAsia="宋体" w:hint="default"/>
        </w:rPr>
        <w:t>ISO9001</w:t>
      </w:r>
      <w:r>
        <w:rPr/>
        <w:t>质量管理体系、</w:t>
      </w:r>
      <w:r>
        <w:rPr>
          <w:rFonts w:ascii="宋体" w:hAnsi="宋体" w:cs="宋体" w:eastAsia="宋体" w:hint="default"/>
        </w:rPr>
        <w:t>ISO14001</w:t>
      </w:r>
      <w:r>
        <w:rPr>
          <w:rFonts w:ascii="宋体" w:hAnsi="宋体" w:cs="宋体" w:eastAsia="宋体" w:hint="default"/>
          <w:spacing w:val="-20"/>
        </w:rPr>
        <w:t> </w:t>
      </w:r>
      <w:r>
        <w:rPr>
          <w:spacing w:val="-3"/>
        </w:rPr>
        <w:t>环境管</w:t>
      </w:r>
      <w:r>
        <w:rPr>
          <w:spacing w:val="-3"/>
          <w:w w:val="100"/>
        </w:rPr>
        <w:t> </w:t>
      </w:r>
      <w:r>
        <w:rPr>
          <w:spacing w:val="-2"/>
        </w:rPr>
        <w:t>理体系、卓越绩效导入公司管理系统，识别产品安全、环保、能资源消耗、安全生产、公共卫生等方面的</w:t>
      </w:r>
      <w:r>
        <w:rPr>
          <w:spacing w:val="-45"/>
        </w:rPr>
        <w:t> </w:t>
      </w:r>
      <w:r>
        <w:rPr>
          <w:spacing w:val="-45"/>
        </w:rPr>
      </w:r>
      <w:r>
        <w:rPr/>
        <w:t>影响因素，并应用系统的方法予以有效控制。公司通过电话、微信等方式为客户提供</w:t>
      </w:r>
      <w:r>
        <w:rPr>
          <w:rFonts w:ascii="宋体" w:hAnsi="宋体" w:cs="宋体" w:eastAsia="宋体" w:hint="default"/>
        </w:rPr>
        <w:t>7×24</w:t>
      </w:r>
      <w:r>
        <w:rPr/>
        <w:t>小时技术支持</w:t>
      </w:r>
      <w:r>
        <w:rPr>
          <w:spacing w:val="-30"/>
        </w:rPr>
        <w:t> </w:t>
      </w:r>
      <w:r>
        <w:rPr>
          <w:spacing w:val="-30"/>
        </w:rPr>
      </w:r>
      <w:r>
        <w:rPr>
          <w:spacing w:val="-2"/>
        </w:rPr>
        <w:t>服务，建立了以客户需求的快速响应和提供优质持续服务为核心的服务模式，超越客户期望，提高客户满</w:t>
      </w:r>
      <w:r>
        <w:rPr>
          <w:spacing w:val="-44"/>
        </w:rPr>
        <w:t> </w:t>
      </w:r>
      <w:r>
        <w:rPr>
          <w:spacing w:val="-44"/>
        </w:rPr>
      </w:r>
      <w:r>
        <w:rPr/>
        <w:t>意度。</w:t>
      </w:r>
    </w:p>
    <w:p>
      <w:pPr>
        <w:pStyle w:val="BodyText"/>
        <w:spacing w:line="408" w:lineRule="auto"/>
        <w:ind w:right="1106" w:firstLine="422"/>
        <w:jc w:val="both"/>
      </w:pPr>
      <w:r>
        <w:rPr>
          <w:rFonts w:ascii="宋体" w:hAnsi="宋体" w:cs="宋体" w:eastAsia="宋体" w:hint="default"/>
          <w:b/>
          <w:bCs/>
          <w:spacing w:val="-2"/>
        </w:rPr>
        <w:t>社会公益：</w:t>
      </w:r>
      <w:r>
        <w:rPr>
          <w:spacing w:val="-2"/>
        </w:rPr>
        <w:t>公司积极参与社会公益事业和各项公益活动。</w:t>
      </w:r>
      <w:r>
        <w:rPr>
          <w:rFonts w:ascii="宋体" w:hAnsi="宋体" w:cs="宋体" w:eastAsia="宋体" w:hint="default"/>
          <w:spacing w:val="-2"/>
        </w:rPr>
        <w:t>2020</w:t>
      </w:r>
      <w:r>
        <w:rPr>
          <w:spacing w:val="-2"/>
        </w:rPr>
        <w:t>年，面对新型冠状病毒疫情，公司及主</w:t>
      </w:r>
      <w:r>
        <w:rPr>
          <w:w w:val="100"/>
        </w:rPr>
        <w:t> </w:t>
      </w:r>
      <w:r>
        <w:rPr/>
        <w:t>要股东定向捐赠负压隔离舱的奔驰高配救护车、口罩、隔离服等物资。同时派出</w:t>
      </w:r>
      <w:r>
        <w:rPr>
          <w:rFonts w:ascii="宋体" w:hAnsi="宋体" w:cs="宋体" w:eastAsia="宋体" w:hint="default"/>
        </w:rPr>
        <w:t>400</w:t>
      </w:r>
      <w:r>
        <w:rPr/>
        <w:t>多名员工为多省市执</w:t>
      </w:r>
      <w:r>
        <w:rPr>
          <w:spacing w:val="-27"/>
        </w:rPr>
        <w:t> </w:t>
      </w:r>
      <w:r>
        <w:rPr>
          <w:spacing w:val="-27"/>
        </w:rPr>
      </w:r>
      <w:r>
        <w:rPr>
          <w:spacing w:val="-2"/>
        </w:rPr>
        <w:t>法部门提供疫情防控的技术支持。公司</w:t>
      </w:r>
      <w:r>
        <w:rPr>
          <w:rFonts w:ascii="宋体" w:hAnsi="宋体" w:cs="宋体" w:eastAsia="宋体" w:hint="default"/>
          <w:spacing w:val="-2"/>
        </w:rPr>
        <w:t>2010</w:t>
      </w:r>
      <w:r>
        <w:rPr>
          <w:spacing w:val="-2"/>
        </w:rPr>
        <w:t>年与厦门市红十字会合作设立“美亚柏科爱心基金”，通过捐</w:t>
      </w:r>
      <w:r>
        <w:rPr>
          <w:spacing w:val="-41"/>
        </w:rPr>
        <w:t> </w:t>
      </w:r>
      <w:r>
        <w:rPr>
          <w:spacing w:val="-41"/>
        </w:rPr>
      </w:r>
      <w:r>
        <w:rPr>
          <w:spacing w:val="-2"/>
        </w:rPr>
        <w:t>助贫困大学生，关爱烈士家属、农民工子女捐赠活动，内部员工帮扶等，福建省红十字会授予公司“红十</w:t>
      </w:r>
      <w:r>
        <w:rPr>
          <w:spacing w:val="-49"/>
        </w:rPr>
        <w:t> </w:t>
      </w:r>
      <w:r>
        <w:rPr>
          <w:spacing w:val="-49"/>
        </w:rPr>
      </w:r>
      <w:r>
        <w:rPr>
          <w:spacing w:val="-2"/>
        </w:rPr>
        <w:t>字人道铜质奖章”荣誉称号。为持续资助高校大学生创新创业，公司高管共同出资发起设立了“厦门大学</w:t>
      </w:r>
      <w:r>
        <w:rPr>
          <w:spacing w:val="-44"/>
        </w:rPr>
        <w:t> </w:t>
      </w:r>
      <w:r>
        <w:rPr>
          <w:spacing w:val="-44"/>
        </w:rPr>
      </w:r>
      <w:r>
        <w:rPr>
          <w:spacing w:val="-2"/>
        </w:rPr>
        <w:t>刘祥南创新创业基金”，通过资助学生创新项目，为公司吸纳和储备人才。为致力于社会信用体系建设，</w:t>
      </w:r>
      <w:r>
        <w:rPr>
          <w:spacing w:val="-21"/>
        </w:rPr>
        <w:t> </w:t>
      </w:r>
      <w:r>
        <w:rPr>
          <w:spacing w:val="-21"/>
        </w:rPr>
      </w:r>
      <w:r>
        <w:rPr>
          <w:spacing w:val="2"/>
        </w:rPr>
        <w:t>公司设立“厦门市致诚信用大数据基金会”，以“促进信用公益事业健康发展，弘扬社会主义核心价值</w:t>
      </w:r>
      <w:r>
        <w:rPr>
          <w:spacing w:val="-26"/>
        </w:rPr>
        <w:t> </w:t>
      </w:r>
      <w:r>
        <w:rPr>
          <w:spacing w:val="-26"/>
        </w:rPr>
      </w:r>
      <w:r>
        <w:rPr>
          <w:spacing w:val="-2"/>
        </w:rPr>
        <w:t>观”为使命，开展社会信用体系承建自律氛围营造、失信主体信息修复、信用公益宣传活动、重点领域的</w:t>
      </w:r>
      <w:r>
        <w:rPr>
          <w:spacing w:val="-47"/>
        </w:rPr>
        <w:t> </w:t>
      </w:r>
      <w:r>
        <w:rPr>
          <w:spacing w:val="-47"/>
        </w:rPr>
      </w:r>
      <w:r>
        <w:rPr>
          <w:spacing w:val="-2"/>
        </w:rPr>
        <w:t>公益性信用评价及相关系统平台的建设等方面工作。</w:t>
      </w:r>
      <w:r>
        <w:rPr>
          <w:rFonts w:ascii="宋体" w:hAnsi="宋体" w:cs="宋体" w:eastAsia="宋体" w:hint="default"/>
          <w:spacing w:val="-2"/>
        </w:rPr>
        <w:t>2019</w:t>
      </w:r>
      <w:r>
        <w:rPr>
          <w:spacing w:val="-2"/>
        </w:rPr>
        <w:t>年，厦门市致诚信用大数据基金会围绕校园诚信</w:t>
      </w:r>
      <w:r>
        <w:rPr>
          <w:spacing w:val="-38"/>
        </w:rPr>
        <w:t> </w:t>
      </w:r>
      <w:r>
        <w:rPr>
          <w:spacing w:val="-38"/>
        </w:rPr>
      </w:r>
      <w:r>
        <w:rPr/>
        <w:t>教育、农村诚信宣传、信用课题研究等，开展了多项公益活动，全年累计捐赠公益款项</w:t>
      </w:r>
      <w:r>
        <w:rPr>
          <w:rFonts w:ascii="宋体" w:hAnsi="宋体" w:cs="宋体" w:eastAsia="宋体" w:hint="default"/>
        </w:rPr>
        <w:t>57</w:t>
      </w:r>
      <w:r>
        <w:rPr/>
        <w:t>万余元。</w:t>
      </w:r>
    </w:p>
    <w:p>
      <w:pPr>
        <w:spacing w:line="240" w:lineRule="auto" w:before="8"/>
        <w:rPr>
          <w:rFonts w:ascii="宋体" w:hAnsi="宋体" w:cs="宋体" w:eastAsia="宋体" w:hint="default"/>
          <w:sz w:val="20"/>
          <w:szCs w:val="20"/>
        </w:rPr>
      </w:pPr>
    </w:p>
    <w:p>
      <w:pPr>
        <w:pStyle w:val="Heading4"/>
        <w:spacing w:line="240" w:lineRule="auto"/>
        <w:ind w:right="986"/>
        <w:jc w:val="left"/>
        <w:rPr>
          <w:b w:val="0"/>
          <w:bCs w:val="0"/>
        </w:rPr>
      </w:pPr>
      <w:bookmarkStart w:name="2、履行精准扶贫社会责任情况" w:id="96"/>
      <w:bookmarkEnd w:id="96"/>
      <w:r>
        <w:rPr>
          <w:b w:val="0"/>
          <w:bCs w:val="0"/>
        </w:rPr>
      </w:r>
      <w:r>
        <w:rPr>
          <w:rFonts w:ascii="Times New Roman" w:hAnsi="Times New Roman" w:cs="Times New Roman" w:eastAsia="Times New Roman" w:hint="default"/>
        </w:rPr>
        <w:t>2</w:t>
      </w:r>
      <w:r>
        <w:rPr/>
        <w:t>、履行精准扶贫社会责任情况</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right="986"/>
        <w:jc w:val="left"/>
        <w:rPr>
          <w:b w:val="0"/>
          <w:bCs w:val="0"/>
        </w:rPr>
      </w:pPr>
      <w:bookmarkStart w:name="（1）精准扶贫规划" w:id="97"/>
      <w:bookmarkEnd w:id="97"/>
      <w:r>
        <w:rPr>
          <w:b w:val="0"/>
          <w:bCs w:val="0"/>
        </w:rPr>
      </w:r>
      <w:r>
        <w:rPr/>
        <w:t>（</w:t>
      </w:r>
      <w:r>
        <w:rPr>
          <w:rFonts w:ascii="Times New Roman" w:hAnsi="Times New Roman" w:cs="Times New Roman" w:eastAsia="Times New Roman" w:hint="default"/>
        </w:rPr>
        <w:t>1</w:t>
      </w:r>
      <w:r>
        <w:rPr/>
        <w:t>）精准扶贫规划</w:t>
      </w:r>
      <w:r>
        <w:rPr>
          <w:b w:val="0"/>
          <w:bCs w:val="0"/>
        </w:rPr>
      </w:r>
    </w:p>
    <w:p>
      <w:pPr>
        <w:spacing w:line="240" w:lineRule="auto" w:before="8"/>
        <w:rPr>
          <w:rFonts w:ascii="宋体" w:hAnsi="宋体" w:cs="宋体" w:eastAsia="宋体" w:hint="default"/>
          <w:b/>
          <w:bCs/>
          <w:sz w:val="30"/>
          <w:szCs w:val="30"/>
        </w:rPr>
      </w:pPr>
    </w:p>
    <w:p>
      <w:pPr>
        <w:pStyle w:val="BodyText"/>
        <w:spacing w:line="408" w:lineRule="auto" w:before="0"/>
        <w:ind w:right="1128" w:firstLine="419"/>
        <w:jc w:val="both"/>
      </w:pPr>
      <w:r>
        <w:rPr>
          <w:rFonts w:ascii="宋体" w:hAnsi="宋体" w:cs="宋体" w:eastAsia="宋体" w:hint="default"/>
          <w:spacing w:val="-2"/>
        </w:rPr>
        <w:t>1</w:t>
      </w:r>
      <w:r>
        <w:rPr>
          <w:spacing w:val="-2"/>
        </w:rPr>
        <w:t>、</w:t>
      </w:r>
      <w:r>
        <w:rPr>
          <w:rFonts w:ascii="宋体" w:hAnsi="宋体" w:cs="宋体" w:eastAsia="宋体" w:hint="default"/>
          <w:spacing w:val="-2"/>
        </w:rPr>
        <w:t>2019</w:t>
      </w:r>
      <w:r>
        <w:rPr>
          <w:spacing w:val="-2"/>
        </w:rPr>
        <w:t>年</w:t>
      </w:r>
      <w:r>
        <w:rPr>
          <w:rFonts w:ascii="宋体" w:hAnsi="宋体" w:cs="宋体" w:eastAsia="宋体" w:hint="default"/>
          <w:spacing w:val="-2"/>
        </w:rPr>
        <w:t>1</w:t>
      </w:r>
      <w:r>
        <w:rPr>
          <w:spacing w:val="-2"/>
        </w:rPr>
        <w:t>月，厦门市致诚信用大数据基金会同国家公共信用信息中心共同发起“西刘庄村诚信教育</w:t>
      </w:r>
      <w:r>
        <w:rPr>
          <w:w w:val="100"/>
        </w:rPr>
        <w:t> </w:t>
      </w:r>
      <w:r>
        <w:rPr/>
        <w:t>扶贫三年行动计划”，现金捐助西刘庄村用于推进当地的诚信教育体系建设。</w:t>
      </w:r>
    </w:p>
    <w:p>
      <w:pPr>
        <w:pStyle w:val="BodyText"/>
        <w:spacing w:line="408" w:lineRule="auto"/>
        <w:ind w:right="1129" w:firstLine="420"/>
        <w:jc w:val="both"/>
      </w:pPr>
      <w:r>
        <w:rPr>
          <w:rFonts w:ascii="宋体" w:hAnsi="宋体" w:cs="宋体" w:eastAsia="宋体" w:hint="default"/>
          <w:spacing w:val="-2"/>
        </w:rPr>
        <w:t>2</w:t>
      </w:r>
      <w:r>
        <w:rPr>
          <w:spacing w:val="-2"/>
        </w:rPr>
        <w:t>、</w:t>
      </w:r>
      <w:r>
        <w:rPr>
          <w:rFonts w:ascii="宋体" w:hAnsi="宋体" w:cs="宋体" w:eastAsia="宋体" w:hint="default"/>
          <w:spacing w:val="-2"/>
        </w:rPr>
        <w:t>2019</w:t>
      </w:r>
      <w:r>
        <w:rPr>
          <w:spacing w:val="-2"/>
        </w:rPr>
        <w:t>年</w:t>
      </w:r>
      <w:r>
        <w:rPr>
          <w:rFonts w:ascii="宋体" w:hAnsi="宋体" w:cs="宋体" w:eastAsia="宋体" w:hint="default"/>
          <w:spacing w:val="-2"/>
        </w:rPr>
        <w:t>3</w:t>
      </w:r>
      <w:r>
        <w:rPr>
          <w:spacing w:val="-2"/>
        </w:rPr>
        <w:t>月，公司在临夏州为未脱贫人口设立公益岗位的专项资金，助推贫困村加快脱贫，实现共</w:t>
      </w:r>
      <w:r>
        <w:rPr>
          <w:w w:val="100"/>
        </w:rPr>
        <w:t> </w:t>
      </w:r>
      <w:r>
        <w:rPr/>
        <w:t>同发展。</w:t>
      </w:r>
    </w:p>
    <w:p>
      <w:pPr>
        <w:pStyle w:val="BodyText"/>
        <w:spacing w:line="408" w:lineRule="auto"/>
        <w:ind w:right="1127" w:firstLine="420"/>
        <w:jc w:val="both"/>
      </w:pPr>
      <w:r>
        <w:rPr>
          <w:rFonts w:ascii="宋体" w:hAnsi="宋体" w:cs="宋体" w:eastAsia="宋体" w:hint="default"/>
          <w:spacing w:val="-2"/>
        </w:rPr>
        <w:t>3</w:t>
      </w:r>
      <w:r>
        <w:rPr>
          <w:spacing w:val="-2"/>
        </w:rPr>
        <w:t>、</w:t>
      </w:r>
      <w:r>
        <w:rPr>
          <w:rFonts w:ascii="宋体" w:hAnsi="宋体" w:cs="宋体" w:eastAsia="宋体" w:hint="default"/>
          <w:spacing w:val="-2"/>
        </w:rPr>
        <w:t>2019</w:t>
      </w:r>
      <w:r>
        <w:rPr>
          <w:spacing w:val="-2"/>
        </w:rPr>
        <w:t>年</w:t>
      </w:r>
      <w:r>
        <w:rPr>
          <w:rFonts w:ascii="宋体" w:hAnsi="宋体" w:cs="宋体" w:eastAsia="宋体" w:hint="default"/>
          <w:spacing w:val="-2"/>
        </w:rPr>
        <w:t>6</w:t>
      </w:r>
      <w:r>
        <w:rPr>
          <w:spacing w:val="-2"/>
        </w:rPr>
        <w:t>月，公司为福建省第五批省级扶贫开发工作重点村捐赠办公家具、电脑、投影仪等办公设</w:t>
      </w:r>
      <w:r>
        <w:rPr>
          <w:w w:val="100"/>
        </w:rPr>
        <w:t> </w:t>
      </w:r>
      <w:r>
        <w:rPr/>
        <w:t>施以便于办公及开展党员活动。</w:t>
      </w:r>
    </w:p>
    <w:p>
      <w:pPr>
        <w:spacing w:after="0" w:line="408" w:lineRule="auto"/>
        <w:jc w:val="both"/>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986" w:firstLine="420"/>
        <w:jc w:val="left"/>
      </w:pPr>
      <w:r>
        <w:rPr>
          <w:rFonts w:ascii="宋体" w:hAnsi="宋体" w:cs="宋体" w:eastAsia="宋体" w:hint="default"/>
          <w:spacing w:val="-2"/>
        </w:rPr>
        <w:t>4</w:t>
      </w:r>
      <w:r>
        <w:rPr>
          <w:spacing w:val="-2"/>
        </w:rPr>
        <w:t>、</w:t>
      </w:r>
      <w:r>
        <w:rPr>
          <w:rFonts w:ascii="宋体" w:hAnsi="宋体" w:cs="宋体" w:eastAsia="宋体" w:hint="default"/>
          <w:spacing w:val="-2"/>
        </w:rPr>
        <w:t>2019</w:t>
      </w:r>
      <w:r>
        <w:rPr>
          <w:spacing w:val="-2"/>
        </w:rPr>
        <w:t>年</w:t>
      </w:r>
      <w:r>
        <w:rPr>
          <w:rFonts w:ascii="宋体" w:hAnsi="宋体" w:cs="宋体" w:eastAsia="宋体" w:hint="default"/>
          <w:spacing w:val="-2"/>
        </w:rPr>
        <w:t>7</w:t>
      </w:r>
      <w:r>
        <w:rPr>
          <w:spacing w:val="-2"/>
        </w:rPr>
        <w:t>月，政和县铁山镇洪涝灾害频发，为当地农业生产和农产品销售带来影响，有村民农产品</w:t>
      </w:r>
      <w:r>
        <w:rPr>
          <w:spacing w:val="-3"/>
          <w:w w:val="100"/>
        </w:rPr>
        <w:t> </w:t>
      </w:r>
      <w:r>
        <w:rPr/>
        <w:t>滞销。公司及管理层通过消费扶贫的方式助力铁山镇。</w:t>
      </w:r>
    </w:p>
    <w:p>
      <w:pPr>
        <w:pStyle w:val="BodyText"/>
        <w:spacing w:line="240" w:lineRule="auto"/>
        <w:ind w:left="572" w:right="986"/>
        <w:jc w:val="left"/>
      </w:pPr>
      <w:r>
        <w:rPr>
          <w:rFonts w:ascii="宋体" w:hAnsi="宋体" w:cs="宋体" w:eastAsia="宋体" w:hint="default"/>
        </w:rPr>
        <w:t>5</w:t>
      </w:r>
      <w:r>
        <w:rPr/>
        <w:t>、</w:t>
      </w:r>
      <w:r>
        <w:rPr>
          <w:rFonts w:ascii="宋体" w:hAnsi="宋体" w:cs="宋体" w:eastAsia="宋体" w:hint="default"/>
        </w:rPr>
        <w:t>2019</w:t>
      </w:r>
      <w:r>
        <w:rPr/>
        <w:t>年</w:t>
      </w:r>
      <w:r>
        <w:rPr>
          <w:rFonts w:ascii="宋体" w:hAnsi="宋体" w:cs="宋体" w:eastAsia="宋体" w:hint="default"/>
        </w:rPr>
        <w:t>10</w:t>
      </w:r>
      <w:r>
        <w:rPr/>
        <w:t>月，为深入落实《厦门市一临夏州全面深化东西部扶贫协作三年行动框架协议（</w:t>
      </w:r>
      <w:r>
        <w:rPr>
          <w:rFonts w:ascii="宋体" w:hAnsi="宋体" w:cs="宋体" w:eastAsia="宋体" w:hint="default"/>
        </w:rPr>
        <w:t>2018</w:t>
      </w:r>
      <w:r>
        <w:rPr/>
        <w:t>－</w:t>
      </w:r>
    </w:p>
    <w:p>
      <w:pPr>
        <w:spacing w:line="240" w:lineRule="auto" w:before="10"/>
        <w:rPr>
          <w:rFonts w:ascii="宋体" w:hAnsi="宋体" w:cs="宋体" w:eastAsia="宋体" w:hint="default"/>
          <w:sz w:val="14"/>
          <w:szCs w:val="14"/>
        </w:rPr>
      </w:pPr>
    </w:p>
    <w:p>
      <w:pPr>
        <w:pStyle w:val="BodyText"/>
        <w:spacing w:line="240" w:lineRule="auto" w:before="0"/>
        <w:ind w:right="986"/>
        <w:jc w:val="left"/>
      </w:pPr>
      <w:r>
        <w:rPr>
          <w:rFonts w:ascii="宋体" w:hAnsi="宋体" w:cs="宋体" w:eastAsia="宋体" w:hint="default"/>
          <w:spacing w:val="-4"/>
        </w:rPr>
        <w:t>2020</w:t>
      </w:r>
      <w:r>
        <w:rPr>
          <w:spacing w:val="-4"/>
        </w:rPr>
        <w:t>年）》，推动区域协调发展、协同发展、共同发展，公司设立公益岗位的专项资金，支持未脱贫人口。</w:t>
      </w:r>
    </w:p>
    <w:p>
      <w:pPr>
        <w:spacing w:line="240" w:lineRule="auto" w:before="10"/>
        <w:rPr>
          <w:rFonts w:ascii="宋体" w:hAnsi="宋体" w:cs="宋体" w:eastAsia="宋体" w:hint="default"/>
          <w:sz w:val="14"/>
          <w:szCs w:val="14"/>
        </w:rPr>
      </w:pPr>
    </w:p>
    <w:p>
      <w:pPr>
        <w:pStyle w:val="BodyText"/>
        <w:spacing w:line="408" w:lineRule="auto" w:before="0"/>
        <w:ind w:right="986" w:firstLine="420"/>
        <w:jc w:val="left"/>
      </w:pPr>
      <w:r>
        <w:rPr>
          <w:rFonts w:ascii="宋体" w:hAnsi="宋体" w:cs="宋体" w:eastAsia="宋体" w:hint="default"/>
          <w:spacing w:val="-2"/>
        </w:rPr>
        <w:t>6</w:t>
      </w:r>
      <w:r>
        <w:rPr>
          <w:spacing w:val="-2"/>
        </w:rPr>
        <w:t>、</w:t>
      </w:r>
      <w:r>
        <w:rPr>
          <w:rFonts w:ascii="宋体" w:hAnsi="宋体" w:cs="宋体" w:eastAsia="宋体" w:hint="default"/>
          <w:spacing w:val="-2"/>
        </w:rPr>
        <w:t>2019</w:t>
      </w:r>
      <w:r>
        <w:rPr>
          <w:spacing w:val="-2"/>
        </w:rPr>
        <w:t>年</w:t>
      </w:r>
      <w:r>
        <w:rPr>
          <w:rFonts w:ascii="宋体" w:hAnsi="宋体" w:cs="宋体" w:eastAsia="宋体" w:hint="default"/>
          <w:spacing w:val="-2"/>
        </w:rPr>
        <w:t>11</w:t>
      </w:r>
      <w:r>
        <w:rPr>
          <w:spacing w:val="-2"/>
        </w:rPr>
        <w:t>月，定向捐助三明市乡镇设立“教育发展基金”，用于支持当地教育事业的建设和发展，</w:t>
      </w:r>
      <w:r>
        <w:rPr>
          <w:w w:val="100"/>
        </w:rPr>
        <w:t> </w:t>
      </w:r>
      <w:r>
        <w:rPr/>
        <w:t>拓展当地教育资源，提升当地儿童、青少年的综合素质，助力贫困家庭、贫困学生完成学业。</w:t>
      </w:r>
    </w:p>
    <w:p>
      <w:pPr>
        <w:pStyle w:val="BodyText"/>
        <w:spacing w:line="240" w:lineRule="auto"/>
        <w:ind w:left="572" w:right="986"/>
        <w:jc w:val="left"/>
      </w:pPr>
      <w:r>
        <w:rPr>
          <w:rFonts w:ascii="宋体" w:hAnsi="宋体" w:cs="宋体" w:eastAsia="宋体" w:hint="default"/>
        </w:rPr>
        <w:t>7</w:t>
      </w:r>
      <w:r>
        <w:rPr/>
        <w:t>、</w:t>
      </w:r>
      <w:r>
        <w:rPr>
          <w:rFonts w:ascii="宋体" w:hAnsi="宋体" w:cs="宋体" w:eastAsia="宋体" w:hint="default"/>
        </w:rPr>
        <w:t>2019</w:t>
      </w:r>
      <w:r>
        <w:rPr/>
        <w:t>年</w:t>
      </w:r>
      <w:r>
        <w:rPr>
          <w:rFonts w:ascii="宋体" w:hAnsi="宋体" w:cs="宋体" w:eastAsia="宋体" w:hint="default"/>
        </w:rPr>
        <w:t>12</w:t>
      </w:r>
      <w:r>
        <w:rPr/>
        <w:t>月，现金捐助长汀县乡村用于林田村公益事业发展及基础设施建设。</w:t>
      </w:r>
    </w:p>
    <w:p>
      <w:pPr>
        <w:spacing w:line="670" w:lineRule="atLeast" w:before="37"/>
        <w:ind w:left="572" w:right="986" w:hanging="420"/>
        <w:jc w:val="left"/>
        <w:rPr>
          <w:rFonts w:ascii="宋体" w:hAnsi="宋体" w:cs="宋体" w:eastAsia="宋体" w:hint="default"/>
          <w:sz w:val="21"/>
          <w:szCs w:val="21"/>
        </w:rPr>
      </w:pPr>
      <w:bookmarkStart w:name="（2）年度精准扶贫概要" w:id="98"/>
      <w:bookmarkEnd w:id="98"/>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）年度精准扶贫概要</w:t>
      </w:r>
      <w:r>
        <w:rPr>
          <w:rFonts w:ascii="宋体" w:hAnsi="宋体" w:cs="宋体" w:eastAsia="宋体" w:hint="default"/>
          <w:b/>
          <w:bCs/>
          <w:w w:val="100"/>
          <w:sz w:val="21"/>
          <w:szCs w:val="21"/>
        </w:rPr>
        <w:t> </w:t>
      </w:r>
      <w:r>
        <w:rPr>
          <w:rFonts w:ascii="宋体" w:hAnsi="宋体" w:cs="宋体" w:eastAsia="宋体" w:hint="default"/>
          <w:spacing w:val="-2"/>
          <w:sz w:val="21"/>
          <w:szCs w:val="21"/>
        </w:rPr>
        <w:t>公司积极响应《“十三五”脱贫攻坚规划的通知》，围绕教育脱贫、健康脱贫、社会扶贫等方向开展</w:t>
      </w:r>
    </w:p>
    <w:p>
      <w:pPr>
        <w:spacing w:line="240" w:lineRule="auto" w:before="10"/>
        <w:rPr>
          <w:rFonts w:ascii="宋体" w:hAnsi="宋体" w:cs="宋体" w:eastAsia="宋体" w:hint="default"/>
          <w:sz w:val="14"/>
          <w:szCs w:val="14"/>
        </w:rPr>
      </w:pPr>
    </w:p>
    <w:p>
      <w:pPr>
        <w:pStyle w:val="BodyText"/>
        <w:spacing w:line="240" w:lineRule="auto" w:before="0"/>
        <w:ind w:right="986"/>
        <w:jc w:val="left"/>
      </w:pPr>
      <w:r>
        <w:rPr/>
        <w:t>精准扶贫工作。同时在教育文化、公益扶助、社会公益等方面积极履行社会责任。</w:t>
      </w:r>
    </w:p>
    <w:p>
      <w:pPr>
        <w:spacing w:line="240" w:lineRule="auto" w:before="0"/>
        <w:rPr>
          <w:rFonts w:ascii="宋体" w:hAnsi="宋体" w:cs="宋体" w:eastAsia="宋体" w:hint="default"/>
          <w:sz w:val="20"/>
          <w:szCs w:val="20"/>
        </w:rPr>
      </w:pPr>
    </w:p>
    <w:p>
      <w:pPr>
        <w:pStyle w:val="Heading4"/>
        <w:spacing w:line="240" w:lineRule="auto" w:before="154"/>
        <w:ind w:right="986"/>
        <w:jc w:val="left"/>
        <w:rPr>
          <w:b w:val="0"/>
          <w:bCs w:val="0"/>
        </w:rPr>
      </w:pPr>
      <w:bookmarkStart w:name="（3）精准扶贫成效" w:id="99"/>
      <w:bookmarkEnd w:id="99"/>
      <w:r>
        <w:rPr>
          <w:b w:val="0"/>
          <w:bCs w:val="0"/>
        </w:rPr>
      </w:r>
      <w:r>
        <w:rPr/>
        <w:t>（</w:t>
      </w:r>
      <w:r>
        <w:rPr>
          <w:rFonts w:ascii="Times New Roman" w:hAnsi="Times New Roman" w:cs="Times New Roman" w:eastAsia="Times New Roman" w:hint="default"/>
        </w:rPr>
        <w:t>3</w:t>
      </w:r>
      <w:r>
        <w:rPr/>
        <w:t>）精准扶贫成效</w:t>
      </w:r>
      <w:r>
        <w:rPr>
          <w:b w:val="0"/>
          <w:bCs w:val="0"/>
        </w:rPr>
      </w:r>
    </w:p>
    <w:p>
      <w:pPr>
        <w:spacing w:line="240" w:lineRule="auto" w:before="7"/>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4088"/>
        <w:gridCol w:w="1679"/>
        <w:gridCol w:w="3790"/>
      </w:tblGrid>
      <w:tr>
        <w:trPr>
          <w:trHeight w:val="403" w:hRule="exact"/>
        </w:trPr>
        <w:tc>
          <w:tcPr>
            <w:tcW w:w="40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11"/>
              <w:jc w:val="center"/>
              <w:rPr>
                <w:rFonts w:ascii="宋体" w:hAnsi="宋体" w:cs="宋体" w:eastAsia="宋体" w:hint="default"/>
                <w:sz w:val="18"/>
                <w:szCs w:val="18"/>
              </w:rPr>
            </w:pPr>
            <w:r>
              <w:rPr>
                <w:rFonts w:ascii="宋体" w:hAnsi="宋体" w:cs="宋体" w:eastAsia="宋体" w:hint="default"/>
                <w:sz w:val="18"/>
                <w:szCs w:val="18"/>
              </w:rPr>
              <w:t>指标</w:t>
            </w:r>
          </w:p>
        </w:tc>
        <w:tc>
          <w:tcPr>
            <w:tcW w:w="16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计量单位</w:t>
            </w:r>
          </w:p>
        </w:tc>
        <w:tc>
          <w:tcPr>
            <w:tcW w:w="37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 w:right="0"/>
              <w:jc w:val="center"/>
              <w:rPr>
                <w:rFonts w:ascii="宋体" w:hAnsi="宋体" w:cs="宋体" w:eastAsia="宋体" w:hint="default"/>
                <w:sz w:val="18"/>
                <w:szCs w:val="18"/>
              </w:rPr>
            </w:pPr>
            <w:r>
              <w:rPr>
                <w:rFonts w:ascii="宋体" w:hAnsi="宋体" w:cs="宋体" w:eastAsia="宋体" w:hint="default"/>
                <w:sz w:val="18"/>
                <w:szCs w:val="18"/>
              </w:rPr>
              <w:t>数量</w:t>
            </w:r>
            <w:r>
              <w:rPr>
                <w:rFonts w:ascii="Times New Roman" w:hAnsi="Times New Roman" w:cs="Times New Roman" w:eastAsia="Times New Roman" w:hint="default"/>
                <w:sz w:val="18"/>
                <w:szCs w:val="18"/>
              </w:rPr>
              <w:t>/</w:t>
            </w:r>
            <w:r>
              <w:rPr>
                <w:rFonts w:ascii="宋体" w:hAnsi="宋体" w:cs="宋体" w:eastAsia="宋体" w:hint="default"/>
                <w:sz w:val="18"/>
                <w:szCs w:val="18"/>
              </w:rPr>
              <w:t>开展情况</w:t>
            </w:r>
          </w:p>
        </w:tc>
      </w:tr>
      <w:tr>
        <w:trPr>
          <w:trHeight w:val="401" w:hRule="exact"/>
        </w:trPr>
        <w:tc>
          <w:tcPr>
            <w:tcW w:w="40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一、总体情况</w:t>
            </w:r>
          </w:p>
        </w:tc>
        <w:tc>
          <w:tcPr>
            <w:tcW w:w="16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37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6"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40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宋体" w:hAnsi="宋体" w:cs="宋体" w:eastAsia="宋体" w:hint="default"/>
                <w:sz w:val="18"/>
                <w:szCs w:val="18"/>
              </w:rPr>
              <w:t>其中： </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资金</w:t>
            </w:r>
          </w:p>
        </w:tc>
        <w:tc>
          <w:tcPr>
            <w:tcW w:w="16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3790"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39.31</w:t>
            </w:r>
          </w:p>
        </w:tc>
      </w:tr>
      <w:tr>
        <w:trPr>
          <w:trHeight w:val="401" w:hRule="exact"/>
        </w:trPr>
        <w:tc>
          <w:tcPr>
            <w:tcW w:w="40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二、分项投入</w:t>
            </w:r>
          </w:p>
        </w:tc>
        <w:tc>
          <w:tcPr>
            <w:tcW w:w="16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37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6"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40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产业发展脱贫</w:t>
            </w:r>
          </w:p>
        </w:tc>
        <w:tc>
          <w:tcPr>
            <w:tcW w:w="16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37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6"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1" w:hRule="exact"/>
        </w:trPr>
        <w:tc>
          <w:tcPr>
            <w:tcW w:w="40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转移就业脱贫</w:t>
            </w:r>
          </w:p>
        </w:tc>
        <w:tc>
          <w:tcPr>
            <w:tcW w:w="16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37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6"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40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易地搬迁脱贫</w:t>
            </w:r>
          </w:p>
        </w:tc>
        <w:tc>
          <w:tcPr>
            <w:tcW w:w="16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37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6"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1" w:hRule="exact"/>
        </w:trPr>
        <w:tc>
          <w:tcPr>
            <w:tcW w:w="40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教育扶贫</w:t>
            </w:r>
          </w:p>
        </w:tc>
        <w:tc>
          <w:tcPr>
            <w:tcW w:w="16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37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6"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40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改善贫困地区教育资源投入金额</w:t>
            </w:r>
          </w:p>
        </w:tc>
        <w:tc>
          <w:tcPr>
            <w:tcW w:w="16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3790"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30</w:t>
            </w:r>
          </w:p>
        </w:tc>
      </w:tr>
      <w:tr>
        <w:trPr>
          <w:trHeight w:val="401" w:hRule="exact"/>
        </w:trPr>
        <w:tc>
          <w:tcPr>
            <w:tcW w:w="40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健康扶贫</w:t>
            </w:r>
          </w:p>
        </w:tc>
        <w:tc>
          <w:tcPr>
            <w:tcW w:w="16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37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6"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40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生态保护扶贫</w:t>
            </w:r>
          </w:p>
        </w:tc>
        <w:tc>
          <w:tcPr>
            <w:tcW w:w="16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37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6"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1" w:hRule="exact"/>
        </w:trPr>
        <w:tc>
          <w:tcPr>
            <w:tcW w:w="40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兜底保障</w:t>
            </w:r>
          </w:p>
        </w:tc>
        <w:tc>
          <w:tcPr>
            <w:tcW w:w="16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37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6"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40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社会扶贫</w:t>
            </w:r>
          </w:p>
        </w:tc>
        <w:tc>
          <w:tcPr>
            <w:tcW w:w="16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37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6"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1" w:hRule="exact"/>
        </w:trPr>
        <w:tc>
          <w:tcPr>
            <w:tcW w:w="40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扶贫公益基金投入金额</w:t>
            </w:r>
          </w:p>
        </w:tc>
        <w:tc>
          <w:tcPr>
            <w:tcW w:w="16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3790"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9.31</w:t>
            </w:r>
            <w:r>
              <w:rPr>
                <w:rFonts w:ascii="Times New Roman"/>
                <w:sz w:val="18"/>
              </w:rPr>
            </w:r>
          </w:p>
        </w:tc>
      </w:tr>
      <w:tr>
        <w:trPr>
          <w:trHeight w:val="403" w:hRule="exact"/>
        </w:trPr>
        <w:tc>
          <w:tcPr>
            <w:tcW w:w="40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其他项目</w:t>
            </w:r>
          </w:p>
        </w:tc>
        <w:tc>
          <w:tcPr>
            <w:tcW w:w="16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37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6"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1" w:hRule="exact"/>
        </w:trPr>
        <w:tc>
          <w:tcPr>
            <w:tcW w:w="40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三、所获奖项（内容、级别）</w:t>
            </w:r>
          </w:p>
        </w:tc>
        <w:tc>
          <w:tcPr>
            <w:tcW w:w="16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37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6"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bl>
    <w:p>
      <w:pPr>
        <w:spacing w:line="240" w:lineRule="auto" w:before="3"/>
        <w:rPr>
          <w:rFonts w:ascii="宋体" w:hAnsi="宋体" w:cs="宋体" w:eastAsia="宋体" w:hint="default"/>
          <w:b/>
          <w:bCs/>
          <w:sz w:val="19"/>
          <w:szCs w:val="19"/>
        </w:rPr>
      </w:pPr>
    </w:p>
    <w:p>
      <w:pPr>
        <w:spacing w:line="571" w:lineRule="auto" w:before="36"/>
        <w:ind w:left="572" w:right="986" w:hanging="420"/>
        <w:jc w:val="left"/>
        <w:rPr>
          <w:rFonts w:ascii="宋体" w:hAnsi="宋体" w:cs="宋体" w:eastAsia="宋体" w:hint="default"/>
          <w:sz w:val="21"/>
          <w:szCs w:val="21"/>
        </w:rPr>
      </w:pPr>
      <w:bookmarkStart w:name="（4）后续精准扶贫计划" w:id="100"/>
      <w:bookmarkEnd w:id="10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）后续精准扶贫计划</w:t>
      </w:r>
      <w:r>
        <w:rPr>
          <w:rFonts w:ascii="宋体" w:hAnsi="宋体" w:cs="宋体" w:eastAsia="宋体" w:hint="default"/>
          <w:b/>
          <w:bCs/>
          <w:w w:val="100"/>
          <w:sz w:val="21"/>
          <w:szCs w:val="21"/>
        </w:rPr>
        <w:t> </w:t>
      </w:r>
      <w:r>
        <w:rPr>
          <w:rFonts w:ascii="宋体" w:hAnsi="宋体" w:cs="宋体" w:eastAsia="宋体" w:hint="default"/>
          <w:spacing w:val="-2"/>
          <w:sz w:val="21"/>
          <w:szCs w:val="21"/>
        </w:rPr>
        <w:t>公司将继续积极响应党中央号召，认真贯彻落实企业精准扶贫工作，在资助贫困地区及贫困人口，保</w:t>
      </w:r>
    </w:p>
    <w:p>
      <w:pPr>
        <w:spacing w:after="0" w:line="571" w:lineRule="auto"/>
        <w:jc w:val="left"/>
        <w:rPr>
          <w:rFonts w:ascii="宋体" w:hAnsi="宋体" w:cs="宋体" w:eastAsia="宋体" w:hint="default"/>
          <w:sz w:val="21"/>
          <w:szCs w:val="21"/>
        </w:rPr>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1109"/>
        <w:jc w:val="both"/>
      </w:pPr>
      <w:r>
        <w:rPr>
          <w:spacing w:val="-2"/>
        </w:rPr>
        <w:t>障或改善其生活水平、教育条件、基础医疗、基础设施上持续投入。在精准扶贫工作中，公司将始终把提</w:t>
      </w:r>
      <w:r>
        <w:rPr>
          <w:spacing w:val="-43"/>
        </w:rPr>
        <w:t> </w:t>
      </w:r>
      <w:r>
        <w:rPr>
          <w:spacing w:val="-43"/>
        </w:rPr>
      </w:r>
      <w:r>
        <w:rPr>
          <w:spacing w:val="-2"/>
        </w:rPr>
        <w:t>升困难群众发展能力、提高贫困人口素质作为脱贫攻坚的重点工作，注重扶贫同扶志、扶智相结合，有效</w:t>
      </w:r>
      <w:r>
        <w:rPr>
          <w:spacing w:val="-47"/>
        </w:rPr>
        <w:t> </w:t>
      </w:r>
      <w:r>
        <w:rPr>
          <w:spacing w:val="-47"/>
        </w:rPr>
      </w:r>
      <w:r>
        <w:rPr>
          <w:spacing w:val="-2"/>
        </w:rPr>
        <w:t>整合扶贫、教育、科技等部门的资源。在力所能及的范围内，大力开展公益扶助，加大贫困生资助力度。</w:t>
      </w:r>
    </w:p>
    <w:p>
      <w:pPr>
        <w:spacing w:line="240" w:lineRule="auto" w:before="8"/>
        <w:rPr>
          <w:rFonts w:ascii="宋体" w:hAnsi="宋体" w:cs="宋体" w:eastAsia="宋体" w:hint="default"/>
          <w:sz w:val="20"/>
          <w:szCs w:val="20"/>
        </w:rPr>
      </w:pPr>
    </w:p>
    <w:p>
      <w:pPr>
        <w:pStyle w:val="Heading4"/>
        <w:spacing w:line="240" w:lineRule="auto"/>
        <w:ind w:right="986"/>
        <w:jc w:val="left"/>
        <w:rPr>
          <w:b w:val="0"/>
          <w:bCs w:val="0"/>
        </w:rPr>
      </w:pPr>
      <w:bookmarkStart w:name="3、环境保护相关的情况" w:id="101"/>
      <w:bookmarkEnd w:id="101"/>
      <w:r>
        <w:rPr>
          <w:b w:val="0"/>
          <w:bCs w:val="0"/>
        </w:rPr>
      </w:r>
      <w:r>
        <w:rPr>
          <w:rFonts w:ascii="Times New Roman" w:hAnsi="Times New Roman" w:cs="Times New Roman" w:eastAsia="Times New Roman" w:hint="default"/>
        </w:rPr>
        <w:t>3</w:t>
      </w:r>
      <w:r>
        <w:rPr/>
        <w:t>、环境保护相关的情况</w:t>
      </w:r>
      <w:r>
        <w:rPr>
          <w:b w:val="0"/>
          <w:bCs w:val="0"/>
        </w:rPr>
      </w:r>
    </w:p>
    <w:p>
      <w:pPr>
        <w:spacing w:line="240" w:lineRule="auto" w:before="4"/>
        <w:rPr>
          <w:rFonts w:ascii="宋体" w:hAnsi="宋体" w:cs="宋体" w:eastAsia="宋体" w:hint="default"/>
          <w:b/>
          <w:bCs/>
          <w:sz w:val="26"/>
          <w:szCs w:val="26"/>
        </w:rPr>
      </w:pPr>
    </w:p>
    <w:p>
      <w:pPr>
        <w:spacing w:line="357" w:lineRule="auto" w:before="0"/>
        <w:ind w:left="152" w:right="5714" w:firstLine="0"/>
        <w:jc w:val="left"/>
        <w:rPr>
          <w:rFonts w:ascii="宋体" w:hAnsi="宋体" w:cs="宋体" w:eastAsia="宋体" w:hint="default"/>
          <w:sz w:val="18"/>
          <w:szCs w:val="18"/>
        </w:rPr>
      </w:pPr>
      <w:r>
        <w:rPr>
          <w:rFonts w:ascii="宋体" w:hAnsi="宋体" w:cs="宋体" w:eastAsia="宋体" w:hint="default"/>
          <w:sz w:val="18"/>
          <w:szCs w:val="18"/>
        </w:rPr>
        <w:t>上市公司及其子公司是否属于环境保护部门公布的重点排污单位 否</w:t>
      </w:r>
    </w:p>
    <w:p>
      <w:pPr>
        <w:spacing w:before="29"/>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公司及子公司不属于环境保护部门公布的重点排污单位。</w:t>
      </w:r>
    </w:p>
    <w:p>
      <w:pPr>
        <w:spacing w:line="240" w:lineRule="auto" w:before="3"/>
        <w:rPr>
          <w:rFonts w:ascii="宋体" w:hAnsi="宋体" w:cs="宋体" w:eastAsia="宋体" w:hint="default"/>
          <w:sz w:val="25"/>
          <w:szCs w:val="25"/>
        </w:rPr>
      </w:pPr>
    </w:p>
    <w:p>
      <w:pPr>
        <w:pStyle w:val="Heading2"/>
        <w:spacing w:line="240" w:lineRule="auto"/>
        <w:ind w:right="986"/>
        <w:jc w:val="left"/>
        <w:rPr>
          <w:b w:val="0"/>
          <w:bCs w:val="0"/>
        </w:rPr>
      </w:pPr>
      <w:bookmarkStart w:name="十八、其他重大事项的说明" w:id="102"/>
      <w:bookmarkEnd w:id="102"/>
      <w:r>
        <w:rPr>
          <w:b w:val="0"/>
          <w:bCs w:val="0"/>
        </w:rPr>
      </w:r>
      <w:r>
        <w:rPr/>
        <w:t>十八、其他重大事项的说明</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6"/>
        <w:rPr>
          <w:rFonts w:ascii="宋体" w:hAnsi="宋体" w:cs="宋体" w:eastAsia="宋体" w:hint="default"/>
          <w:sz w:val="18"/>
          <w:szCs w:val="18"/>
        </w:rPr>
      </w:pPr>
    </w:p>
    <w:p>
      <w:pPr>
        <w:spacing w:line="405" w:lineRule="auto" w:before="0"/>
        <w:ind w:left="575" w:right="986" w:hanging="3"/>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、公司主要股东协议转让事项</w:t>
      </w:r>
      <w:r>
        <w:rPr>
          <w:rFonts w:ascii="宋体" w:hAnsi="宋体" w:cs="宋体" w:eastAsia="宋体" w:hint="default"/>
          <w:b/>
          <w:bCs/>
          <w:w w:val="100"/>
          <w:sz w:val="21"/>
          <w:szCs w:val="21"/>
        </w:rPr>
        <w:t> </w:t>
      </w:r>
      <w:r>
        <w:rPr>
          <w:rFonts w:ascii="宋体" w:hAnsi="宋体" w:cs="宋体" w:eastAsia="宋体" w:hint="default"/>
          <w:spacing w:val="-2"/>
          <w:sz w:val="21"/>
          <w:szCs w:val="21"/>
        </w:rPr>
        <w:t>公司于</w:t>
      </w:r>
      <w:r>
        <w:rPr>
          <w:rFonts w:ascii="宋体" w:hAnsi="宋体" w:cs="宋体" w:eastAsia="宋体" w:hint="default"/>
          <w:spacing w:val="-2"/>
          <w:sz w:val="21"/>
          <w:szCs w:val="21"/>
        </w:rPr>
        <w:t>2019</w:t>
      </w:r>
      <w:r>
        <w:rPr>
          <w:rFonts w:ascii="宋体" w:hAnsi="宋体" w:cs="宋体" w:eastAsia="宋体" w:hint="default"/>
          <w:spacing w:val="-2"/>
          <w:sz w:val="21"/>
          <w:szCs w:val="21"/>
        </w:rPr>
        <w:t>年</w:t>
      </w:r>
      <w:r>
        <w:rPr>
          <w:rFonts w:ascii="宋体" w:hAnsi="宋体" w:cs="宋体" w:eastAsia="宋体" w:hint="default"/>
          <w:spacing w:val="-2"/>
          <w:sz w:val="21"/>
          <w:szCs w:val="21"/>
        </w:rPr>
        <w:t>4</w:t>
      </w:r>
      <w:r>
        <w:rPr>
          <w:rFonts w:ascii="宋体" w:hAnsi="宋体" w:cs="宋体" w:eastAsia="宋体" w:hint="default"/>
          <w:spacing w:val="-2"/>
          <w:sz w:val="21"/>
          <w:szCs w:val="21"/>
        </w:rPr>
        <w:t>月</w:t>
      </w:r>
      <w:r>
        <w:rPr>
          <w:rFonts w:ascii="宋体" w:hAnsi="宋体" w:cs="宋体" w:eastAsia="宋体" w:hint="default"/>
          <w:spacing w:val="-2"/>
          <w:sz w:val="21"/>
          <w:szCs w:val="21"/>
        </w:rPr>
        <w:t>2</w:t>
      </w:r>
      <w:r>
        <w:rPr>
          <w:rFonts w:ascii="宋体" w:hAnsi="宋体" w:cs="宋体" w:eastAsia="宋体" w:hint="default"/>
          <w:spacing w:val="-2"/>
          <w:sz w:val="21"/>
          <w:szCs w:val="21"/>
        </w:rPr>
        <w:t>日披露了《关于公司股东签署股份转让协议、表决权委托协议暨公司控制权变更及</w:t>
      </w:r>
      <w:r>
        <w:rPr>
          <w:rFonts w:ascii="宋体" w:hAnsi="宋体" w:cs="宋体" w:eastAsia="宋体" w:hint="default"/>
          <w:sz w:val="21"/>
          <w:szCs w:val="21"/>
        </w:rPr>
      </w:r>
    </w:p>
    <w:p>
      <w:pPr>
        <w:pStyle w:val="BodyText"/>
        <w:spacing w:line="408" w:lineRule="auto" w:before="48"/>
        <w:ind w:left="153" w:right="986"/>
        <w:jc w:val="left"/>
      </w:pPr>
      <w:r>
        <w:rPr>
          <w:spacing w:val="-5"/>
        </w:rPr>
        <w:t>复牌的提示性公告》，公司控股股东、实际控制人郭永芳、滕达，股东李国林、刘冬颖、卓桂英、苏学武、</w:t>
      </w:r>
      <w:r>
        <w:rPr>
          <w:spacing w:val="-7"/>
        </w:rPr>
        <w:t> </w:t>
      </w:r>
      <w:r>
        <w:rPr>
          <w:spacing w:val="-7"/>
        </w:rPr>
      </w:r>
      <w:r>
        <w:rPr/>
        <w:t>韦玉荣将其合计持有的公司</w:t>
      </w:r>
      <w:r>
        <w:rPr>
          <w:rFonts w:ascii="宋体" w:hAnsi="宋体" w:cs="宋体" w:eastAsia="宋体" w:hint="default"/>
        </w:rPr>
        <w:t>125,475,942</w:t>
      </w:r>
      <w:r>
        <w:rPr/>
        <w:t>股股份转让给国投智能，同日，公司股东李国林、刘冬颖与国投</w:t>
      </w:r>
      <w:r>
        <w:rPr>
          <w:w w:val="100"/>
        </w:rPr>
        <w:t> </w:t>
      </w:r>
      <w:r>
        <w:rPr>
          <w:spacing w:val="-2"/>
        </w:rPr>
        <w:t>智能签署了《表决权委托协议》，将其合计持有的公司股份</w:t>
      </w:r>
      <w:r>
        <w:rPr>
          <w:rFonts w:ascii="宋体" w:hAnsi="宋体" w:cs="宋体" w:eastAsia="宋体" w:hint="default"/>
          <w:spacing w:val="-2"/>
        </w:rPr>
        <w:t>54,048,632</w:t>
      </w:r>
      <w:r>
        <w:rPr>
          <w:spacing w:val="-2"/>
        </w:rPr>
        <w:t>股所对应的表决权授权给国投智能</w:t>
      </w:r>
      <w:r>
        <w:rPr>
          <w:spacing w:val="-33"/>
        </w:rPr>
        <w:t> </w:t>
      </w:r>
      <w:r>
        <w:rPr>
          <w:spacing w:val="-33"/>
        </w:rPr>
      </w:r>
      <w:r>
        <w:rPr/>
        <w:t>行使。</w:t>
      </w:r>
    </w:p>
    <w:p>
      <w:pPr>
        <w:pStyle w:val="BodyText"/>
        <w:spacing w:line="240" w:lineRule="auto"/>
        <w:ind w:left="633" w:right="986"/>
        <w:jc w:val="left"/>
      </w:pPr>
      <w:r>
        <w:rPr>
          <w:rFonts w:ascii="宋体" w:hAnsi="宋体" w:cs="宋体" w:eastAsia="宋体" w:hint="default"/>
        </w:rPr>
        <w:t>2019</w:t>
      </w:r>
      <w:r>
        <w:rPr/>
        <w:t>年</w:t>
      </w:r>
      <w:r>
        <w:rPr>
          <w:rFonts w:ascii="宋体" w:hAnsi="宋体" w:cs="宋体" w:eastAsia="宋体" w:hint="default"/>
        </w:rPr>
        <w:t>6</w:t>
      </w:r>
      <w:r>
        <w:rPr/>
        <w:t>月</w:t>
      </w:r>
      <w:r>
        <w:rPr>
          <w:rFonts w:ascii="宋体" w:hAnsi="宋体" w:cs="宋体" w:eastAsia="宋体" w:hint="default"/>
        </w:rPr>
        <w:t>10</w:t>
      </w:r>
      <w:r>
        <w:rPr/>
        <w:t>日，该事项获得国家市场监督管理总局批复。</w:t>
      </w:r>
    </w:p>
    <w:p>
      <w:pPr>
        <w:spacing w:line="240" w:lineRule="auto" w:before="10"/>
        <w:rPr>
          <w:rFonts w:ascii="宋体" w:hAnsi="宋体" w:cs="宋体" w:eastAsia="宋体" w:hint="default"/>
          <w:sz w:val="14"/>
          <w:szCs w:val="14"/>
        </w:rPr>
      </w:pPr>
    </w:p>
    <w:p>
      <w:pPr>
        <w:pStyle w:val="BodyText"/>
        <w:spacing w:line="240" w:lineRule="auto" w:before="0"/>
        <w:ind w:left="633" w:right="986"/>
        <w:jc w:val="left"/>
      </w:pPr>
      <w:r>
        <w:rPr>
          <w:rFonts w:ascii="宋体" w:hAnsi="宋体" w:cs="宋体" w:eastAsia="宋体" w:hint="default"/>
        </w:rPr>
        <w:t>2019</w:t>
      </w:r>
      <w:r>
        <w:rPr/>
        <w:t>年</w:t>
      </w:r>
      <w:r>
        <w:rPr>
          <w:rFonts w:ascii="宋体" w:hAnsi="宋体" w:cs="宋体" w:eastAsia="宋体" w:hint="default"/>
        </w:rPr>
        <w:t>7</w:t>
      </w:r>
      <w:r>
        <w:rPr/>
        <w:t>月</w:t>
      </w:r>
      <w:r>
        <w:rPr>
          <w:rFonts w:ascii="宋体" w:hAnsi="宋体" w:cs="宋体" w:eastAsia="宋体" w:hint="default"/>
        </w:rPr>
        <w:t>4</w:t>
      </w:r>
      <w:r>
        <w:rPr/>
        <w:t>日，该事项获得国务院国资委批复。</w:t>
      </w:r>
    </w:p>
    <w:p>
      <w:pPr>
        <w:spacing w:line="240" w:lineRule="auto" w:before="10"/>
        <w:rPr>
          <w:rFonts w:ascii="宋体" w:hAnsi="宋体" w:cs="宋体" w:eastAsia="宋体" w:hint="default"/>
          <w:sz w:val="14"/>
          <w:szCs w:val="14"/>
        </w:rPr>
      </w:pPr>
    </w:p>
    <w:p>
      <w:pPr>
        <w:pStyle w:val="BodyText"/>
        <w:spacing w:line="408" w:lineRule="auto" w:before="0"/>
        <w:ind w:left="153" w:right="986" w:firstLine="479"/>
        <w:jc w:val="left"/>
      </w:pPr>
      <w:r>
        <w:rPr>
          <w:rFonts w:ascii="宋体" w:hAnsi="宋体" w:cs="宋体" w:eastAsia="宋体" w:hint="default"/>
          <w:spacing w:val="-1"/>
        </w:rPr>
        <w:t>2019</w:t>
      </w:r>
      <w:r>
        <w:rPr>
          <w:spacing w:val="-1"/>
        </w:rPr>
        <w:t>年</w:t>
      </w:r>
      <w:r>
        <w:rPr>
          <w:rFonts w:ascii="宋体" w:hAnsi="宋体" w:cs="宋体" w:eastAsia="宋体" w:hint="default"/>
          <w:spacing w:val="-1"/>
        </w:rPr>
        <w:t>7</w:t>
      </w:r>
      <w:r>
        <w:rPr>
          <w:spacing w:val="-1"/>
        </w:rPr>
        <w:t>月</w:t>
      </w:r>
      <w:r>
        <w:rPr>
          <w:rFonts w:ascii="宋体" w:hAnsi="宋体" w:cs="宋体" w:eastAsia="宋体" w:hint="default"/>
          <w:spacing w:val="-1"/>
        </w:rPr>
        <w:t>17</w:t>
      </w:r>
      <w:r>
        <w:rPr>
          <w:spacing w:val="-1"/>
        </w:rPr>
        <w:t>日，上述协议转让股份完成过户登记手续。国投智能成为公司控股股东，国务院国资委</w:t>
      </w:r>
      <w:r>
        <w:rPr>
          <w:w w:val="100"/>
        </w:rPr>
        <w:t> </w:t>
      </w:r>
      <w:r>
        <w:rPr/>
        <w:t>成为公司的实际控制人。</w:t>
      </w:r>
    </w:p>
    <w:p>
      <w:pPr>
        <w:pStyle w:val="BodyText"/>
        <w:spacing w:line="408" w:lineRule="auto"/>
        <w:ind w:left="153" w:right="986" w:firstLine="419"/>
        <w:jc w:val="left"/>
      </w:pPr>
      <w:r>
        <w:rPr>
          <w:spacing w:val="-2"/>
        </w:rPr>
        <w:t>详细内容见公司于</w:t>
      </w:r>
      <w:r>
        <w:rPr>
          <w:rFonts w:ascii="宋体" w:hAnsi="宋体" w:cs="宋体" w:eastAsia="宋体" w:hint="default"/>
          <w:spacing w:val="-2"/>
        </w:rPr>
        <w:t>2019</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2</w:t>
      </w:r>
      <w:r>
        <w:rPr>
          <w:spacing w:val="-2"/>
        </w:rPr>
        <w:t>日、</w:t>
      </w:r>
      <w:r>
        <w:rPr>
          <w:rFonts w:ascii="宋体" w:hAnsi="宋体" w:cs="宋体" w:eastAsia="宋体" w:hint="default"/>
          <w:spacing w:val="-2"/>
        </w:rPr>
        <w:t>6</w:t>
      </w:r>
      <w:r>
        <w:rPr>
          <w:spacing w:val="-2"/>
        </w:rPr>
        <w:t>月</w:t>
      </w:r>
      <w:r>
        <w:rPr>
          <w:rFonts w:ascii="宋体" w:hAnsi="宋体" w:cs="宋体" w:eastAsia="宋体" w:hint="default"/>
          <w:spacing w:val="-2"/>
        </w:rPr>
        <w:t>11</w:t>
      </w:r>
      <w:r>
        <w:rPr>
          <w:spacing w:val="-2"/>
        </w:rPr>
        <w:t>日、</w:t>
      </w:r>
      <w:r>
        <w:rPr>
          <w:rFonts w:ascii="宋体" w:hAnsi="宋体" w:cs="宋体" w:eastAsia="宋体" w:hint="default"/>
          <w:spacing w:val="-2"/>
        </w:rPr>
        <w:t>7</w:t>
      </w:r>
      <w:r>
        <w:rPr>
          <w:spacing w:val="-2"/>
        </w:rPr>
        <w:t>月</w:t>
      </w:r>
      <w:r>
        <w:rPr>
          <w:rFonts w:ascii="宋体" w:hAnsi="宋体" w:cs="宋体" w:eastAsia="宋体" w:hint="default"/>
          <w:spacing w:val="-2"/>
        </w:rPr>
        <w:t>4</w:t>
      </w:r>
      <w:r>
        <w:rPr>
          <w:spacing w:val="-2"/>
        </w:rPr>
        <w:t>日、</w:t>
      </w:r>
      <w:r>
        <w:rPr>
          <w:rFonts w:ascii="宋体" w:hAnsi="宋体" w:cs="宋体" w:eastAsia="宋体" w:hint="default"/>
          <w:spacing w:val="-2"/>
        </w:rPr>
        <w:t>7</w:t>
      </w:r>
      <w:r>
        <w:rPr>
          <w:spacing w:val="-2"/>
        </w:rPr>
        <w:t>月</w:t>
      </w:r>
      <w:r>
        <w:rPr>
          <w:rFonts w:ascii="宋体" w:hAnsi="宋体" w:cs="宋体" w:eastAsia="宋体" w:hint="default"/>
          <w:spacing w:val="-2"/>
        </w:rPr>
        <w:t>17</w:t>
      </w:r>
      <w:r>
        <w:rPr>
          <w:spacing w:val="-2"/>
        </w:rPr>
        <w:t>日在中国证监会指定的创业板信息披露网</w:t>
      </w:r>
      <w:r>
        <w:rPr>
          <w:spacing w:val="-3"/>
          <w:w w:val="100"/>
        </w:rPr>
        <w:t> </w:t>
      </w:r>
      <w:r>
        <w:rPr/>
        <w:t>站巨潮资讯网</w:t>
      </w:r>
      <w:r>
        <w:rPr>
          <w:rFonts w:ascii="宋体" w:hAnsi="宋体" w:cs="宋体" w:eastAsia="宋体" w:hint="default"/>
        </w:rPr>
      </w:r>
      <w:hyperlink r:id="rId11">
        <w:r>
          <w:rPr>
            <w:rFonts w:ascii="宋体" w:hAnsi="宋体" w:cs="宋体" w:eastAsia="宋体" w:hint="default"/>
            <w:u w:val="single" w:color="000000"/>
          </w:rPr>
          <w:t>www.cninfo.com.cn</w:t>
        </w:r>
        <w:r>
          <w:rPr>
            <w:rFonts w:ascii="宋体" w:hAnsi="宋体" w:cs="宋体" w:eastAsia="宋体" w:hint="default"/>
          </w:rPr>
        </w:r>
      </w:hyperlink>
      <w:r>
        <w:rPr/>
        <w:t>披露的相关公告。</w:t>
      </w:r>
    </w:p>
    <w:p>
      <w:pPr>
        <w:spacing w:line="240" w:lineRule="auto" w:before="12"/>
        <w:rPr>
          <w:rFonts w:ascii="宋体" w:hAnsi="宋体" w:cs="宋体" w:eastAsia="宋体" w:hint="default"/>
          <w:sz w:val="9"/>
          <w:szCs w:val="9"/>
        </w:rPr>
      </w:pPr>
    </w:p>
    <w:p>
      <w:pPr>
        <w:pStyle w:val="Heading4"/>
        <w:spacing w:line="240" w:lineRule="auto" w:before="36"/>
        <w:ind w:left="572" w:right="986"/>
        <w:jc w:val="left"/>
        <w:rPr>
          <w:b w:val="0"/>
          <w:bCs w:val="0"/>
        </w:rPr>
      </w:pPr>
      <w:r>
        <w:rPr>
          <w:rFonts w:ascii="宋体" w:hAnsi="宋体" w:cs="宋体" w:eastAsia="宋体" w:hint="default"/>
        </w:rPr>
        <w:t>2</w:t>
      </w:r>
      <w:r>
        <w:rPr/>
        <w:t>、成立全资子公司及分公司</w:t>
      </w:r>
      <w:r>
        <w:rPr>
          <w:b w:val="0"/>
          <w:bCs w:val="0"/>
        </w:rPr>
      </w:r>
    </w:p>
    <w:p>
      <w:pPr>
        <w:spacing w:line="240" w:lineRule="auto" w:before="10"/>
        <w:rPr>
          <w:rFonts w:ascii="宋体" w:hAnsi="宋体" w:cs="宋体" w:eastAsia="宋体" w:hint="default"/>
          <w:b/>
          <w:bCs/>
          <w:sz w:val="14"/>
          <w:szCs w:val="14"/>
        </w:rPr>
      </w:pPr>
    </w:p>
    <w:p>
      <w:pPr>
        <w:pStyle w:val="BodyText"/>
        <w:spacing w:line="240" w:lineRule="auto" w:before="0"/>
        <w:ind w:left="572" w:right="986"/>
        <w:jc w:val="left"/>
      </w:pPr>
      <w:r>
        <w:rPr/>
        <w:t>（</w:t>
      </w:r>
      <w:r>
        <w:rPr>
          <w:rFonts w:ascii="宋体" w:hAnsi="宋体" w:cs="宋体" w:eastAsia="宋体" w:hint="default"/>
        </w:rPr>
        <w:t>1</w:t>
      </w:r>
      <w:r>
        <w:rPr/>
        <w:t>）成立全资子公司四川美亚川安信息科技有限公司（以下简称“美亚川安”）</w:t>
      </w:r>
    </w:p>
    <w:p>
      <w:pPr>
        <w:spacing w:line="240" w:lineRule="auto" w:before="10"/>
        <w:rPr>
          <w:rFonts w:ascii="宋体" w:hAnsi="宋体" w:cs="宋体" w:eastAsia="宋体" w:hint="default"/>
          <w:sz w:val="14"/>
          <w:szCs w:val="14"/>
        </w:rPr>
      </w:pPr>
    </w:p>
    <w:p>
      <w:pPr>
        <w:pStyle w:val="BodyText"/>
        <w:spacing w:line="408" w:lineRule="auto" w:before="0"/>
        <w:ind w:right="1106" w:firstLine="345"/>
        <w:jc w:val="both"/>
      </w:pPr>
      <w:r>
        <w:rPr>
          <w:rFonts w:ascii="宋体" w:hAnsi="宋体" w:cs="宋体" w:eastAsia="宋体" w:hint="default"/>
          <w:spacing w:val="-2"/>
        </w:rPr>
        <w:t>2019</w:t>
      </w:r>
      <w:r>
        <w:rPr>
          <w:spacing w:val="-2"/>
        </w:rPr>
        <w:t>年</w:t>
      </w:r>
      <w:r>
        <w:rPr>
          <w:rFonts w:ascii="宋体" w:hAnsi="宋体" w:cs="宋体" w:eastAsia="宋体" w:hint="default"/>
          <w:spacing w:val="-2"/>
        </w:rPr>
        <w:t>10</w:t>
      </w:r>
      <w:r>
        <w:rPr>
          <w:spacing w:val="-2"/>
        </w:rPr>
        <w:t>月，公司以自有资金出资人民币</w:t>
      </w:r>
      <w:r>
        <w:rPr>
          <w:rFonts w:ascii="宋体" w:hAnsi="宋体" w:cs="宋体" w:eastAsia="宋体" w:hint="default"/>
          <w:spacing w:val="-2"/>
        </w:rPr>
        <w:t>800</w:t>
      </w:r>
      <w:r>
        <w:rPr>
          <w:spacing w:val="-2"/>
        </w:rPr>
        <w:t>万元成立全资子公司美亚川安</w:t>
      </w:r>
      <w:r>
        <w:rPr>
          <w:spacing w:val="-2"/>
          <w:sz w:val="18"/>
          <w:szCs w:val="18"/>
        </w:rPr>
        <w:t>，</w:t>
      </w:r>
      <w:r>
        <w:rPr>
          <w:spacing w:val="-2"/>
        </w:rPr>
        <w:t>主要从事信息安全产品销</w:t>
      </w:r>
      <w:r>
        <w:rPr>
          <w:w w:val="100"/>
        </w:rPr>
        <w:t> </w:t>
      </w:r>
      <w:r>
        <w:rPr>
          <w:spacing w:val="-2"/>
        </w:rPr>
        <w:t>售、研发和服务。同时借助成都作为西南地区国家中心城市的优势，进一步吸引更多优秀人才加入公司，</w:t>
      </w:r>
      <w:r>
        <w:rPr>
          <w:spacing w:val="-21"/>
        </w:rPr>
        <w:t> </w:t>
      </w:r>
      <w:r>
        <w:rPr>
          <w:spacing w:val="-21"/>
        </w:rPr>
      </w:r>
      <w:r>
        <w:rPr>
          <w:spacing w:val="-2"/>
        </w:rPr>
        <w:t>并充分利用成都本地资源，为集团打造独具特色的培训基地，为客户提供完整的体系化服务，更快地响应</w:t>
      </w:r>
      <w:r>
        <w:rPr>
          <w:spacing w:val="-48"/>
        </w:rPr>
        <w:t> </w:t>
      </w:r>
      <w:r>
        <w:rPr>
          <w:spacing w:val="-48"/>
        </w:rPr>
      </w:r>
      <w:r>
        <w:rPr/>
        <w:t>客户服务需求，提升客户满意度水平。</w:t>
      </w:r>
    </w:p>
    <w:p>
      <w:pPr>
        <w:pStyle w:val="BodyText"/>
        <w:spacing w:line="240" w:lineRule="auto"/>
        <w:ind w:left="498" w:right="986"/>
        <w:jc w:val="left"/>
      </w:pPr>
      <w:r>
        <w:rPr/>
        <w:t>美亚川安已获得成都高新技术产业开发区市场监督管理局颁发的营业执照，主要信息如下：</w:t>
      </w:r>
    </w:p>
    <w:p>
      <w:pPr>
        <w:spacing w:after="0" w:line="240"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left="498" w:right="3031"/>
        <w:jc w:val="left"/>
      </w:pPr>
      <w:r>
        <w:rPr/>
        <w:t>公司名称：四川美亚川安信息科技有限公司</w:t>
      </w:r>
      <w:r>
        <w:rPr>
          <w:w w:val="100"/>
        </w:rPr>
        <w:t> </w:t>
      </w:r>
      <w:r>
        <w:rPr/>
        <w:t>统一社会信用代码：</w:t>
      </w:r>
      <w:r>
        <w:rPr>
          <w:rFonts w:ascii="宋体" w:hAnsi="宋体" w:cs="宋体" w:eastAsia="宋体" w:hint="default"/>
        </w:rPr>
        <w:t>91510100MA6CY50406</w:t>
      </w:r>
      <w:r>
        <w:rPr>
          <w:rFonts w:ascii="宋体" w:hAnsi="宋体" w:cs="宋体" w:eastAsia="宋体" w:hint="default"/>
          <w:w w:val="100"/>
        </w:rPr>
        <w:t> </w:t>
      </w:r>
      <w:r>
        <w:rPr/>
        <w:t>类型：有限责任公司（自然人投资或控股的法人独资）</w:t>
      </w:r>
      <w:r>
        <w:rPr>
          <w:w w:val="100"/>
        </w:rPr>
        <w:t> </w:t>
      </w:r>
      <w:r>
        <w:rPr>
          <w:spacing w:val="-2"/>
        </w:rPr>
        <w:t>住所：中国</w:t>
      </w:r>
      <w:r>
        <w:rPr>
          <w:rFonts w:ascii="宋体" w:hAnsi="宋体" w:cs="宋体" w:eastAsia="宋体" w:hint="default"/>
          <w:spacing w:val="-2"/>
        </w:rPr>
        <w:t>(</w:t>
      </w:r>
      <w:r>
        <w:rPr>
          <w:spacing w:val="-2"/>
        </w:rPr>
        <w:t>四川</w:t>
      </w:r>
      <w:r>
        <w:rPr>
          <w:rFonts w:ascii="宋体" w:hAnsi="宋体" w:cs="宋体" w:eastAsia="宋体" w:hint="default"/>
          <w:spacing w:val="-2"/>
        </w:rPr>
        <w:t>)</w:t>
      </w:r>
      <w:r>
        <w:rPr>
          <w:spacing w:val="-2"/>
        </w:rPr>
        <w:t>自由贸易试验区成都高新区天府大道中段</w:t>
      </w:r>
      <w:r>
        <w:rPr>
          <w:rFonts w:ascii="宋体" w:hAnsi="宋体" w:cs="宋体" w:eastAsia="宋体" w:hint="default"/>
          <w:spacing w:val="-2"/>
        </w:rPr>
        <w:t>1388</w:t>
      </w:r>
      <w:r>
        <w:rPr>
          <w:spacing w:val="-2"/>
        </w:rPr>
        <w:t>号</w:t>
      </w:r>
      <w:r>
        <w:rPr>
          <w:rFonts w:ascii="宋体" w:hAnsi="宋体" w:cs="宋体" w:eastAsia="宋体" w:hint="default"/>
          <w:spacing w:val="-2"/>
        </w:rPr>
        <w:t>12</w:t>
      </w:r>
      <w:r>
        <w:rPr>
          <w:spacing w:val="-2"/>
        </w:rPr>
        <w:t>栋</w:t>
      </w:r>
      <w:r>
        <w:rPr>
          <w:rFonts w:ascii="宋体" w:hAnsi="宋体" w:cs="宋体" w:eastAsia="宋体" w:hint="default"/>
          <w:spacing w:val="-2"/>
        </w:rPr>
        <w:t>8</w:t>
      </w:r>
      <w:r>
        <w:rPr>
          <w:spacing w:val="-2"/>
        </w:rPr>
        <w:t>层</w:t>
      </w:r>
      <w:r>
        <w:rPr>
          <w:rFonts w:ascii="宋体" w:hAnsi="宋体" w:cs="宋体" w:eastAsia="宋体" w:hint="default"/>
          <w:spacing w:val="-2"/>
        </w:rPr>
        <w:t>803</w:t>
      </w:r>
      <w:r>
        <w:rPr>
          <w:spacing w:val="-2"/>
        </w:rPr>
        <w:t>号</w:t>
      </w:r>
      <w:r>
        <w:rPr>
          <w:spacing w:val="-30"/>
        </w:rPr>
        <w:t> </w:t>
      </w:r>
      <w:r>
        <w:rPr/>
        <w:t>法定代表人：易佑国</w:t>
      </w:r>
    </w:p>
    <w:p>
      <w:pPr>
        <w:pStyle w:val="BodyText"/>
        <w:spacing w:line="408" w:lineRule="auto"/>
        <w:ind w:left="498" w:right="3561"/>
        <w:jc w:val="left"/>
      </w:pPr>
      <w:r>
        <w:rPr/>
        <w:t>注册资本：</w:t>
      </w:r>
      <w:r>
        <w:rPr>
          <w:rFonts w:ascii="宋体" w:hAnsi="宋体" w:cs="宋体" w:eastAsia="宋体" w:hint="default"/>
        </w:rPr>
        <w:t>800</w:t>
      </w:r>
      <w:r>
        <w:rPr/>
        <w:t>万元人民币</w:t>
      </w:r>
      <w:r>
        <w:rPr>
          <w:spacing w:val="-3"/>
          <w:w w:val="100"/>
        </w:rPr>
        <w:t> </w:t>
      </w:r>
      <w:r>
        <w:rPr>
          <w:spacing w:val="-2"/>
        </w:rPr>
        <w:t>登记机关：成都高新技术产业开发区市场监督管理局</w:t>
      </w:r>
      <w:r>
        <w:rPr>
          <w:spacing w:val="-62"/>
        </w:rPr>
        <w:t> </w:t>
      </w:r>
      <w:r>
        <w:rPr>
          <w:spacing w:val="-62"/>
        </w:rPr>
      </w:r>
      <w:r>
        <w:rPr/>
        <w:t>营业期限：</w:t>
      </w:r>
      <w:r>
        <w:rPr>
          <w:rFonts w:ascii="宋体" w:hAnsi="宋体" w:cs="宋体" w:eastAsia="宋体" w:hint="default"/>
        </w:rPr>
        <w:t>2019</w:t>
      </w:r>
      <w:r>
        <w:rPr/>
        <w:t>年</w:t>
      </w:r>
      <w:r>
        <w:rPr>
          <w:rFonts w:ascii="宋体" w:hAnsi="宋体" w:cs="宋体" w:eastAsia="宋体" w:hint="default"/>
        </w:rPr>
        <w:t>10</w:t>
      </w:r>
      <w:r>
        <w:rPr/>
        <w:t>月</w:t>
      </w:r>
      <w:r>
        <w:rPr>
          <w:rFonts w:ascii="宋体" w:hAnsi="宋体" w:cs="宋体" w:eastAsia="宋体" w:hint="default"/>
        </w:rPr>
        <w:t>12</w:t>
      </w:r>
      <w:r>
        <w:rPr/>
        <w:t>日 至</w:t>
      </w:r>
      <w:r>
        <w:rPr>
          <w:spacing w:val="1"/>
        </w:rPr>
        <w:t> </w:t>
      </w:r>
      <w:r>
        <w:rPr/>
        <w:t>永久</w:t>
      </w:r>
    </w:p>
    <w:p>
      <w:pPr>
        <w:pStyle w:val="BodyText"/>
        <w:spacing w:line="408" w:lineRule="auto"/>
        <w:ind w:left="153" w:right="1130" w:firstLine="345"/>
        <w:jc w:val="both"/>
      </w:pPr>
      <w:r>
        <w:rPr/>
        <w:t>经营范围：软件开发；信息系统集成；信息技术咨询服务；数字内容服务；数据处理和存储服务；信</w:t>
      </w:r>
      <w:r>
        <w:rPr>
          <w:w w:val="100"/>
        </w:rPr>
        <w:t> </w:t>
      </w:r>
      <w:r>
        <w:rPr/>
        <w:t>息技术服务；互联网信息技术服务；销售：计算机软件及辅助设备、通信设备</w:t>
      </w:r>
      <w:r>
        <w:rPr>
          <w:rFonts w:ascii="宋体" w:hAnsi="宋体" w:cs="宋体" w:eastAsia="宋体" w:hint="default"/>
        </w:rPr>
        <w:t>(</w:t>
      </w:r>
      <w:r>
        <w:rPr/>
        <w:t>不含无线广播电视发射及</w:t>
      </w:r>
      <w:r>
        <w:rPr>
          <w:spacing w:val="-25"/>
        </w:rPr>
        <w:t> </w:t>
      </w:r>
      <w:r>
        <w:rPr>
          <w:spacing w:val="-25"/>
        </w:rPr>
      </w:r>
      <w:r>
        <w:rPr/>
        <w:t>卫星地面接收设备</w:t>
      </w:r>
      <w:r>
        <w:rPr>
          <w:rFonts w:ascii="宋体" w:hAnsi="宋体" w:cs="宋体" w:eastAsia="宋体" w:hint="default"/>
        </w:rPr>
        <w:t>)</w:t>
      </w:r>
      <w:r>
        <w:rPr/>
        <w:t>；销售音像制品</w:t>
      </w:r>
      <w:r>
        <w:rPr>
          <w:rFonts w:ascii="宋体" w:hAnsi="宋体" w:cs="宋体" w:eastAsia="宋体" w:hint="default"/>
        </w:rPr>
        <w:t>(</w:t>
      </w:r>
      <w:r>
        <w:rPr/>
        <w:t>未取得相关行政许可</w:t>
      </w:r>
      <w:r>
        <w:rPr>
          <w:rFonts w:ascii="宋体" w:hAnsi="宋体" w:cs="宋体" w:eastAsia="宋体" w:hint="default"/>
        </w:rPr>
        <w:t>(</w:t>
      </w:r>
      <w:r>
        <w:rPr/>
        <w:t>审批</w:t>
      </w:r>
      <w:r>
        <w:rPr>
          <w:rFonts w:ascii="宋体" w:hAnsi="宋体" w:cs="宋体" w:eastAsia="宋体" w:hint="default"/>
        </w:rPr>
        <w:t>)</w:t>
      </w:r>
      <w:r>
        <w:rPr/>
        <w:t>，不得开展经营活动</w:t>
      </w:r>
      <w:r>
        <w:rPr>
          <w:rFonts w:ascii="宋体" w:hAnsi="宋体" w:cs="宋体" w:eastAsia="宋体" w:hint="default"/>
        </w:rPr>
        <w:t>)</w:t>
      </w:r>
      <w:r>
        <w:rPr/>
        <w:t>；批发兼零售电子</w:t>
      </w:r>
      <w:r>
        <w:rPr>
          <w:spacing w:val="-27"/>
        </w:rPr>
        <w:t> </w:t>
      </w:r>
      <w:r>
        <w:rPr>
          <w:spacing w:val="-27"/>
        </w:rPr>
      </w:r>
      <w:r>
        <w:rPr/>
        <w:t>出版物</w:t>
      </w:r>
      <w:r>
        <w:rPr>
          <w:rFonts w:ascii="宋体" w:hAnsi="宋体" w:cs="宋体" w:eastAsia="宋体" w:hint="default"/>
        </w:rPr>
        <w:t>(</w:t>
      </w:r>
      <w:r>
        <w:rPr/>
        <w:t>未取得相关行政许可</w:t>
      </w:r>
      <w:r>
        <w:rPr>
          <w:rFonts w:ascii="宋体" w:hAnsi="宋体" w:cs="宋体" w:eastAsia="宋体" w:hint="default"/>
        </w:rPr>
        <w:t>(</w:t>
      </w:r>
      <w:r>
        <w:rPr/>
        <w:t>审批</w:t>
      </w:r>
      <w:r>
        <w:rPr>
          <w:rFonts w:ascii="宋体" w:hAnsi="宋体" w:cs="宋体" w:eastAsia="宋体" w:hint="default"/>
        </w:rPr>
        <w:t>)</w:t>
      </w:r>
      <w:r>
        <w:rPr/>
        <w:t>，不得开展经营活动</w:t>
      </w:r>
      <w:r>
        <w:rPr>
          <w:rFonts w:ascii="宋体" w:hAnsi="宋体" w:cs="宋体" w:eastAsia="宋体" w:hint="default"/>
        </w:rPr>
        <w:t>)</w:t>
      </w:r>
      <w:r>
        <w:rPr/>
        <w:t>；货物及技术进出口业务</w:t>
      </w:r>
      <w:r>
        <w:rPr>
          <w:rFonts w:ascii="宋体" w:hAnsi="宋体" w:cs="宋体" w:eastAsia="宋体" w:hint="default"/>
        </w:rPr>
        <w:t>(</w:t>
      </w:r>
      <w:r>
        <w:rPr/>
        <w:t>国家禁止或涉及行政</w:t>
      </w:r>
      <w:r>
        <w:rPr>
          <w:spacing w:val="-27"/>
        </w:rPr>
        <w:t> </w:t>
      </w:r>
      <w:r>
        <w:rPr>
          <w:spacing w:val="-27"/>
        </w:rPr>
      </w:r>
      <w:r>
        <w:rPr/>
        <w:t>审批的货物和技术进出口除外</w:t>
      </w:r>
      <w:r>
        <w:rPr>
          <w:rFonts w:ascii="宋体" w:hAnsi="宋体" w:cs="宋体" w:eastAsia="宋体" w:hint="default"/>
        </w:rPr>
        <w:t>)</w:t>
      </w:r>
      <w:r>
        <w:rPr/>
        <w:t>；计算机及通讯设备租赁</w:t>
      </w:r>
      <w:r>
        <w:rPr>
          <w:rFonts w:ascii="宋体" w:hAnsi="宋体" w:cs="宋体" w:eastAsia="宋体" w:hint="default"/>
        </w:rPr>
        <w:t>(</w:t>
      </w:r>
      <w:r>
        <w:rPr/>
        <w:t>不含无线广播电视发射及卫星地面接收设备</w:t>
      </w:r>
      <w:r>
        <w:rPr>
          <w:rFonts w:ascii="宋体" w:hAnsi="宋体" w:cs="宋体" w:eastAsia="宋体" w:hint="default"/>
        </w:rPr>
        <w:t>)</w:t>
      </w:r>
      <w:r>
        <w:rPr/>
        <w:t>；</w:t>
      </w:r>
      <w:r>
        <w:rPr>
          <w:spacing w:val="-25"/>
        </w:rPr>
        <w:t> </w:t>
      </w:r>
      <w:r>
        <w:rPr/>
        <w:t>教育咨询。</w:t>
      </w:r>
      <w:r>
        <w:rPr>
          <w:rFonts w:ascii="宋体" w:hAnsi="宋体" w:cs="宋体" w:eastAsia="宋体" w:hint="default"/>
        </w:rPr>
        <w:t>(</w:t>
      </w:r>
      <w:r>
        <w:rPr/>
        <w:t>依法须经批准的项目</w:t>
      </w:r>
      <w:r>
        <w:rPr>
          <w:rFonts w:ascii="宋体" w:hAnsi="宋体" w:cs="宋体" w:eastAsia="宋体" w:hint="default"/>
        </w:rPr>
        <w:t>,</w:t>
      </w:r>
      <w:r>
        <w:rPr/>
        <w:t>经相关部门批准后方可展开经营活动</w:t>
      </w:r>
      <w:r>
        <w:rPr>
          <w:rFonts w:ascii="宋体" w:hAnsi="宋体" w:cs="宋体" w:eastAsia="宋体" w:hint="default"/>
        </w:rPr>
        <w:t>)</w:t>
      </w:r>
      <w:r>
        <w:rPr/>
        <w:t>。</w:t>
      </w:r>
    </w:p>
    <w:p>
      <w:pPr>
        <w:pStyle w:val="BodyText"/>
        <w:spacing w:line="240" w:lineRule="auto"/>
        <w:ind w:left="498" w:right="986"/>
        <w:jc w:val="left"/>
      </w:pPr>
      <w:r>
        <w:rPr/>
        <w:t>（</w:t>
      </w:r>
      <w:r>
        <w:rPr>
          <w:rFonts w:ascii="宋体" w:hAnsi="宋体" w:cs="宋体" w:eastAsia="宋体" w:hint="default"/>
        </w:rPr>
        <w:t>2</w:t>
      </w:r>
      <w:r>
        <w:rPr/>
        <w:t>）成立全资子公司甘肃美亚陇安信息科技有限公司（以下简称“美亚陇安”）</w:t>
      </w:r>
    </w:p>
    <w:p>
      <w:pPr>
        <w:spacing w:line="240" w:lineRule="auto" w:before="10"/>
        <w:rPr>
          <w:rFonts w:ascii="宋体" w:hAnsi="宋体" w:cs="宋体" w:eastAsia="宋体" w:hint="default"/>
          <w:sz w:val="14"/>
          <w:szCs w:val="14"/>
        </w:rPr>
      </w:pPr>
    </w:p>
    <w:p>
      <w:pPr>
        <w:pStyle w:val="BodyText"/>
        <w:spacing w:line="408" w:lineRule="auto" w:before="0"/>
        <w:ind w:left="153" w:right="986" w:firstLine="419"/>
        <w:jc w:val="left"/>
      </w:pPr>
      <w:r>
        <w:rPr>
          <w:rFonts w:ascii="宋体" w:hAnsi="宋体" w:cs="宋体" w:eastAsia="宋体" w:hint="default"/>
        </w:rPr>
        <w:t>2019</w:t>
      </w:r>
      <w:r>
        <w:rPr/>
        <w:t>年</w:t>
      </w:r>
      <w:r>
        <w:rPr>
          <w:rFonts w:ascii="宋体" w:hAnsi="宋体" w:cs="宋体" w:eastAsia="宋体" w:hint="default"/>
        </w:rPr>
        <w:t>10</w:t>
      </w:r>
      <w:r>
        <w:rPr/>
        <w:t>月，公司出资</w:t>
      </w:r>
      <w:r>
        <w:rPr>
          <w:rFonts w:ascii="宋体" w:hAnsi="宋体" w:cs="宋体" w:eastAsia="宋体" w:hint="default"/>
        </w:rPr>
        <w:t>1,000</w:t>
      </w:r>
      <w:r>
        <w:rPr/>
        <w:t>万元成立全资子公司美亚陇安，目的是为了公司更好的承接建设信息化</w:t>
      </w:r>
      <w:r>
        <w:rPr>
          <w:w w:val="100"/>
        </w:rPr>
        <w:t> </w:t>
      </w:r>
      <w:r>
        <w:rPr>
          <w:spacing w:val="-2"/>
        </w:rPr>
        <w:t>平台项目，同时拓展甘肃周边业务。美亚陇安已取得了临夏市市场监督管理局颁发的《营业执照》，主要</w:t>
      </w:r>
      <w:r>
        <w:rPr>
          <w:spacing w:val="-43"/>
        </w:rPr>
        <w:t> </w:t>
      </w:r>
      <w:r>
        <w:rPr>
          <w:spacing w:val="-43"/>
        </w:rPr>
      </w:r>
      <w:r>
        <w:rPr/>
        <w:t>内容为：</w:t>
      </w:r>
    </w:p>
    <w:p>
      <w:pPr>
        <w:pStyle w:val="BodyText"/>
        <w:tabs>
          <w:tab w:pos="2675" w:val="left" w:leader="none"/>
        </w:tabs>
        <w:spacing w:line="427" w:lineRule="auto"/>
        <w:ind w:left="572" w:right="5306"/>
        <w:jc w:val="left"/>
      </w:pPr>
      <w:r>
        <w:rPr>
          <w:spacing w:val="-1"/>
        </w:rPr>
        <w:t>统一社会信用代码：</w:t>
        <w:tab/>
      </w:r>
      <w:r>
        <w:rPr>
          <w:rFonts w:ascii="宋体" w:hAnsi="宋体" w:cs="宋体" w:eastAsia="宋体" w:hint="default"/>
          <w:spacing w:val="-1"/>
        </w:rPr>
        <w:t>91622901MA71N4KT1U</w:t>
      </w:r>
      <w:r>
        <w:rPr>
          <w:rFonts w:ascii="宋体" w:hAnsi="宋体" w:cs="宋体" w:eastAsia="宋体" w:hint="default"/>
          <w:spacing w:val="-92"/>
        </w:rPr>
        <w:t> </w:t>
      </w:r>
      <w:r>
        <w:rPr>
          <w:rFonts w:ascii="宋体" w:hAnsi="宋体" w:cs="宋体" w:eastAsia="宋体" w:hint="default"/>
          <w:spacing w:val="-92"/>
        </w:rPr>
      </w:r>
      <w:r>
        <w:rPr/>
        <w:t>企业名称：甘肃美亚陇安信息科技有限公司</w:t>
      </w:r>
      <w:r>
        <w:rPr>
          <w:w w:val="100"/>
        </w:rPr>
        <w:t> </w:t>
      </w:r>
      <w:r>
        <w:rPr>
          <w:spacing w:val="-2"/>
        </w:rPr>
        <w:t>类型：有限责任公司（自然人投资或控股的法人独资）</w:t>
      </w:r>
      <w:r>
        <w:rPr>
          <w:spacing w:val="-59"/>
        </w:rPr>
        <w:t> </w:t>
      </w:r>
      <w:r>
        <w:rPr>
          <w:spacing w:val="-59"/>
        </w:rPr>
      </w:r>
      <w:r>
        <w:rPr/>
        <w:t>法定代表人：王跃聪</w:t>
      </w:r>
    </w:p>
    <w:p>
      <w:pPr>
        <w:pStyle w:val="BodyText"/>
        <w:spacing w:line="434" w:lineRule="auto" w:before="58"/>
        <w:ind w:left="572" w:right="5940"/>
        <w:jc w:val="left"/>
      </w:pPr>
      <w:r>
        <w:rPr/>
        <w:t>注册资本：</w:t>
      </w:r>
      <w:r>
        <w:rPr>
          <w:rFonts w:ascii="宋体" w:hAnsi="宋体" w:cs="宋体" w:eastAsia="宋体" w:hint="default"/>
        </w:rPr>
        <w:t>1,000.00</w:t>
      </w:r>
      <w:r>
        <w:rPr/>
        <w:t>万人民币</w:t>
      </w:r>
      <w:r>
        <w:rPr>
          <w:w w:val="100"/>
        </w:rPr>
        <w:t> </w:t>
      </w:r>
      <w:r>
        <w:rPr/>
        <w:t>成立日期：</w:t>
      </w:r>
      <w:r>
        <w:rPr>
          <w:rFonts w:ascii="宋体" w:hAnsi="宋体" w:cs="宋体" w:eastAsia="宋体" w:hint="default"/>
        </w:rPr>
        <w:t>2019</w:t>
      </w:r>
      <w:r>
        <w:rPr/>
        <w:t>年</w:t>
      </w:r>
      <w:r>
        <w:rPr>
          <w:rFonts w:ascii="宋体" w:hAnsi="宋体" w:cs="宋体" w:eastAsia="宋体" w:hint="default"/>
        </w:rPr>
        <w:t>10</w:t>
      </w:r>
      <w:r>
        <w:rPr/>
        <w:t>月</w:t>
      </w:r>
      <w:r>
        <w:rPr>
          <w:rFonts w:ascii="宋体" w:hAnsi="宋体" w:cs="宋体" w:eastAsia="宋体" w:hint="default"/>
        </w:rPr>
        <w:t>29</w:t>
      </w:r>
      <w:r>
        <w:rPr/>
        <w:t>日</w:t>
      </w:r>
      <w:r>
        <w:rPr>
          <w:w w:val="100"/>
        </w:rPr>
        <w:t> </w:t>
      </w:r>
      <w:r>
        <w:rPr/>
        <w:t>营业期限至：</w:t>
      </w:r>
      <w:r>
        <w:rPr>
          <w:rFonts w:ascii="宋体" w:hAnsi="宋体" w:cs="宋体" w:eastAsia="宋体" w:hint="default"/>
        </w:rPr>
        <w:t>2039</w:t>
      </w:r>
      <w:r>
        <w:rPr/>
        <w:t>年</w:t>
      </w:r>
      <w:r>
        <w:rPr>
          <w:rFonts w:ascii="宋体" w:hAnsi="宋体" w:cs="宋体" w:eastAsia="宋体" w:hint="default"/>
        </w:rPr>
        <w:t>10</w:t>
      </w:r>
      <w:r>
        <w:rPr/>
        <w:t>月</w:t>
      </w:r>
      <w:r>
        <w:rPr>
          <w:rFonts w:ascii="宋体" w:hAnsi="宋体" w:cs="宋体" w:eastAsia="宋体" w:hint="default"/>
        </w:rPr>
        <w:t>28</w:t>
      </w:r>
      <w:r>
        <w:rPr/>
        <w:t>日</w:t>
      </w:r>
      <w:r>
        <w:rPr>
          <w:w w:val="100"/>
        </w:rPr>
        <w:t> </w:t>
      </w:r>
      <w:r>
        <w:rPr>
          <w:spacing w:val="-2"/>
        </w:rPr>
        <w:t>住所：甘肃省临夏州临夏市茶马古市</w:t>
      </w:r>
      <w:r>
        <w:rPr>
          <w:rFonts w:ascii="宋体" w:hAnsi="宋体" w:cs="宋体" w:eastAsia="宋体" w:hint="default"/>
          <w:spacing w:val="-2"/>
        </w:rPr>
        <w:t>A1-8</w:t>
      </w:r>
      <w:r>
        <w:rPr>
          <w:spacing w:val="-2"/>
        </w:rPr>
        <w:t>号商铺</w:t>
      </w:r>
      <w:r>
        <w:rPr/>
      </w:r>
    </w:p>
    <w:p>
      <w:pPr>
        <w:pStyle w:val="BodyText"/>
        <w:spacing w:line="408" w:lineRule="auto" w:before="52"/>
        <w:ind w:right="1130" w:firstLine="420"/>
        <w:jc w:val="both"/>
      </w:pPr>
      <w:r>
        <w:rPr>
          <w:spacing w:val="-3"/>
        </w:rPr>
        <w:t>经营范围：信息安全产品及服务；信息化产品及服务；信息安全类军工产品及服务；信息系统集成服</w:t>
      </w:r>
      <w:r>
        <w:rPr>
          <w:spacing w:val="-3"/>
          <w:w w:val="100"/>
        </w:rPr>
        <w:t> </w:t>
      </w:r>
      <w:r>
        <w:rPr>
          <w:spacing w:val="-2"/>
        </w:rPr>
        <w:t>务；互联网信息服务（不含药品信息服务和网吧）；电子出版物批发；电子出版物零售；网吧活动；软件</w:t>
      </w:r>
      <w:r>
        <w:rPr>
          <w:spacing w:val="-45"/>
        </w:rPr>
        <w:t> </w:t>
      </w:r>
      <w:r>
        <w:rPr>
          <w:spacing w:val="-45"/>
        </w:rPr>
      </w:r>
      <w:r>
        <w:rPr/>
        <w:t>开发；信息技术咨询服务；计算机、软件及辅助设备批发；通讯及广播电视设备批发</w:t>
      </w:r>
      <w:r>
        <w:rPr>
          <w:rFonts w:ascii="宋体" w:hAnsi="宋体" w:cs="宋体" w:eastAsia="宋体" w:hint="default"/>
        </w:rPr>
        <w:t>(</w:t>
      </w:r>
      <w:r>
        <w:rPr/>
        <w:t>不含卫星地面接受</w:t>
      </w:r>
    </w:p>
    <w:p>
      <w:pPr>
        <w:spacing w:after="0" w:line="408" w:lineRule="auto"/>
        <w:jc w:val="both"/>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986"/>
        <w:jc w:val="left"/>
        <w:rPr>
          <w:rFonts w:ascii="宋体" w:hAnsi="宋体" w:cs="宋体" w:eastAsia="宋体" w:hint="default"/>
        </w:rPr>
      </w:pPr>
      <w:r>
        <w:rPr/>
        <w:t>设施</w:t>
      </w:r>
      <w:r>
        <w:rPr>
          <w:rFonts w:ascii="宋体" w:hAnsi="宋体" w:cs="宋体" w:eastAsia="宋体" w:hint="default"/>
        </w:rPr>
        <w:t>)</w:t>
      </w:r>
      <w:r>
        <w:rPr/>
        <w:t>；计算机、软件及辅助设备零售；通讯设备零售；数字内容服务；数据处理和存储服务；其他未列</w:t>
      </w:r>
      <w:r>
        <w:rPr>
          <w:w w:val="100"/>
        </w:rPr>
        <w:t> </w:t>
      </w:r>
      <w:r>
        <w:rPr>
          <w:spacing w:val="-2"/>
        </w:rPr>
        <w:t>明信息技术服务业（不含需经许可审批的项目）；互联网接入及相关服务（不含网吧）；经营各类商品和</w:t>
      </w:r>
      <w:r>
        <w:rPr>
          <w:spacing w:val="-42"/>
        </w:rPr>
        <w:t> </w:t>
      </w:r>
      <w:r>
        <w:rPr>
          <w:spacing w:val="-42"/>
        </w:rPr>
      </w:r>
      <w:r>
        <w:rPr/>
        <w:t>技术</w:t>
      </w:r>
      <w:r>
        <w:rPr>
          <w:spacing w:val="-5"/>
        </w:rPr>
        <w:t> </w:t>
      </w:r>
      <w:r>
        <w:rPr/>
        <w:t>（国家限定公司经营或禁止的商品及技术除外）；计算机及通讯设备租赁；经国家密码管理机构批</w:t>
      </w:r>
      <w:r>
        <w:rPr>
          <w:w w:val="100"/>
        </w:rPr>
        <w:t> </w:t>
      </w:r>
      <w:r>
        <w:rPr>
          <w:spacing w:val="-2"/>
        </w:rPr>
        <w:t>准的商用密码产品的开发、生产（网吧活动仅限分支机构经营</w:t>
      </w:r>
      <w:r>
        <w:rPr>
          <w:rFonts w:ascii="宋体" w:hAnsi="宋体" w:cs="宋体" w:eastAsia="宋体" w:hint="default"/>
          <w:spacing w:val="-2"/>
        </w:rPr>
        <w:t>)(</w:t>
      </w:r>
      <w:r>
        <w:rPr>
          <w:spacing w:val="-2"/>
        </w:rPr>
        <w:t>依法须经批准的项目，经相关部门批准后</w:t>
      </w:r>
      <w:r>
        <w:rPr>
          <w:spacing w:val="-45"/>
        </w:rPr>
        <w:t> </w:t>
      </w:r>
      <w:r>
        <w:rPr>
          <w:spacing w:val="-45"/>
        </w:rPr>
      </w:r>
      <w:r>
        <w:rPr/>
        <w:t>方可经营</w:t>
      </w:r>
      <w:r>
        <w:rPr>
          <w:rFonts w:ascii="宋体" w:hAnsi="宋体" w:cs="宋体" w:eastAsia="宋体" w:hint="default"/>
        </w:rPr>
        <w:t>)</w:t>
      </w:r>
    </w:p>
    <w:p>
      <w:pPr>
        <w:pStyle w:val="BodyText"/>
        <w:spacing w:line="240" w:lineRule="auto" w:before="75"/>
        <w:ind w:left="572" w:right="986"/>
        <w:jc w:val="left"/>
      </w:pPr>
      <w:r>
        <w:rPr/>
        <w:t>（</w:t>
      </w:r>
      <w:r>
        <w:rPr>
          <w:rFonts w:ascii="宋体" w:hAnsi="宋体" w:cs="宋体" w:eastAsia="宋体" w:hint="default"/>
        </w:rPr>
        <w:t>3</w:t>
      </w:r>
      <w:r>
        <w:rPr/>
        <w:t>）成立深圳分公司</w:t>
      </w:r>
    </w:p>
    <w:p>
      <w:pPr>
        <w:spacing w:line="240" w:lineRule="auto" w:before="10"/>
        <w:rPr>
          <w:rFonts w:ascii="宋体" w:hAnsi="宋体" w:cs="宋体" w:eastAsia="宋体" w:hint="default"/>
          <w:sz w:val="14"/>
          <w:szCs w:val="14"/>
        </w:rPr>
      </w:pPr>
    </w:p>
    <w:p>
      <w:pPr>
        <w:pStyle w:val="BodyText"/>
        <w:spacing w:line="408" w:lineRule="auto" w:before="0"/>
        <w:ind w:left="153" w:right="1128" w:firstLine="419"/>
        <w:jc w:val="both"/>
      </w:pPr>
      <w:r>
        <w:rPr>
          <w:rFonts w:ascii="宋体" w:hAnsi="宋体" w:cs="宋体" w:eastAsia="宋体" w:hint="default"/>
          <w:spacing w:val="-2"/>
        </w:rPr>
        <w:t>2019</w:t>
      </w:r>
      <w:r>
        <w:rPr>
          <w:spacing w:val="-2"/>
        </w:rPr>
        <w:t>年</w:t>
      </w:r>
      <w:r>
        <w:rPr>
          <w:rFonts w:ascii="宋体" w:hAnsi="宋体" w:cs="宋体" w:eastAsia="宋体" w:hint="default"/>
          <w:spacing w:val="-2"/>
        </w:rPr>
        <w:t>6</w:t>
      </w:r>
      <w:r>
        <w:rPr>
          <w:spacing w:val="-2"/>
        </w:rPr>
        <w:t>月，为进一步加强在华南地区的业务布局，公司在深圳设立分公司。公司于</w:t>
      </w:r>
      <w:r>
        <w:rPr>
          <w:rFonts w:ascii="宋体" w:hAnsi="宋体" w:cs="宋体" w:eastAsia="宋体" w:hint="default"/>
          <w:spacing w:val="-2"/>
        </w:rPr>
        <w:t>2019</w:t>
      </w:r>
      <w:r>
        <w:rPr>
          <w:spacing w:val="-2"/>
        </w:rPr>
        <w:t>年</w:t>
      </w:r>
      <w:r>
        <w:rPr>
          <w:rFonts w:ascii="宋体" w:hAnsi="宋体" w:cs="宋体" w:eastAsia="宋体" w:hint="default"/>
          <w:spacing w:val="-2"/>
        </w:rPr>
        <w:t>6</w:t>
      </w:r>
      <w:r>
        <w:rPr>
          <w:spacing w:val="-2"/>
        </w:rPr>
        <w:t>月</w:t>
      </w:r>
      <w:r>
        <w:rPr>
          <w:rFonts w:ascii="宋体" w:hAnsi="宋体" w:cs="宋体" w:eastAsia="宋体" w:hint="default"/>
          <w:spacing w:val="-2"/>
        </w:rPr>
        <w:t>18</w:t>
      </w:r>
      <w:r>
        <w:rPr>
          <w:spacing w:val="-2"/>
        </w:rPr>
        <w:t>日取</w:t>
      </w:r>
      <w:r>
        <w:rPr>
          <w:w w:val="100"/>
        </w:rPr>
        <w:t> </w:t>
      </w:r>
      <w:r>
        <w:rPr/>
        <w:t>得由深圳市市场监督管理局颁发的《营业执照》。</w:t>
      </w:r>
    </w:p>
    <w:p>
      <w:pPr>
        <w:spacing w:line="408" w:lineRule="auto" w:before="166"/>
        <w:ind w:left="575" w:right="986" w:hanging="3"/>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、参股安徽华图信息科技有限公司</w:t>
      </w:r>
      <w:r>
        <w:rPr>
          <w:rFonts w:ascii="宋体" w:hAnsi="宋体" w:cs="宋体" w:eastAsia="宋体" w:hint="default"/>
          <w:b/>
          <w:bCs/>
          <w:w w:val="100"/>
          <w:sz w:val="21"/>
          <w:szCs w:val="21"/>
        </w:rPr>
        <w:t> </w:t>
      </w:r>
      <w:r>
        <w:rPr>
          <w:rFonts w:ascii="宋体" w:hAnsi="宋体" w:cs="宋体" w:eastAsia="宋体" w:hint="default"/>
          <w:spacing w:val="-2"/>
          <w:sz w:val="21"/>
          <w:szCs w:val="21"/>
        </w:rPr>
        <w:t>公司全资子公司厦门美银智投科技有限公司为加强在智慧司法等领域的信息化建设与服务布局，出资</w:t>
      </w:r>
    </w:p>
    <w:p>
      <w:pPr>
        <w:pStyle w:val="BodyText"/>
        <w:spacing w:line="408" w:lineRule="auto"/>
        <w:ind w:left="153" w:right="986" w:hanging="1"/>
        <w:jc w:val="left"/>
      </w:pPr>
      <w:r>
        <w:rPr>
          <w:rFonts w:ascii="宋体" w:hAnsi="宋体" w:cs="宋体" w:eastAsia="宋体" w:hint="default"/>
          <w:spacing w:val="-2"/>
        </w:rPr>
        <w:t>500</w:t>
      </w:r>
      <w:r>
        <w:rPr>
          <w:spacing w:val="-2"/>
        </w:rPr>
        <w:t>万元参股安徽华图信息科技有限公司，持有华图信息</w:t>
      </w:r>
      <w:r>
        <w:rPr>
          <w:rFonts w:ascii="宋体" w:hAnsi="宋体" w:cs="宋体" w:eastAsia="宋体" w:hint="default"/>
          <w:spacing w:val="-2"/>
        </w:rPr>
        <w:t>20%</w:t>
      </w:r>
      <w:r>
        <w:rPr>
          <w:spacing w:val="-2"/>
        </w:rPr>
        <w:t>股权。</w:t>
      </w:r>
      <w:r>
        <w:rPr>
          <w:rFonts w:ascii="宋体" w:hAnsi="宋体" w:cs="宋体" w:eastAsia="宋体" w:hint="default"/>
          <w:spacing w:val="-2"/>
        </w:rPr>
        <w:t>2019</w:t>
      </w:r>
      <w:r>
        <w:rPr>
          <w:spacing w:val="-2"/>
        </w:rPr>
        <w:t>年</w:t>
      </w:r>
      <w:r>
        <w:rPr>
          <w:rFonts w:ascii="宋体" w:hAnsi="宋体" w:cs="宋体" w:eastAsia="宋体" w:hint="default"/>
          <w:spacing w:val="-2"/>
        </w:rPr>
        <w:t>1</w:t>
      </w:r>
      <w:r>
        <w:rPr>
          <w:spacing w:val="-2"/>
        </w:rPr>
        <w:t>月</w:t>
      </w:r>
      <w:r>
        <w:rPr>
          <w:rFonts w:ascii="宋体" w:hAnsi="宋体" w:cs="宋体" w:eastAsia="宋体" w:hint="default"/>
          <w:spacing w:val="-2"/>
        </w:rPr>
        <w:t>16</w:t>
      </w:r>
      <w:r>
        <w:rPr>
          <w:spacing w:val="-2"/>
        </w:rPr>
        <w:t>日，华图信息已完成了注</w:t>
      </w:r>
      <w:r>
        <w:rPr>
          <w:spacing w:val="-17"/>
        </w:rPr>
        <w:t> </w:t>
      </w:r>
      <w:r>
        <w:rPr>
          <w:spacing w:val="-17"/>
        </w:rPr>
      </w:r>
      <w:r>
        <w:rPr/>
        <w:t>册变更手续。具体注册信息如下：</w:t>
      </w:r>
    </w:p>
    <w:p>
      <w:pPr>
        <w:pStyle w:val="BodyText"/>
        <w:spacing w:line="408" w:lineRule="auto"/>
        <w:ind w:left="572" w:right="5714"/>
        <w:jc w:val="left"/>
      </w:pPr>
      <w:r>
        <w:rPr/>
        <w:t>企业名称：安徽华图信息科技有限公司</w:t>
      </w:r>
      <w:r>
        <w:rPr>
          <w:spacing w:val="-3"/>
          <w:w w:val="100"/>
        </w:rPr>
        <w:t> </w:t>
      </w:r>
      <w:r>
        <w:rPr/>
        <w:t>统一社会信用代码：</w:t>
      </w:r>
      <w:r>
        <w:rPr>
          <w:rFonts w:ascii="宋体" w:hAnsi="宋体" w:cs="宋体" w:eastAsia="宋体" w:hint="default"/>
        </w:rPr>
        <w:t>91340100MA2NG6A09H</w:t>
      </w:r>
      <w:r>
        <w:rPr>
          <w:rFonts w:ascii="宋体" w:hAnsi="宋体" w:cs="宋体" w:eastAsia="宋体" w:hint="default"/>
          <w:w w:val="100"/>
        </w:rPr>
        <w:t> </w:t>
      </w:r>
      <w:r>
        <w:rPr>
          <w:spacing w:val="-2"/>
        </w:rPr>
        <w:t>企业类型：有限责任公司</w:t>
      </w:r>
      <w:r>
        <w:rPr>
          <w:rFonts w:ascii="宋体" w:hAnsi="宋体" w:cs="宋体" w:eastAsia="宋体" w:hint="default"/>
          <w:spacing w:val="-2"/>
        </w:rPr>
        <w:t>(</w:t>
      </w:r>
      <w:r>
        <w:rPr>
          <w:spacing w:val="-2"/>
        </w:rPr>
        <w:t>自然人投资或控股</w:t>
      </w:r>
      <w:r>
        <w:rPr>
          <w:rFonts w:ascii="宋体" w:hAnsi="宋体" w:cs="宋体" w:eastAsia="宋体" w:hint="default"/>
          <w:spacing w:val="-2"/>
        </w:rPr>
        <w:t>)</w:t>
      </w:r>
      <w:r>
        <w:rPr>
          <w:rFonts w:ascii="宋体" w:hAnsi="宋体" w:cs="宋体" w:eastAsia="宋体" w:hint="default"/>
          <w:spacing w:val="-66"/>
        </w:rPr>
        <w:t> </w:t>
      </w:r>
      <w:r>
        <w:rPr/>
        <w:t>法定代表人：朱少武</w:t>
      </w:r>
    </w:p>
    <w:p>
      <w:pPr>
        <w:pStyle w:val="BodyText"/>
        <w:spacing w:line="408" w:lineRule="auto"/>
        <w:ind w:left="572" w:right="6794"/>
        <w:jc w:val="left"/>
      </w:pPr>
      <w:r>
        <w:rPr/>
        <w:t>注册资本：</w:t>
      </w:r>
      <w:r>
        <w:rPr>
          <w:rFonts w:ascii="宋体" w:hAnsi="宋体" w:cs="宋体" w:eastAsia="宋体" w:hint="default"/>
        </w:rPr>
        <w:t>2,500</w:t>
      </w:r>
      <w:r>
        <w:rPr/>
        <w:t>万</w:t>
      </w:r>
      <w:r>
        <w:rPr>
          <w:w w:val="100"/>
        </w:rPr>
        <w:t> </w:t>
      </w:r>
      <w:r>
        <w:rPr>
          <w:spacing w:val="-1"/>
        </w:rPr>
        <w:t>成立日期：</w:t>
      </w:r>
      <w:r>
        <w:rPr>
          <w:rFonts w:ascii="宋体" w:hAnsi="宋体" w:cs="宋体" w:eastAsia="宋体" w:hint="default"/>
          <w:spacing w:val="-1"/>
        </w:rPr>
        <w:t>2017</w:t>
      </w:r>
      <w:r>
        <w:rPr>
          <w:spacing w:val="-1"/>
        </w:rPr>
        <w:t>年</w:t>
      </w:r>
      <w:r>
        <w:rPr>
          <w:rFonts w:ascii="宋体" w:hAnsi="宋体" w:cs="宋体" w:eastAsia="宋体" w:hint="default"/>
          <w:spacing w:val="-1"/>
        </w:rPr>
        <w:t>03</w:t>
      </w:r>
      <w:r>
        <w:rPr>
          <w:spacing w:val="-1"/>
        </w:rPr>
        <w:t>月</w:t>
      </w:r>
      <w:r>
        <w:rPr>
          <w:rFonts w:ascii="宋体" w:hAnsi="宋体" w:cs="宋体" w:eastAsia="宋体" w:hint="default"/>
          <w:spacing w:val="-1"/>
        </w:rPr>
        <w:t>27</w:t>
      </w:r>
      <w:r>
        <w:rPr>
          <w:spacing w:val="-1"/>
        </w:rPr>
        <w:t>日</w:t>
      </w:r>
    </w:p>
    <w:p>
      <w:pPr>
        <w:pStyle w:val="BodyText"/>
        <w:spacing w:line="408" w:lineRule="auto"/>
        <w:ind w:left="573" w:right="4273" w:hanging="1"/>
        <w:jc w:val="left"/>
      </w:pPr>
      <w:r>
        <w:rPr/>
        <w:t>营业期限自：</w:t>
      </w:r>
      <w:r>
        <w:rPr>
          <w:rFonts w:ascii="宋体" w:hAnsi="宋体" w:cs="宋体" w:eastAsia="宋体" w:hint="default"/>
        </w:rPr>
        <w:t>2017</w:t>
      </w:r>
      <w:r>
        <w:rPr/>
        <w:t>年</w:t>
      </w:r>
      <w:r>
        <w:rPr>
          <w:rFonts w:ascii="宋体" w:hAnsi="宋体" w:cs="宋体" w:eastAsia="宋体" w:hint="default"/>
        </w:rPr>
        <w:t>03</w:t>
      </w:r>
      <w:r>
        <w:rPr/>
        <w:t>月</w:t>
      </w:r>
      <w:r>
        <w:rPr>
          <w:rFonts w:ascii="宋体" w:hAnsi="宋体" w:cs="宋体" w:eastAsia="宋体" w:hint="default"/>
        </w:rPr>
        <w:t>27</w:t>
      </w:r>
      <w:r>
        <w:rPr/>
        <w:t>日至</w:t>
      </w:r>
      <w:r>
        <w:rPr>
          <w:rFonts w:ascii="宋体" w:hAnsi="宋体" w:cs="宋体" w:eastAsia="宋体" w:hint="default"/>
        </w:rPr>
        <w:t>2047</w:t>
      </w:r>
      <w:r>
        <w:rPr/>
        <w:t>年</w:t>
      </w:r>
      <w:r>
        <w:rPr>
          <w:rFonts w:ascii="宋体" w:hAnsi="宋体" w:cs="宋体" w:eastAsia="宋体" w:hint="default"/>
        </w:rPr>
        <w:t>03</w:t>
      </w:r>
      <w:r>
        <w:rPr/>
        <w:t>月</w:t>
      </w:r>
      <w:r>
        <w:rPr>
          <w:rFonts w:ascii="宋体" w:hAnsi="宋体" w:cs="宋体" w:eastAsia="宋体" w:hint="default"/>
        </w:rPr>
        <w:t>26</w:t>
      </w:r>
      <w:r>
        <w:rPr/>
        <w:t>日</w:t>
      </w:r>
      <w:r>
        <w:rPr>
          <w:w w:val="100"/>
        </w:rPr>
        <w:t> </w:t>
      </w:r>
      <w:r>
        <w:rPr/>
        <w:t>登记机关：合肥市新站区市场监督管理局</w:t>
      </w:r>
      <w:r>
        <w:rPr>
          <w:w w:val="100"/>
        </w:rPr>
        <w:t> </w:t>
      </w:r>
      <w:r>
        <w:rPr/>
        <w:t>核准日期：</w:t>
      </w:r>
      <w:r>
        <w:rPr>
          <w:rFonts w:ascii="宋体" w:hAnsi="宋体" w:cs="宋体" w:eastAsia="宋体" w:hint="default"/>
        </w:rPr>
        <w:t>2019</w:t>
      </w:r>
      <w:r>
        <w:rPr/>
        <w:t>年</w:t>
      </w:r>
      <w:r>
        <w:rPr>
          <w:rFonts w:ascii="宋体" w:hAnsi="宋体" w:cs="宋体" w:eastAsia="宋体" w:hint="default"/>
        </w:rPr>
        <w:t>01</w:t>
      </w:r>
      <w:r>
        <w:rPr/>
        <w:t>月</w:t>
      </w:r>
      <w:r>
        <w:rPr>
          <w:rFonts w:ascii="宋体" w:hAnsi="宋体" w:cs="宋体" w:eastAsia="宋体" w:hint="default"/>
        </w:rPr>
        <w:t>16</w:t>
      </w:r>
      <w:r>
        <w:rPr/>
        <w:t>日</w:t>
      </w:r>
      <w:r>
        <w:rPr>
          <w:w w:val="100"/>
        </w:rPr>
        <w:t> </w:t>
      </w:r>
      <w:r>
        <w:rPr>
          <w:spacing w:val="-2"/>
        </w:rPr>
        <w:t>住所：合肥市新站区天柱山路东湖山庄碧云阁</w:t>
      </w:r>
      <w:r>
        <w:rPr>
          <w:rFonts w:ascii="宋体" w:hAnsi="宋体" w:cs="宋体" w:eastAsia="宋体" w:hint="default"/>
          <w:spacing w:val="-2"/>
        </w:rPr>
        <w:t>8</w:t>
      </w:r>
      <w:r>
        <w:rPr>
          <w:spacing w:val="-2"/>
        </w:rPr>
        <w:t>幢</w:t>
      </w:r>
      <w:r>
        <w:rPr>
          <w:rFonts w:ascii="宋体" w:hAnsi="宋体" w:cs="宋体" w:eastAsia="宋体" w:hint="default"/>
          <w:spacing w:val="-2"/>
        </w:rPr>
        <w:t>602</w:t>
      </w:r>
      <w:r>
        <w:rPr>
          <w:spacing w:val="-2"/>
        </w:rPr>
        <w:t>室</w:t>
      </w:r>
    </w:p>
    <w:p>
      <w:pPr>
        <w:pStyle w:val="BodyText"/>
        <w:spacing w:line="408" w:lineRule="auto"/>
        <w:ind w:left="153" w:right="1105" w:firstLine="420"/>
        <w:jc w:val="both"/>
      </w:pPr>
      <w:r>
        <w:rPr>
          <w:spacing w:val="-2"/>
        </w:rPr>
        <w:t>经营范围：计算机软硬件研发；系统集成；网络工程施工及设备销售；电子信息领域内的技术服务；</w:t>
      </w:r>
      <w:r>
        <w:rPr>
          <w:w w:val="100"/>
        </w:rPr>
        <w:t> </w:t>
      </w:r>
      <w:r>
        <w:rPr>
          <w:spacing w:val="-2"/>
        </w:rPr>
        <w:t>公共安全防范工程、建筑智能化工程设计与施工。（依法须经批准的项目，经相关部门批准后方可开展经</w:t>
      </w:r>
      <w:r>
        <w:rPr>
          <w:spacing w:val="-47"/>
        </w:rPr>
        <w:t> </w:t>
      </w:r>
      <w:r>
        <w:rPr>
          <w:spacing w:val="-47"/>
        </w:rPr>
      </w:r>
      <w:r>
        <w:rPr/>
        <w:t>营活动）</w:t>
      </w:r>
    </w:p>
    <w:p>
      <w:pPr>
        <w:pStyle w:val="BodyText"/>
        <w:spacing w:line="240" w:lineRule="auto"/>
        <w:ind w:left="467" w:right="986"/>
        <w:jc w:val="left"/>
      </w:pPr>
      <w:r>
        <w:rPr/>
        <w:t>股权结构：</w:t>
      </w:r>
    </w:p>
    <w:p>
      <w:pPr>
        <w:spacing w:line="240" w:lineRule="auto" w:before="11"/>
        <w:rPr>
          <w:rFonts w:ascii="宋体" w:hAnsi="宋体" w:cs="宋体" w:eastAsia="宋体" w:hint="default"/>
          <w:sz w:val="9"/>
          <w:szCs w:val="9"/>
        </w:rPr>
      </w:pPr>
    </w:p>
    <w:tbl>
      <w:tblPr>
        <w:tblW w:w="0" w:type="auto"/>
        <w:jc w:val="left"/>
        <w:tblInd w:w="145" w:type="dxa"/>
        <w:tblLayout w:type="fixed"/>
        <w:tblCellMar>
          <w:top w:w="0" w:type="dxa"/>
          <w:left w:w="0" w:type="dxa"/>
          <w:bottom w:w="0" w:type="dxa"/>
          <w:right w:w="0" w:type="dxa"/>
        </w:tblCellMar>
        <w:tblLook w:val="01E0"/>
      </w:tblPr>
      <w:tblGrid>
        <w:gridCol w:w="823"/>
        <w:gridCol w:w="3262"/>
        <w:gridCol w:w="2268"/>
        <w:gridCol w:w="1531"/>
      </w:tblGrid>
      <w:tr>
        <w:trPr>
          <w:trHeight w:val="427" w:hRule="exact"/>
        </w:trPr>
        <w:tc>
          <w:tcPr>
            <w:tcW w:w="8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32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hAnsi="宋体" w:cs="宋体" w:eastAsia="宋体" w:hint="default"/>
                <w:b/>
                <w:bCs/>
                <w:sz w:val="21"/>
                <w:szCs w:val="21"/>
              </w:rPr>
              <w:t>股东名称</w:t>
            </w:r>
            <w:r>
              <w:rPr>
                <w:rFonts w:ascii="宋体" w:hAnsi="宋体" w:cs="宋体" w:eastAsia="宋体" w:hint="default"/>
                <w:sz w:val="21"/>
                <w:szCs w:val="21"/>
              </w:rPr>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4" w:right="0"/>
              <w:jc w:val="center"/>
              <w:rPr>
                <w:rFonts w:ascii="宋体" w:hAnsi="宋体" w:cs="宋体" w:eastAsia="宋体" w:hint="default"/>
                <w:sz w:val="21"/>
                <w:szCs w:val="21"/>
              </w:rPr>
            </w:pPr>
            <w:r>
              <w:rPr>
                <w:rFonts w:ascii="宋体" w:hAnsi="宋体" w:cs="宋体" w:eastAsia="宋体" w:hint="default"/>
                <w:b/>
                <w:bCs/>
                <w:sz w:val="21"/>
                <w:szCs w:val="21"/>
              </w:rPr>
              <w:t>出资额（单位：万元）</w:t>
            </w:r>
            <w:r>
              <w:rPr>
                <w:rFonts w:ascii="宋体" w:hAnsi="宋体" w:cs="宋体" w:eastAsia="宋体" w:hint="default"/>
                <w:sz w:val="21"/>
                <w:szCs w:val="21"/>
              </w:rPr>
            </w:r>
          </w:p>
        </w:tc>
        <w:tc>
          <w:tcPr>
            <w:tcW w:w="1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4" w:right="0"/>
              <w:jc w:val="center"/>
              <w:rPr>
                <w:rFonts w:ascii="宋体" w:hAnsi="宋体" w:cs="宋体" w:eastAsia="宋体" w:hint="default"/>
                <w:sz w:val="21"/>
                <w:szCs w:val="21"/>
              </w:rPr>
            </w:pPr>
            <w:r>
              <w:rPr>
                <w:rFonts w:ascii="宋体" w:hAnsi="宋体" w:cs="宋体" w:eastAsia="宋体" w:hint="default"/>
                <w:b/>
                <w:bCs/>
                <w:sz w:val="21"/>
                <w:szCs w:val="21"/>
              </w:rPr>
              <w:t>持股比例</w:t>
            </w:r>
            <w:r>
              <w:rPr>
                <w:rFonts w:ascii="宋体" w:hAnsi="宋体" w:cs="宋体" w:eastAsia="宋体" w:hint="default"/>
                <w:sz w:val="21"/>
                <w:szCs w:val="21"/>
              </w:rPr>
            </w:r>
          </w:p>
        </w:tc>
      </w:tr>
      <w:tr>
        <w:trPr>
          <w:trHeight w:val="427" w:hRule="exact"/>
        </w:trPr>
        <w:tc>
          <w:tcPr>
            <w:tcW w:w="8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w w:val="100"/>
                <w:sz w:val="21"/>
              </w:rPr>
              <w:t>1</w:t>
            </w:r>
          </w:p>
        </w:tc>
        <w:tc>
          <w:tcPr>
            <w:tcW w:w="32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hAnsi="宋体" w:cs="宋体" w:eastAsia="宋体" w:hint="default"/>
                <w:sz w:val="21"/>
                <w:szCs w:val="21"/>
              </w:rPr>
              <w:t>朱少武</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7" w:right="0"/>
              <w:jc w:val="center"/>
              <w:rPr>
                <w:rFonts w:ascii="宋体" w:hAnsi="宋体" w:cs="宋体" w:eastAsia="宋体" w:hint="default"/>
                <w:sz w:val="21"/>
                <w:szCs w:val="21"/>
              </w:rPr>
            </w:pPr>
            <w:r>
              <w:rPr>
                <w:rFonts w:ascii="宋体"/>
                <w:sz w:val="21"/>
              </w:rPr>
              <w:t>2,000</w:t>
            </w:r>
          </w:p>
        </w:tc>
        <w:tc>
          <w:tcPr>
            <w:tcW w:w="1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5" w:right="0"/>
              <w:jc w:val="center"/>
              <w:rPr>
                <w:rFonts w:ascii="宋体" w:hAnsi="宋体" w:cs="宋体" w:eastAsia="宋体" w:hint="default"/>
                <w:sz w:val="21"/>
                <w:szCs w:val="21"/>
              </w:rPr>
            </w:pPr>
            <w:r>
              <w:rPr>
                <w:rFonts w:ascii="宋体"/>
                <w:sz w:val="21"/>
              </w:rPr>
              <w:t>80%</w:t>
            </w:r>
          </w:p>
        </w:tc>
      </w:tr>
      <w:tr>
        <w:trPr>
          <w:trHeight w:val="427" w:hRule="exact"/>
        </w:trPr>
        <w:tc>
          <w:tcPr>
            <w:tcW w:w="8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w w:val="100"/>
                <w:sz w:val="21"/>
              </w:rPr>
              <w:t>2</w:t>
            </w:r>
          </w:p>
        </w:tc>
        <w:tc>
          <w:tcPr>
            <w:tcW w:w="32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right="0"/>
              <w:jc w:val="center"/>
              <w:rPr>
                <w:rFonts w:ascii="宋体" w:hAnsi="宋体" w:cs="宋体" w:eastAsia="宋体" w:hint="default"/>
                <w:sz w:val="21"/>
                <w:szCs w:val="21"/>
              </w:rPr>
            </w:pPr>
            <w:r>
              <w:rPr>
                <w:rFonts w:ascii="宋体" w:hAnsi="宋体" w:cs="宋体" w:eastAsia="宋体" w:hint="default"/>
                <w:sz w:val="21"/>
                <w:szCs w:val="21"/>
              </w:rPr>
              <w:t>厦门美银智投科技有限公司</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7" w:right="0"/>
              <w:jc w:val="center"/>
              <w:rPr>
                <w:rFonts w:ascii="宋体" w:hAnsi="宋体" w:cs="宋体" w:eastAsia="宋体" w:hint="default"/>
                <w:sz w:val="21"/>
                <w:szCs w:val="21"/>
              </w:rPr>
            </w:pPr>
            <w:r>
              <w:rPr>
                <w:rFonts w:ascii="宋体"/>
                <w:sz w:val="21"/>
              </w:rPr>
              <w:t>500</w:t>
            </w:r>
          </w:p>
        </w:tc>
        <w:tc>
          <w:tcPr>
            <w:tcW w:w="1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5" w:right="0"/>
              <w:jc w:val="center"/>
              <w:rPr>
                <w:rFonts w:ascii="宋体" w:hAnsi="宋体" w:cs="宋体" w:eastAsia="宋体" w:hint="default"/>
                <w:sz w:val="21"/>
                <w:szCs w:val="21"/>
              </w:rPr>
            </w:pPr>
            <w:r>
              <w:rPr>
                <w:rFonts w:ascii="宋体"/>
                <w:sz w:val="21"/>
              </w:rPr>
              <w:t>20%</w:t>
            </w:r>
          </w:p>
        </w:tc>
      </w:tr>
    </w:tbl>
    <w:p>
      <w:pPr>
        <w:spacing w:after="0" w:line="240" w:lineRule="auto"/>
        <w:jc w:val="center"/>
        <w:rPr>
          <w:rFonts w:ascii="宋体" w:hAnsi="宋体" w:cs="宋体" w:eastAsia="宋体" w:hint="default"/>
          <w:sz w:val="21"/>
          <w:szCs w:val="21"/>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5" w:type="dxa"/>
        <w:tblLayout w:type="fixed"/>
        <w:tblCellMar>
          <w:top w:w="0" w:type="dxa"/>
          <w:left w:w="0" w:type="dxa"/>
          <w:bottom w:w="0" w:type="dxa"/>
          <w:right w:w="0" w:type="dxa"/>
        </w:tblCellMar>
        <w:tblLook w:val="01E0"/>
      </w:tblPr>
      <w:tblGrid>
        <w:gridCol w:w="4085"/>
        <w:gridCol w:w="2268"/>
        <w:gridCol w:w="1531"/>
      </w:tblGrid>
      <w:tr>
        <w:trPr>
          <w:trHeight w:val="427" w:hRule="exact"/>
        </w:trPr>
        <w:tc>
          <w:tcPr>
            <w:tcW w:w="4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4" w:right="0"/>
              <w:jc w:val="center"/>
              <w:rPr>
                <w:rFonts w:ascii="宋体" w:hAnsi="宋体" w:cs="宋体" w:eastAsia="宋体" w:hint="default"/>
                <w:sz w:val="21"/>
                <w:szCs w:val="21"/>
              </w:rPr>
            </w:pPr>
            <w:r>
              <w:rPr>
                <w:rFonts w:ascii="宋体" w:hAnsi="宋体" w:cs="宋体" w:eastAsia="宋体" w:hint="default"/>
                <w:sz w:val="21"/>
                <w:szCs w:val="21"/>
              </w:rPr>
              <w:t>总计</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7" w:right="0"/>
              <w:jc w:val="center"/>
              <w:rPr>
                <w:rFonts w:ascii="宋体" w:hAnsi="宋体" w:cs="宋体" w:eastAsia="宋体" w:hint="default"/>
                <w:sz w:val="21"/>
                <w:szCs w:val="21"/>
              </w:rPr>
            </w:pPr>
            <w:r>
              <w:rPr>
                <w:rFonts w:ascii="宋体"/>
                <w:sz w:val="21"/>
              </w:rPr>
              <w:t>2,500</w:t>
            </w:r>
          </w:p>
        </w:tc>
        <w:tc>
          <w:tcPr>
            <w:tcW w:w="1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5" w:right="0"/>
              <w:jc w:val="center"/>
              <w:rPr>
                <w:rFonts w:ascii="宋体" w:hAnsi="宋体" w:cs="宋体" w:eastAsia="宋体" w:hint="default"/>
                <w:sz w:val="21"/>
                <w:szCs w:val="21"/>
              </w:rPr>
            </w:pPr>
            <w:r>
              <w:rPr>
                <w:rFonts w:ascii="宋体"/>
                <w:sz w:val="21"/>
              </w:rPr>
              <w:t>100%</w:t>
            </w:r>
          </w:p>
        </w:tc>
      </w:tr>
    </w:tbl>
    <w:p>
      <w:pPr>
        <w:spacing w:line="240" w:lineRule="auto" w:before="3"/>
        <w:rPr>
          <w:rFonts w:ascii="宋体" w:hAnsi="宋体" w:cs="宋体" w:eastAsia="宋体" w:hint="default"/>
          <w:sz w:val="5"/>
          <w:szCs w:val="5"/>
        </w:rPr>
      </w:pPr>
    </w:p>
    <w:p>
      <w:pPr>
        <w:pStyle w:val="BodyText"/>
        <w:spacing w:line="240" w:lineRule="auto" w:before="36"/>
        <w:ind w:left="467" w:right="986"/>
        <w:jc w:val="left"/>
      </w:pPr>
      <w:r>
        <w:rPr/>
        <w:t>朱少武与公司董监高、控股股东及持股</w:t>
      </w:r>
      <w:r>
        <w:rPr>
          <w:rFonts w:ascii="宋体" w:hAnsi="宋体" w:cs="宋体" w:eastAsia="宋体" w:hint="default"/>
        </w:rPr>
        <w:t>5%</w:t>
      </w:r>
      <w:r>
        <w:rPr/>
        <w:t>以上的股东不存在关联关系。本交易不涉及关联交易。</w:t>
      </w:r>
    </w:p>
    <w:p>
      <w:pPr>
        <w:spacing w:line="240" w:lineRule="auto" w:before="12"/>
        <w:rPr>
          <w:rFonts w:ascii="宋体" w:hAnsi="宋体" w:cs="宋体" w:eastAsia="宋体" w:hint="default"/>
          <w:sz w:val="23"/>
          <w:szCs w:val="23"/>
        </w:rPr>
      </w:pPr>
    </w:p>
    <w:p>
      <w:pPr>
        <w:spacing w:line="408" w:lineRule="auto" w:before="0"/>
        <w:ind w:left="572" w:right="986" w:firstLine="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、美桐产业并购基金进展</w:t>
      </w:r>
      <w:r>
        <w:rPr>
          <w:rFonts w:ascii="宋体" w:hAnsi="宋体" w:cs="宋体" w:eastAsia="宋体" w:hint="default"/>
          <w:b/>
          <w:bCs/>
          <w:w w:val="100"/>
          <w:sz w:val="21"/>
          <w:szCs w:val="21"/>
        </w:rPr>
        <w:t> </w:t>
      </w:r>
      <w:r>
        <w:rPr>
          <w:rFonts w:ascii="宋体" w:hAnsi="宋体" w:cs="宋体" w:eastAsia="宋体" w:hint="default"/>
          <w:spacing w:val="-2"/>
          <w:sz w:val="21"/>
          <w:szCs w:val="21"/>
        </w:rPr>
        <w:t>公司与深圳市前海梧桐并购投资基金管理有限公司共同出资发起设立美亚梧桐网络空间安全及大数</w:t>
      </w:r>
    </w:p>
    <w:p>
      <w:pPr>
        <w:pStyle w:val="BodyText"/>
        <w:spacing w:line="408" w:lineRule="auto"/>
        <w:ind w:right="986" w:hanging="1"/>
        <w:jc w:val="left"/>
      </w:pPr>
      <w:r>
        <w:rPr>
          <w:spacing w:val="-2"/>
        </w:rPr>
        <w:t>据产业并购基金（以下简称“美桐产业并购基金”），截至</w:t>
      </w:r>
      <w:r>
        <w:rPr>
          <w:rFonts w:ascii="宋体" w:hAnsi="宋体" w:cs="宋体" w:eastAsia="宋体" w:hint="default"/>
          <w:spacing w:val="-2"/>
        </w:rPr>
        <w:t>2019</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日，美桐产业并购基金已投资包</w:t>
      </w:r>
      <w:r>
        <w:rPr>
          <w:spacing w:val="-43"/>
        </w:rPr>
        <w:t> </w:t>
      </w:r>
      <w:r>
        <w:rPr>
          <w:spacing w:val="-43"/>
        </w:rPr>
      </w:r>
      <w:r>
        <w:rPr/>
        <w:t>括中科金审、北京捷兴信源、新译科技、天轴通讯等项目</w:t>
      </w:r>
      <w:r>
        <w:rPr>
          <w:rFonts w:ascii="宋体" w:hAnsi="宋体" w:cs="宋体" w:eastAsia="宋体" w:hint="default"/>
        </w:rPr>
        <w:t>7</w:t>
      </w:r>
      <w:r>
        <w:rPr/>
        <w:t>个，累计投资项目总额</w:t>
      </w:r>
      <w:r>
        <w:rPr>
          <w:rFonts w:ascii="宋体" w:hAnsi="宋体" w:cs="宋体" w:eastAsia="宋体" w:hint="default"/>
        </w:rPr>
        <w:t>20,330</w:t>
      </w:r>
      <w:r>
        <w:rPr/>
        <w:t>万元，美桐产业</w:t>
      </w:r>
      <w:r>
        <w:rPr>
          <w:spacing w:val="-3"/>
          <w:w w:val="100"/>
        </w:rPr>
        <w:t> </w:t>
      </w:r>
      <w:r>
        <w:rPr/>
        <w:t>并购基金投资进展，公司将按照相关规定，及时履行信息披露义务。</w:t>
      </w:r>
    </w:p>
    <w:p>
      <w:pPr>
        <w:pStyle w:val="Heading4"/>
        <w:spacing w:line="240" w:lineRule="auto" w:before="166"/>
        <w:ind w:left="572" w:right="986"/>
        <w:jc w:val="left"/>
        <w:rPr>
          <w:b w:val="0"/>
          <w:bCs w:val="0"/>
        </w:rPr>
      </w:pPr>
      <w:r>
        <w:rPr>
          <w:rFonts w:ascii="宋体" w:hAnsi="宋体" w:cs="宋体" w:eastAsia="宋体" w:hint="default"/>
        </w:rPr>
        <w:t>5</w:t>
      </w:r>
      <w:r>
        <w:rPr/>
        <w:t>、其他已披露的事项</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2"/>
          <w:szCs w:val="22"/>
        </w:rPr>
      </w:pPr>
    </w:p>
    <w:p>
      <w:pPr>
        <w:spacing w:before="44"/>
        <w:ind w:left="0" w:right="1139" w:firstLine="0"/>
        <w:jc w:val="right"/>
        <w:rPr>
          <w:rFonts w:ascii="宋体" w:hAnsi="宋体" w:cs="宋体" w:eastAsia="宋体" w:hint="default"/>
          <w:sz w:val="18"/>
          <w:szCs w:val="18"/>
        </w:rPr>
      </w:pPr>
      <w:r>
        <w:rPr/>
        <w:pict>
          <v:shape style="position:absolute;margin-left:60.599998pt;margin-top:-269.888275pt;width:474.4pt;height:494.55pt;mso-position-horizontal-relative:page;mso-position-vertical-relative:paragraph;z-index:18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205"/>
                    <w:gridCol w:w="991"/>
                    <w:gridCol w:w="4270"/>
                  </w:tblGrid>
                  <w:tr>
                    <w:trPr>
                      <w:trHeight w:val="427" w:hRule="exact"/>
                    </w:trPr>
                    <w:tc>
                      <w:tcPr>
                        <w:tcW w:w="4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b/>
                            <w:bCs/>
                            <w:sz w:val="18"/>
                            <w:szCs w:val="18"/>
                          </w:rPr>
                          <w:t>重要事项概述</w:t>
                        </w:r>
                        <w:r>
                          <w:rPr>
                            <w:rFonts w:ascii="宋体" w:hAnsi="宋体" w:cs="宋体" w:eastAsia="宋体" w:hint="default"/>
                            <w:sz w:val="18"/>
                            <w:szCs w:val="18"/>
                          </w:rPr>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right="0"/>
                          <w:jc w:val="center"/>
                          <w:rPr>
                            <w:rFonts w:ascii="宋体" w:hAnsi="宋体" w:cs="宋体" w:eastAsia="宋体" w:hint="default"/>
                            <w:sz w:val="18"/>
                            <w:szCs w:val="18"/>
                          </w:rPr>
                        </w:pPr>
                        <w:r>
                          <w:rPr>
                            <w:rFonts w:ascii="宋体" w:hAnsi="宋体" w:cs="宋体" w:eastAsia="宋体" w:hint="default"/>
                            <w:b/>
                            <w:bCs/>
                            <w:sz w:val="18"/>
                            <w:szCs w:val="18"/>
                          </w:rPr>
                          <w:t>披露日期</w:t>
                        </w:r>
                        <w:r>
                          <w:rPr>
                            <w:rFonts w:ascii="宋体" w:hAnsi="宋体" w:cs="宋体" w:eastAsia="宋体" w:hint="default"/>
                            <w:sz w:val="18"/>
                            <w:szCs w:val="18"/>
                          </w:rPr>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2" w:right="0"/>
                          <w:jc w:val="center"/>
                          <w:rPr>
                            <w:rFonts w:ascii="宋体" w:hAnsi="宋体" w:cs="宋体" w:eastAsia="宋体" w:hint="default"/>
                            <w:sz w:val="18"/>
                            <w:szCs w:val="18"/>
                          </w:rPr>
                        </w:pPr>
                        <w:r>
                          <w:rPr>
                            <w:rFonts w:ascii="宋体" w:hAnsi="宋体" w:cs="宋体" w:eastAsia="宋体" w:hint="default"/>
                            <w:b/>
                            <w:bCs/>
                            <w:sz w:val="18"/>
                            <w:szCs w:val="18"/>
                          </w:rPr>
                          <w:t>临时报告披露网站查询索引</w:t>
                        </w:r>
                        <w:r>
                          <w:rPr>
                            <w:rFonts w:ascii="宋体" w:hAnsi="宋体" w:cs="宋体" w:eastAsia="宋体" w:hint="default"/>
                            <w:sz w:val="18"/>
                            <w:szCs w:val="18"/>
                          </w:rPr>
                        </w:r>
                      </w:p>
                    </w:tc>
                  </w:tr>
                  <w:tr>
                    <w:trPr>
                      <w:trHeight w:val="1051" w:hRule="exact"/>
                    </w:trPr>
                    <w:tc>
                      <w:tcPr>
                        <w:tcW w:w="4205"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8"/>
                          <w:ind w:left="26" w:right="23"/>
                          <w:jc w:val="both"/>
                          <w:rPr>
                            <w:rFonts w:ascii="宋体" w:hAnsi="宋体" w:cs="宋体" w:eastAsia="宋体" w:hint="default"/>
                            <w:sz w:val="18"/>
                            <w:szCs w:val="18"/>
                          </w:rPr>
                        </w:pPr>
                        <w:r>
                          <w:rPr>
                            <w:rFonts w:ascii="宋体" w:hAnsi="宋体" w:cs="宋体" w:eastAsia="宋体" w:hint="default"/>
                            <w:sz w:val="18"/>
                            <w:szCs w:val="18"/>
                          </w:rPr>
                          <w:t>全资子公司厦门市美亚柏科信息安全研究所有限公司 下属机构“福建中证司法鉴定中心”获得中国合格评 定国家认可委员会（</w:t>
                        </w:r>
                        <w:r>
                          <w:rPr>
                            <w:rFonts w:ascii="宋体" w:hAnsi="宋体" w:cs="宋体" w:eastAsia="宋体" w:hint="default"/>
                            <w:sz w:val="18"/>
                            <w:szCs w:val="18"/>
                          </w:rPr>
                          <w:t>CNAS</w:t>
                        </w:r>
                        <w:r>
                          <w:rPr>
                            <w:rFonts w:ascii="宋体" w:hAnsi="宋体" w:cs="宋体" w:eastAsia="宋体" w:hint="default"/>
                            <w:sz w:val="18"/>
                            <w:szCs w:val="18"/>
                          </w:rPr>
                          <w:t>）授予的实验室认可证书</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01</w:t>
                        </w:r>
                        <w:r>
                          <w:rPr>
                            <w:rFonts w:ascii="宋体" w:hAnsi="宋体" w:cs="宋体" w:eastAsia="宋体" w:hint="default"/>
                            <w:sz w:val="18"/>
                            <w:szCs w:val="18"/>
                          </w:rPr>
                          <w:t>月</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日</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8"/>
                          <w:ind w:left="4" w:right="-1" w:hanging="3"/>
                          <w:jc w:val="center"/>
                          <w:rPr>
                            <w:rFonts w:ascii="宋体" w:hAnsi="宋体" w:cs="宋体" w:eastAsia="宋体" w:hint="default"/>
                            <w:sz w:val="18"/>
                            <w:szCs w:val="18"/>
                          </w:rPr>
                        </w:pPr>
                        <w:hyperlink r:id="rId11">
                          <w:r>
                            <w:rPr>
                              <w:rFonts w:ascii="宋体" w:hAnsi="宋体" w:cs="宋体" w:eastAsia="宋体" w:hint="default"/>
                              <w:spacing w:val="-3"/>
                              <w:sz w:val="18"/>
                              <w:szCs w:val="18"/>
                            </w:rPr>
                            <w:t>www.cninfo.com.cn,</w:t>
                          </w:r>
                        </w:hyperlink>
                        <w:r>
                          <w:rPr>
                            <w:rFonts w:ascii="宋体" w:hAnsi="宋体" w:cs="宋体" w:eastAsia="宋体" w:hint="default"/>
                            <w:spacing w:val="-3"/>
                            <w:sz w:val="18"/>
                            <w:szCs w:val="18"/>
                          </w:rPr>
                          <w:t>《关于福建中证司法鉴定中心获得</w:t>
                        </w:r>
                        <w:r>
                          <w:rPr>
                            <w:rFonts w:ascii="宋体" w:hAnsi="宋体" w:cs="宋体" w:eastAsia="宋体" w:hint="default"/>
                            <w:sz w:val="18"/>
                            <w:szCs w:val="18"/>
                          </w:rPr>
                          <w:t> </w:t>
                        </w:r>
                        <w:r>
                          <w:rPr>
                            <w:rFonts w:ascii="宋体" w:hAnsi="宋体" w:cs="宋体" w:eastAsia="宋体" w:hint="default"/>
                            <w:spacing w:val="-3"/>
                            <w:sz w:val="18"/>
                            <w:szCs w:val="18"/>
                          </w:rPr>
                          <w:t>中国合格评定国家认可委员会（</w:t>
                        </w:r>
                        <w:r>
                          <w:rPr>
                            <w:rFonts w:ascii="宋体" w:hAnsi="宋体" w:cs="宋体" w:eastAsia="宋体" w:hint="default"/>
                            <w:spacing w:val="-3"/>
                            <w:sz w:val="18"/>
                            <w:szCs w:val="18"/>
                          </w:rPr>
                          <w:t>CNAS</w:t>
                        </w:r>
                        <w:r>
                          <w:rPr>
                            <w:rFonts w:ascii="宋体" w:hAnsi="宋体" w:cs="宋体" w:eastAsia="宋体" w:hint="default"/>
                            <w:spacing w:val="-3"/>
                            <w:sz w:val="18"/>
                            <w:szCs w:val="18"/>
                          </w:rPr>
                          <w:t>）实验室认可证书</w:t>
                        </w:r>
                        <w:r>
                          <w:rPr>
                            <w:rFonts w:ascii="宋体" w:hAnsi="宋体" w:cs="宋体" w:eastAsia="宋体" w:hint="default"/>
                            <w:sz w:val="18"/>
                            <w:szCs w:val="18"/>
                          </w:rPr>
                          <w:t> 的公告》，公告编号：</w:t>
                        </w:r>
                        <w:r>
                          <w:rPr>
                            <w:rFonts w:ascii="宋体" w:hAnsi="宋体" w:cs="宋体" w:eastAsia="宋体" w:hint="default"/>
                            <w:sz w:val="18"/>
                            <w:szCs w:val="18"/>
                          </w:rPr>
                          <w:t>2019-02</w:t>
                        </w:r>
                      </w:p>
                    </w:tc>
                  </w:tr>
                  <w:tr>
                    <w:trPr>
                      <w:trHeight w:val="739" w:hRule="exact"/>
                    </w:trPr>
                    <w:tc>
                      <w:tcPr>
                        <w:tcW w:w="4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云南设立全资子公司</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1</w:t>
                        </w:r>
                        <w:r>
                          <w:rPr>
                            <w:rFonts w:ascii="宋体" w:hAnsi="宋体" w:cs="宋体" w:eastAsia="宋体" w:hint="default"/>
                            <w:sz w:val="18"/>
                            <w:szCs w:val="18"/>
                          </w:rPr>
                          <w:t>月</w:t>
                        </w:r>
                      </w:p>
                      <w:p>
                        <w:pPr>
                          <w:pStyle w:val="TableParagraph"/>
                          <w:spacing w:line="240" w:lineRule="auto" w:before="76"/>
                          <w:ind w:left="4" w:right="0"/>
                          <w:jc w:val="center"/>
                          <w:rPr>
                            <w:rFonts w:ascii="宋体" w:hAnsi="宋体" w:cs="宋体" w:eastAsia="宋体" w:hint="default"/>
                            <w:sz w:val="18"/>
                            <w:szCs w:val="18"/>
                          </w:rPr>
                        </w:pPr>
                        <w:r>
                          <w:rPr>
                            <w:rFonts w:ascii="宋体" w:hAnsi="宋体" w:cs="宋体" w:eastAsia="宋体" w:hint="default"/>
                            <w:sz w:val="18"/>
                            <w:szCs w:val="18"/>
                          </w:rPr>
                          <w:t>15</w:t>
                        </w:r>
                        <w:r>
                          <w:rPr>
                            <w:rFonts w:ascii="宋体" w:hAnsi="宋体" w:cs="宋体" w:eastAsia="宋体" w:hint="default"/>
                            <w:sz w:val="18"/>
                            <w:szCs w:val="18"/>
                          </w:rPr>
                          <w:t>日</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8"/>
                          <w:ind w:left="1003" w:right="0" w:hanging="999"/>
                          <w:jc w:val="left"/>
                          <w:rPr>
                            <w:rFonts w:ascii="宋体" w:hAnsi="宋体" w:cs="宋体" w:eastAsia="宋体" w:hint="default"/>
                            <w:sz w:val="18"/>
                            <w:szCs w:val="18"/>
                          </w:rPr>
                        </w:pPr>
                        <w:hyperlink r:id="rId11">
                          <w:r>
                            <w:rPr>
                              <w:rFonts w:ascii="宋体" w:hAnsi="宋体" w:cs="宋体" w:eastAsia="宋体" w:hint="default"/>
                              <w:spacing w:val="-3"/>
                              <w:sz w:val="18"/>
                              <w:szCs w:val="18"/>
                            </w:rPr>
                            <w:t>www.cninfo.com.cn,</w:t>
                          </w:r>
                        </w:hyperlink>
                        <w:r>
                          <w:rPr>
                            <w:rFonts w:ascii="宋体" w:hAnsi="宋体" w:cs="宋体" w:eastAsia="宋体" w:hint="default"/>
                            <w:spacing w:val="-3"/>
                            <w:sz w:val="18"/>
                            <w:szCs w:val="18"/>
                          </w:rPr>
                          <w:t>《关于公司成立云南全资子公司的</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公告》，公告编号：</w:t>
                        </w:r>
                        <w:r>
                          <w:rPr>
                            <w:rFonts w:ascii="宋体" w:hAnsi="宋体" w:cs="宋体" w:eastAsia="宋体" w:hint="default"/>
                            <w:sz w:val="18"/>
                            <w:szCs w:val="18"/>
                          </w:rPr>
                          <w:t>2019-04</w:t>
                        </w:r>
                      </w:p>
                    </w:tc>
                  </w:tr>
                  <w:tr>
                    <w:trPr>
                      <w:trHeight w:val="1361" w:hRule="exact"/>
                    </w:trPr>
                    <w:tc>
                      <w:tcPr>
                        <w:tcW w:w="4205"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8"/>
                          <w:ind w:left="4" w:right="-3" w:hanging="3"/>
                          <w:jc w:val="center"/>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z w:val="18"/>
                            <w:szCs w:val="18"/>
                          </w:rPr>
                          <w:t>年</w:t>
                        </w:r>
                        <w:r>
                          <w:rPr>
                            <w:rFonts w:ascii="宋体" w:hAnsi="宋体" w:cs="宋体" w:eastAsia="宋体" w:hint="default"/>
                            <w:sz w:val="18"/>
                            <w:szCs w:val="18"/>
                          </w:rPr>
                          <w:t>12</w:t>
                        </w:r>
                        <w:r>
                          <w:rPr>
                            <w:rFonts w:ascii="宋体" w:hAnsi="宋体" w:cs="宋体" w:eastAsia="宋体" w:hint="default"/>
                            <w:sz w:val="18"/>
                            <w:szCs w:val="18"/>
                          </w:rPr>
                          <w:t>月</w:t>
                        </w:r>
                        <w:r>
                          <w:rPr>
                            <w:rFonts w:ascii="宋体" w:hAnsi="宋体" w:cs="宋体" w:eastAsia="宋体" w:hint="default"/>
                            <w:sz w:val="18"/>
                            <w:szCs w:val="18"/>
                          </w:rPr>
                          <w:t>22</w:t>
                        </w:r>
                        <w:r>
                          <w:rPr>
                            <w:rFonts w:ascii="宋体" w:hAnsi="宋体" w:cs="宋体" w:eastAsia="宋体" w:hint="default"/>
                            <w:sz w:val="18"/>
                            <w:szCs w:val="18"/>
                          </w:rPr>
                          <w:t>日，中国证监会核准公司向韦玉荣等</w:t>
                        </w:r>
                        <w:r>
                          <w:rPr>
                            <w:rFonts w:ascii="宋体" w:hAnsi="宋体" w:cs="宋体" w:eastAsia="宋体" w:hint="default"/>
                            <w:sz w:val="18"/>
                            <w:szCs w:val="18"/>
                          </w:rPr>
                          <w:t>19</w:t>
                        </w:r>
                        <w:r>
                          <w:rPr>
                            <w:rFonts w:ascii="宋体" w:hAnsi="宋体" w:cs="宋体" w:eastAsia="宋体" w:hint="default"/>
                            <w:spacing w:val="1"/>
                            <w:sz w:val="18"/>
                            <w:szCs w:val="18"/>
                          </w:rPr>
                          <w:t> </w:t>
                        </w:r>
                        <w:r>
                          <w:rPr>
                            <w:rFonts w:ascii="宋体" w:hAnsi="宋体" w:cs="宋体" w:eastAsia="宋体" w:hint="default"/>
                            <w:sz w:val="18"/>
                            <w:szCs w:val="18"/>
                          </w:rPr>
                          <w:t>人发行股份购买相关资产，江苏税软和新德汇完成了 </w:t>
                        </w:r>
                        <w:r>
                          <w:rPr>
                            <w:rFonts w:ascii="宋体" w:hAnsi="宋体" w:cs="宋体" w:eastAsia="宋体" w:hint="default"/>
                            <w:spacing w:val="-2"/>
                            <w:sz w:val="18"/>
                            <w:szCs w:val="18"/>
                          </w:rPr>
                          <w:t>2017</w:t>
                        </w:r>
                        <w:r>
                          <w:rPr>
                            <w:rFonts w:ascii="宋体" w:hAnsi="宋体" w:cs="宋体" w:eastAsia="宋体" w:hint="default"/>
                            <w:spacing w:val="-2"/>
                            <w:sz w:val="18"/>
                            <w:szCs w:val="18"/>
                          </w:rPr>
                          <w:t>年度业绩承诺，按照规定，公司于</w:t>
                        </w:r>
                        <w:r>
                          <w:rPr>
                            <w:rFonts w:ascii="宋体" w:hAnsi="宋体" w:cs="宋体" w:eastAsia="宋体" w:hint="default"/>
                            <w:spacing w:val="-2"/>
                            <w:sz w:val="18"/>
                            <w:szCs w:val="18"/>
                          </w:rPr>
                          <w:t>2019</w:t>
                        </w:r>
                        <w:r>
                          <w:rPr>
                            <w:rFonts w:ascii="宋体" w:hAnsi="宋体" w:cs="宋体" w:eastAsia="宋体" w:hint="default"/>
                            <w:spacing w:val="-2"/>
                            <w:sz w:val="18"/>
                            <w:szCs w:val="18"/>
                          </w:rPr>
                          <w:t>年</w:t>
                        </w:r>
                        <w:r>
                          <w:rPr>
                            <w:rFonts w:ascii="宋体" w:hAnsi="宋体" w:cs="宋体" w:eastAsia="宋体" w:hint="default"/>
                            <w:spacing w:val="-2"/>
                            <w:sz w:val="18"/>
                            <w:szCs w:val="18"/>
                          </w:rPr>
                          <w:t>1</w:t>
                        </w:r>
                        <w:r>
                          <w:rPr>
                            <w:rFonts w:ascii="宋体" w:hAnsi="宋体" w:cs="宋体" w:eastAsia="宋体" w:hint="default"/>
                            <w:spacing w:val="-2"/>
                            <w:sz w:val="18"/>
                            <w:szCs w:val="18"/>
                          </w:rPr>
                          <w:t>月</w:t>
                        </w:r>
                        <w:r>
                          <w:rPr>
                            <w:rFonts w:ascii="宋体" w:hAnsi="宋体" w:cs="宋体" w:eastAsia="宋体" w:hint="default"/>
                            <w:spacing w:val="-2"/>
                            <w:sz w:val="18"/>
                            <w:szCs w:val="18"/>
                          </w:rPr>
                          <w:t>22</w:t>
                        </w:r>
                        <w:r>
                          <w:rPr>
                            <w:rFonts w:ascii="宋体" w:hAnsi="宋体" w:cs="宋体" w:eastAsia="宋体" w:hint="default"/>
                            <w:spacing w:val="-2"/>
                            <w:sz w:val="18"/>
                            <w:szCs w:val="18"/>
                          </w:rPr>
                          <w:t>日</w:t>
                        </w:r>
                        <w:r>
                          <w:rPr>
                            <w:rFonts w:ascii="宋体" w:hAnsi="宋体" w:cs="宋体" w:eastAsia="宋体" w:hint="default"/>
                            <w:sz w:val="18"/>
                            <w:szCs w:val="18"/>
                          </w:rPr>
                          <w:t> 对韦玉荣等</w:t>
                        </w:r>
                        <w:r>
                          <w:rPr>
                            <w:rFonts w:ascii="宋体" w:hAnsi="宋体" w:cs="宋体" w:eastAsia="宋体" w:hint="default"/>
                            <w:sz w:val="18"/>
                            <w:szCs w:val="18"/>
                          </w:rPr>
                          <w:t>19</w:t>
                        </w:r>
                        <w:r>
                          <w:rPr>
                            <w:rFonts w:ascii="宋体" w:hAnsi="宋体" w:cs="宋体" w:eastAsia="宋体" w:hint="default"/>
                            <w:sz w:val="18"/>
                            <w:szCs w:val="18"/>
                          </w:rPr>
                          <w:t>人持有的部分限售股份解除限售</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5"/>
                          <w:ind w:left="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01</w:t>
                        </w:r>
                        <w:r>
                          <w:rPr>
                            <w:rFonts w:ascii="宋体" w:hAnsi="宋体" w:cs="宋体" w:eastAsia="宋体" w:hint="default"/>
                            <w:sz w:val="18"/>
                            <w:szCs w:val="18"/>
                          </w:rPr>
                          <w:t>月</w:t>
                        </w:r>
                      </w:p>
                      <w:p>
                        <w:pPr>
                          <w:pStyle w:val="TableParagraph"/>
                          <w:spacing w:line="240" w:lineRule="auto" w:before="76"/>
                          <w:ind w:left="4" w:right="0"/>
                          <w:jc w:val="center"/>
                          <w:rPr>
                            <w:rFonts w:ascii="宋体" w:hAnsi="宋体" w:cs="宋体" w:eastAsia="宋体" w:hint="default"/>
                            <w:sz w:val="18"/>
                            <w:szCs w:val="18"/>
                          </w:rPr>
                        </w:pPr>
                        <w:r>
                          <w:rPr>
                            <w:rFonts w:ascii="宋体" w:hAnsi="宋体" w:cs="宋体" w:eastAsia="宋体" w:hint="default"/>
                            <w:sz w:val="18"/>
                            <w:szCs w:val="18"/>
                          </w:rPr>
                          <w:t>22</w:t>
                        </w:r>
                        <w:r>
                          <w:rPr>
                            <w:rFonts w:ascii="宋体" w:hAnsi="宋体" w:cs="宋体" w:eastAsia="宋体" w:hint="default"/>
                            <w:sz w:val="18"/>
                            <w:szCs w:val="18"/>
                          </w:rPr>
                          <w:t>日</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5"/>
                          <w:ind w:left="552" w:right="0" w:hanging="548"/>
                          <w:jc w:val="left"/>
                          <w:rPr>
                            <w:rFonts w:ascii="宋体" w:hAnsi="宋体" w:cs="宋体" w:eastAsia="宋体" w:hint="default"/>
                            <w:sz w:val="18"/>
                            <w:szCs w:val="18"/>
                          </w:rPr>
                        </w:pPr>
                        <w:hyperlink r:id="rId11">
                          <w:r>
                            <w:rPr>
                              <w:rFonts w:ascii="宋体" w:hAnsi="宋体" w:cs="宋体" w:eastAsia="宋体" w:hint="default"/>
                              <w:spacing w:val="-3"/>
                              <w:sz w:val="18"/>
                              <w:szCs w:val="18"/>
                            </w:rPr>
                            <w:t>www.cninfo.com.cn,</w:t>
                          </w:r>
                        </w:hyperlink>
                        <w:r>
                          <w:rPr>
                            <w:rFonts w:ascii="宋体" w:hAnsi="宋体" w:cs="宋体" w:eastAsia="宋体" w:hint="default"/>
                            <w:spacing w:val="-3"/>
                            <w:sz w:val="18"/>
                            <w:szCs w:val="18"/>
                          </w:rPr>
                          <w:t>《关于非公开发行限售股份上市流</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通的提示性公告》，公告编号：</w:t>
                        </w:r>
                        <w:r>
                          <w:rPr>
                            <w:rFonts w:ascii="宋体" w:hAnsi="宋体" w:cs="宋体" w:eastAsia="宋体" w:hint="default"/>
                            <w:sz w:val="18"/>
                            <w:szCs w:val="18"/>
                          </w:rPr>
                          <w:t>2019-05</w:t>
                        </w:r>
                      </w:p>
                    </w:tc>
                  </w:tr>
                  <w:tr>
                    <w:trPr>
                      <w:trHeight w:val="739" w:hRule="exact"/>
                    </w:trPr>
                    <w:tc>
                      <w:tcPr>
                        <w:tcW w:w="4205"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286" w:right="0"/>
                          <w:jc w:val="left"/>
                          <w:rPr>
                            <w:rFonts w:ascii="宋体" w:hAnsi="宋体" w:cs="宋体" w:eastAsia="宋体" w:hint="default"/>
                            <w:sz w:val="18"/>
                            <w:szCs w:val="18"/>
                          </w:rPr>
                        </w:pPr>
                        <w:r>
                          <w:rPr>
                            <w:rFonts w:ascii="宋体" w:hAnsi="宋体" w:cs="宋体" w:eastAsia="宋体" w:hint="default"/>
                            <w:sz w:val="18"/>
                            <w:szCs w:val="18"/>
                          </w:rPr>
                          <w:t>公司控制权变更事项</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3</w:t>
                        </w:r>
                        <w:r>
                          <w:rPr>
                            <w:rFonts w:ascii="宋体" w:hAnsi="宋体" w:cs="宋体" w:eastAsia="宋体" w:hint="default"/>
                            <w:sz w:val="18"/>
                            <w:szCs w:val="18"/>
                          </w:rPr>
                          <w:t>月</w:t>
                        </w:r>
                      </w:p>
                      <w:p>
                        <w:pPr>
                          <w:pStyle w:val="TableParagraph"/>
                          <w:spacing w:line="240" w:lineRule="auto" w:before="76"/>
                          <w:ind w:left="4" w:right="0"/>
                          <w:jc w:val="center"/>
                          <w:rPr>
                            <w:rFonts w:ascii="宋体" w:hAnsi="宋体" w:cs="宋体" w:eastAsia="宋体" w:hint="default"/>
                            <w:sz w:val="18"/>
                            <w:szCs w:val="18"/>
                          </w:rPr>
                        </w:pPr>
                        <w:r>
                          <w:rPr>
                            <w:rFonts w:ascii="宋体" w:hAnsi="宋体" w:cs="宋体" w:eastAsia="宋体" w:hint="default"/>
                            <w:sz w:val="18"/>
                            <w:szCs w:val="18"/>
                          </w:rPr>
                          <w:t>27</w:t>
                        </w:r>
                        <w:r>
                          <w:rPr>
                            <w:rFonts w:ascii="宋体" w:hAnsi="宋体" w:cs="宋体" w:eastAsia="宋体" w:hint="default"/>
                            <w:sz w:val="18"/>
                            <w:szCs w:val="18"/>
                          </w:rPr>
                          <w:t>日</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1"/>
                          <w:ind w:left="12" w:right="7"/>
                          <w:jc w:val="left"/>
                          <w:rPr>
                            <w:rFonts w:ascii="宋体" w:hAnsi="宋体" w:cs="宋体" w:eastAsia="宋体" w:hint="default"/>
                            <w:sz w:val="18"/>
                            <w:szCs w:val="18"/>
                          </w:rPr>
                        </w:pPr>
                        <w:r>
                          <w:rPr>
                            <w:rFonts w:ascii="宋体" w:hAnsi="宋体" w:cs="宋体" w:eastAsia="宋体" w:hint="default"/>
                            <w:sz w:val="18"/>
                            <w:szCs w:val="18"/>
                          </w:rPr>
                        </w:r>
                        <w:hyperlink r:id="rId11">
                          <w:r>
                            <w:rPr>
                              <w:rFonts w:ascii="宋体" w:hAnsi="宋体" w:cs="宋体" w:eastAsia="宋体" w:hint="default"/>
                              <w:sz w:val="18"/>
                              <w:szCs w:val="18"/>
                              <w:u w:val="single" w:color="000000"/>
                            </w:rPr>
                            <w:t>www.cninfo.com.cn</w:t>
                          </w:r>
                          <w:r>
                            <w:rPr>
                              <w:rFonts w:ascii="宋体" w:hAnsi="宋体" w:cs="宋体" w:eastAsia="宋体" w:hint="default"/>
                              <w:sz w:val="18"/>
                              <w:szCs w:val="18"/>
                            </w:rPr>
                          </w:r>
                        </w:hyperlink>
                        <w:r>
                          <w:rPr>
                            <w:rFonts w:ascii="宋体" w:hAnsi="宋体" w:cs="宋体" w:eastAsia="宋体" w:hint="default"/>
                            <w:sz w:val="18"/>
                            <w:szCs w:val="18"/>
                          </w:rPr>
                          <w:t>，《关于公司控股股东、实际控制 人可能发生变更的提示性公告》，公告编号：</w:t>
                        </w:r>
                        <w:r>
                          <w:rPr>
                            <w:rFonts w:ascii="宋体" w:hAnsi="宋体" w:cs="宋体" w:eastAsia="宋体" w:hint="default"/>
                            <w:sz w:val="18"/>
                            <w:szCs w:val="18"/>
                          </w:rPr>
                          <w:t>2019-26</w:t>
                        </w:r>
                      </w:p>
                    </w:tc>
                  </w:tr>
                  <w:tr>
                    <w:trPr>
                      <w:trHeight w:val="739" w:hRule="exact"/>
                    </w:trPr>
                    <w:tc>
                      <w:tcPr>
                        <w:tcW w:w="4205" w:type="dxa"/>
                        <w:vMerge/>
                        <w:tcBorders>
                          <w:left w:val="single" w:sz="6" w:space="0" w:color="000000"/>
                          <w:right w:val="single" w:sz="6" w:space="0" w:color="000000"/>
                        </w:tcBorders>
                      </w:tcPr>
                      <w:p>
                        <w:pP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4</w:t>
                        </w:r>
                        <w:r>
                          <w:rPr>
                            <w:rFonts w:ascii="宋体" w:hAnsi="宋体" w:cs="宋体" w:eastAsia="宋体" w:hint="default"/>
                            <w:sz w:val="18"/>
                            <w:szCs w:val="18"/>
                          </w:rPr>
                          <w:t>月</w:t>
                        </w:r>
                        <w:r>
                          <w:rPr>
                            <w:rFonts w:ascii="宋体" w:hAnsi="宋体" w:cs="宋体" w:eastAsia="宋体" w:hint="default"/>
                            <w:sz w:val="18"/>
                            <w:szCs w:val="18"/>
                          </w:rPr>
                          <w:t>2</w:t>
                        </w:r>
                      </w:p>
                      <w:p>
                        <w:pPr>
                          <w:pStyle w:val="TableParagraph"/>
                          <w:spacing w:line="240" w:lineRule="auto" w:before="74"/>
                          <w:ind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314" w:lineRule="auto" w:before="61"/>
                          <w:ind w:left="1048" w:right="11" w:hanging="1037"/>
                          <w:jc w:val="left"/>
                          <w:rPr>
                            <w:rFonts w:ascii="宋体" w:hAnsi="宋体" w:cs="宋体" w:eastAsia="宋体" w:hint="default"/>
                            <w:sz w:val="18"/>
                            <w:szCs w:val="18"/>
                          </w:rPr>
                        </w:pPr>
                        <w:r>
                          <w:rPr>
                            <w:rFonts w:ascii="宋体" w:hAnsi="宋体" w:cs="宋体" w:eastAsia="宋体" w:hint="default"/>
                            <w:sz w:val="18"/>
                            <w:szCs w:val="18"/>
                          </w:rPr>
                        </w:r>
                        <w:hyperlink r:id="rId11">
                          <w:r>
                            <w:rPr>
                              <w:rFonts w:ascii="宋体" w:hAnsi="宋体" w:cs="宋体" w:eastAsia="宋体" w:hint="default"/>
                              <w:sz w:val="18"/>
                              <w:szCs w:val="18"/>
                              <w:u w:val="single" w:color="000000"/>
                            </w:rPr>
                            <w:t>www.cninfo.com.cn</w:t>
                          </w:r>
                          <w:r>
                            <w:rPr>
                              <w:rFonts w:ascii="宋体" w:hAnsi="宋体" w:cs="宋体" w:eastAsia="宋体" w:hint="default"/>
                              <w:sz w:val="18"/>
                              <w:szCs w:val="18"/>
                            </w:rPr>
                          </w:r>
                        </w:hyperlink>
                        <w:r>
                          <w:rPr>
                            <w:rFonts w:ascii="宋体" w:hAnsi="宋体" w:cs="宋体" w:eastAsia="宋体" w:hint="default"/>
                            <w:sz w:val="18"/>
                            <w:szCs w:val="18"/>
                          </w:rPr>
                          <w:t>，《简式权益变动报告书》等，公 告编号：</w:t>
                        </w:r>
                        <w:r>
                          <w:rPr>
                            <w:rFonts w:ascii="宋体" w:hAnsi="宋体" w:cs="宋体" w:eastAsia="宋体" w:hint="default"/>
                            <w:sz w:val="18"/>
                            <w:szCs w:val="18"/>
                          </w:rPr>
                          <w:t>2019-31</w:t>
                        </w:r>
                        <w:r>
                          <w:rPr>
                            <w:rFonts w:ascii="宋体" w:hAnsi="宋体" w:cs="宋体" w:eastAsia="宋体" w:hint="default"/>
                            <w:sz w:val="18"/>
                            <w:szCs w:val="18"/>
                          </w:rPr>
                          <w:t>、</w:t>
                        </w:r>
                        <w:r>
                          <w:rPr>
                            <w:rFonts w:ascii="宋体" w:hAnsi="宋体" w:cs="宋体" w:eastAsia="宋体" w:hint="default"/>
                            <w:sz w:val="18"/>
                            <w:szCs w:val="18"/>
                          </w:rPr>
                          <w:t>2019-32</w:t>
                        </w:r>
                      </w:p>
                    </w:tc>
                  </w:tr>
                  <w:tr>
                    <w:trPr>
                      <w:trHeight w:val="1051" w:hRule="exact"/>
                    </w:trPr>
                    <w:tc>
                      <w:tcPr>
                        <w:tcW w:w="4205" w:type="dxa"/>
                        <w:vMerge/>
                        <w:tcBorders>
                          <w:left w:val="single" w:sz="6" w:space="0" w:color="000000"/>
                          <w:bottom w:val="single" w:sz="6" w:space="0" w:color="000000"/>
                          <w:right w:val="single" w:sz="6" w:space="0" w:color="000000"/>
                        </w:tcBorders>
                      </w:tcPr>
                      <w:p>
                        <w:pP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7</w:t>
                        </w:r>
                        <w:r>
                          <w:rPr>
                            <w:rFonts w:ascii="宋体" w:hAnsi="宋体" w:cs="宋体" w:eastAsia="宋体" w:hint="default"/>
                            <w:sz w:val="18"/>
                            <w:szCs w:val="18"/>
                          </w:rPr>
                          <w:t>月</w:t>
                        </w:r>
                      </w:p>
                      <w:p>
                        <w:pPr>
                          <w:pStyle w:val="TableParagraph"/>
                          <w:spacing w:line="240" w:lineRule="auto" w:before="74"/>
                          <w:ind w:left="4" w:right="0"/>
                          <w:jc w:val="center"/>
                          <w:rPr>
                            <w:rFonts w:ascii="宋体" w:hAnsi="宋体" w:cs="宋体" w:eastAsia="宋体" w:hint="default"/>
                            <w:sz w:val="18"/>
                            <w:szCs w:val="18"/>
                          </w:rPr>
                        </w:pPr>
                        <w:r>
                          <w:rPr>
                            <w:rFonts w:ascii="宋体" w:hAnsi="宋体" w:cs="宋体" w:eastAsia="宋体" w:hint="default"/>
                            <w:sz w:val="18"/>
                            <w:szCs w:val="18"/>
                          </w:rPr>
                          <w:t>17</w:t>
                        </w:r>
                        <w:r>
                          <w:rPr>
                            <w:rFonts w:ascii="宋体" w:hAnsi="宋体" w:cs="宋体" w:eastAsia="宋体" w:hint="default"/>
                            <w:sz w:val="18"/>
                            <w:szCs w:val="18"/>
                          </w:rPr>
                          <w:t>日</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1"/>
                          <w:ind w:left="4" w:right="11" w:firstLine="7"/>
                          <w:jc w:val="center"/>
                          <w:rPr>
                            <w:rFonts w:ascii="宋体" w:hAnsi="宋体" w:cs="宋体" w:eastAsia="宋体" w:hint="default"/>
                            <w:sz w:val="18"/>
                            <w:szCs w:val="18"/>
                          </w:rPr>
                        </w:pPr>
                        <w:hyperlink r:id="rId11">
                          <w:r>
                            <w:rPr>
                              <w:rFonts w:ascii="宋体" w:hAnsi="宋体" w:cs="宋体" w:eastAsia="宋体" w:hint="default"/>
                              <w:sz w:val="18"/>
                              <w:szCs w:val="18"/>
                            </w:rPr>
                            <w:t>www.cninfo.com.cn</w:t>
                          </w:r>
                        </w:hyperlink>
                        <w:r>
                          <w:rPr>
                            <w:rFonts w:ascii="宋体" w:hAnsi="宋体" w:cs="宋体" w:eastAsia="宋体" w:hint="default"/>
                            <w:sz w:val="18"/>
                            <w:szCs w:val="18"/>
                          </w:rPr>
                          <w:t>，《关于股东协议转让股份完成过 </w:t>
                        </w:r>
                        <w:r>
                          <w:rPr>
                            <w:rFonts w:ascii="宋体" w:hAnsi="宋体" w:cs="宋体" w:eastAsia="宋体" w:hint="default"/>
                            <w:spacing w:val="-7"/>
                            <w:sz w:val="18"/>
                            <w:szCs w:val="18"/>
                          </w:rPr>
                          <w:t>户登记暨公司控股股东、实际控制人完成变更的公告》</w:t>
                        </w:r>
                        <w:r>
                          <w:rPr>
                            <w:rFonts w:ascii="宋体" w:hAnsi="宋体" w:cs="宋体" w:eastAsia="宋体" w:hint="default"/>
                            <w:spacing w:val="-82"/>
                            <w:sz w:val="18"/>
                            <w:szCs w:val="18"/>
                          </w:rPr>
                          <w:t> </w:t>
                        </w:r>
                        <w:r>
                          <w:rPr>
                            <w:rFonts w:ascii="宋体" w:hAnsi="宋体" w:cs="宋体" w:eastAsia="宋体" w:hint="default"/>
                            <w:sz w:val="18"/>
                            <w:szCs w:val="18"/>
                          </w:rPr>
                          <w:t>公告编号：</w:t>
                        </w:r>
                        <w:r>
                          <w:rPr>
                            <w:rFonts w:ascii="宋体" w:hAnsi="宋体" w:cs="宋体" w:eastAsia="宋体" w:hint="default"/>
                            <w:sz w:val="18"/>
                            <w:szCs w:val="18"/>
                          </w:rPr>
                          <w:t>2019-58</w:t>
                        </w:r>
                      </w:p>
                    </w:tc>
                  </w:tr>
                  <w:tr>
                    <w:trPr>
                      <w:trHeight w:val="739" w:hRule="exact"/>
                    </w:trPr>
                    <w:tc>
                      <w:tcPr>
                        <w:tcW w:w="4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公司控制权变更事项</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3</w:t>
                        </w:r>
                        <w:r>
                          <w:rPr>
                            <w:rFonts w:ascii="宋体" w:hAnsi="宋体" w:cs="宋体" w:eastAsia="宋体" w:hint="default"/>
                            <w:sz w:val="18"/>
                            <w:szCs w:val="18"/>
                          </w:rPr>
                          <w:t>月</w:t>
                        </w:r>
                      </w:p>
                      <w:p>
                        <w:pPr>
                          <w:pStyle w:val="TableParagraph"/>
                          <w:spacing w:line="240" w:lineRule="auto" w:before="74"/>
                          <w:ind w:left="4" w:right="0"/>
                          <w:jc w:val="center"/>
                          <w:rPr>
                            <w:rFonts w:ascii="宋体" w:hAnsi="宋体" w:cs="宋体" w:eastAsia="宋体" w:hint="default"/>
                            <w:sz w:val="18"/>
                            <w:szCs w:val="18"/>
                          </w:rPr>
                        </w:pPr>
                        <w:r>
                          <w:rPr>
                            <w:rFonts w:ascii="宋体" w:hAnsi="宋体" w:cs="宋体" w:eastAsia="宋体" w:hint="default"/>
                            <w:sz w:val="18"/>
                            <w:szCs w:val="18"/>
                          </w:rPr>
                          <w:t>27</w:t>
                        </w:r>
                        <w:r>
                          <w:rPr>
                            <w:rFonts w:ascii="宋体" w:hAnsi="宋体" w:cs="宋体" w:eastAsia="宋体" w:hint="default"/>
                            <w:sz w:val="18"/>
                            <w:szCs w:val="18"/>
                          </w:rPr>
                          <w:t>日</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314" w:lineRule="auto" w:before="61"/>
                          <w:ind w:left="12" w:right="7"/>
                          <w:jc w:val="left"/>
                          <w:rPr>
                            <w:rFonts w:ascii="宋体" w:hAnsi="宋体" w:cs="宋体" w:eastAsia="宋体" w:hint="default"/>
                            <w:sz w:val="18"/>
                            <w:szCs w:val="18"/>
                          </w:rPr>
                        </w:pPr>
                        <w:r>
                          <w:rPr>
                            <w:rFonts w:ascii="宋体" w:hAnsi="宋体" w:cs="宋体" w:eastAsia="宋体" w:hint="default"/>
                            <w:sz w:val="18"/>
                            <w:szCs w:val="18"/>
                          </w:rPr>
                        </w:r>
                        <w:hyperlink r:id="rId11">
                          <w:r>
                            <w:rPr>
                              <w:rFonts w:ascii="宋体" w:hAnsi="宋体" w:cs="宋体" w:eastAsia="宋体" w:hint="default"/>
                              <w:sz w:val="18"/>
                              <w:szCs w:val="18"/>
                              <w:u w:val="single" w:color="000000"/>
                            </w:rPr>
                            <w:t>www.cninfo.com.cn</w:t>
                          </w:r>
                          <w:r>
                            <w:rPr>
                              <w:rFonts w:ascii="宋体" w:hAnsi="宋体" w:cs="宋体" w:eastAsia="宋体" w:hint="default"/>
                              <w:sz w:val="18"/>
                              <w:szCs w:val="18"/>
                            </w:rPr>
                          </w:r>
                        </w:hyperlink>
                        <w:r>
                          <w:rPr>
                            <w:rFonts w:ascii="宋体" w:hAnsi="宋体" w:cs="宋体" w:eastAsia="宋体" w:hint="default"/>
                            <w:sz w:val="18"/>
                            <w:szCs w:val="18"/>
                          </w:rPr>
                          <w:t>，《关于公司控股股东、实际控制 人可能发生变更的提示性公告》，公告编号：</w:t>
                        </w:r>
                        <w:r>
                          <w:rPr>
                            <w:rFonts w:ascii="宋体" w:hAnsi="宋体" w:cs="宋体" w:eastAsia="宋体" w:hint="default"/>
                            <w:sz w:val="18"/>
                            <w:szCs w:val="18"/>
                          </w:rPr>
                          <w:t>2019-26</w:t>
                        </w:r>
                      </w:p>
                    </w:tc>
                  </w:tr>
                  <w:tr>
                    <w:trPr>
                      <w:trHeight w:val="660" w:hRule="exact"/>
                    </w:trPr>
                    <w:tc>
                      <w:tcPr>
                        <w:tcW w:w="4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公司控制权变更事项</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4</w:t>
                        </w:r>
                        <w:r>
                          <w:rPr>
                            <w:rFonts w:ascii="宋体" w:hAnsi="宋体" w:cs="宋体" w:eastAsia="宋体" w:hint="default"/>
                            <w:sz w:val="18"/>
                            <w:szCs w:val="18"/>
                          </w:rPr>
                          <w:t>月</w:t>
                        </w:r>
                        <w:r>
                          <w:rPr>
                            <w:rFonts w:ascii="宋体" w:hAnsi="宋体" w:cs="宋体" w:eastAsia="宋体" w:hint="default"/>
                            <w:sz w:val="18"/>
                            <w:szCs w:val="18"/>
                          </w:rPr>
                          <w:t>2</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4" w:right="17"/>
                          <w:jc w:val="left"/>
                          <w:rPr>
                            <w:rFonts w:ascii="宋体" w:hAnsi="宋体" w:cs="宋体" w:eastAsia="宋体" w:hint="default"/>
                            <w:sz w:val="18"/>
                            <w:szCs w:val="18"/>
                          </w:rPr>
                        </w:pPr>
                        <w:r>
                          <w:rPr>
                            <w:rFonts w:ascii="宋体" w:hAnsi="宋体" w:cs="宋体" w:eastAsia="宋体" w:hint="default"/>
                            <w:sz w:val="18"/>
                            <w:szCs w:val="18"/>
                          </w:rPr>
                        </w:r>
                        <w:hyperlink r:id="rId11">
                          <w:r>
                            <w:rPr>
                              <w:rFonts w:ascii="宋体" w:hAnsi="宋体" w:cs="宋体" w:eastAsia="宋体" w:hint="default"/>
                              <w:sz w:val="18"/>
                              <w:szCs w:val="18"/>
                              <w:u w:val="single" w:color="000000"/>
                            </w:rPr>
                            <w:t>www.cninfo.com.cn</w:t>
                          </w:r>
                          <w:r>
                            <w:rPr>
                              <w:rFonts w:ascii="宋体" w:hAnsi="宋体" w:cs="宋体" w:eastAsia="宋体" w:hint="default"/>
                              <w:sz w:val="18"/>
                              <w:szCs w:val="18"/>
                            </w:rPr>
                          </w:r>
                        </w:hyperlink>
                        <w:r>
                          <w:rPr>
                            <w:rFonts w:ascii="宋体" w:hAnsi="宋体" w:cs="宋体" w:eastAsia="宋体" w:hint="default"/>
                            <w:sz w:val="18"/>
                            <w:szCs w:val="18"/>
                          </w:rPr>
                          <w:t>，《简式权益变动报告书》等，公 告编号：</w:t>
                        </w:r>
                        <w:r>
                          <w:rPr>
                            <w:rFonts w:ascii="宋体" w:hAnsi="宋体" w:cs="宋体" w:eastAsia="宋体" w:hint="default"/>
                            <w:sz w:val="18"/>
                            <w:szCs w:val="18"/>
                          </w:rPr>
                          <w:t>2019-31</w:t>
                        </w:r>
                        <w:r>
                          <w:rPr>
                            <w:rFonts w:ascii="宋体" w:hAnsi="宋体" w:cs="宋体" w:eastAsia="宋体" w:hint="default"/>
                            <w:sz w:val="18"/>
                            <w:szCs w:val="18"/>
                          </w:rPr>
                          <w:t>、</w:t>
                        </w:r>
                        <w:r>
                          <w:rPr>
                            <w:rFonts w:ascii="宋体" w:hAnsi="宋体" w:cs="宋体" w:eastAsia="宋体" w:hint="default"/>
                            <w:sz w:val="18"/>
                            <w:szCs w:val="18"/>
                          </w:rPr>
                          <w:t>2019-32</w:t>
                        </w:r>
                      </w:p>
                    </w:tc>
                  </w:tr>
                  <w:tr>
                    <w:trPr>
                      <w:trHeight w:val="970" w:hRule="exact"/>
                    </w:trPr>
                    <w:tc>
                      <w:tcPr>
                        <w:tcW w:w="4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公司控制权变更事项</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7</w:t>
                        </w:r>
                        <w:r>
                          <w:rPr>
                            <w:rFonts w:ascii="宋体" w:hAnsi="宋体" w:cs="宋体" w:eastAsia="宋体" w:hint="default"/>
                            <w:sz w:val="18"/>
                            <w:szCs w:val="18"/>
                          </w:rPr>
                          <w:t>月</w:t>
                        </w:r>
                      </w:p>
                      <w:p>
                        <w:pPr>
                          <w:pStyle w:val="TableParagraph"/>
                          <w:spacing w:line="240" w:lineRule="auto" w:before="76"/>
                          <w:ind w:left="4" w:right="0"/>
                          <w:jc w:val="center"/>
                          <w:rPr>
                            <w:rFonts w:ascii="宋体" w:hAnsi="宋体" w:cs="宋体" w:eastAsia="宋体" w:hint="default"/>
                            <w:sz w:val="18"/>
                            <w:szCs w:val="18"/>
                          </w:rPr>
                        </w:pPr>
                        <w:r>
                          <w:rPr>
                            <w:rFonts w:ascii="宋体" w:hAnsi="宋体" w:cs="宋体" w:eastAsia="宋体" w:hint="default"/>
                            <w:sz w:val="18"/>
                            <w:szCs w:val="18"/>
                          </w:rPr>
                          <w:t>17</w:t>
                        </w:r>
                        <w:r>
                          <w:rPr>
                            <w:rFonts w:ascii="宋体" w:hAnsi="宋体" w:cs="宋体" w:eastAsia="宋体" w:hint="default"/>
                            <w:sz w:val="18"/>
                            <w:szCs w:val="18"/>
                          </w:rPr>
                          <w:t>日</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7"/>
                          <w:ind w:left="4" w:right="17"/>
                          <w:jc w:val="left"/>
                          <w:rPr>
                            <w:rFonts w:ascii="宋体" w:hAnsi="宋体" w:cs="宋体" w:eastAsia="宋体" w:hint="default"/>
                            <w:sz w:val="18"/>
                            <w:szCs w:val="18"/>
                          </w:rPr>
                        </w:pPr>
                        <w:hyperlink r:id="rId11">
                          <w:r>
                            <w:rPr>
                              <w:rFonts w:ascii="宋体" w:hAnsi="宋体" w:cs="宋体" w:eastAsia="宋体" w:hint="default"/>
                              <w:sz w:val="18"/>
                              <w:szCs w:val="18"/>
                            </w:rPr>
                            <w:t>www.cninfo.com.cn</w:t>
                          </w:r>
                        </w:hyperlink>
                        <w:r>
                          <w:rPr>
                            <w:rFonts w:ascii="宋体" w:hAnsi="宋体" w:cs="宋体" w:eastAsia="宋体" w:hint="default"/>
                            <w:sz w:val="18"/>
                            <w:szCs w:val="18"/>
                          </w:rPr>
                          <w:t>，《关于股东协议转让股份完成过 </w:t>
                        </w:r>
                        <w:r>
                          <w:rPr>
                            <w:rFonts w:ascii="宋体" w:hAnsi="宋体" w:cs="宋体" w:eastAsia="宋体" w:hint="default"/>
                            <w:spacing w:val="-7"/>
                            <w:sz w:val="18"/>
                            <w:szCs w:val="18"/>
                          </w:rPr>
                          <w:t>户登记暨公司控股股东、实际控制人完成变更的公告》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公告编号：</w:t>
                        </w:r>
                        <w:r>
                          <w:rPr>
                            <w:rFonts w:ascii="宋体" w:hAnsi="宋体" w:cs="宋体" w:eastAsia="宋体" w:hint="default"/>
                            <w:sz w:val="18"/>
                            <w:szCs w:val="18"/>
                          </w:rPr>
                          <w:t>2019-58</w:t>
                        </w:r>
                      </w:p>
                    </w:tc>
                  </w:tr>
                  <w:tr>
                    <w:trPr>
                      <w:trHeight w:val="972" w:hRule="exact"/>
                    </w:trPr>
                    <w:tc>
                      <w:tcPr>
                        <w:tcW w:w="4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年股票期权与限制性股票激励计划</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03</w:t>
                        </w:r>
                        <w:r>
                          <w:rPr>
                            <w:rFonts w:ascii="宋体" w:hAnsi="宋体" w:cs="宋体" w:eastAsia="宋体" w:hint="default"/>
                            <w:sz w:val="18"/>
                            <w:szCs w:val="18"/>
                          </w:rPr>
                          <w:t>月</w:t>
                        </w:r>
                      </w:p>
                      <w:p>
                        <w:pPr>
                          <w:pStyle w:val="TableParagraph"/>
                          <w:spacing w:line="240" w:lineRule="auto" w:before="76"/>
                          <w:ind w:left="4" w:right="0"/>
                          <w:jc w:val="center"/>
                          <w:rPr>
                            <w:rFonts w:ascii="宋体" w:hAnsi="宋体" w:cs="宋体" w:eastAsia="宋体" w:hint="default"/>
                            <w:sz w:val="18"/>
                            <w:szCs w:val="18"/>
                          </w:rPr>
                        </w:pPr>
                        <w:r>
                          <w:rPr>
                            <w:rFonts w:ascii="宋体" w:hAnsi="宋体" w:cs="宋体" w:eastAsia="宋体" w:hint="default"/>
                            <w:sz w:val="18"/>
                            <w:szCs w:val="18"/>
                          </w:rPr>
                          <w:t>28</w:t>
                        </w:r>
                        <w:r>
                          <w:rPr>
                            <w:rFonts w:ascii="宋体" w:hAnsi="宋体" w:cs="宋体" w:eastAsia="宋体" w:hint="default"/>
                            <w:sz w:val="18"/>
                            <w:szCs w:val="18"/>
                          </w:rPr>
                          <w:t>日</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4" w:right="17"/>
                          <w:jc w:val="left"/>
                          <w:rPr>
                            <w:rFonts w:ascii="宋体" w:hAnsi="宋体" w:cs="宋体" w:eastAsia="宋体" w:hint="default"/>
                            <w:sz w:val="18"/>
                            <w:szCs w:val="18"/>
                          </w:rPr>
                        </w:pPr>
                        <w:r>
                          <w:rPr>
                            <w:rFonts w:ascii="宋体" w:hAnsi="宋体" w:cs="宋体" w:eastAsia="宋体" w:hint="default"/>
                            <w:sz w:val="18"/>
                            <w:szCs w:val="18"/>
                          </w:rPr>
                        </w:r>
                        <w:hyperlink r:id="rId11">
                          <w:r>
                            <w:rPr>
                              <w:rFonts w:ascii="宋体" w:hAnsi="宋体" w:cs="宋体" w:eastAsia="宋体" w:hint="default"/>
                              <w:sz w:val="18"/>
                              <w:szCs w:val="18"/>
                              <w:u w:val="single" w:color="000000"/>
                            </w:rPr>
                            <w:t>www.cninfo.com.cn</w:t>
                          </w:r>
                          <w:r>
                            <w:rPr>
                              <w:rFonts w:ascii="宋体" w:hAnsi="宋体" w:cs="宋体" w:eastAsia="宋体" w:hint="default"/>
                              <w:sz w:val="18"/>
                              <w:szCs w:val="18"/>
                            </w:rPr>
                          </w:r>
                        </w:hyperlink>
                        <w:r>
                          <w:rPr>
                            <w:rFonts w:ascii="宋体" w:hAnsi="宋体" w:cs="宋体" w:eastAsia="宋体" w:hint="default"/>
                            <w:sz w:val="18"/>
                            <w:szCs w:val="18"/>
                          </w:rPr>
                          <w:t>，《</w:t>
                        </w:r>
                        <w:r>
                          <w:rPr>
                            <w:rFonts w:ascii="宋体" w:hAnsi="宋体" w:cs="宋体" w:eastAsia="宋体" w:hint="default"/>
                            <w:sz w:val="18"/>
                            <w:szCs w:val="18"/>
                          </w:rPr>
                          <w:t>2019</w:t>
                        </w:r>
                        <w:r>
                          <w:rPr>
                            <w:rFonts w:ascii="宋体" w:hAnsi="宋体" w:cs="宋体" w:eastAsia="宋体" w:hint="default"/>
                            <w:sz w:val="18"/>
                            <w:szCs w:val="18"/>
                          </w:rPr>
                          <w:t>年股票期权与限制性股票 </w:t>
                        </w:r>
                        <w:r>
                          <w:rPr>
                            <w:rFonts w:ascii="宋体" w:hAnsi="宋体" w:cs="宋体" w:eastAsia="宋体" w:hint="default"/>
                            <w:spacing w:val="-3"/>
                            <w:sz w:val="18"/>
                            <w:szCs w:val="18"/>
                          </w:rPr>
                          <w:t>激励计划（草案）》等</w:t>
                        </w:r>
                        <w:r>
                          <w:rPr>
                            <w:rFonts w:ascii="宋体" w:hAnsi="宋体" w:cs="宋体" w:eastAsia="宋体" w:hint="default"/>
                            <w:spacing w:val="-3"/>
                            <w:sz w:val="18"/>
                            <w:szCs w:val="18"/>
                          </w:rPr>
                          <w:t>,</w:t>
                        </w:r>
                        <w:r>
                          <w:rPr>
                            <w:rFonts w:ascii="宋体" w:hAnsi="宋体" w:cs="宋体" w:eastAsia="宋体" w:hint="default"/>
                            <w:spacing w:val="-3"/>
                            <w:sz w:val="18"/>
                            <w:szCs w:val="18"/>
                          </w:rPr>
                          <w:t>公告编号：</w:t>
                        </w:r>
                        <w:r>
                          <w:rPr>
                            <w:rFonts w:ascii="宋体" w:hAnsi="宋体" w:cs="宋体" w:eastAsia="宋体" w:hint="default"/>
                            <w:spacing w:val="-3"/>
                            <w:sz w:val="18"/>
                            <w:szCs w:val="18"/>
                          </w:rPr>
                          <w:t>2019-27</w:t>
                        </w:r>
                        <w:r>
                          <w:rPr>
                            <w:rFonts w:ascii="宋体" w:hAnsi="宋体" w:cs="宋体" w:eastAsia="宋体" w:hint="default"/>
                            <w:spacing w:val="-3"/>
                            <w:sz w:val="18"/>
                            <w:szCs w:val="18"/>
                          </w:rPr>
                          <w:t>、</w:t>
                        </w:r>
                        <w:r>
                          <w:rPr>
                            <w:rFonts w:ascii="宋体" w:hAnsi="宋体" w:cs="宋体" w:eastAsia="宋体" w:hint="default"/>
                            <w:spacing w:val="-3"/>
                            <w:sz w:val="18"/>
                            <w:szCs w:val="18"/>
                          </w:rPr>
                          <w:t>2019-28</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2019-29</w:t>
                        </w:r>
                      </w:p>
                    </w:tc>
                  </w:tr>
                  <w:tr>
                    <w:trPr>
                      <w:trHeight w:val="427" w:hRule="exact"/>
                    </w:trPr>
                    <w:tc>
                      <w:tcPr>
                        <w:tcW w:w="4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年股票期权与限制性股票激励计划</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04</w:t>
                        </w:r>
                        <w:r>
                          <w:rPr>
                            <w:rFonts w:ascii="宋体" w:hAnsi="宋体" w:cs="宋体" w:eastAsia="宋体" w:hint="default"/>
                            <w:sz w:val="18"/>
                            <w:szCs w:val="18"/>
                          </w:rPr>
                          <w:t>月</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right="11"/>
                          <w:jc w:val="center"/>
                          <w:rPr>
                            <w:rFonts w:ascii="宋体" w:hAnsi="宋体" w:cs="宋体" w:eastAsia="宋体" w:hint="default"/>
                            <w:sz w:val="18"/>
                            <w:szCs w:val="18"/>
                          </w:rPr>
                        </w:pPr>
                        <w:r>
                          <w:rPr>
                            <w:rFonts w:ascii="宋体" w:hAnsi="宋体" w:cs="宋体" w:eastAsia="宋体" w:hint="default"/>
                            <w:sz w:val="18"/>
                            <w:szCs w:val="18"/>
                          </w:rPr>
                        </w:r>
                        <w:hyperlink r:id="rId11">
                          <w:r>
                            <w:rPr>
                              <w:rFonts w:ascii="宋体" w:hAnsi="宋体" w:cs="宋体" w:eastAsia="宋体" w:hint="default"/>
                              <w:sz w:val="18"/>
                              <w:szCs w:val="18"/>
                              <w:u w:val="single" w:color="000000"/>
                            </w:rPr>
                            <w:t>www.cninfo.com.cn</w:t>
                          </w:r>
                          <w:r>
                            <w:rPr>
                              <w:rFonts w:ascii="宋体" w:hAnsi="宋体" w:cs="宋体" w:eastAsia="宋体" w:hint="default"/>
                              <w:sz w:val="18"/>
                              <w:szCs w:val="18"/>
                            </w:rPr>
                          </w:r>
                        </w:hyperlink>
                        <w:r>
                          <w:rPr>
                            <w:rFonts w:ascii="宋体" w:hAnsi="宋体" w:cs="宋体" w:eastAsia="宋体" w:hint="default"/>
                            <w:sz w:val="18"/>
                            <w:szCs w:val="18"/>
                          </w:rPr>
                          <w:t>，《监事会关于公司</w:t>
                        </w:r>
                        <w:r>
                          <w:rPr>
                            <w:rFonts w:ascii="宋体" w:hAnsi="宋体" w:cs="宋体" w:eastAsia="宋体" w:hint="default"/>
                            <w:sz w:val="18"/>
                            <w:szCs w:val="18"/>
                          </w:rPr>
                          <w:t>2019</w:t>
                        </w:r>
                        <w:r>
                          <w:rPr>
                            <w:rFonts w:ascii="宋体" w:hAnsi="宋体" w:cs="宋体" w:eastAsia="宋体" w:hint="default"/>
                            <w:sz w:val="18"/>
                            <w:szCs w:val="18"/>
                          </w:rPr>
                          <w:t>年股票期</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2"/>
          <w:szCs w:val="22"/>
        </w:rPr>
      </w:pPr>
    </w:p>
    <w:p>
      <w:pPr>
        <w:spacing w:before="44"/>
        <w:ind w:left="0" w:right="1139" w:firstLine="0"/>
        <w:jc w:val="right"/>
        <w:rPr>
          <w:rFonts w:ascii="宋体" w:hAnsi="宋体" w:cs="宋体" w:eastAsia="宋体" w:hint="default"/>
          <w:sz w:val="18"/>
          <w:szCs w:val="18"/>
        </w:rPr>
      </w:pP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3"/>
          <w:szCs w:val="13"/>
        </w:rPr>
      </w:pPr>
    </w:p>
    <w:p>
      <w:pPr>
        <w:spacing w:before="0"/>
        <w:ind w:left="0" w:right="1157" w:firstLine="0"/>
        <w:jc w:val="right"/>
        <w:rPr>
          <w:rFonts w:ascii="宋体" w:hAnsi="宋体" w:cs="宋体" w:eastAsia="宋体" w:hint="default"/>
          <w:sz w:val="18"/>
          <w:szCs w:val="18"/>
        </w:rPr>
      </w:pPr>
      <w:r>
        <w:rPr/>
        <w:pict>
          <v:shape style="position:absolute;margin-left:60.599998pt;margin-top:-147.288284pt;width:474.4pt;height:502.2pt;mso-position-horizontal-relative:page;mso-position-vertical-relative:paragraph;z-index:18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205"/>
                    <w:gridCol w:w="991"/>
                    <w:gridCol w:w="4270"/>
                  </w:tblGrid>
                  <w:tr>
                    <w:trPr>
                      <w:trHeight w:val="660" w:hRule="exact"/>
                    </w:trPr>
                    <w:tc>
                      <w:tcPr>
                        <w:tcW w:w="4205" w:type="dxa"/>
                        <w:tcBorders>
                          <w:top w:val="single" w:sz="6" w:space="0" w:color="000000"/>
                          <w:left w:val="single" w:sz="6" w:space="0" w:color="000000"/>
                          <w:bottom w:val="single" w:sz="6" w:space="0" w:color="000000"/>
                          <w:right w:val="single" w:sz="6" w:space="0" w:color="000000"/>
                        </w:tcBorders>
                      </w:tcPr>
                      <w:p>
                        <w:pP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9</w:t>
                        </w:r>
                        <w:r>
                          <w:rPr>
                            <w:rFonts w:ascii="宋体" w:hAnsi="宋体" w:cs="宋体" w:eastAsia="宋体" w:hint="default"/>
                            <w:sz w:val="18"/>
                            <w:szCs w:val="18"/>
                          </w:rPr>
                          <w:t>日</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7"/>
                          <w:ind w:left="4" w:right="108"/>
                          <w:jc w:val="left"/>
                          <w:rPr>
                            <w:rFonts w:ascii="宋体" w:hAnsi="宋体" w:cs="宋体" w:eastAsia="宋体" w:hint="default"/>
                            <w:sz w:val="18"/>
                            <w:szCs w:val="18"/>
                          </w:rPr>
                        </w:pPr>
                        <w:r>
                          <w:rPr>
                            <w:rFonts w:ascii="宋体" w:hAnsi="宋体" w:cs="宋体" w:eastAsia="宋体" w:hint="default"/>
                            <w:sz w:val="18"/>
                            <w:szCs w:val="18"/>
                          </w:rPr>
                          <w:t>权与限制性股票激励计划首次授予激励对象名单的公 示情况说明及核查意见》，公告编号：</w:t>
                        </w:r>
                        <w:r>
                          <w:rPr>
                            <w:rFonts w:ascii="宋体" w:hAnsi="宋体" w:cs="宋体" w:eastAsia="宋体" w:hint="default"/>
                            <w:sz w:val="18"/>
                            <w:szCs w:val="18"/>
                          </w:rPr>
                          <w:t>2019-34</w:t>
                        </w:r>
                      </w:p>
                    </w:tc>
                  </w:tr>
                  <w:tr>
                    <w:trPr>
                      <w:trHeight w:val="658" w:hRule="exact"/>
                    </w:trPr>
                    <w:tc>
                      <w:tcPr>
                        <w:tcW w:w="4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年股票期权与限制性股票激励计划</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04</w:t>
                        </w:r>
                        <w:r>
                          <w:rPr>
                            <w:rFonts w:ascii="宋体" w:hAnsi="宋体" w:cs="宋体" w:eastAsia="宋体" w:hint="default"/>
                            <w:sz w:val="18"/>
                            <w:szCs w:val="18"/>
                          </w:rPr>
                          <w:t>月</w:t>
                        </w:r>
                      </w:p>
                      <w:p>
                        <w:pPr>
                          <w:pStyle w:val="TableParagraph"/>
                          <w:spacing w:line="240" w:lineRule="auto" w:before="76"/>
                          <w:ind w:left="4" w:right="0"/>
                          <w:jc w:val="center"/>
                          <w:rPr>
                            <w:rFonts w:ascii="宋体" w:hAnsi="宋体" w:cs="宋体" w:eastAsia="宋体" w:hint="default"/>
                            <w:sz w:val="18"/>
                            <w:szCs w:val="18"/>
                          </w:rPr>
                        </w:pPr>
                        <w:r>
                          <w:rPr>
                            <w:rFonts w:ascii="宋体" w:hAnsi="宋体" w:cs="宋体" w:eastAsia="宋体" w:hint="default"/>
                            <w:sz w:val="18"/>
                            <w:szCs w:val="18"/>
                          </w:rPr>
                          <w:t>18</w:t>
                        </w:r>
                        <w:r>
                          <w:rPr>
                            <w:rFonts w:ascii="宋体" w:hAnsi="宋体" w:cs="宋体" w:eastAsia="宋体" w:hint="default"/>
                            <w:sz w:val="18"/>
                            <w:szCs w:val="18"/>
                          </w:rPr>
                          <w:t>日</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7"/>
                          <w:ind w:left="4" w:right="463"/>
                          <w:jc w:val="left"/>
                          <w:rPr>
                            <w:rFonts w:ascii="宋体" w:hAnsi="宋体" w:cs="宋体" w:eastAsia="宋体" w:hint="default"/>
                            <w:sz w:val="18"/>
                            <w:szCs w:val="18"/>
                          </w:rPr>
                        </w:pPr>
                        <w:hyperlink r:id="rId11">
                          <w:r>
                            <w:rPr>
                              <w:rFonts w:ascii="宋体" w:hAnsi="宋体" w:cs="宋体" w:eastAsia="宋体" w:hint="default"/>
                              <w:spacing w:val="-1"/>
                              <w:w w:val="95"/>
                              <w:sz w:val="18"/>
                              <w:szCs w:val="18"/>
                            </w:rPr>
                            <w:t>www.cninfo.com.cn</w:t>
                          </w:r>
                        </w:hyperlink>
                        <w:r>
                          <w:rPr>
                            <w:rFonts w:ascii="MS UI Gothic" w:hAnsi="MS UI Gothic" w:cs="MS UI Gothic" w:eastAsia="MS UI Gothic" w:hint="default"/>
                            <w:spacing w:val="-1"/>
                            <w:w w:val="95"/>
                            <w:sz w:val="18"/>
                            <w:szCs w:val="18"/>
                          </w:rPr>
                          <w:t>｣｡</w:t>
                        </w:r>
                        <w:r>
                          <w:rPr>
                            <w:rFonts w:ascii="宋体" w:hAnsi="宋体" w:cs="宋体" w:eastAsia="宋体" w:hint="default"/>
                            <w:spacing w:val="-1"/>
                            <w:w w:val="95"/>
                            <w:sz w:val="18"/>
                            <w:szCs w:val="18"/>
                          </w:rPr>
                          <w:t>2018</w:t>
                        </w:r>
                        <w:r>
                          <w:rPr>
                            <w:rFonts w:ascii="MS UI Gothic" w:hAnsi="MS UI Gothic" w:cs="MS UI Gothic" w:eastAsia="MS UI Gothic" w:hint="default"/>
                            <w:spacing w:val="-1"/>
                            <w:w w:val="95"/>
                            <w:sz w:val="18"/>
                            <w:szCs w:val="18"/>
                          </w:rPr>
                          <w:t>ﾄﾄｶｹｶｴｻｾﾒｹｸ｡ｵ｣ｹｸｱｺ｣</w:t>
                        </w:r>
                        <w:r>
                          <w:rPr>
                            <w:rFonts w:ascii="MS UI Gothic" w:hAnsi="MS UI Gothic" w:cs="MS UI Gothic" w:eastAsia="MS UI Gothic" w:hint="default"/>
                            <w:spacing w:val="12"/>
                            <w:w w:val="95"/>
                            <w:sz w:val="18"/>
                            <w:szCs w:val="18"/>
                          </w:rPr>
                          <w:t> </w:t>
                        </w:r>
                        <w:r>
                          <w:rPr>
                            <w:rFonts w:ascii="MS UI Gothic" w:hAnsi="MS UI Gothic" w:cs="MS UI Gothic" w:eastAsia="MS UI Gothic" w:hint="default"/>
                            <w:spacing w:val="12"/>
                            <w:w w:val="95"/>
                            <w:sz w:val="18"/>
                            <w:szCs w:val="18"/>
                          </w:rPr>
                        </w:r>
                        <w:r>
                          <w:rPr>
                            <w:rFonts w:ascii="宋体" w:hAnsi="宋体" w:cs="宋体" w:eastAsia="宋体" w:hint="default"/>
                            <w:sz w:val="18"/>
                            <w:szCs w:val="18"/>
                          </w:rPr>
                          <w:t>2019-36</w:t>
                        </w:r>
                        <w:r>
                          <w:rPr>
                            <w:rFonts w:ascii="MS UI Gothic" w:hAnsi="MS UI Gothic" w:cs="MS UI Gothic" w:eastAsia="MS UI Gothic" w:hint="default"/>
                            <w:sz w:val="18"/>
                            <w:szCs w:val="18"/>
                          </w:rPr>
                          <w:t>｡</w:t>
                        </w:r>
                        <w:r>
                          <w:rPr>
                            <w:rFonts w:ascii="宋体" w:hAnsi="宋体" w:cs="宋体" w:eastAsia="宋体" w:hint="default"/>
                            <w:sz w:val="18"/>
                            <w:szCs w:val="18"/>
                          </w:rPr>
                          <w:t>2019-37</w:t>
                        </w:r>
                      </w:p>
                    </w:tc>
                  </w:tr>
                  <w:tr>
                    <w:trPr>
                      <w:trHeight w:val="1284" w:hRule="exact"/>
                    </w:trPr>
                    <w:tc>
                      <w:tcPr>
                        <w:tcW w:w="4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年股票期权与限制性股票激励计划</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05</w:t>
                        </w:r>
                        <w:r>
                          <w:rPr>
                            <w:rFonts w:ascii="宋体" w:hAnsi="宋体" w:cs="宋体" w:eastAsia="宋体" w:hint="default"/>
                            <w:sz w:val="18"/>
                            <w:szCs w:val="18"/>
                          </w:rPr>
                          <w:t>月</w:t>
                        </w:r>
                      </w:p>
                      <w:p>
                        <w:pPr>
                          <w:pStyle w:val="TableParagraph"/>
                          <w:spacing w:line="240" w:lineRule="auto" w:before="76"/>
                          <w:ind w:left="4" w:right="0"/>
                          <w:jc w:val="center"/>
                          <w:rPr>
                            <w:rFonts w:ascii="宋体" w:hAnsi="宋体" w:cs="宋体" w:eastAsia="宋体" w:hint="default"/>
                            <w:sz w:val="18"/>
                            <w:szCs w:val="18"/>
                          </w:rPr>
                        </w:pPr>
                        <w:r>
                          <w:rPr>
                            <w:rFonts w:ascii="宋体" w:hAnsi="宋体" w:cs="宋体" w:eastAsia="宋体" w:hint="default"/>
                            <w:sz w:val="18"/>
                            <w:szCs w:val="18"/>
                          </w:rPr>
                          <w:t>17</w:t>
                        </w:r>
                        <w:r>
                          <w:rPr>
                            <w:rFonts w:ascii="宋体" w:hAnsi="宋体" w:cs="宋体" w:eastAsia="宋体" w:hint="default"/>
                            <w:sz w:val="18"/>
                            <w:szCs w:val="18"/>
                          </w:rPr>
                          <w:t>日</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r>
                        <w:hyperlink r:id="rId11">
                          <w:r>
                            <w:rPr>
                              <w:rFonts w:ascii="宋体" w:hAnsi="宋体" w:cs="宋体" w:eastAsia="宋体" w:hint="default"/>
                              <w:sz w:val="18"/>
                              <w:szCs w:val="18"/>
                              <w:u w:val="single" w:color="000000"/>
                            </w:rPr>
                            <w:t>www.cninfo.com.cn</w:t>
                          </w:r>
                          <w:r>
                            <w:rPr>
                              <w:rFonts w:ascii="宋体" w:hAnsi="宋体" w:cs="宋体" w:eastAsia="宋体" w:hint="default"/>
                              <w:sz w:val="18"/>
                              <w:szCs w:val="18"/>
                            </w:rPr>
                          </w:r>
                        </w:hyperlink>
                        <w:r>
                          <w:rPr>
                            <w:rFonts w:ascii="宋体" w:hAnsi="宋体" w:cs="宋体" w:eastAsia="宋体" w:hint="default"/>
                            <w:sz w:val="18"/>
                            <w:szCs w:val="18"/>
                          </w:rPr>
                          <w:t>，《关于调整</w:t>
                        </w:r>
                        <w:r>
                          <w:rPr>
                            <w:rFonts w:ascii="宋体" w:hAnsi="宋体" w:cs="宋体" w:eastAsia="宋体" w:hint="default"/>
                            <w:sz w:val="18"/>
                            <w:szCs w:val="18"/>
                          </w:rPr>
                          <w:t>2019</w:t>
                        </w:r>
                        <w:r>
                          <w:rPr>
                            <w:rFonts w:ascii="宋体" w:hAnsi="宋体" w:cs="宋体" w:eastAsia="宋体" w:hint="default"/>
                            <w:sz w:val="18"/>
                            <w:szCs w:val="18"/>
                          </w:rPr>
                          <w:t>年股票期权与限 </w:t>
                        </w:r>
                        <w:r>
                          <w:rPr>
                            <w:rFonts w:ascii="宋体" w:hAnsi="宋体" w:cs="宋体" w:eastAsia="宋体" w:hint="default"/>
                            <w:spacing w:val="-3"/>
                            <w:sz w:val="18"/>
                            <w:szCs w:val="18"/>
                          </w:rPr>
                          <w:t>制性股票激励计划首次授予激励对象名单、授予数量和</w:t>
                        </w:r>
                        <w:r>
                          <w:rPr>
                            <w:rFonts w:ascii="宋体" w:hAnsi="宋体" w:cs="宋体" w:eastAsia="宋体" w:hint="default"/>
                            <w:sz w:val="18"/>
                            <w:szCs w:val="18"/>
                          </w:rPr>
                          <w:t> </w:t>
                        </w:r>
                        <w:r>
                          <w:rPr>
                            <w:rFonts w:ascii="宋体" w:hAnsi="宋体" w:cs="宋体" w:eastAsia="宋体" w:hint="default"/>
                            <w:spacing w:val="-3"/>
                            <w:sz w:val="18"/>
                            <w:szCs w:val="18"/>
                          </w:rPr>
                          <w:t>行权及授予价格的公告》等公告，公告编号：</w:t>
                        </w:r>
                        <w:r>
                          <w:rPr>
                            <w:rFonts w:ascii="宋体" w:hAnsi="宋体" w:cs="宋体" w:eastAsia="宋体" w:hint="default"/>
                            <w:spacing w:val="-3"/>
                            <w:sz w:val="18"/>
                            <w:szCs w:val="18"/>
                          </w:rPr>
                          <w:t>2019-45</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2019-46</w:t>
                        </w:r>
                      </w:p>
                    </w:tc>
                  </w:tr>
                  <w:tr>
                    <w:trPr>
                      <w:trHeight w:val="970" w:hRule="exact"/>
                    </w:trPr>
                    <w:tc>
                      <w:tcPr>
                        <w:tcW w:w="4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年股票期权与限制性股票激励计划</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06</w:t>
                        </w:r>
                        <w:r>
                          <w:rPr>
                            <w:rFonts w:ascii="宋体" w:hAnsi="宋体" w:cs="宋体" w:eastAsia="宋体" w:hint="default"/>
                            <w:sz w:val="18"/>
                            <w:szCs w:val="18"/>
                          </w:rPr>
                          <w:t>月</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6</w:t>
                        </w:r>
                        <w:r>
                          <w:rPr>
                            <w:rFonts w:ascii="宋体" w:hAnsi="宋体" w:cs="宋体" w:eastAsia="宋体" w:hint="default"/>
                            <w:sz w:val="18"/>
                            <w:szCs w:val="18"/>
                          </w:rPr>
                          <w:t>日</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7"/>
                          <w:ind w:left="4" w:right="14"/>
                          <w:jc w:val="left"/>
                          <w:rPr>
                            <w:rFonts w:ascii="宋体" w:hAnsi="宋体" w:cs="宋体" w:eastAsia="宋体" w:hint="default"/>
                            <w:sz w:val="18"/>
                            <w:szCs w:val="18"/>
                          </w:rPr>
                        </w:pPr>
                        <w:r>
                          <w:rPr>
                            <w:rFonts w:ascii="宋体" w:hAnsi="宋体" w:cs="宋体" w:eastAsia="宋体" w:hint="default"/>
                            <w:sz w:val="18"/>
                            <w:szCs w:val="18"/>
                          </w:rPr>
                        </w:r>
                        <w:hyperlink r:id="rId11">
                          <w:r>
                            <w:rPr>
                              <w:rFonts w:ascii="宋体" w:hAnsi="宋体" w:cs="宋体" w:eastAsia="宋体" w:hint="default"/>
                              <w:sz w:val="18"/>
                              <w:szCs w:val="18"/>
                              <w:u w:val="single" w:color="000000"/>
                            </w:rPr>
                            <w:t>www.cninfo.com.cn</w:t>
                          </w:r>
                          <w:r>
                            <w:rPr>
                              <w:rFonts w:ascii="宋体" w:hAnsi="宋体" w:cs="宋体" w:eastAsia="宋体" w:hint="default"/>
                              <w:sz w:val="18"/>
                              <w:szCs w:val="18"/>
                            </w:rPr>
                          </w:r>
                        </w:hyperlink>
                        <w:r>
                          <w:rPr>
                            <w:rFonts w:ascii="宋体" w:hAnsi="宋体" w:cs="宋体" w:eastAsia="宋体" w:hint="default"/>
                            <w:sz w:val="18"/>
                            <w:szCs w:val="18"/>
                          </w:rPr>
                          <w:t>，《关于</w:t>
                        </w:r>
                        <w:r>
                          <w:rPr>
                            <w:rFonts w:ascii="宋体" w:hAnsi="宋体" w:cs="宋体" w:eastAsia="宋体" w:hint="default"/>
                            <w:sz w:val="18"/>
                            <w:szCs w:val="18"/>
                          </w:rPr>
                          <w:t>2019</w:t>
                        </w:r>
                        <w:r>
                          <w:rPr>
                            <w:rFonts w:ascii="宋体" w:hAnsi="宋体" w:cs="宋体" w:eastAsia="宋体" w:hint="default"/>
                            <w:sz w:val="18"/>
                            <w:szCs w:val="18"/>
                          </w:rPr>
                          <w:t>年股票期权与限制性 股票激励计划首次授予登记完成的公告》，公告编号 </w:t>
                        </w:r>
                        <w:r>
                          <w:rPr>
                            <w:rFonts w:ascii="宋体" w:hAnsi="宋体" w:cs="宋体" w:eastAsia="宋体" w:hint="default"/>
                            <w:sz w:val="18"/>
                            <w:szCs w:val="18"/>
                          </w:rPr>
                          <w:t>2019-50</w:t>
                        </w:r>
                      </w:p>
                    </w:tc>
                  </w:tr>
                  <w:tr>
                    <w:trPr>
                      <w:trHeight w:val="660" w:hRule="exact"/>
                    </w:trPr>
                    <w:tc>
                      <w:tcPr>
                        <w:tcW w:w="4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年股票期权与限制性股票激励计划</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7</w:t>
                        </w:r>
                        <w:r>
                          <w:rPr>
                            <w:rFonts w:ascii="宋体" w:hAnsi="宋体" w:cs="宋体" w:eastAsia="宋体" w:hint="default"/>
                            <w:sz w:val="18"/>
                            <w:szCs w:val="18"/>
                          </w:rPr>
                          <w:t>月</w:t>
                        </w:r>
                      </w:p>
                      <w:p>
                        <w:pPr>
                          <w:pStyle w:val="TableParagraph"/>
                          <w:spacing w:line="240" w:lineRule="auto" w:before="76"/>
                          <w:ind w:left="4" w:right="0"/>
                          <w:jc w:val="center"/>
                          <w:rPr>
                            <w:rFonts w:ascii="宋体" w:hAnsi="宋体" w:cs="宋体" w:eastAsia="宋体" w:hint="default"/>
                            <w:sz w:val="18"/>
                            <w:szCs w:val="18"/>
                          </w:rPr>
                        </w:pPr>
                        <w:r>
                          <w:rPr>
                            <w:rFonts w:ascii="宋体" w:hAnsi="宋体" w:cs="宋体" w:eastAsia="宋体" w:hint="default"/>
                            <w:sz w:val="18"/>
                            <w:szCs w:val="18"/>
                          </w:rPr>
                          <w:t>18</w:t>
                        </w:r>
                        <w:r>
                          <w:rPr>
                            <w:rFonts w:ascii="宋体" w:hAnsi="宋体" w:cs="宋体" w:eastAsia="宋体" w:hint="default"/>
                            <w:sz w:val="18"/>
                            <w:szCs w:val="18"/>
                          </w:rPr>
                          <w:t>日</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4" w:right="17"/>
                          <w:jc w:val="left"/>
                          <w:rPr>
                            <w:rFonts w:ascii="宋体" w:hAnsi="宋体" w:cs="宋体" w:eastAsia="宋体" w:hint="default"/>
                            <w:sz w:val="18"/>
                            <w:szCs w:val="18"/>
                          </w:rPr>
                        </w:pPr>
                        <w:r>
                          <w:rPr>
                            <w:rFonts w:ascii="宋体" w:hAnsi="宋体" w:cs="宋体" w:eastAsia="宋体" w:hint="default"/>
                            <w:sz w:val="18"/>
                            <w:szCs w:val="18"/>
                          </w:rPr>
                        </w:r>
                        <w:hyperlink r:id="rId11">
                          <w:r>
                            <w:rPr>
                              <w:rFonts w:ascii="宋体" w:hAnsi="宋体" w:cs="宋体" w:eastAsia="宋体" w:hint="default"/>
                              <w:sz w:val="18"/>
                              <w:szCs w:val="18"/>
                              <w:u w:val="single" w:color="000000"/>
                            </w:rPr>
                            <w:t>www.cninfo.com.cn</w:t>
                          </w:r>
                          <w:r>
                            <w:rPr>
                              <w:rFonts w:ascii="宋体" w:hAnsi="宋体" w:cs="宋体" w:eastAsia="宋体" w:hint="default"/>
                              <w:sz w:val="18"/>
                              <w:szCs w:val="18"/>
                            </w:rPr>
                          </w:r>
                        </w:hyperlink>
                        <w:r>
                          <w:rPr>
                            <w:rFonts w:ascii="宋体" w:hAnsi="宋体" w:cs="宋体" w:eastAsia="宋体" w:hint="default"/>
                            <w:sz w:val="18"/>
                            <w:szCs w:val="18"/>
                          </w:rPr>
                          <w:t>，《关于注销部分股票期权和回购 注销部分限制性股票的公告》，公告编号：</w:t>
                        </w:r>
                        <w:r>
                          <w:rPr>
                            <w:rFonts w:ascii="宋体" w:hAnsi="宋体" w:cs="宋体" w:eastAsia="宋体" w:hint="default"/>
                            <w:sz w:val="18"/>
                            <w:szCs w:val="18"/>
                          </w:rPr>
                          <w:t>2019-61</w:t>
                        </w:r>
                      </w:p>
                    </w:tc>
                  </w:tr>
                  <w:tr>
                    <w:trPr>
                      <w:trHeight w:val="1051" w:hRule="exact"/>
                    </w:trPr>
                    <w:tc>
                      <w:tcPr>
                        <w:tcW w:w="4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5"/>
                          <w:ind w:left="4" w:right="0"/>
                          <w:jc w:val="center"/>
                          <w:rPr>
                            <w:rFonts w:ascii="宋体" w:hAnsi="宋体" w:cs="宋体" w:eastAsia="宋体" w:hint="default"/>
                            <w:sz w:val="18"/>
                            <w:szCs w:val="18"/>
                          </w:rPr>
                        </w:pPr>
                        <w:r>
                          <w:rPr>
                            <w:rFonts w:ascii="宋体" w:hAnsi="宋体" w:cs="宋体" w:eastAsia="宋体" w:hint="default"/>
                            <w:sz w:val="18"/>
                            <w:szCs w:val="18"/>
                          </w:rPr>
                          <w:t>第二期限制性股票激励计划</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12</w:t>
                        </w:r>
                        <w:r>
                          <w:rPr>
                            <w:rFonts w:ascii="宋体" w:hAnsi="宋体" w:cs="宋体" w:eastAsia="宋体" w:hint="default"/>
                            <w:sz w:val="18"/>
                            <w:szCs w:val="18"/>
                          </w:rPr>
                          <w:t>月</w:t>
                        </w:r>
                      </w:p>
                      <w:p>
                        <w:pPr>
                          <w:pStyle w:val="TableParagraph"/>
                          <w:spacing w:line="240" w:lineRule="auto" w:before="76"/>
                          <w:ind w:left="4" w:right="0"/>
                          <w:jc w:val="center"/>
                          <w:rPr>
                            <w:rFonts w:ascii="宋体" w:hAnsi="宋体" w:cs="宋体" w:eastAsia="宋体" w:hint="default"/>
                            <w:sz w:val="18"/>
                            <w:szCs w:val="18"/>
                          </w:rPr>
                        </w:pPr>
                        <w:r>
                          <w:rPr>
                            <w:rFonts w:ascii="宋体" w:hAnsi="宋体" w:cs="宋体" w:eastAsia="宋体" w:hint="default"/>
                            <w:sz w:val="18"/>
                            <w:szCs w:val="18"/>
                          </w:rPr>
                          <w:t>13</w:t>
                        </w:r>
                        <w:r>
                          <w:rPr>
                            <w:rFonts w:ascii="宋体" w:hAnsi="宋体" w:cs="宋体" w:eastAsia="宋体" w:hint="default"/>
                            <w:sz w:val="18"/>
                            <w:szCs w:val="18"/>
                          </w:rPr>
                          <w:t>日</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8"/>
                          <w:ind w:left="12" w:right="11"/>
                          <w:jc w:val="center"/>
                          <w:rPr>
                            <w:rFonts w:ascii="宋体" w:hAnsi="宋体" w:cs="宋体" w:eastAsia="宋体" w:hint="default"/>
                            <w:sz w:val="18"/>
                            <w:szCs w:val="18"/>
                          </w:rPr>
                        </w:pPr>
                        <w:r>
                          <w:rPr>
                            <w:rFonts w:ascii="宋体" w:hAnsi="宋体" w:cs="宋体" w:eastAsia="宋体" w:hint="default"/>
                            <w:sz w:val="18"/>
                            <w:szCs w:val="18"/>
                          </w:rPr>
                        </w:r>
                        <w:hyperlink r:id="rId11">
                          <w:r>
                            <w:rPr>
                              <w:rFonts w:ascii="宋体" w:hAnsi="宋体" w:cs="宋体" w:eastAsia="宋体" w:hint="default"/>
                              <w:sz w:val="18"/>
                              <w:szCs w:val="18"/>
                              <w:u w:val="single" w:color="000000"/>
                            </w:rPr>
                            <w:t>www.cninfo.com.cn</w:t>
                          </w:r>
                          <w:r>
                            <w:rPr>
                              <w:rFonts w:ascii="宋体" w:hAnsi="宋体" w:cs="宋体" w:eastAsia="宋体" w:hint="default"/>
                              <w:sz w:val="18"/>
                              <w:szCs w:val="18"/>
                            </w:rPr>
                          </w:r>
                        </w:hyperlink>
                        <w:r>
                          <w:rPr>
                            <w:rFonts w:ascii="宋体" w:hAnsi="宋体" w:cs="宋体" w:eastAsia="宋体" w:hint="default"/>
                            <w:sz w:val="18"/>
                            <w:szCs w:val="18"/>
                          </w:rPr>
                          <w:t>，《关于公司第二期限制性股票激 励计划预留授予部分第二个解锁期解锁条件成就的公 告等》，公告编号：</w:t>
                        </w:r>
                        <w:r>
                          <w:rPr>
                            <w:rFonts w:ascii="宋体" w:hAnsi="宋体" w:cs="宋体" w:eastAsia="宋体" w:hint="default"/>
                            <w:sz w:val="18"/>
                            <w:szCs w:val="18"/>
                          </w:rPr>
                          <w:t>2019-106</w:t>
                        </w:r>
                        <w:r>
                          <w:rPr>
                            <w:rFonts w:ascii="宋体" w:hAnsi="宋体" w:cs="宋体" w:eastAsia="宋体" w:hint="default"/>
                            <w:sz w:val="18"/>
                            <w:szCs w:val="18"/>
                          </w:rPr>
                          <w:t>、</w:t>
                        </w:r>
                        <w:r>
                          <w:rPr>
                            <w:rFonts w:ascii="宋体" w:hAnsi="宋体" w:cs="宋体" w:eastAsia="宋体" w:hint="default"/>
                            <w:sz w:val="18"/>
                            <w:szCs w:val="18"/>
                          </w:rPr>
                          <w:t>2019-107</w:t>
                        </w:r>
                      </w:p>
                    </w:tc>
                  </w:tr>
                  <w:tr>
                    <w:trPr>
                      <w:trHeight w:val="739" w:hRule="exact"/>
                    </w:trPr>
                    <w:tc>
                      <w:tcPr>
                        <w:tcW w:w="4205"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left="1197" w:right="0"/>
                          <w:jc w:val="left"/>
                          <w:rPr>
                            <w:rFonts w:ascii="宋体" w:hAnsi="宋体" w:cs="宋体" w:eastAsia="宋体" w:hint="default"/>
                            <w:sz w:val="18"/>
                            <w:szCs w:val="18"/>
                          </w:rPr>
                        </w:pPr>
                        <w:r>
                          <w:rPr>
                            <w:rFonts w:ascii="宋体" w:hAnsi="宋体" w:cs="宋体" w:eastAsia="宋体" w:hint="default"/>
                            <w:sz w:val="18"/>
                            <w:szCs w:val="18"/>
                          </w:rPr>
                          <w:t>关于列入实体清单事项</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5</w:t>
                        </w:r>
                        <w:r>
                          <w:rPr>
                            <w:rFonts w:ascii="宋体" w:hAnsi="宋体" w:cs="宋体" w:eastAsia="宋体" w:hint="default"/>
                            <w:sz w:val="18"/>
                            <w:szCs w:val="18"/>
                          </w:rPr>
                          <w:t>月</w:t>
                        </w:r>
                      </w:p>
                      <w:p>
                        <w:pPr>
                          <w:pStyle w:val="TableParagraph"/>
                          <w:spacing w:line="240" w:lineRule="auto" w:before="76"/>
                          <w:ind w:left="4" w:right="0"/>
                          <w:jc w:val="center"/>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z w:val="18"/>
                            <w:szCs w:val="18"/>
                          </w:rPr>
                          <w:t>日</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8"/>
                          <w:ind w:left="1363" w:right="89" w:hanging="1359"/>
                          <w:jc w:val="left"/>
                          <w:rPr>
                            <w:rFonts w:ascii="宋体" w:hAnsi="宋体" w:cs="宋体" w:eastAsia="宋体" w:hint="default"/>
                            <w:sz w:val="18"/>
                            <w:szCs w:val="18"/>
                          </w:rPr>
                        </w:pPr>
                        <w:r>
                          <w:rPr>
                            <w:rFonts w:ascii="宋体" w:hAnsi="宋体" w:cs="宋体" w:eastAsia="宋体" w:hint="default"/>
                            <w:sz w:val="18"/>
                            <w:szCs w:val="18"/>
                          </w:rPr>
                        </w:r>
                        <w:hyperlink r:id="rId11">
                          <w:r>
                            <w:rPr>
                              <w:rFonts w:ascii="宋体" w:hAnsi="宋体" w:cs="宋体" w:eastAsia="宋体" w:hint="default"/>
                              <w:spacing w:val="-8"/>
                              <w:sz w:val="18"/>
                              <w:szCs w:val="18"/>
                              <w:u w:val="single" w:color="000000"/>
                            </w:rPr>
                            <w:t>www.cninfo.com.cn</w:t>
                          </w:r>
                          <w:r>
                            <w:rPr>
                              <w:rFonts w:ascii="宋体" w:hAnsi="宋体" w:cs="宋体" w:eastAsia="宋体" w:hint="default"/>
                              <w:spacing w:val="-8"/>
                              <w:sz w:val="18"/>
                              <w:szCs w:val="18"/>
                            </w:rPr>
                          </w:r>
                          <w:r>
                            <w:rPr>
                              <w:rFonts w:ascii="宋体" w:hAnsi="宋体" w:cs="宋体" w:eastAsia="宋体" w:hint="default"/>
                              <w:spacing w:val="-8"/>
                              <w:sz w:val="18"/>
                              <w:szCs w:val="18"/>
                            </w:rPr>
                            <w:t>，</w:t>
                          </w:r>
                        </w:hyperlink>
                        <w:r>
                          <w:rPr>
                            <w:rFonts w:ascii="宋体" w:hAnsi="宋体" w:cs="宋体" w:eastAsia="宋体" w:hint="default"/>
                            <w:spacing w:val="-8"/>
                            <w:sz w:val="18"/>
                            <w:szCs w:val="18"/>
                          </w:rPr>
                          <w:t>《关于相关媒体报道的澄清公告》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公告编号：</w:t>
                        </w:r>
                        <w:r>
                          <w:rPr>
                            <w:rFonts w:ascii="宋体" w:hAnsi="宋体" w:cs="宋体" w:eastAsia="宋体" w:hint="default"/>
                            <w:sz w:val="18"/>
                            <w:szCs w:val="18"/>
                          </w:rPr>
                          <w:t>2019-48</w:t>
                        </w:r>
                      </w:p>
                    </w:tc>
                  </w:tr>
                  <w:tr>
                    <w:trPr>
                      <w:trHeight w:val="739" w:hRule="exact"/>
                    </w:trPr>
                    <w:tc>
                      <w:tcPr>
                        <w:tcW w:w="4205" w:type="dxa"/>
                        <w:vMerge/>
                        <w:tcBorders>
                          <w:left w:val="single" w:sz="6" w:space="0" w:color="000000"/>
                          <w:bottom w:val="single" w:sz="6" w:space="0" w:color="000000"/>
                          <w:right w:val="single" w:sz="6" w:space="0" w:color="000000"/>
                        </w:tcBorders>
                      </w:tcPr>
                      <w:p>
                        <w:pP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10</w:t>
                        </w:r>
                        <w:r>
                          <w:rPr>
                            <w:rFonts w:ascii="宋体" w:hAnsi="宋体" w:cs="宋体" w:eastAsia="宋体" w:hint="default"/>
                            <w:sz w:val="18"/>
                            <w:szCs w:val="18"/>
                          </w:rPr>
                          <w:t>月</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8</w:t>
                        </w:r>
                        <w:r>
                          <w:rPr>
                            <w:rFonts w:ascii="宋体" w:hAnsi="宋体" w:cs="宋体" w:eastAsia="宋体" w:hint="default"/>
                            <w:sz w:val="18"/>
                            <w:szCs w:val="18"/>
                          </w:rPr>
                          <w:t>日</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8"/>
                          <w:ind w:left="643" w:right="11" w:hanging="632"/>
                          <w:jc w:val="left"/>
                          <w:rPr>
                            <w:rFonts w:ascii="宋体" w:hAnsi="宋体" w:cs="宋体" w:eastAsia="宋体" w:hint="default"/>
                            <w:sz w:val="18"/>
                            <w:szCs w:val="18"/>
                          </w:rPr>
                        </w:pPr>
                        <w:r>
                          <w:rPr>
                            <w:rFonts w:ascii="宋体" w:hAnsi="宋体" w:cs="宋体" w:eastAsia="宋体" w:hint="default"/>
                            <w:sz w:val="18"/>
                            <w:szCs w:val="18"/>
                          </w:rPr>
                        </w:r>
                        <w:hyperlink r:id="rId11">
                          <w:r>
                            <w:rPr>
                              <w:rFonts w:ascii="宋体" w:hAnsi="宋体" w:cs="宋体" w:eastAsia="宋体" w:hint="default"/>
                              <w:sz w:val="18"/>
                              <w:szCs w:val="18"/>
                              <w:u w:val="single" w:color="000000"/>
                            </w:rPr>
                            <w:t>www.cninfo.com.cn</w:t>
                          </w:r>
                          <w:r>
                            <w:rPr>
                              <w:rFonts w:ascii="宋体" w:hAnsi="宋体" w:cs="宋体" w:eastAsia="宋体" w:hint="default"/>
                              <w:sz w:val="18"/>
                              <w:szCs w:val="18"/>
                            </w:rPr>
                          </w:r>
                        </w:hyperlink>
                        <w:r>
                          <w:rPr>
                            <w:rFonts w:ascii="宋体" w:hAnsi="宋体" w:cs="宋体" w:eastAsia="宋体" w:hint="default"/>
                            <w:sz w:val="18"/>
                            <w:szCs w:val="18"/>
                          </w:rPr>
                          <w:t>，《关于被美国商务部列入实体清 单的说明公告》，公告编号：</w:t>
                        </w:r>
                        <w:r>
                          <w:rPr>
                            <w:rFonts w:ascii="宋体" w:hAnsi="宋体" w:cs="宋体" w:eastAsia="宋体" w:hint="default"/>
                            <w:sz w:val="18"/>
                            <w:szCs w:val="18"/>
                          </w:rPr>
                          <w:t>2019-91</w:t>
                        </w:r>
                      </w:p>
                    </w:tc>
                  </w:tr>
                  <w:tr>
                    <w:trPr>
                      <w:trHeight w:val="739" w:hRule="exact"/>
                    </w:trPr>
                    <w:tc>
                      <w:tcPr>
                        <w:tcW w:w="4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关于成立西安全资子公司</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p>
                      <w:p>
                        <w:pPr>
                          <w:pStyle w:val="TableParagraph"/>
                          <w:spacing w:line="240" w:lineRule="auto" w:before="76"/>
                          <w:ind w:left="4" w:right="0"/>
                          <w:jc w:val="center"/>
                          <w:rPr>
                            <w:rFonts w:ascii="宋体" w:hAnsi="宋体" w:cs="宋体" w:eastAsia="宋体" w:hint="default"/>
                            <w:sz w:val="18"/>
                            <w:szCs w:val="18"/>
                          </w:rPr>
                        </w:pPr>
                        <w:r>
                          <w:rPr>
                            <w:rFonts w:ascii="宋体" w:hAnsi="宋体" w:cs="宋体" w:eastAsia="宋体" w:hint="default"/>
                            <w:sz w:val="18"/>
                            <w:szCs w:val="18"/>
                          </w:rPr>
                          <w:t>18</w:t>
                        </w:r>
                        <w:r>
                          <w:rPr>
                            <w:rFonts w:ascii="宋体" w:hAnsi="宋体" w:cs="宋体" w:eastAsia="宋体" w:hint="default"/>
                            <w:sz w:val="18"/>
                            <w:szCs w:val="18"/>
                          </w:rPr>
                          <w:t>日</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8"/>
                          <w:ind w:left="912" w:right="11" w:hanging="900"/>
                          <w:jc w:val="left"/>
                          <w:rPr>
                            <w:rFonts w:ascii="宋体" w:hAnsi="宋体" w:cs="宋体" w:eastAsia="宋体" w:hint="default"/>
                            <w:sz w:val="18"/>
                            <w:szCs w:val="18"/>
                          </w:rPr>
                        </w:pPr>
                        <w:r>
                          <w:rPr>
                            <w:rFonts w:ascii="宋体" w:hAnsi="宋体" w:cs="宋体" w:eastAsia="宋体" w:hint="default"/>
                            <w:sz w:val="18"/>
                            <w:szCs w:val="18"/>
                          </w:rPr>
                        </w:r>
                        <w:hyperlink r:id="rId11">
                          <w:r>
                            <w:rPr>
                              <w:rFonts w:ascii="宋体" w:hAnsi="宋体" w:cs="宋体" w:eastAsia="宋体" w:hint="default"/>
                              <w:sz w:val="18"/>
                              <w:szCs w:val="18"/>
                              <w:u w:val="single" w:color="000000"/>
                            </w:rPr>
                            <w:t>www.cninfo.com.cn</w:t>
                          </w:r>
                          <w:r>
                            <w:rPr>
                              <w:rFonts w:ascii="宋体" w:hAnsi="宋体" w:cs="宋体" w:eastAsia="宋体" w:hint="default"/>
                              <w:sz w:val="18"/>
                              <w:szCs w:val="18"/>
                            </w:rPr>
                          </w:r>
                        </w:hyperlink>
                        <w:r>
                          <w:rPr>
                            <w:rFonts w:ascii="宋体" w:hAnsi="宋体" w:cs="宋体" w:eastAsia="宋体" w:hint="default"/>
                            <w:sz w:val="18"/>
                            <w:szCs w:val="18"/>
                          </w:rPr>
                          <w:t>，《关于公司成立西安全资子公司 的公告》，公告编号：</w:t>
                        </w:r>
                        <w:r>
                          <w:rPr>
                            <w:rFonts w:ascii="宋体" w:hAnsi="宋体" w:cs="宋体" w:eastAsia="宋体" w:hint="default"/>
                            <w:sz w:val="18"/>
                            <w:szCs w:val="18"/>
                          </w:rPr>
                          <w:t>2019-52</w:t>
                        </w:r>
                      </w:p>
                    </w:tc>
                  </w:tr>
                  <w:tr>
                    <w:trPr>
                      <w:trHeight w:val="737" w:hRule="exact"/>
                    </w:trPr>
                    <w:tc>
                      <w:tcPr>
                        <w:tcW w:w="4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终止投资美银壹号基金</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7</w:t>
                        </w:r>
                        <w:r>
                          <w:rPr>
                            <w:rFonts w:ascii="宋体" w:hAnsi="宋体" w:cs="宋体" w:eastAsia="宋体" w:hint="default"/>
                            <w:sz w:val="18"/>
                            <w:szCs w:val="18"/>
                          </w:rPr>
                          <w:t>月</w:t>
                        </w:r>
                      </w:p>
                      <w:p>
                        <w:pPr>
                          <w:pStyle w:val="TableParagraph"/>
                          <w:spacing w:line="240" w:lineRule="auto" w:before="76"/>
                          <w:ind w:left="4" w:right="0"/>
                          <w:jc w:val="center"/>
                          <w:rPr>
                            <w:rFonts w:ascii="宋体" w:hAnsi="宋体" w:cs="宋体" w:eastAsia="宋体" w:hint="default"/>
                            <w:sz w:val="18"/>
                            <w:szCs w:val="18"/>
                          </w:rPr>
                        </w:pPr>
                        <w:r>
                          <w:rPr>
                            <w:rFonts w:ascii="宋体" w:hAnsi="宋体" w:cs="宋体" w:eastAsia="宋体" w:hint="default"/>
                            <w:sz w:val="18"/>
                            <w:szCs w:val="18"/>
                          </w:rPr>
                          <w:t>18</w:t>
                        </w:r>
                        <w:r>
                          <w:rPr>
                            <w:rFonts w:ascii="宋体" w:hAnsi="宋体" w:cs="宋体" w:eastAsia="宋体" w:hint="default"/>
                            <w:sz w:val="18"/>
                            <w:szCs w:val="18"/>
                          </w:rPr>
                          <w:t>日</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8"/>
                          <w:ind w:left="12" w:right="7"/>
                          <w:jc w:val="left"/>
                          <w:rPr>
                            <w:rFonts w:ascii="宋体" w:hAnsi="宋体" w:cs="宋体" w:eastAsia="宋体" w:hint="default"/>
                            <w:sz w:val="18"/>
                            <w:szCs w:val="18"/>
                          </w:rPr>
                        </w:pPr>
                        <w:r>
                          <w:rPr>
                            <w:rFonts w:ascii="宋体" w:hAnsi="宋体" w:cs="宋体" w:eastAsia="宋体" w:hint="default"/>
                            <w:sz w:val="18"/>
                            <w:szCs w:val="18"/>
                          </w:rPr>
                        </w:r>
                        <w:hyperlink r:id="rId11">
                          <w:r>
                            <w:rPr>
                              <w:rFonts w:ascii="宋体" w:hAnsi="宋体" w:cs="宋体" w:eastAsia="宋体" w:hint="default"/>
                              <w:sz w:val="18"/>
                              <w:szCs w:val="18"/>
                              <w:u w:val="single" w:color="000000"/>
                            </w:rPr>
                            <w:t>www.cninfo.com.cn</w:t>
                          </w:r>
                          <w:r>
                            <w:rPr>
                              <w:rFonts w:ascii="宋体" w:hAnsi="宋体" w:cs="宋体" w:eastAsia="宋体" w:hint="default"/>
                              <w:sz w:val="18"/>
                              <w:szCs w:val="18"/>
                            </w:rPr>
                          </w:r>
                        </w:hyperlink>
                        <w:r>
                          <w:rPr>
                            <w:rFonts w:ascii="宋体" w:hAnsi="宋体" w:cs="宋体" w:eastAsia="宋体" w:hint="default"/>
                            <w:sz w:val="18"/>
                            <w:szCs w:val="18"/>
                          </w:rPr>
                          <w:t>，《关于公司终止投资美银壹号产 业投资基金暨关联交易的公告》，公告编号：</w:t>
                        </w:r>
                        <w:r>
                          <w:rPr>
                            <w:rFonts w:ascii="宋体" w:hAnsi="宋体" w:cs="宋体" w:eastAsia="宋体" w:hint="default"/>
                            <w:sz w:val="18"/>
                            <w:szCs w:val="18"/>
                          </w:rPr>
                          <w:t>2019-66</w:t>
                        </w:r>
                      </w:p>
                    </w:tc>
                  </w:tr>
                  <w:tr>
                    <w:trPr>
                      <w:trHeight w:val="1051" w:hRule="exact"/>
                    </w:trPr>
                    <w:tc>
                      <w:tcPr>
                        <w:tcW w:w="4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left="4" w:right="0"/>
                          <w:jc w:val="center"/>
                          <w:rPr>
                            <w:rFonts w:ascii="宋体" w:hAnsi="宋体" w:cs="宋体" w:eastAsia="宋体" w:hint="default"/>
                            <w:sz w:val="18"/>
                            <w:szCs w:val="18"/>
                          </w:rPr>
                        </w:pPr>
                        <w:r>
                          <w:rPr>
                            <w:rFonts w:ascii="宋体" w:hAnsi="宋体" w:cs="宋体" w:eastAsia="宋体" w:hint="default"/>
                            <w:sz w:val="18"/>
                            <w:szCs w:val="18"/>
                          </w:rPr>
                          <w:t>设立美桐贰期产业并购基金</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8</w:t>
                        </w:r>
                        <w:r>
                          <w:rPr>
                            <w:rFonts w:ascii="宋体" w:hAnsi="宋体" w:cs="宋体" w:eastAsia="宋体" w:hint="default"/>
                            <w:sz w:val="18"/>
                            <w:szCs w:val="18"/>
                          </w:rPr>
                          <w:t>月</w:t>
                        </w:r>
                      </w:p>
                      <w:p>
                        <w:pPr>
                          <w:pStyle w:val="TableParagraph"/>
                          <w:spacing w:line="240" w:lineRule="auto" w:before="76"/>
                          <w:ind w:left="4" w:right="0"/>
                          <w:jc w:val="center"/>
                          <w:rPr>
                            <w:rFonts w:ascii="宋体" w:hAnsi="宋体" w:cs="宋体" w:eastAsia="宋体" w:hint="default"/>
                            <w:sz w:val="18"/>
                            <w:szCs w:val="18"/>
                          </w:rPr>
                        </w:pPr>
                        <w:r>
                          <w:rPr>
                            <w:rFonts w:ascii="宋体" w:hAnsi="宋体" w:cs="宋体" w:eastAsia="宋体" w:hint="default"/>
                            <w:sz w:val="18"/>
                            <w:szCs w:val="18"/>
                          </w:rPr>
                          <w:t>29</w:t>
                        </w:r>
                        <w:r>
                          <w:rPr>
                            <w:rFonts w:ascii="宋体" w:hAnsi="宋体" w:cs="宋体" w:eastAsia="宋体" w:hint="default"/>
                            <w:sz w:val="18"/>
                            <w:szCs w:val="18"/>
                          </w:rPr>
                          <w:t>日</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1"/>
                          <w:ind w:left="4" w:right="0" w:hanging="3"/>
                          <w:jc w:val="center"/>
                          <w:rPr>
                            <w:rFonts w:ascii="宋体" w:hAnsi="宋体" w:cs="宋体" w:eastAsia="宋体" w:hint="default"/>
                            <w:sz w:val="18"/>
                            <w:szCs w:val="18"/>
                          </w:rPr>
                        </w:pPr>
                        <w:r>
                          <w:rPr>
                            <w:rFonts w:ascii="宋体" w:hAnsi="宋体" w:cs="宋体" w:eastAsia="宋体" w:hint="default"/>
                            <w:sz w:val="18"/>
                            <w:szCs w:val="18"/>
                          </w:rPr>
                        </w:r>
                        <w:hyperlink r:id="rId11">
                          <w:r>
                            <w:rPr>
                              <w:rFonts w:ascii="宋体" w:hAnsi="宋体" w:cs="宋体" w:eastAsia="宋体" w:hint="default"/>
                              <w:sz w:val="18"/>
                              <w:szCs w:val="18"/>
                              <w:u w:val="single" w:color="000000"/>
                            </w:rPr>
                            <w:t>www.cninfo.com.cn</w:t>
                          </w:r>
                          <w:r>
                            <w:rPr>
                              <w:rFonts w:ascii="宋体" w:hAnsi="宋体" w:cs="宋体" w:eastAsia="宋体" w:hint="default"/>
                              <w:sz w:val="18"/>
                              <w:szCs w:val="18"/>
                            </w:rPr>
                          </w:r>
                        </w:hyperlink>
                        <w:r>
                          <w:rPr>
                            <w:rFonts w:ascii="宋体" w:hAnsi="宋体" w:cs="宋体" w:eastAsia="宋体" w:hint="default"/>
                            <w:sz w:val="18"/>
                            <w:szCs w:val="18"/>
                          </w:rPr>
                          <w:t>，《关于美铜贰期产业并购基金相 </w:t>
                        </w:r>
                        <w:r>
                          <w:rPr>
                            <w:rFonts w:ascii="宋体" w:hAnsi="宋体" w:cs="宋体" w:eastAsia="宋体" w:hint="default"/>
                            <w:spacing w:val="-3"/>
                            <w:sz w:val="18"/>
                            <w:szCs w:val="18"/>
                          </w:rPr>
                          <w:t>关事项及关联方参与认购基金暨关联交易的公告》，公</w:t>
                        </w:r>
                        <w:r>
                          <w:rPr>
                            <w:rFonts w:ascii="宋体" w:hAnsi="宋体" w:cs="宋体" w:eastAsia="宋体" w:hint="default"/>
                            <w:sz w:val="18"/>
                            <w:szCs w:val="18"/>
                          </w:rPr>
                          <w:t> 告编号：</w:t>
                        </w:r>
                        <w:r>
                          <w:rPr>
                            <w:rFonts w:ascii="宋体" w:hAnsi="宋体" w:cs="宋体" w:eastAsia="宋体" w:hint="default"/>
                            <w:sz w:val="18"/>
                            <w:szCs w:val="18"/>
                          </w:rPr>
                          <w:t>2019-79</w:t>
                        </w:r>
                      </w:p>
                    </w:tc>
                  </w:tr>
                  <w:tr>
                    <w:trPr>
                      <w:trHeight w:val="742" w:hRule="exact"/>
                    </w:trPr>
                    <w:tc>
                      <w:tcPr>
                        <w:tcW w:w="4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武汉大千交易承诺履行完毕</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12</w:t>
                        </w:r>
                        <w:r>
                          <w:rPr>
                            <w:rFonts w:ascii="宋体" w:hAnsi="宋体" w:cs="宋体" w:eastAsia="宋体" w:hint="default"/>
                            <w:sz w:val="18"/>
                            <w:szCs w:val="18"/>
                          </w:rPr>
                          <w:t>月</w:t>
                        </w:r>
                      </w:p>
                      <w:p>
                        <w:pPr>
                          <w:pStyle w:val="TableParagraph"/>
                          <w:spacing w:line="240" w:lineRule="auto" w:before="74"/>
                          <w:ind w:left="4" w:right="0"/>
                          <w:jc w:val="center"/>
                          <w:rPr>
                            <w:rFonts w:ascii="宋体" w:hAnsi="宋体" w:cs="宋体" w:eastAsia="宋体" w:hint="default"/>
                            <w:sz w:val="18"/>
                            <w:szCs w:val="18"/>
                          </w:rPr>
                        </w:pPr>
                        <w:r>
                          <w:rPr>
                            <w:rFonts w:ascii="宋体" w:hAnsi="宋体" w:cs="宋体" w:eastAsia="宋体" w:hint="default"/>
                            <w:sz w:val="18"/>
                            <w:szCs w:val="18"/>
                          </w:rPr>
                          <w:t>30</w:t>
                        </w:r>
                        <w:r>
                          <w:rPr>
                            <w:rFonts w:ascii="宋体" w:hAnsi="宋体" w:cs="宋体" w:eastAsia="宋体" w:hint="default"/>
                            <w:sz w:val="18"/>
                            <w:szCs w:val="18"/>
                          </w:rPr>
                          <w:t>日</w:t>
                        </w:r>
                      </w:p>
                    </w:tc>
                    <w:tc>
                      <w:tcPr>
                        <w:tcW w:w="4270" w:type="dxa"/>
                        <w:tcBorders>
                          <w:top w:val="single" w:sz="6" w:space="0" w:color="000000"/>
                          <w:left w:val="single" w:sz="6" w:space="0" w:color="000000"/>
                          <w:bottom w:val="single" w:sz="6" w:space="0" w:color="000000"/>
                          <w:right w:val="single" w:sz="6" w:space="0" w:color="000000"/>
                        </w:tcBorders>
                      </w:tcPr>
                      <w:p>
                        <w:pPr>
                          <w:pStyle w:val="TableParagraph"/>
                          <w:spacing w:line="314" w:lineRule="auto" w:before="61"/>
                          <w:ind w:left="148" w:right="11" w:hanging="137"/>
                          <w:jc w:val="left"/>
                          <w:rPr>
                            <w:rFonts w:ascii="宋体" w:hAnsi="宋体" w:cs="宋体" w:eastAsia="宋体" w:hint="default"/>
                            <w:sz w:val="18"/>
                            <w:szCs w:val="18"/>
                          </w:rPr>
                        </w:pPr>
                        <w:r>
                          <w:rPr>
                            <w:rFonts w:ascii="宋体" w:hAnsi="宋体" w:cs="宋体" w:eastAsia="宋体" w:hint="default"/>
                            <w:sz w:val="18"/>
                            <w:szCs w:val="18"/>
                          </w:rPr>
                        </w:r>
                        <w:hyperlink r:id="rId11">
                          <w:r>
                            <w:rPr>
                              <w:rFonts w:ascii="宋体" w:hAnsi="宋体" w:cs="宋体" w:eastAsia="宋体" w:hint="default"/>
                              <w:sz w:val="18"/>
                              <w:szCs w:val="18"/>
                              <w:u w:val="single" w:color="000000"/>
                            </w:rPr>
                            <w:t>www.cninfo.com.cn</w:t>
                          </w:r>
                          <w:r>
                            <w:rPr>
                              <w:rFonts w:ascii="宋体" w:hAnsi="宋体" w:cs="宋体" w:eastAsia="宋体" w:hint="default"/>
                              <w:sz w:val="18"/>
                              <w:szCs w:val="18"/>
                            </w:rPr>
                          </w:r>
                        </w:hyperlink>
                        <w:r>
                          <w:rPr>
                            <w:rFonts w:ascii="宋体" w:hAnsi="宋体" w:cs="宋体" w:eastAsia="宋体" w:hint="default"/>
                            <w:sz w:val="18"/>
                            <w:szCs w:val="18"/>
                          </w:rPr>
                          <w:t>，《关于武汉大千交易对手方业绩 补偿承诺履行完毕的公告》，公告编号：</w:t>
                        </w:r>
                        <w:r>
                          <w:rPr>
                            <w:rFonts w:ascii="宋体" w:hAnsi="宋体" w:cs="宋体" w:eastAsia="宋体" w:hint="default"/>
                            <w:sz w:val="18"/>
                            <w:szCs w:val="18"/>
                          </w:rPr>
                          <w:t>2019-112</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2"/>
          <w:szCs w:val="22"/>
        </w:rPr>
      </w:pPr>
    </w:p>
    <w:p>
      <w:pPr>
        <w:spacing w:before="44"/>
        <w:ind w:left="0" w:right="1139"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8"/>
          <w:szCs w:val="18"/>
        </w:rPr>
      </w:pPr>
    </w:p>
    <w:p>
      <w:pPr>
        <w:pStyle w:val="Heading2"/>
        <w:spacing w:line="240" w:lineRule="auto" w:before="26"/>
        <w:ind w:right="986"/>
        <w:jc w:val="left"/>
        <w:rPr>
          <w:b w:val="0"/>
          <w:bCs w:val="0"/>
        </w:rPr>
      </w:pPr>
      <w:bookmarkStart w:name="十九、公司子公司重大事项" w:id="103"/>
      <w:bookmarkEnd w:id="103"/>
      <w:r>
        <w:rPr>
          <w:b w:val="0"/>
          <w:bCs w:val="0"/>
        </w:rPr>
      </w:r>
      <w:r>
        <w:rPr/>
        <w:t>十九、公司子公司重大事项</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2"/>
          <w:szCs w:val="22"/>
        </w:rPr>
      </w:pPr>
    </w:p>
    <w:p>
      <w:pPr>
        <w:pStyle w:val="Heading4"/>
        <w:spacing w:line="240" w:lineRule="auto"/>
        <w:ind w:left="572" w:right="986"/>
        <w:jc w:val="left"/>
        <w:rPr>
          <w:b w:val="0"/>
          <w:bCs w:val="0"/>
        </w:rPr>
      </w:pPr>
      <w:r>
        <w:rPr/>
        <w:t>（一）万诚信用更名及纳入公司合并范围</w:t>
      </w:r>
      <w:r>
        <w:rPr>
          <w:b w:val="0"/>
          <w:bCs w:val="0"/>
        </w:rPr>
      </w:r>
    </w:p>
    <w:p>
      <w:pPr>
        <w:spacing w:line="240" w:lineRule="auto" w:before="7"/>
        <w:rPr>
          <w:rFonts w:ascii="宋体" w:hAnsi="宋体" w:cs="宋体" w:eastAsia="宋体" w:hint="default"/>
          <w:b/>
          <w:bCs/>
          <w:sz w:val="26"/>
          <w:szCs w:val="26"/>
        </w:rPr>
      </w:pPr>
    </w:p>
    <w:p>
      <w:pPr>
        <w:pStyle w:val="BodyText"/>
        <w:spacing w:line="408" w:lineRule="auto" w:before="0"/>
        <w:ind w:right="986" w:firstLine="419"/>
        <w:jc w:val="left"/>
      </w:pPr>
      <w:r>
        <w:rPr>
          <w:rFonts w:ascii="宋体" w:hAnsi="宋体" w:cs="宋体" w:eastAsia="宋体" w:hint="default"/>
        </w:rPr>
        <w:t>2019</w:t>
      </w:r>
      <w:r>
        <w:rPr/>
        <w:t>年</w:t>
      </w:r>
      <w:r>
        <w:rPr>
          <w:rFonts w:ascii="宋体" w:hAnsi="宋体" w:cs="宋体" w:eastAsia="宋体" w:hint="default"/>
        </w:rPr>
        <w:t>5</w:t>
      </w:r>
      <w:r>
        <w:rPr/>
        <w:t>月，公司参股公司北京万诚信用评价有限公司更名为中检美亚（北京）科技有限公司（以下</w:t>
      </w:r>
      <w:r>
        <w:rPr>
          <w:w w:val="100"/>
        </w:rPr>
        <w:t> </w:t>
      </w:r>
      <w:r>
        <w:rPr>
          <w:spacing w:val="-5"/>
        </w:rPr>
        <w:t>简称“中检美亚”）。中检美亚主要从事质检系统检测及执法大数据分析系统，主要客户为食药监等行业。 </w:t>
      </w:r>
      <w:r>
        <w:rPr>
          <w:spacing w:val="-5"/>
        </w:rPr>
      </w:r>
      <w:r>
        <w:rPr/>
        <w:t>中检美亚股权结构中，公司持股</w:t>
      </w:r>
      <w:r>
        <w:rPr>
          <w:rFonts w:ascii="宋体" w:hAnsi="宋体" w:cs="宋体" w:eastAsia="宋体" w:hint="default"/>
        </w:rPr>
        <w:t>28%</w:t>
      </w:r>
      <w:r>
        <w:rPr/>
        <w:t>，控股子公司美亚商鼎持股</w:t>
      </w:r>
      <w:r>
        <w:rPr>
          <w:rFonts w:ascii="宋体" w:hAnsi="宋体" w:cs="宋体" w:eastAsia="宋体" w:hint="default"/>
        </w:rPr>
        <w:t>18%</w:t>
      </w:r>
      <w:r>
        <w:rPr/>
        <w:t>。</w:t>
      </w:r>
    </w:p>
    <w:p>
      <w:pPr>
        <w:pStyle w:val="BodyText"/>
        <w:spacing w:line="240" w:lineRule="auto"/>
        <w:ind w:left="573" w:right="986"/>
        <w:jc w:val="left"/>
      </w:pPr>
      <w:r>
        <w:rPr>
          <w:rFonts w:ascii="宋体" w:hAnsi="宋体" w:cs="宋体" w:eastAsia="宋体" w:hint="default"/>
        </w:rPr>
        <w:t>2019</w:t>
      </w:r>
      <w:r>
        <w:rPr/>
        <w:t>年</w:t>
      </w:r>
      <w:r>
        <w:rPr>
          <w:rFonts w:ascii="宋体" w:hAnsi="宋体" w:cs="宋体" w:eastAsia="宋体" w:hint="default"/>
        </w:rPr>
        <w:t>12</w:t>
      </w:r>
      <w:r>
        <w:rPr/>
        <w:t>月，本公司与中检美亚自然人股东王志永签署了《表决权委托协议》，自然人股东王志永将</w:t>
      </w:r>
    </w:p>
    <w:p>
      <w:pPr>
        <w:spacing w:after="0" w:line="240"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1128"/>
        <w:jc w:val="both"/>
      </w:pPr>
      <w:r>
        <w:rPr>
          <w:spacing w:val="-2"/>
        </w:rPr>
        <w:t>其持有中检美亚</w:t>
      </w:r>
      <w:r>
        <w:rPr>
          <w:rFonts w:ascii="宋体" w:hAnsi="宋体" w:cs="宋体" w:eastAsia="宋体" w:hint="default"/>
          <w:spacing w:val="-2"/>
        </w:rPr>
        <w:t>32%</w:t>
      </w:r>
      <w:r>
        <w:rPr>
          <w:spacing w:val="-2"/>
        </w:rPr>
        <w:t>的股权对应的全部表决权不可撤销地授权本公司行使，委托权</w:t>
      </w:r>
      <w:r>
        <w:rPr>
          <w:rFonts w:ascii="宋体" w:hAnsi="宋体" w:cs="宋体" w:eastAsia="宋体" w:hint="default"/>
          <w:spacing w:val="-2"/>
        </w:rPr>
        <w:t>3</w:t>
      </w:r>
      <w:r>
        <w:rPr>
          <w:spacing w:val="-2"/>
        </w:rPr>
        <w:t>年。本公司原持有中检</w:t>
      </w:r>
      <w:r>
        <w:rPr>
          <w:spacing w:val="-44"/>
        </w:rPr>
        <w:t> </w:t>
      </w:r>
      <w:r>
        <w:rPr>
          <w:spacing w:val="-44"/>
        </w:rPr>
      </w:r>
      <w:r>
        <w:rPr>
          <w:spacing w:val="-2"/>
        </w:rPr>
        <w:t>美亚</w:t>
      </w:r>
      <w:r>
        <w:rPr>
          <w:rFonts w:ascii="宋体" w:hAnsi="宋体" w:cs="宋体" w:eastAsia="宋体" w:hint="default"/>
          <w:spacing w:val="-2"/>
        </w:rPr>
        <w:t>46%</w:t>
      </w:r>
      <w:r>
        <w:rPr>
          <w:spacing w:val="-2"/>
        </w:rPr>
        <w:t>的表决权（其中控股子公司美亚商鼎持有</w:t>
      </w:r>
      <w:r>
        <w:rPr>
          <w:rFonts w:ascii="宋体" w:hAnsi="宋体" w:cs="宋体" w:eastAsia="宋体" w:hint="default"/>
          <w:spacing w:val="-2"/>
        </w:rPr>
        <w:t>18%</w:t>
      </w:r>
      <w:r>
        <w:rPr>
          <w:spacing w:val="-2"/>
        </w:rPr>
        <w:t>的表决权），本次表决权委托协议签署后，本公司合</w:t>
      </w:r>
      <w:r>
        <w:rPr>
          <w:spacing w:val="-48"/>
        </w:rPr>
        <w:t> </w:t>
      </w:r>
      <w:r>
        <w:rPr>
          <w:spacing w:val="-48"/>
        </w:rPr>
      </w:r>
      <w:r>
        <w:rPr/>
        <w:t>计拥有中检美亚</w:t>
      </w:r>
      <w:r>
        <w:rPr>
          <w:rFonts w:ascii="宋体" w:hAnsi="宋体" w:cs="宋体" w:eastAsia="宋体" w:hint="default"/>
        </w:rPr>
        <w:t>78%</w:t>
      </w:r>
      <w:r>
        <w:rPr/>
        <w:t>的表决权。同时，中检美亚重组了董事会，董事会成员</w:t>
      </w:r>
      <w:r>
        <w:rPr>
          <w:rFonts w:ascii="宋体" w:hAnsi="宋体" w:cs="宋体" w:eastAsia="宋体" w:hint="default"/>
        </w:rPr>
        <w:t>5</w:t>
      </w:r>
      <w:r>
        <w:rPr/>
        <w:t>名，由本公司委派</w:t>
      </w:r>
      <w:r>
        <w:rPr>
          <w:rFonts w:ascii="宋体" w:hAnsi="宋体" w:cs="宋体" w:eastAsia="宋体" w:hint="default"/>
        </w:rPr>
        <w:t>3</w:t>
      </w:r>
      <w:r>
        <w:rPr/>
        <w:t>名，本公</w:t>
      </w:r>
      <w:r>
        <w:rPr>
          <w:spacing w:val="-24"/>
        </w:rPr>
        <w:t> </w:t>
      </w:r>
      <w:r>
        <w:rPr>
          <w:spacing w:val="-24"/>
        </w:rPr>
      </w:r>
      <w:r>
        <w:rPr>
          <w:spacing w:val="-2"/>
        </w:rPr>
        <w:t>司完成了对中检美亚的控制，公司在</w:t>
      </w:r>
      <w:r>
        <w:rPr>
          <w:rFonts w:ascii="宋体" w:hAnsi="宋体" w:cs="宋体" w:eastAsia="宋体" w:hint="default"/>
          <w:spacing w:val="-2"/>
        </w:rPr>
        <w:t>2019</w:t>
      </w:r>
      <w:r>
        <w:rPr>
          <w:spacing w:val="-2"/>
        </w:rPr>
        <w:t>年</w:t>
      </w:r>
      <w:r>
        <w:rPr>
          <w:rFonts w:ascii="宋体" w:hAnsi="宋体" w:cs="宋体" w:eastAsia="宋体" w:hint="default"/>
          <w:spacing w:val="-2"/>
        </w:rPr>
        <w:t>12</w:t>
      </w:r>
      <w:r>
        <w:rPr>
          <w:spacing w:val="-2"/>
        </w:rPr>
        <w:t>月末已拥有该公司的实质控制权，于</w:t>
      </w:r>
      <w:r>
        <w:rPr>
          <w:rFonts w:ascii="宋体" w:hAnsi="宋体" w:cs="宋体" w:eastAsia="宋体" w:hint="default"/>
          <w:spacing w:val="-2"/>
        </w:rPr>
        <w:t>2019</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日将其纳</w:t>
      </w:r>
      <w:r>
        <w:rPr>
          <w:spacing w:val="-28"/>
        </w:rPr>
        <w:t> </w:t>
      </w:r>
      <w:r>
        <w:rPr>
          <w:spacing w:val="-28"/>
        </w:rPr>
      </w:r>
      <w:r>
        <w:rPr/>
        <w:t>入合并范围。</w:t>
      </w:r>
    </w:p>
    <w:p>
      <w:pPr>
        <w:spacing w:line="240" w:lineRule="auto" w:before="6"/>
        <w:rPr>
          <w:rFonts w:ascii="宋体" w:hAnsi="宋体" w:cs="宋体" w:eastAsia="宋体" w:hint="default"/>
          <w:sz w:val="15"/>
          <w:szCs w:val="15"/>
        </w:rPr>
      </w:pPr>
    </w:p>
    <w:p>
      <w:pPr>
        <w:pStyle w:val="Heading4"/>
        <w:spacing w:line="240" w:lineRule="auto"/>
        <w:ind w:left="572" w:right="986"/>
        <w:jc w:val="left"/>
        <w:rPr>
          <w:b w:val="0"/>
          <w:bCs w:val="0"/>
        </w:rPr>
      </w:pPr>
      <w:r>
        <w:rPr/>
        <w:t>（二）正信世纪减资事项</w:t>
      </w:r>
      <w:r>
        <w:rPr>
          <w:b w:val="0"/>
          <w:bCs w:val="0"/>
        </w:rPr>
      </w:r>
    </w:p>
    <w:p>
      <w:pPr>
        <w:spacing w:line="240" w:lineRule="auto" w:before="9"/>
        <w:rPr>
          <w:rFonts w:ascii="宋体" w:hAnsi="宋体" w:cs="宋体" w:eastAsia="宋体" w:hint="default"/>
          <w:b/>
          <w:bCs/>
          <w:sz w:val="26"/>
          <w:szCs w:val="26"/>
        </w:rPr>
      </w:pPr>
    </w:p>
    <w:p>
      <w:pPr>
        <w:pStyle w:val="BodyText"/>
        <w:spacing w:line="408" w:lineRule="auto" w:before="0"/>
        <w:ind w:right="1214" w:firstLine="419"/>
        <w:jc w:val="both"/>
      </w:pPr>
      <w:r>
        <w:rPr>
          <w:rFonts w:ascii="宋体" w:hAnsi="宋体" w:cs="宋体" w:eastAsia="宋体" w:hint="default"/>
          <w:spacing w:val="-2"/>
        </w:rPr>
        <w:t>2019</w:t>
      </w:r>
      <w:r>
        <w:rPr>
          <w:spacing w:val="-2"/>
        </w:rPr>
        <w:t>年</w:t>
      </w:r>
      <w:r>
        <w:rPr>
          <w:rFonts w:ascii="宋体" w:hAnsi="宋体" w:cs="宋体" w:eastAsia="宋体" w:hint="default"/>
          <w:spacing w:val="-2"/>
        </w:rPr>
        <w:t>5</w:t>
      </w:r>
      <w:r>
        <w:rPr>
          <w:spacing w:val="-2"/>
        </w:rPr>
        <w:t>月，公司参股公司厦门正信世纪信息科技有限公司（以下简称“正信世纪”）变更了注册资</w:t>
      </w:r>
      <w:r>
        <w:rPr>
          <w:spacing w:val="-3"/>
          <w:w w:val="100"/>
        </w:rPr>
        <w:t> </w:t>
      </w:r>
      <w:r>
        <w:rPr>
          <w:spacing w:val="-2"/>
        </w:rPr>
        <w:t>本，注册资本由原来的</w:t>
      </w:r>
      <w:r>
        <w:rPr>
          <w:rFonts w:ascii="宋体" w:hAnsi="宋体" w:cs="宋体" w:eastAsia="宋体" w:hint="default"/>
          <w:spacing w:val="-2"/>
        </w:rPr>
        <w:t>2,000</w:t>
      </w:r>
      <w:r>
        <w:rPr>
          <w:spacing w:val="-2"/>
        </w:rPr>
        <w:t>万元人民币减少为</w:t>
      </w:r>
      <w:r>
        <w:rPr>
          <w:rFonts w:ascii="宋体" w:hAnsi="宋体" w:cs="宋体" w:eastAsia="宋体" w:hint="default"/>
          <w:spacing w:val="-2"/>
        </w:rPr>
        <w:t>500</w:t>
      </w:r>
      <w:r>
        <w:rPr>
          <w:spacing w:val="-2"/>
        </w:rPr>
        <w:t>万元人民币。公司所持正信世纪的股权比例由</w:t>
      </w:r>
      <w:r>
        <w:rPr>
          <w:rFonts w:ascii="宋体" w:hAnsi="宋体" w:cs="宋体" w:eastAsia="宋体" w:hint="default"/>
          <w:spacing w:val="-2"/>
        </w:rPr>
        <w:t>20%</w:t>
      </w:r>
      <w:r>
        <w:rPr>
          <w:spacing w:val="-2"/>
        </w:rPr>
        <w:t>变更</w:t>
      </w:r>
      <w:r>
        <w:rPr>
          <w:spacing w:val="-20"/>
        </w:rPr>
        <w:t> </w:t>
      </w:r>
      <w:r>
        <w:rPr/>
        <w:t>为</w:t>
      </w:r>
      <w:r>
        <w:rPr>
          <w:rFonts w:ascii="宋体" w:hAnsi="宋体" w:cs="宋体" w:eastAsia="宋体" w:hint="default"/>
        </w:rPr>
        <w:t>40%</w:t>
      </w:r>
      <w:r>
        <w:rPr/>
        <w:t>。</w:t>
      </w:r>
    </w:p>
    <w:p>
      <w:pPr>
        <w:spacing w:line="240" w:lineRule="auto" w:before="6"/>
        <w:rPr>
          <w:rFonts w:ascii="宋体" w:hAnsi="宋体" w:cs="宋体" w:eastAsia="宋体" w:hint="default"/>
          <w:sz w:val="15"/>
          <w:szCs w:val="15"/>
        </w:rPr>
      </w:pPr>
    </w:p>
    <w:p>
      <w:pPr>
        <w:pStyle w:val="Heading4"/>
        <w:spacing w:line="240" w:lineRule="auto"/>
        <w:ind w:left="572" w:right="986"/>
        <w:jc w:val="left"/>
        <w:rPr>
          <w:b w:val="0"/>
          <w:bCs w:val="0"/>
        </w:rPr>
      </w:pPr>
      <w:r>
        <w:rPr/>
        <w:t>（三）收到参股公司中新赛克分红款</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left="572" w:right="986"/>
        <w:jc w:val="left"/>
      </w:pPr>
      <w:r>
        <w:rPr/>
        <w:t>报告期内，参股公司中新赛克实施了</w:t>
      </w:r>
      <w:r>
        <w:rPr>
          <w:rFonts w:ascii="宋体" w:hAnsi="宋体" w:cs="宋体" w:eastAsia="宋体" w:hint="default"/>
        </w:rPr>
        <w:t>2018</w:t>
      </w:r>
      <w:r>
        <w:rPr/>
        <w:t>年度分红派息方案，向全体股东每</w:t>
      </w:r>
      <w:r>
        <w:rPr>
          <w:rFonts w:ascii="宋体" w:hAnsi="宋体" w:cs="宋体" w:eastAsia="宋体" w:hint="default"/>
        </w:rPr>
        <w:t>10</w:t>
      </w:r>
      <w:r>
        <w:rPr/>
        <w:t>股派发现金红利</w:t>
      </w:r>
      <w:r>
        <w:rPr>
          <w:rFonts w:ascii="宋体" w:hAnsi="宋体" w:cs="宋体" w:eastAsia="宋体" w:hint="default"/>
        </w:rPr>
        <w:t>6.5</w:t>
      </w:r>
      <w:r>
        <w:rPr/>
        <w:t>元</w:t>
      </w:r>
    </w:p>
    <w:p>
      <w:pPr>
        <w:spacing w:line="240" w:lineRule="auto" w:before="10"/>
        <w:rPr>
          <w:rFonts w:ascii="宋体" w:hAnsi="宋体" w:cs="宋体" w:eastAsia="宋体" w:hint="default"/>
          <w:sz w:val="14"/>
          <w:szCs w:val="14"/>
        </w:rPr>
      </w:pPr>
    </w:p>
    <w:p>
      <w:pPr>
        <w:pStyle w:val="BodyText"/>
        <w:spacing w:line="240" w:lineRule="auto" w:before="0"/>
        <w:ind w:right="0"/>
        <w:jc w:val="both"/>
      </w:pPr>
      <w:r>
        <w:rPr/>
        <w:t>（含税）。</w:t>
      </w:r>
      <w:r>
        <w:rPr>
          <w:rFonts w:ascii="宋体" w:hAnsi="宋体" w:cs="宋体" w:eastAsia="宋体" w:hint="default"/>
        </w:rPr>
        <w:t>2019</w:t>
      </w:r>
      <w:r>
        <w:rPr/>
        <w:t>年</w:t>
      </w:r>
      <w:r>
        <w:rPr>
          <w:rFonts w:ascii="宋体" w:hAnsi="宋体" w:cs="宋体" w:eastAsia="宋体" w:hint="default"/>
        </w:rPr>
        <w:t>6</w:t>
      </w:r>
      <w:r>
        <w:rPr/>
        <w:t>月，公司收到参股公司中新赛克分红款</w:t>
      </w:r>
      <w:r>
        <w:rPr>
          <w:rFonts w:ascii="宋体" w:hAnsi="宋体" w:cs="宋体" w:eastAsia="宋体" w:hint="default"/>
        </w:rPr>
        <w:t>143.84</w:t>
      </w:r>
      <w:r>
        <w:rPr/>
        <w:t>万元。</w:t>
      </w:r>
    </w:p>
    <w:p>
      <w:pPr>
        <w:spacing w:line="240" w:lineRule="auto" w:before="9"/>
        <w:rPr>
          <w:rFonts w:ascii="宋体" w:hAnsi="宋体" w:cs="宋体" w:eastAsia="宋体" w:hint="default"/>
          <w:sz w:val="26"/>
          <w:szCs w:val="26"/>
        </w:rPr>
      </w:pPr>
    </w:p>
    <w:p>
      <w:pPr>
        <w:pStyle w:val="Heading4"/>
        <w:spacing w:line="240" w:lineRule="auto"/>
        <w:ind w:left="572" w:right="986"/>
        <w:jc w:val="left"/>
        <w:rPr>
          <w:b w:val="0"/>
          <w:bCs w:val="0"/>
        </w:rPr>
      </w:pPr>
      <w:r>
        <w:rPr/>
        <w:t>（四）全资子公司江苏税软购买办公房产</w:t>
      </w:r>
      <w:r>
        <w:rPr>
          <w:b w:val="0"/>
          <w:bCs w:val="0"/>
        </w:rPr>
      </w:r>
    </w:p>
    <w:p>
      <w:pPr>
        <w:spacing w:line="240" w:lineRule="auto" w:before="9"/>
        <w:rPr>
          <w:rFonts w:ascii="宋体" w:hAnsi="宋体" w:cs="宋体" w:eastAsia="宋体" w:hint="default"/>
          <w:b/>
          <w:bCs/>
          <w:sz w:val="26"/>
          <w:szCs w:val="26"/>
        </w:rPr>
      </w:pPr>
    </w:p>
    <w:p>
      <w:pPr>
        <w:pStyle w:val="BodyText"/>
        <w:spacing w:line="386" w:lineRule="auto" w:before="0"/>
        <w:ind w:left="572" w:right="986" w:firstLine="105"/>
        <w:jc w:val="left"/>
      </w:pPr>
      <w:r>
        <w:rPr>
          <w:rFonts w:ascii="宋体" w:hAnsi="宋体" w:cs="宋体" w:eastAsia="宋体" w:hint="default"/>
          <w:b/>
          <w:bCs/>
        </w:rPr>
        <w:t>1</w:t>
      </w:r>
      <w:r>
        <w:rPr>
          <w:rFonts w:ascii="宋体" w:hAnsi="宋体" w:cs="宋体" w:eastAsia="宋体" w:hint="default"/>
          <w:b/>
          <w:bCs/>
        </w:rPr>
        <w:t>、交易概述</w:t>
      </w:r>
      <w:r>
        <w:rPr>
          <w:rFonts w:ascii="宋体" w:hAnsi="宋体" w:cs="宋体" w:eastAsia="宋体" w:hint="default"/>
          <w:b/>
          <w:bCs/>
          <w:w w:val="100"/>
        </w:rPr>
        <w:t> </w:t>
      </w:r>
      <w:r>
        <w:rPr>
          <w:spacing w:val="-2"/>
        </w:rPr>
        <w:t>为满足日常经营和办公需要，公司全资子公司江苏税软软件科技有限公司（以下简称</w:t>
      </w:r>
      <w:r>
        <w:rPr>
          <w:spacing w:val="-2"/>
          <w:sz w:val="24"/>
          <w:szCs w:val="24"/>
        </w:rPr>
        <w:t>“</w:t>
      </w:r>
      <w:r>
        <w:rPr>
          <w:spacing w:val="-2"/>
        </w:rPr>
        <w:t>江苏税软</w:t>
      </w:r>
      <w:r>
        <w:rPr>
          <w:spacing w:val="-2"/>
          <w:sz w:val="24"/>
          <w:szCs w:val="24"/>
        </w:rPr>
        <w:t>”</w:t>
      </w:r>
      <w:r>
        <w:rPr>
          <w:spacing w:val="-2"/>
        </w:rPr>
        <w:t>）</w:t>
      </w:r>
    </w:p>
    <w:p>
      <w:pPr>
        <w:pStyle w:val="BodyText"/>
        <w:spacing w:line="408" w:lineRule="auto" w:before="33"/>
        <w:ind w:right="1129"/>
        <w:jc w:val="both"/>
      </w:pPr>
      <w:r>
        <w:rPr/>
        <w:t>于</w:t>
      </w:r>
      <w:r>
        <w:rPr>
          <w:rFonts w:ascii="宋体" w:hAnsi="宋体" w:cs="宋体" w:eastAsia="宋体" w:hint="default"/>
        </w:rPr>
        <w:t>2019</w:t>
      </w:r>
      <w:r>
        <w:rPr/>
        <w:t>年</w:t>
      </w:r>
      <w:r>
        <w:rPr>
          <w:rFonts w:ascii="宋体" w:hAnsi="宋体" w:cs="宋体" w:eastAsia="宋体" w:hint="default"/>
        </w:rPr>
        <w:t>9</w:t>
      </w:r>
      <w:r>
        <w:rPr/>
        <w:t>月</w:t>
      </w:r>
      <w:r>
        <w:rPr>
          <w:rFonts w:ascii="宋体" w:hAnsi="宋体" w:cs="宋体" w:eastAsia="宋体" w:hint="default"/>
        </w:rPr>
        <w:t>20</w:t>
      </w:r>
      <w:r>
        <w:rPr/>
        <w:t>日与无锡软件产业发展有限公司（以下简称“转让方”）签订了《无锡软件产业发展有限</w:t>
      </w:r>
      <w:r>
        <w:rPr>
          <w:spacing w:val="-28"/>
        </w:rPr>
        <w:t> </w:t>
      </w:r>
      <w:r>
        <w:rPr>
          <w:spacing w:val="-28"/>
        </w:rPr>
      </w:r>
      <w:r>
        <w:rPr>
          <w:spacing w:val="-2"/>
        </w:rPr>
        <w:t>公司部分资产转让交易合同》，以自有资金购买转让方部分资产（菱湖大道</w:t>
      </w:r>
      <w:r>
        <w:rPr>
          <w:rFonts w:ascii="宋体" w:hAnsi="宋体" w:cs="宋体" w:eastAsia="宋体" w:hint="default"/>
          <w:spacing w:val="-2"/>
        </w:rPr>
        <w:t>111-33-201</w:t>
      </w:r>
      <w:r>
        <w:rPr>
          <w:spacing w:val="-2"/>
        </w:rPr>
        <w:t>、</w:t>
      </w:r>
      <w:r>
        <w:rPr>
          <w:rFonts w:ascii="宋体" w:hAnsi="宋体" w:cs="宋体" w:eastAsia="宋体" w:hint="default"/>
          <w:spacing w:val="-2"/>
        </w:rPr>
        <w:t>301</w:t>
      </w:r>
      <w:r>
        <w:rPr>
          <w:spacing w:val="-2"/>
        </w:rPr>
        <w:t>、</w:t>
      </w:r>
      <w:r>
        <w:rPr>
          <w:rFonts w:ascii="宋体" w:hAnsi="宋体" w:cs="宋体" w:eastAsia="宋体" w:hint="default"/>
          <w:spacing w:val="-2"/>
        </w:rPr>
        <w:t>401</w:t>
      </w:r>
      <w:r>
        <w:rPr>
          <w:spacing w:val="-2"/>
        </w:rPr>
        <w:t>三套办</w:t>
      </w:r>
      <w:r>
        <w:rPr>
          <w:spacing w:val="-33"/>
        </w:rPr>
        <w:t> </w:t>
      </w:r>
      <w:r>
        <w:rPr>
          <w:spacing w:val="-33"/>
        </w:rPr>
      </w:r>
      <w:r>
        <w:rPr/>
        <w:t>公用房）建筑分割面积共计</w:t>
      </w:r>
      <w:r>
        <w:rPr>
          <w:rFonts w:ascii="宋体" w:hAnsi="宋体" w:cs="宋体" w:eastAsia="宋体" w:hint="default"/>
        </w:rPr>
        <w:t>6,020.88</w:t>
      </w:r>
      <w:r>
        <w:rPr/>
        <w:t>平方米，作为江苏税软经营办公场所之用。本次购买房产总金额为</w:t>
      </w:r>
      <w:r>
        <w:rPr>
          <w:spacing w:val="63"/>
        </w:rPr>
        <w:t> </w:t>
      </w:r>
      <w:r>
        <w:rPr>
          <w:spacing w:val="63"/>
        </w:rPr>
      </w:r>
      <w:r>
        <w:rPr>
          <w:rFonts w:ascii="宋体" w:hAnsi="宋体" w:cs="宋体" w:eastAsia="宋体" w:hint="default"/>
        </w:rPr>
        <w:t>3,744.04</w:t>
      </w:r>
      <w:r>
        <w:rPr/>
        <w:t>万元。</w:t>
      </w:r>
    </w:p>
    <w:p>
      <w:pPr>
        <w:pStyle w:val="BodyText"/>
        <w:spacing w:line="408" w:lineRule="auto"/>
        <w:ind w:left="153" w:right="1129" w:firstLine="420"/>
        <w:jc w:val="both"/>
      </w:pPr>
      <w:r>
        <w:rPr>
          <w:spacing w:val="-2"/>
        </w:rPr>
        <w:t>本次交易金额占公司</w:t>
      </w:r>
      <w:r>
        <w:rPr>
          <w:rFonts w:ascii="宋体" w:hAnsi="宋体" w:cs="宋体" w:eastAsia="宋体" w:hint="default"/>
          <w:spacing w:val="-2"/>
        </w:rPr>
        <w:t>2018</w:t>
      </w:r>
      <w:r>
        <w:rPr>
          <w:spacing w:val="-2"/>
        </w:rPr>
        <w:t>年经审计归属于母公司净资产</w:t>
      </w:r>
      <w:r>
        <w:rPr>
          <w:rFonts w:ascii="宋体" w:hAnsi="宋体" w:cs="宋体" w:eastAsia="宋体" w:hint="default"/>
          <w:spacing w:val="-2"/>
        </w:rPr>
        <w:t>25.51</w:t>
      </w:r>
      <w:r>
        <w:rPr>
          <w:spacing w:val="-2"/>
        </w:rPr>
        <w:t>亿的</w:t>
      </w:r>
      <w:r>
        <w:rPr>
          <w:rFonts w:ascii="宋体" w:hAnsi="宋体" w:cs="宋体" w:eastAsia="宋体" w:hint="default"/>
          <w:spacing w:val="-2"/>
        </w:rPr>
        <w:t>1.47%</w:t>
      </w:r>
      <w:r>
        <w:rPr>
          <w:spacing w:val="-2"/>
        </w:rPr>
        <w:t>，总资产</w:t>
      </w:r>
      <w:r>
        <w:rPr>
          <w:rFonts w:ascii="宋体" w:hAnsi="宋体" w:cs="宋体" w:eastAsia="宋体" w:hint="default"/>
          <w:spacing w:val="-2"/>
        </w:rPr>
        <w:t>34.44</w:t>
      </w:r>
      <w:r>
        <w:rPr>
          <w:spacing w:val="-2"/>
        </w:rPr>
        <w:t>亿的</w:t>
      </w:r>
      <w:r>
        <w:rPr>
          <w:rFonts w:ascii="宋体" w:hAnsi="宋体" w:cs="宋体" w:eastAsia="宋体" w:hint="default"/>
          <w:spacing w:val="-2"/>
        </w:rPr>
        <w:t>1.09%</w:t>
      </w:r>
      <w:r>
        <w:rPr>
          <w:spacing w:val="-2"/>
        </w:rPr>
        <w:t>。本</w:t>
      </w:r>
      <w:r>
        <w:rPr>
          <w:spacing w:val="-13"/>
          <w:w w:val="100"/>
        </w:rPr>
        <w:t> </w:t>
      </w:r>
      <w:r>
        <w:rPr>
          <w:spacing w:val="-2"/>
        </w:rPr>
        <w:t>次购买固定资产事项根据《深圳证券交易所创业板股票上市规则》等相关规定，不构成关联交易，亦不构</w:t>
      </w:r>
      <w:r>
        <w:rPr>
          <w:spacing w:val="-47"/>
        </w:rPr>
        <w:t> </w:t>
      </w:r>
      <w:r>
        <w:rPr>
          <w:spacing w:val="-47"/>
        </w:rPr>
      </w:r>
      <w:r>
        <w:rPr/>
        <w:t>成《上市公司重大资产重组管理办法》规定的重大资产重组。</w:t>
      </w:r>
    </w:p>
    <w:p>
      <w:pPr>
        <w:pStyle w:val="BodyText"/>
        <w:spacing w:line="408" w:lineRule="auto"/>
        <w:ind w:left="572" w:right="4634" w:firstLine="2"/>
        <w:jc w:val="left"/>
      </w:pPr>
      <w:r>
        <w:rPr>
          <w:rFonts w:ascii="宋体" w:hAnsi="宋体" w:cs="宋体" w:eastAsia="宋体" w:hint="default"/>
          <w:b/>
          <w:bCs/>
        </w:rPr>
        <w:t>2</w:t>
      </w:r>
      <w:r>
        <w:rPr>
          <w:rFonts w:ascii="宋体" w:hAnsi="宋体" w:cs="宋体" w:eastAsia="宋体" w:hint="default"/>
          <w:b/>
          <w:bCs/>
        </w:rPr>
        <w:t>、交易对方的基本情况</w:t>
      </w:r>
      <w:r>
        <w:rPr>
          <w:rFonts w:ascii="宋体" w:hAnsi="宋体" w:cs="宋体" w:eastAsia="宋体" w:hint="default"/>
          <w:b/>
          <w:bCs/>
          <w:w w:val="100"/>
        </w:rPr>
        <w:t> </w:t>
      </w:r>
      <w:r>
        <w:rPr/>
        <w:t>企业名称：无锡软件产业发展有限公司</w:t>
      </w:r>
      <w:r>
        <w:rPr>
          <w:w w:val="100"/>
        </w:rPr>
        <w:t> </w:t>
      </w:r>
      <w:r>
        <w:rPr/>
        <w:t>统一社会信用代码：</w:t>
      </w:r>
      <w:r>
        <w:rPr>
          <w:rFonts w:ascii="宋体" w:hAnsi="宋体" w:cs="宋体" w:eastAsia="宋体" w:hint="default"/>
        </w:rPr>
        <w:t>91320214661313725Q</w:t>
      </w:r>
      <w:r>
        <w:rPr>
          <w:rFonts w:ascii="宋体" w:hAnsi="宋体" w:cs="宋体" w:eastAsia="宋体" w:hint="default"/>
          <w:w w:val="100"/>
        </w:rPr>
        <w:t> </w:t>
      </w:r>
      <w:r>
        <w:rPr>
          <w:spacing w:val="-2"/>
        </w:rPr>
        <w:t>企业类型：有限责任公司（非自然人投资或控股的法人独资）</w:t>
      </w:r>
      <w:r>
        <w:rPr>
          <w:spacing w:val="-52"/>
        </w:rPr>
        <w:t> </w:t>
      </w:r>
      <w:r>
        <w:rPr>
          <w:spacing w:val="-52"/>
        </w:rPr>
      </w:r>
      <w:r>
        <w:rPr/>
        <w:t>法定代表人：秦霞</w:t>
      </w:r>
    </w:p>
    <w:p>
      <w:pPr>
        <w:pStyle w:val="BodyText"/>
        <w:spacing w:line="240" w:lineRule="auto"/>
        <w:ind w:left="572" w:right="986"/>
        <w:jc w:val="left"/>
      </w:pPr>
      <w:r>
        <w:rPr/>
        <w:t>注册资本：</w:t>
      </w:r>
      <w:r>
        <w:rPr>
          <w:rFonts w:ascii="宋体" w:hAnsi="宋体" w:cs="宋体" w:eastAsia="宋体" w:hint="default"/>
        </w:rPr>
        <w:t>85,968</w:t>
      </w:r>
      <w:r>
        <w:rPr/>
        <w:t>万人民币</w:t>
      </w:r>
    </w:p>
    <w:p>
      <w:pPr>
        <w:spacing w:after="0" w:line="240"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left="573" w:right="2114" w:hanging="1"/>
        <w:jc w:val="left"/>
      </w:pPr>
      <w:r>
        <w:rPr/>
        <w:t>营业期限：</w:t>
      </w:r>
      <w:r>
        <w:rPr>
          <w:rFonts w:ascii="宋体" w:hAnsi="宋体" w:cs="宋体" w:eastAsia="宋体" w:hint="default"/>
        </w:rPr>
        <w:t>2007</w:t>
      </w:r>
      <w:r>
        <w:rPr/>
        <w:t>年</w:t>
      </w:r>
      <w:r>
        <w:rPr>
          <w:rFonts w:ascii="宋体" w:hAnsi="宋体" w:cs="宋体" w:eastAsia="宋体" w:hint="default"/>
        </w:rPr>
        <w:t>04</w:t>
      </w:r>
      <w:r>
        <w:rPr/>
        <w:t>月</w:t>
      </w:r>
      <w:r>
        <w:rPr>
          <w:rFonts w:ascii="宋体" w:hAnsi="宋体" w:cs="宋体" w:eastAsia="宋体" w:hint="default"/>
        </w:rPr>
        <w:t>20</w:t>
      </w:r>
      <w:r>
        <w:rPr/>
        <w:t>日至</w:t>
      </w:r>
      <w:r>
        <w:rPr>
          <w:rFonts w:ascii="宋体" w:hAnsi="宋体" w:cs="宋体" w:eastAsia="宋体" w:hint="default"/>
        </w:rPr>
        <w:t>2057</w:t>
      </w:r>
      <w:r>
        <w:rPr/>
        <w:t>年</w:t>
      </w:r>
      <w:r>
        <w:rPr>
          <w:rFonts w:ascii="宋体" w:hAnsi="宋体" w:cs="宋体" w:eastAsia="宋体" w:hint="default"/>
        </w:rPr>
        <w:t>04</w:t>
      </w:r>
      <w:r>
        <w:rPr/>
        <w:t>月</w:t>
      </w:r>
      <w:r>
        <w:rPr>
          <w:rFonts w:ascii="宋体" w:hAnsi="宋体" w:cs="宋体" w:eastAsia="宋体" w:hint="default"/>
        </w:rPr>
        <w:t>19</w:t>
      </w:r>
      <w:r>
        <w:rPr/>
        <w:t>日</w:t>
      </w:r>
      <w:r>
        <w:rPr>
          <w:w w:val="100"/>
        </w:rPr>
        <w:t> </w:t>
      </w:r>
      <w:r>
        <w:rPr>
          <w:spacing w:val="-2"/>
        </w:rPr>
        <w:t>登记机关：无锡国家高新技术产业开发区（无锡市新吴区）行政审批局</w:t>
      </w:r>
      <w:r>
        <w:rPr>
          <w:spacing w:val="-46"/>
        </w:rPr>
        <w:t> </w:t>
      </w:r>
      <w:r>
        <w:rPr>
          <w:spacing w:val="-46"/>
        </w:rPr>
      </w:r>
      <w:r>
        <w:rPr/>
        <w:t>登记状态：存续（在营、开业、在册）</w:t>
      </w:r>
      <w:r>
        <w:rPr>
          <w:w w:val="100"/>
        </w:rPr>
        <w:t> </w:t>
      </w:r>
      <w:r>
        <w:rPr/>
        <w:t>住所：无锡新吴区震泽路</w:t>
      </w:r>
      <w:r>
        <w:rPr>
          <w:rFonts w:ascii="宋体" w:hAnsi="宋体" w:cs="宋体" w:eastAsia="宋体" w:hint="default"/>
        </w:rPr>
        <w:t>18</w:t>
      </w:r>
      <w:r>
        <w:rPr/>
        <w:t>号无锡软件园双子座</w:t>
      </w:r>
      <w:r>
        <w:rPr>
          <w:rFonts w:ascii="宋体" w:hAnsi="宋体" w:cs="宋体" w:eastAsia="宋体" w:hint="default"/>
        </w:rPr>
        <w:t>B</w:t>
      </w:r>
      <w:r>
        <w:rPr/>
        <w:t>座</w:t>
      </w:r>
      <w:r>
        <w:rPr>
          <w:rFonts w:ascii="宋体" w:hAnsi="宋体" w:cs="宋体" w:eastAsia="宋体" w:hint="default"/>
        </w:rPr>
        <w:t>20</w:t>
      </w:r>
      <w:r>
        <w:rPr/>
        <w:t>楼</w:t>
      </w:r>
    </w:p>
    <w:p>
      <w:pPr>
        <w:pStyle w:val="BodyText"/>
        <w:spacing w:line="408" w:lineRule="auto"/>
        <w:ind w:left="153" w:right="1127" w:firstLine="419"/>
        <w:jc w:val="both"/>
        <w:rPr>
          <w:rFonts w:ascii="宋体" w:hAnsi="宋体" w:cs="宋体" w:eastAsia="宋体" w:hint="default"/>
        </w:rPr>
      </w:pPr>
      <w:r>
        <w:rPr>
          <w:spacing w:val="-3"/>
        </w:rPr>
        <w:t>经营范围：科学工业园区的经营管理及配套服务</w:t>
      </w:r>
      <w:r>
        <w:rPr>
          <w:rFonts w:ascii="宋体" w:hAnsi="宋体" w:cs="宋体" w:eastAsia="宋体" w:hint="default"/>
          <w:spacing w:val="-3"/>
        </w:rPr>
        <w:t>;</w:t>
      </w:r>
      <w:r>
        <w:rPr>
          <w:spacing w:val="-3"/>
        </w:rPr>
        <w:t>公用设施开发经营</w:t>
      </w:r>
      <w:r>
        <w:rPr>
          <w:rFonts w:ascii="宋体" w:hAnsi="宋体" w:cs="宋体" w:eastAsia="宋体" w:hint="default"/>
          <w:spacing w:val="-3"/>
        </w:rPr>
        <w:t>;</w:t>
      </w:r>
      <w:r>
        <w:rPr>
          <w:spacing w:val="-3"/>
        </w:rPr>
        <w:t>自有房屋出租</w:t>
      </w:r>
      <w:r>
        <w:rPr>
          <w:rFonts w:ascii="宋体" w:hAnsi="宋体" w:cs="宋体" w:eastAsia="宋体" w:hint="default"/>
          <w:spacing w:val="-3"/>
        </w:rPr>
        <w:t>;</w:t>
      </w:r>
      <w:r>
        <w:rPr>
          <w:spacing w:val="-3"/>
        </w:rPr>
        <w:t>物业管理</w:t>
      </w:r>
      <w:r>
        <w:rPr>
          <w:rFonts w:ascii="宋体" w:hAnsi="宋体" w:cs="宋体" w:eastAsia="宋体" w:hint="default"/>
          <w:spacing w:val="-3"/>
        </w:rPr>
        <w:t>;</w:t>
      </w:r>
      <w:r>
        <w:rPr>
          <w:spacing w:val="-3"/>
        </w:rPr>
        <w:t>软件及</w:t>
      </w:r>
      <w:r>
        <w:rPr>
          <w:spacing w:val="-3"/>
          <w:w w:val="100"/>
        </w:rPr>
        <w:t> </w:t>
      </w:r>
      <w:r>
        <w:rPr/>
        <w:t>电子信息产品的研究、开发及销售</w:t>
      </w:r>
      <w:r>
        <w:rPr>
          <w:rFonts w:ascii="宋体" w:hAnsi="宋体" w:cs="宋体" w:eastAsia="宋体" w:hint="default"/>
        </w:rPr>
        <w:t>;</w:t>
      </w:r>
      <w:r>
        <w:rPr/>
        <w:t>对科技项目的孵化培育</w:t>
      </w:r>
      <w:r>
        <w:rPr>
          <w:rFonts w:ascii="宋体" w:hAnsi="宋体" w:cs="宋体" w:eastAsia="宋体" w:hint="default"/>
        </w:rPr>
        <w:t>;</w:t>
      </w:r>
      <w:r>
        <w:rPr/>
        <w:t>以自有资金投资于国内外高科技术企业</w:t>
      </w:r>
      <w:r>
        <w:rPr>
          <w:rFonts w:ascii="宋体" w:hAnsi="宋体" w:cs="宋体" w:eastAsia="宋体" w:hint="default"/>
        </w:rPr>
        <w:t>;</w:t>
      </w:r>
      <w:r>
        <w:rPr/>
        <w:t>教育</w:t>
      </w:r>
      <w:r>
        <w:rPr>
          <w:spacing w:val="-23"/>
        </w:rPr>
        <w:t> </w:t>
      </w:r>
      <w:r>
        <w:rPr/>
        <w:t>培训</w:t>
      </w:r>
      <w:r>
        <w:rPr>
          <w:rFonts w:ascii="宋体" w:hAnsi="宋体" w:cs="宋体" w:eastAsia="宋体" w:hint="default"/>
        </w:rPr>
        <w:t>(</w:t>
      </w:r>
      <w:r>
        <w:rPr/>
        <w:t>不含发证</w:t>
      </w:r>
      <w:r>
        <w:rPr>
          <w:rFonts w:ascii="宋体" w:hAnsi="宋体" w:cs="宋体" w:eastAsia="宋体" w:hint="default"/>
        </w:rPr>
        <w:t>);</w:t>
      </w:r>
      <w:r>
        <w:rPr/>
        <w:t>咨询服务。</w:t>
      </w:r>
      <w:r>
        <w:rPr>
          <w:rFonts w:ascii="宋体" w:hAnsi="宋体" w:cs="宋体" w:eastAsia="宋体" w:hint="default"/>
        </w:rPr>
        <w:t>(</w:t>
      </w:r>
      <w:r>
        <w:rPr/>
        <w:t>依法须经批准的项目</w:t>
      </w:r>
      <w:r>
        <w:rPr>
          <w:rFonts w:ascii="宋体" w:hAnsi="宋体" w:cs="宋体" w:eastAsia="宋体" w:hint="default"/>
        </w:rPr>
        <w:t>,</w:t>
      </w:r>
      <w:r>
        <w:rPr/>
        <w:t>经相关部门批准后方可开展经营活动</w:t>
      </w:r>
      <w:r>
        <w:rPr>
          <w:rFonts w:ascii="宋体" w:hAnsi="宋体" w:cs="宋体" w:eastAsia="宋体" w:hint="default"/>
        </w:rPr>
        <w:t>)</w:t>
      </w:r>
    </w:p>
    <w:p>
      <w:pPr>
        <w:pStyle w:val="BodyText"/>
        <w:spacing w:line="240" w:lineRule="auto"/>
        <w:ind w:left="573" w:right="986"/>
        <w:jc w:val="left"/>
      </w:pPr>
      <w:r>
        <w:rPr/>
        <w:t>股权结构：</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3"/>
          <w:szCs w:val="13"/>
        </w:rPr>
      </w:pPr>
    </w:p>
    <w:tbl>
      <w:tblPr>
        <w:tblW w:w="0" w:type="auto"/>
        <w:jc w:val="left"/>
        <w:tblInd w:w="688" w:type="dxa"/>
        <w:tblLayout w:type="fixed"/>
        <w:tblCellMar>
          <w:top w:w="0" w:type="dxa"/>
          <w:left w:w="0" w:type="dxa"/>
          <w:bottom w:w="0" w:type="dxa"/>
          <w:right w:w="0" w:type="dxa"/>
        </w:tblCellMar>
        <w:tblLook w:val="01E0"/>
      </w:tblPr>
      <w:tblGrid>
        <w:gridCol w:w="706"/>
        <w:gridCol w:w="3691"/>
        <w:gridCol w:w="2131"/>
        <w:gridCol w:w="2126"/>
      </w:tblGrid>
      <w:tr>
        <w:trPr>
          <w:trHeight w:val="348" w:hRule="exact"/>
        </w:trPr>
        <w:tc>
          <w:tcPr>
            <w:tcW w:w="706"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ind w:left="6" w:right="0"/>
              <w:jc w:val="center"/>
              <w:rPr>
                <w:rFonts w:ascii="宋体" w:hAnsi="宋体" w:cs="宋体" w:eastAsia="宋体" w:hint="default"/>
                <w:sz w:val="21"/>
                <w:szCs w:val="21"/>
              </w:rPr>
            </w:pPr>
            <w:r>
              <w:rPr>
                <w:rFonts w:ascii="宋体" w:hAnsi="宋体" w:cs="宋体" w:eastAsia="宋体" w:hint="default"/>
                <w:sz w:val="21"/>
                <w:szCs w:val="21"/>
              </w:rPr>
              <w:t>序号</w:t>
            </w:r>
          </w:p>
        </w:tc>
        <w:tc>
          <w:tcPr>
            <w:tcW w:w="3691"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股东</w:t>
            </w:r>
          </w:p>
        </w:tc>
        <w:tc>
          <w:tcPr>
            <w:tcW w:w="2131"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认缴出资额（万元）</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持股比例</w:t>
            </w:r>
          </w:p>
        </w:tc>
      </w:tr>
      <w:tr>
        <w:trPr>
          <w:trHeight w:val="346" w:hRule="exact"/>
        </w:trPr>
        <w:tc>
          <w:tcPr>
            <w:tcW w:w="706"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ind w:right="0"/>
              <w:jc w:val="center"/>
              <w:rPr>
                <w:rFonts w:ascii="宋体" w:hAnsi="宋体" w:cs="宋体" w:eastAsia="宋体" w:hint="default"/>
                <w:sz w:val="21"/>
                <w:szCs w:val="21"/>
              </w:rPr>
            </w:pPr>
            <w:r>
              <w:rPr>
                <w:rFonts w:ascii="宋体"/>
                <w:w w:val="100"/>
                <w:sz w:val="21"/>
              </w:rPr>
              <w:t>1</w:t>
            </w:r>
          </w:p>
        </w:tc>
        <w:tc>
          <w:tcPr>
            <w:tcW w:w="3691"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ind w:right="96"/>
              <w:jc w:val="center"/>
              <w:rPr>
                <w:rFonts w:ascii="宋体" w:hAnsi="宋体" w:cs="宋体" w:eastAsia="宋体" w:hint="default"/>
                <w:sz w:val="21"/>
                <w:szCs w:val="21"/>
              </w:rPr>
            </w:pPr>
            <w:r>
              <w:rPr>
                <w:rFonts w:ascii="宋体" w:hAnsi="宋体" w:cs="宋体" w:eastAsia="宋体" w:hint="default"/>
                <w:spacing w:val="-2"/>
                <w:sz w:val="21"/>
                <w:szCs w:val="21"/>
              </w:rPr>
              <w:t>无锡太湖国际科技园投资开发有限公司</w:t>
            </w:r>
          </w:p>
        </w:tc>
        <w:tc>
          <w:tcPr>
            <w:tcW w:w="2131"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ind w:right="0"/>
              <w:jc w:val="center"/>
              <w:rPr>
                <w:rFonts w:ascii="宋体" w:hAnsi="宋体" w:cs="宋体" w:eastAsia="宋体" w:hint="default"/>
                <w:sz w:val="21"/>
                <w:szCs w:val="21"/>
              </w:rPr>
            </w:pPr>
            <w:r>
              <w:rPr>
                <w:rFonts w:ascii="宋体"/>
                <w:sz w:val="21"/>
              </w:rPr>
              <w:t>85,968</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ind w:right="0"/>
              <w:jc w:val="center"/>
              <w:rPr>
                <w:rFonts w:ascii="宋体" w:hAnsi="宋体" w:cs="宋体" w:eastAsia="宋体" w:hint="default"/>
                <w:sz w:val="21"/>
                <w:szCs w:val="21"/>
              </w:rPr>
            </w:pPr>
            <w:r>
              <w:rPr>
                <w:rFonts w:ascii="宋体"/>
                <w:sz w:val="21"/>
              </w:rPr>
              <w:t>100%</w:t>
            </w:r>
          </w:p>
        </w:tc>
      </w:tr>
      <w:tr>
        <w:trPr>
          <w:trHeight w:val="348" w:hRule="exact"/>
        </w:trPr>
        <w:tc>
          <w:tcPr>
            <w:tcW w:w="4397" w:type="dxa"/>
            <w:gridSpan w:val="2"/>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131"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1"/>
                <w:szCs w:val="21"/>
              </w:rPr>
            </w:pPr>
            <w:r>
              <w:rPr>
                <w:rFonts w:ascii="宋体"/>
                <w:b/>
                <w:sz w:val="21"/>
              </w:rPr>
              <w:t>85,968</w:t>
            </w:r>
            <w:r>
              <w:rPr>
                <w:rFonts w:ascii="宋体"/>
                <w:sz w:val="21"/>
              </w:rPr>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1"/>
                <w:szCs w:val="21"/>
              </w:rPr>
            </w:pPr>
            <w:r>
              <w:rPr>
                <w:rFonts w:ascii="宋体"/>
                <w:b/>
                <w:sz w:val="21"/>
              </w:rPr>
              <w:t>100%</w:t>
            </w:r>
            <w:r>
              <w:rPr>
                <w:rFonts w:ascii="宋体"/>
                <w:sz w:val="21"/>
              </w:rPr>
            </w:r>
          </w:p>
        </w:tc>
      </w:tr>
    </w:tbl>
    <w:p>
      <w:pPr>
        <w:pStyle w:val="BodyText"/>
        <w:spacing w:line="408" w:lineRule="auto" w:before="64"/>
        <w:ind w:right="1128" w:firstLine="420"/>
        <w:jc w:val="both"/>
      </w:pPr>
      <w:r>
        <w:rPr>
          <w:spacing w:val="-2"/>
        </w:rPr>
        <w:t>交易对方与公司、公司持股</w:t>
      </w:r>
      <w:r>
        <w:rPr>
          <w:rFonts w:ascii="宋体" w:hAnsi="宋体" w:cs="宋体" w:eastAsia="宋体" w:hint="default"/>
          <w:spacing w:val="-2"/>
        </w:rPr>
        <w:t>5%</w:t>
      </w:r>
      <w:r>
        <w:rPr>
          <w:spacing w:val="-2"/>
        </w:rPr>
        <w:t>以上股东及董监高不存在产权、业务、资产、债权债务、人员等方面的</w:t>
      </w:r>
      <w:r>
        <w:rPr>
          <w:w w:val="100"/>
        </w:rPr>
        <w:t> </w:t>
      </w:r>
      <w:r>
        <w:rPr/>
        <w:t>关系以及其他可能或已经造成公司对其利益倾斜的其他关系。</w:t>
      </w:r>
    </w:p>
    <w:p>
      <w:pPr>
        <w:pStyle w:val="Heading4"/>
        <w:spacing w:line="240" w:lineRule="auto" w:before="46"/>
        <w:ind w:left="575" w:right="986"/>
        <w:jc w:val="left"/>
        <w:rPr>
          <w:b w:val="0"/>
          <w:bCs w:val="0"/>
        </w:rPr>
      </w:pPr>
      <w:r>
        <w:rPr>
          <w:rFonts w:ascii="宋体" w:hAnsi="宋体" w:cs="宋体" w:eastAsia="宋体" w:hint="default"/>
        </w:rPr>
        <w:t>3</w:t>
      </w:r>
      <w:r>
        <w:rPr/>
        <w:t>、交易标的基本情况</w:t>
      </w:r>
      <w:r>
        <w:rPr>
          <w:b w:val="0"/>
          <w:bCs w:val="0"/>
        </w:rPr>
      </w:r>
    </w:p>
    <w:p>
      <w:pPr>
        <w:spacing w:line="240" w:lineRule="auto" w:before="10"/>
        <w:rPr>
          <w:rFonts w:ascii="宋体" w:hAnsi="宋体" w:cs="宋体" w:eastAsia="宋体" w:hint="default"/>
          <w:b/>
          <w:bCs/>
          <w:sz w:val="14"/>
          <w:szCs w:val="14"/>
        </w:rPr>
      </w:pPr>
    </w:p>
    <w:p>
      <w:pPr>
        <w:pStyle w:val="BodyText"/>
        <w:spacing w:line="408" w:lineRule="auto" w:before="0"/>
        <w:ind w:left="153" w:right="1128" w:firstLine="419"/>
        <w:jc w:val="both"/>
      </w:pPr>
      <w:r>
        <w:rPr>
          <w:spacing w:val="-4"/>
        </w:rPr>
        <w:t>（</w:t>
      </w:r>
      <w:r>
        <w:rPr>
          <w:rFonts w:ascii="宋体" w:hAnsi="宋体" w:cs="宋体" w:eastAsia="宋体" w:hint="default"/>
          <w:spacing w:val="-4"/>
        </w:rPr>
        <w:t>1</w:t>
      </w:r>
      <w:r>
        <w:rPr>
          <w:spacing w:val="-4"/>
        </w:rPr>
        <w:t>）交易标的：菱湖大道</w:t>
      </w:r>
      <w:r>
        <w:rPr>
          <w:rFonts w:ascii="宋体" w:hAnsi="宋体" w:cs="宋体" w:eastAsia="宋体" w:hint="default"/>
          <w:spacing w:val="-4"/>
        </w:rPr>
        <w:t>111-33-201</w:t>
      </w:r>
      <w:r>
        <w:rPr>
          <w:spacing w:val="-4"/>
        </w:rPr>
        <w:t>、</w:t>
      </w:r>
      <w:r>
        <w:rPr>
          <w:rFonts w:ascii="宋体" w:hAnsi="宋体" w:cs="宋体" w:eastAsia="宋体" w:hint="default"/>
          <w:spacing w:val="-4"/>
        </w:rPr>
        <w:t>301</w:t>
      </w:r>
      <w:r>
        <w:rPr>
          <w:spacing w:val="-4"/>
        </w:rPr>
        <w:t>、</w:t>
      </w:r>
      <w:r>
        <w:rPr>
          <w:rFonts w:ascii="宋体" w:hAnsi="宋体" w:cs="宋体" w:eastAsia="宋体" w:hint="default"/>
          <w:spacing w:val="-4"/>
        </w:rPr>
        <w:t>401</w:t>
      </w:r>
      <w:r>
        <w:rPr>
          <w:spacing w:val="-4"/>
        </w:rPr>
        <w:t>三套办公用房，上述标的建筑分割面积共计</w:t>
      </w:r>
      <w:r>
        <w:rPr>
          <w:rFonts w:ascii="宋体" w:hAnsi="宋体" w:cs="宋体" w:eastAsia="宋体" w:hint="default"/>
          <w:spacing w:val="-4"/>
        </w:rPr>
        <w:t>6,020.88</w:t>
      </w:r>
      <w:r>
        <w:rPr>
          <w:rFonts w:ascii="宋体" w:hAnsi="宋体" w:cs="宋体" w:eastAsia="宋体" w:hint="default"/>
          <w:w w:val="100"/>
        </w:rPr>
        <w:t> </w:t>
      </w:r>
      <w:r>
        <w:rPr>
          <w:spacing w:val="-2"/>
        </w:rPr>
        <w:t>平方米，为按整体权证面积分割后的面积，权证分割手续需要在转让后办理，实际面积以分割后的权证为</w:t>
      </w:r>
      <w:r>
        <w:rPr>
          <w:spacing w:val="-44"/>
        </w:rPr>
        <w:t> </w:t>
      </w:r>
      <w:r>
        <w:rPr>
          <w:spacing w:val="-44"/>
        </w:rPr>
      </w:r>
      <w:r>
        <w:rPr/>
        <w:t>准；权证类型为国有建设用地；权利性质：出让</w:t>
      </w:r>
      <w:r>
        <w:rPr>
          <w:rFonts w:ascii="宋体" w:hAnsi="宋体" w:cs="宋体" w:eastAsia="宋体" w:hint="default"/>
        </w:rPr>
        <w:t>/</w:t>
      </w:r>
      <w:r>
        <w:rPr/>
        <w:t>其它；用途：科教用地</w:t>
      </w:r>
      <w:r>
        <w:rPr>
          <w:rFonts w:ascii="宋体" w:hAnsi="宋体" w:cs="宋体" w:eastAsia="宋体" w:hint="default"/>
        </w:rPr>
        <w:t>/</w:t>
      </w:r>
      <w:r>
        <w:rPr/>
        <w:t>教育、医疗、卫生、科研。</w:t>
      </w:r>
    </w:p>
    <w:p>
      <w:pPr>
        <w:pStyle w:val="BodyText"/>
        <w:spacing w:line="408" w:lineRule="auto"/>
        <w:ind w:right="986" w:firstLine="420"/>
        <w:jc w:val="left"/>
      </w:pPr>
      <w:r>
        <w:rPr/>
        <w:t>（</w:t>
      </w:r>
      <w:r>
        <w:rPr>
          <w:rFonts w:ascii="宋体" w:hAnsi="宋体" w:cs="宋体" w:eastAsia="宋体" w:hint="default"/>
        </w:rPr>
        <w:t>2</w:t>
      </w:r>
      <w:r>
        <w:rPr/>
        <w:t>）交易标的的资产权属情况说明：交易标的已设定抵押权，权利人为江苏银行股份有限公司无锡</w:t>
      </w:r>
      <w:r>
        <w:rPr>
          <w:w w:val="100"/>
        </w:rPr>
        <w:t> </w:t>
      </w:r>
      <w:r>
        <w:rPr>
          <w:spacing w:val="-2"/>
        </w:rPr>
        <w:t>分行和中信银行股份有限公司无锡分行组成的银团，抵押时间为</w:t>
      </w:r>
      <w:r>
        <w:rPr>
          <w:rFonts w:ascii="宋体" w:hAnsi="宋体" w:cs="宋体" w:eastAsia="宋体" w:hint="default"/>
          <w:spacing w:val="-2"/>
        </w:rPr>
        <w:t>2019</w:t>
      </w:r>
      <w:r>
        <w:rPr>
          <w:spacing w:val="-2"/>
        </w:rPr>
        <w:t>年</w:t>
      </w:r>
      <w:r>
        <w:rPr>
          <w:rFonts w:ascii="宋体" w:hAnsi="宋体" w:cs="宋体" w:eastAsia="宋体" w:hint="default"/>
          <w:spacing w:val="-2"/>
        </w:rPr>
        <w:t>3</w:t>
      </w:r>
      <w:r>
        <w:rPr>
          <w:spacing w:val="-2"/>
        </w:rPr>
        <w:t>月</w:t>
      </w:r>
      <w:r>
        <w:rPr>
          <w:rFonts w:ascii="宋体" w:hAnsi="宋体" w:cs="宋体" w:eastAsia="宋体" w:hint="default"/>
          <w:spacing w:val="-2"/>
        </w:rPr>
        <w:t>20</w:t>
      </w:r>
      <w:r>
        <w:rPr>
          <w:spacing w:val="-2"/>
        </w:rPr>
        <w:t>日至</w:t>
      </w:r>
      <w:r>
        <w:rPr>
          <w:rFonts w:ascii="宋体" w:hAnsi="宋体" w:cs="宋体" w:eastAsia="宋体" w:hint="default"/>
          <w:spacing w:val="-2"/>
        </w:rPr>
        <w:t>2029</w:t>
      </w:r>
      <w:r>
        <w:rPr>
          <w:spacing w:val="-2"/>
        </w:rPr>
        <w:t>年</w:t>
      </w:r>
      <w:r>
        <w:rPr>
          <w:rFonts w:ascii="宋体" w:hAnsi="宋体" w:cs="宋体" w:eastAsia="宋体" w:hint="default"/>
          <w:spacing w:val="-2"/>
        </w:rPr>
        <w:t>3</w:t>
      </w:r>
      <w:r>
        <w:rPr>
          <w:spacing w:val="-2"/>
        </w:rPr>
        <w:t>月</w:t>
      </w:r>
      <w:r>
        <w:rPr>
          <w:rFonts w:ascii="宋体" w:hAnsi="宋体" w:cs="宋体" w:eastAsia="宋体" w:hint="default"/>
          <w:spacing w:val="-2"/>
        </w:rPr>
        <w:t>10</w:t>
      </w:r>
      <w:r>
        <w:rPr>
          <w:spacing w:val="-2"/>
        </w:rPr>
        <w:t>日。此次转</w:t>
      </w:r>
      <w:r>
        <w:rPr>
          <w:spacing w:val="-34"/>
        </w:rPr>
        <w:t> </w:t>
      </w:r>
      <w:r>
        <w:rPr>
          <w:spacing w:val="-34"/>
        </w:rPr>
      </w:r>
      <w:r>
        <w:rPr>
          <w:spacing w:val="-5"/>
        </w:rPr>
        <w:t>让已取得抵押权人的同意，转让完成后，江苏税软将配合转让方将转让价款优先偿还银行贷款。除此之外，</w:t>
      </w:r>
      <w:r>
        <w:rPr>
          <w:spacing w:val="-6"/>
        </w:rPr>
        <w:t> </w:t>
      </w:r>
      <w:r>
        <w:rPr>
          <w:spacing w:val="-6"/>
        </w:rPr>
      </w:r>
      <w:r>
        <w:rPr>
          <w:spacing w:val="-2"/>
        </w:rPr>
        <w:t>交易标的不存在质押及其他任何转让限制的情况，不存在涉及房产的重大争议、诉讼或仲裁事项，不存在</w:t>
      </w:r>
      <w:r>
        <w:rPr>
          <w:spacing w:val="-42"/>
        </w:rPr>
        <w:t> </w:t>
      </w:r>
      <w:r>
        <w:rPr>
          <w:spacing w:val="-42"/>
        </w:rPr>
      </w:r>
      <w:r>
        <w:rPr/>
        <w:t>查封、冻结等司法措施等情况，不存在妨碍权属转移的其他情况。</w:t>
      </w:r>
    </w:p>
    <w:p>
      <w:pPr>
        <w:pStyle w:val="BodyText"/>
        <w:spacing w:line="408" w:lineRule="auto"/>
        <w:ind w:right="1128" w:firstLine="420"/>
        <w:jc w:val="both"/>
      </w:pPr>
      <w:r>
        <w:rPr/>
        <w:t>（</w:t>
      </w:r>
      <w:r>
        <w:rPr>
          <w:rFonts w:ascii="宋体" w:hAnsi="宋体" w:cs="宋体" w:eastAsia="宋体" w:hint="default"/>
        </w:rPr>
        <w:t>3</w:t>
      </w:r>
      <w:r>
        <w:rPr/>
        <w:t>）转让方式及定价依据：本次产权交易于</w:t>
      </w:r>
      <w:r>
        <w:rPr>
          <w:rFonts w:ascii="宋体" w:hAnsi="宋体" w:cs="宋体" w:eastAsia="宋体" w:hint="default"/>
        </w:rPr>
        <w:t>2019</w:t>
      </w:r>
      <w:r>
        <w:rPr/>
        <w:t>年</w:t>
      </w:r>
      <w:r>
        <w:rPr>
          <w:rFonts w:ascii="宋体" w:hAnsi="宋体" w:cs="宋体" w:eastAsia="宋体" w:hint="default"/>
        </w:rPr>
        <w:t>08</w:t>
      </w:r>
      <w:r>
        <w:rPr/>
        <w:t>月</w:t>
      </w:r>
      <w:r>
        <w:rPr>
          <w:rFonts w:ascii="宋体" w:hAnsi="宋体" w:cs="宋体" w:eastAsia="宋体" w:hint="default"/>
        </w:rPr>
        <w:t>16</w:t>
      </w:r>
      <w:r>
        <w:rPr/>
        <w:t>日至</w:t>
      </w:r>
      <w:r>
        <w:rPr>
          <w:rFonts w:ascii="宋体" w:hAnsi="宋体" w:cs="宋体" w:eastAsia="宋体" w:hint="default"/>
        </w:rPr>
        <w:t>2019</w:t>
      </w:r>
      <w:r>
        <w:rPr/>
        <w:t>年</w:t>
      </w:r>
      <w:r>
        <w:rPr>
          <w:rFonts w:ascii="宋体" w:hAnsi="宋体" w:cs="宋体" w:eastAsia="宋体" w:hint="default"/>
        </w:rPr>
        <w:t>09</w:t>
      </w:r>
      <w:r>
        <w:rPr/>
        <w:t>月</w:t>
      </w:r>
      <w:r>
        <w:rPr>
          <w:rFonts w:ascii="宋体" w:hAnsi="宋体" w:cs="宋体" w:eastAsia="宋体" w:hint="default"/>
        </w:rPr>
        <w:t>12</w:t>
      </w:r>
      <w:r>
        <w:rPr/>
        <w:t>日，经无锡产权交易所</w:t>
      </w:r>
      <w:r>
        <w:rPr>
          <w:w w:val="100"/>
        </w:rPr>
        <w:t> </w:t>
      </w:r>
      <w:r>
        <w:rPr>
          <w:spacing w:val="-2"/>
        </w:rPr>
        <w:t>公开挂牌，挂牌期间仅征集到江苏税软一个意向受让方，按照产权交易规则确定江苏税软为转让标的受让</w:t>
      </w:r>
      <w:r>
        <w:rPr>
          <w:spacing w:val="-42"/>
        </w:rPr>
        <w:t> </w:t>
      </w:r>
      <w:r>
        <w:rPr>
          <w:spacing w:val="-42"/>
        </w:rPr>
      </w:r>
      <w:r>
        <w:rPr>
          <w:spacing w:val="-2"/>
        </w:rPr>
        <w:t>方。经江苏铭诚土地房地产评估测绘工程咨询有限公司评估，评估价为人民币</w:t>
      </w:r>
      <w:r>
        <w:rPr>
          <w:rFonts w:ascii="宋体" w:hAnsi="宋体" w:cs="宋体" w:eastAsia="宋体" w:hint="default"/>
          <w:spacing w:val="-2"/>
        </w:rPr>
        <w:t>3,744.04</w:t>
      </w:r>
      <w:r>
        <w:rPr>
          <w:spacing w:val="-2"/>
        </w:rPr>
        <w:t>万元。本次购买房</w:t>
      </w:r>
      <w:r>
        <w:rPr>
          <w:spacing w:val="-39"/>
        </w:rPr>
        <w:t> </w:t>
      </w:r>
      <w:r>
        <w:rPr>
          <w:spacing w:val="-39"/>
        </w:rPr>
      </w:r>
      <w:r>
        <w:rPr/>
        <w:t>产总额为</w:t>
      </w:r>
      <w:r>
        <w:rPr>
          <w:rFonts w:ascii="宋体" w:hAnsi="宋体" w:cs="宋体" w:eastAsia="宋体" w:hint="default"/>
        </w:rPr>
        <w:t>3,744.04</w:t>
      </w:r>
      <w:r>
        <w:rPr/>
        <w:t>万元。</w:t>
      </w:r>
    </w:p>
    <w:p>
      <w:pPr>
        <w:spacing w:line="408" w:lineRule="auto" w:before="46"/>
        <w:ind w:left="572" w:right="986" w:firstLine="2"/>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、本次交易的目的及对公司的影响</w:t>
      </w:r>
      <w:r>
        <w:rPr>
          <w:rFonts w:ascii="宋体" w:hAnsi="宋体" w:cs="宋体" w:eastAsia="宋体" w:hint="default"/>
          <w:b/>
          <w:bCs/>
          <w:w w:val="100"/>
          <w:sz w:val="21"/>
          <w:szCs w:val="21"/>
        </w:rPr>
        <w:t> </w:t>
      </w:r>
      <w:r>
        <w:rPr>
          <w:rFonts w:ascii="宋体" w:hAnsi="宋体" w:cs="宋体" w:eastAsia="宋体" w:hint="default"/>
          <w:spacing w:val="-2"/>
          <w:sz w:val="21"/>
          <w:szCs w:val="21"/>
        </w:rPr>
        <w:t>本次购置房产将有效解决江苏税软现有主要办公、研发场地、仓储及设备展厅空间不足的问题，有效</w:t>
      </w:r>
    </w:p>
    <w:p>
      <w:pPr>
        <w:pStyle w:val="BodyText"/>
        <w:spacing w:line="408" w:lineRule="auto"/>
        <w:ind w:right="986"/>
        <w:jc w:val="left"/>
      </w:pPr>
      <w:r>
        <w:rPr>
          <w:spacing w:val="-2"/>
        </w:rPr>
        <w:t>支撑江苏税软未来企业发展规划，有利于江苏税软的长远发展，进一步提升公司的综合竞争力。本次交易</w:t>
      </w:r>
      <w:r>
        <w:rPr>
          <w:spacing w:val="-42"/>
        </w:rPr>
        <w:t> </w:t>
      </w:r>
      <w:r>
        <w:rPr>
          <w:spacing w:val="-42"/>
        </w:rPr>
      </w:r>
      <w:r>
        <w:rPr/>
        <w:t>不存在损害公司及全体股东利益的情形。</w:t>
      </w:r>
    </w:p>
    <w:p>
      <w:pPr>
        <w:spacing w:after="0" w:line="408"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pStyle w:val="Heading1"/>
        <w:spacing w:line="240" w:lineRule="auto"/>
        <w:ind w:left="3044" w:right="986"/>
        <w:jc w:val="left"/>
        <w:rPr>
          <w:b w:val="0"/>
          <w:bCs w:val="0"/>
        </w:rPr>
      </w:pPr>
      <w:bookmarkStart w:name="第六节股份变动及股东情况" w:id="104"/>
      <w:bookmarkEnd w:id="104"/>
      <w:r>
        <w:rPr>
          <w:b w:val="0"/>
          <w:bCs w:val="0"/>
        </w:rPr>
      </w:r>
      <w:bookmarkStart w:name="_bookmark4" w:id="105"/>
      <w:bookmarkEnd w:id="105"/>
      <w:r>
        <w:rPr>
          <w:b w:val="0"/>
          <w:bCs w:val="0"/>
        </w:rPr>
      </w:r>
      <w:r>
        <w:rPr/>
        <w:t>第六节股份变动及股东情况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6"/>
          <w:szCs w:val="16"/>
        </w:rPr>
      </w:pPr>
    </w:p>
    <w:p>
      <w:pPr>
        <w:pStyle w:val="Heading2"/>
        <w:spacing w:line="240" w:lineRule="auto" w:before="26"/>
        <w:ind w:right="986"/>
        <w:jc w:val="left"/>
        <w:rPr>
          <w:b w:val="0"/>
          <w:bCs w:val="0"/>
        </w:rPr>
      </w:pPr>
      <w:bookmarkStart w:name="一、股份变动情况" w:id="106"/>
      <w:bookmarkEnd w:id="106"/>
      <w:r>
        <w:rPr>
          <w:b w:val="0"/>
          <w:bCs w:val="0"/>
        </w:rPr>
      </w:r>
      <w:r>
        <w:rPr/>
        <w:t>一、股份变动情况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6"/>
        <w:jc w:val="left"/>
        <w:rPr>
          <w:b w:val="0"/>
          <w:bCs w:val="0"/>
        </w:rPr>
      </w:pPr>
      <w:bookmarkStart w:name="1、股份变动情况" w:id="107"/>
      <w:bookmarkEnd w:id="107"/>
      <w:r>
        <w:rPr>
          <w:b w:val="0"/>
          <w:bCs w:val="0"/>
        </w:rPr>
      </w:r>
      <w:r>
        <w:rPr>
          <w:rFonts w:ascii="Times New Roman" w:hAnsi="Times New Roman" w:cs="Times New Roman" w:eastAsia="Times New Roman" w:hint="default"/>
        </w:rPr>
        <w:t>1</w:t>
      </w:r>
      <w:r>
        <w:rPr/>
        <w:t>、股份变动情况</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916"/>
        <w:gridCol w:w="1002"/>
        <w:gridCol w:w="869"/>
        <w:gridCol w:w="900"/>
        <w:gridCol w:w="540"/>
        <w:gridCol w:w="600"/>
        <w:gridCol w:w="946"/>
        <w:gridCol w:w="943"/>
        <w:gridCol w:w="1051"/>
        <w:gridCol w:w="792"/>
      </w:tblGrid>
      <w:tr>
        <w:trPr>
          <w:trHeight w:val="402" w:hRule="exact"/>
        </w:trPr>
        <w:tc>
          <w:tcPr>
            <w:tcW w:w="1916" w:type="dxa"/>
            <w:tcBorders>
              <w:top w:val="single" w:sz="4" w:space="0" w:color="000000"/>
              <w:left w:val="single" w:sz="4" w:space="0" w:color="000000"/>
              <w:bottom w:val="nil" w:sz="6" w:space="0" w:color="auto"/>
              <w:right w:val="single" w:sz="4" w:space="0" w:color="000000"/>
            </w:tcBorders>
            <w:shd w:val="clear" w:color="auto" w:fill="D4D4D4"/>
          </w:tcPr>
          <w:p>
            <w:pPr/>
          </w:p>
        </w:tc>
        <w:tc>
          <w:tcPr>
            <w:tcW w:w="1871"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85"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3929" w:type="dxa"/>
            <w:gridSpan w:val="5"/>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69"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843"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70"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62" w:hRule="exact"/>
        </w:trPr>
        <w:tc>
          <w:tcPr>
            <w:tcW w:w="1916" w:type="dxa"/>
            <w:vMerge w:val="restart"/>
            <w:tcBorders>
              <w:top w:val="nil" w:sz="6" w:space="0" w:color="auto"/>
              <w:left w:val="single" w:sz="4" w:space="0" w:color="000000"/>
              <w:right w:val="single" w:sz="4" w:space="0" w:color="000000"/>
            </w:tcBorders>
            <w:shd w:val="clear" w:color="auto" w:fill="D4D4D4"/>
          </w:tcPr>
          <w:p>
            <w:pPr/>
          </w:p>
        </w:tc>
        <w:tc>
          <w:tcPr>
            <w:tcW w:w="1002" w:type="dxa"/>
            <w:tcBorders>
              <w:top w:val="single" w:sz="4" w:space="0" w:color="000000"/>
              <w:left w:val="single" w:sz="4" w:space="0" w:color="000000"/>
              <w:bottom w:val="nil" w:sz="6" w:space="0" w:color="auto"/>
              <w:right w:val="single" w:sz="4" w:space="0" w:color="000000"/>
            </w:tcBorders>
            <w:shd w:val="clear" w:color="auto" w:fill="D4D4D4"/>
          </w:tcPr>
          <w:p>
            <w:pPr/>
          </w:p>
        </w:tc>
        <w:tc>
          <w:tcPr>
            <w:tcW w:w="869" w:type="dxa"/>
            <w:tcBorders>
              <w:top w:val="single" w:sz="4" w:space="0" w:color="000000"/>
              <w:left w:val="single" w:sz="4" w:space="0" w:color="000000"/>
              <w:bottom w:val="nil" w:sz="6" w:space="0" w:color="auto"/>
              <w:right w:val="single" w:sz="4" w:space="0" w:color="000000"/>
            </w:tcBorders>
            <w:shd w:val="clear" w:color="auto" w:fill="D4D4D4"/>
          </w:tcPr>
          <w:p>
            <w:pPr/>
          </w:p>
        </w:tc>
        <w:tc>
          <w:tcPr>
            <w:tcW w:w="900" w:type="dxa"/>
            <w:tcBorders>
              <w:top w:val="single" w:sz="4" w:space="0" w:color="000000"/>
              <w:left w:val="single" w:sz="4" w:space="0" w:color="000000"/>
              <w:bottom w:val="nil" w:sz="6" w:space="0" w:color="auto"/>
              <w:right w:val="single" w:sz="4" w:space="0" w:color="000000"/>
            </w:tcBorders>
            <w:shd w:val="clear" w:color="auto" w:fill="D4D4D4"/>
          </w:tcPr>
          <w:p>
            <w:pPr/>
          </w:p>
        </w:tc>
        <w:tc>
          <w:tcPr>
            <w:tcW w:w="540" w:type="dxa"/>
            <w:tcBorders>
              <w:top w:val="single" w:sz="4" w:space="0" w:color="000000"/>
              <w:left w:val="single" w:sz="4" w:space="0" w:color="000000"/>
              <w:bottom w:val="nil" w:sz="6" w:space="0" w:color="auto"/>
              <w:right w:val="single" w:sz="4" w:space="0" w:color="000000"/>
            </w:tcBorders>
            <w:shd w:val="clear" w:color="auto" w:fill="D4D4D4"/>
          </w:tcPr>
          <w:p>
            <w:pPr/>
          </w:p>
        </w:tc>
        <w:tc>
          <w:tcPr>
            <w:tcW w:w="600" w:type="dxa"/>
            <w:vMerge w:val="restart"/>
            <w:tcBorders>
              <w:top w:val="single" w:sz="4" w:space="0" w:color="000000"/>
              <w:left w:val="single" w:sz="4" w:space="0" w:color="000000"/>
              <w:right w:val="single" w:sz="4" w:space="0" w:color="000000"/>
            </w:tcBorders>
            <w:shd w:val="clear" w:color="auto" w:fill="D4D4D4"/>
          </w:tcPr>
          <w:p>
            <w:pPr>
              <w:pStyle w:val="TableParagraph"/>
              <w:spacing w:line="314" w:lineRule="auto" w:before="50"/>
              <w:ind w:left="115" w:right="23" w:hanging="89"/>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946" w:type="dxa"/>
            <w:tcBorders>
              <w:top w:val="single" w:sz="4" w:space="0" w:color="000000"/>
              <w:left w:val="single" w:sz="4" w:space="0" w:color="000000"/>
              <w:bottom w:val="nil" w:sz="6" w:space="0" w:color="auto"/>
              <w:right w:val="single" w:sz="4" w:space="0" w:color="000000"/>
            </w:tcBorders>
            <w:shd w:val="clear" w:color="auto" w:fill="D4D4D4"/>
          </w:tcPr>
          <w:p>
            <w:pPr/>
          </w:p>
        </w:tc>
        <w:tc>
          <w:tcPr>
            <w:tcW w:w="943" w:type="dxa"/>
            <w:tcBorders>
              <w:top w:val="single" w:sz="4" w:space="0" w:color="000000"/>
              <w:left w:val="single" w:sz="4" w:space="0" w:color="000000"/>
              <w:bottom w:val="nil" w:sz="6" w:space="0" w:color="auto"/>
              <w:right w:val="single" w:sz="4" w:space="0" w:color="000000"/>
            </w:tcBorders>
            <w:shd w:val="clear" w:color="auto" w:fill="D4D4D4"/>
          </w:tcPr>
          <w:p>
            <w:pPr/>
          </w:p>
        </w:tc>
        <w:tc>
          <w:tcPr>
            <w:tcW w:w="1051" w:type="dxa"/>
            <w:tcBorders>
              <w:top w:val="single" w:sz="4" w:space="0" w:color="000000"/>
              <w:left w:val="single" w:sz="4" w:space="0" w:color="000000"/>
              <w:bottom w:val="nil" w:sz="6" w:space="0" w:color="auto"/>
              <w:right w:val="single" w:sz="4" w:space="0" w:color="000000"/>
            </w:tcBorders>
            <w:shd w:val="clear" w:color="auto" w:fill="D4D4D4"/>
          </w:tcPr>
          <w:p>
            <w:pPr/>
          </w:p>
        </w:tc>
        <w:tc>
          <w:tcPr>
            <w:tcW w:w="792" w:type="dxa"/>
            <w:tcBorders>
              <w:top w:val="single" w:sz="4" w:space="0" w:color="000000"/>
              <w:left w:val="single" w:sz="4" w:space="0" w:color="000000"/>
              <w:bottom w:val="nil" w:sz="6" w:space="0" w:color="auto"/>
              <w:right w:val="single" w:sz="4" w:space="0" w:color="000000"/>
            </w:tcBorders>
            <w:shd w:val="clear" w:color="auto" w:fill="D4D4D4"/>
          </w:tcPr>
          <w:p>
            <w:pPr/>
          </w:p>
        </w:tc>
      </w:tr>
      <w:tr>
        <w:trPr>
          <w:trHeight w:val="190" w:hRule="exact"/>
        </w:trPr>
        <w:tc>
          <w:tcPr>
            <w:tcW w:w="1916" w:type="dxa"/>
            <w:vMerge/>
            <w:tcBorders>
              <w:left w:val="single" w:sz="4" w:space="0" w:color="000000"/>
              <w:bottom w:val="nil" w:sz="6" w:space="0" w:color="auto"/>
              <w:right w:val="single" w:sz="4" w:space="0" w:color="000000"/>
            </w:tcBorders>
            <w:shd w:val="clear" w:color="auto" w:fill="D4D4D4"/>
          </w:tcPr>
          <w:p>
            <w:pPr/>
          </w:p>
        </w:tc>
        <w:tc>
          <w:tcPr>
            <w:tcW w:w="1002"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320"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869"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249"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900"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86"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540"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83"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600" w:type="dxa"/>
            <w:vMerge/>
            <w:tcBorders>
              <w:left w:val="single" w:sz="4" w:space="0" w:color="000000"/>
              <w:right w:val="single" w:sz="4" w:space="0" w:color="000000"/>
            </w:tcBorders>
            <w:shd w:val="clear" w:color="auto" w:fill="D4D4D4"/>
          </w:tcPr>
          <w:p>
            <w:pPr/>
          </w:p>
        </w:tc>
        <w:tc>
          <w:tcPr>
            <w:tcW w:w="946"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28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43"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287"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051"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343"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92"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211"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202" w:hRule="exact"/>
        </w:trPr>
        <w:tc>
          <w:tcPr>
            <w:tcW w:w="1916" w:type="dxa"/>
            <w:vMerge w:val="restart"/>
            <w:tcBorders>
              <w:top w:val="nil" w:sz="6" w:space="0" w:color="auto"/>
              <w:left w:val="single" w:sz="4" w:space="0" w:color="000000"/>
              <w:right w:val="single" w:sz="4" w:space="0" w:color="000000"/>
            </w:tcBorders>
            <w:shd w:val="clear" w:color="auto" w:fill="D4D4D4"/>
          </w:tcPr>
          <w:p>
            <w:pPr/>
          </w:p>
        </w:tc>
        <w:tc>
          <w:tcPr>
            <w:tcW w:w="1002" w:type="dxa"/>
            <w:vMerge/>
            <w:tcBorders>
              <w:left w:val="single" w:sz="4" w:space="0" w:color="000000"/>
              <w:bottom w:val="nil" w:sz="6" w:space="0" w:color="auto"/>
              <w:right w:val="single" w:sz="4" w:space="0" w:color="000000"/>
            </w:tcBorders>
            <w:shd w:val="clear" w:color="auto" w:fill="D4D4D4"/>
          </w:tcPr>
          <w:p>
            <w:pPr/>
          </w:p>
        </w:tc>
        <w:tc>
          <w:tcPr>
            <w:tcW w:w="869" w:type="dxa"/>
            <w:vMerge/>
            <w:tcBorders>
              <w:left w:val="single" w:sz="4" w:space="0" w:color="000000"/>
              <w:bottom w:val="nil" w:sz="6" w:space="0" w:color="auto"/>
              <w:right w:val="single" w:sz="4" w:space="0" w:color="000000"/>
            </w:tcBorders>
            <w:shd w:val="clear" w:color="auto" w:fill="D4D4D4"/>
          </w:tcPr>
          <w:p>
            <w:pPr/>
          </w:p>
        </w:tc>
        <w:tc>
          <w:tcPr>
            <w:tcW w:w="900" w:type="dxa"/>
            <w:vMerge/>
            <w:tcBorders>
              <w:left w:val="single" w:sz="4" w:space="0" w:color="000000"/>
              <w:bottom w:val="nil" w:sz="6" w:space="0" w:color="auto"/>
              <w:right w:val="single" w:sz="4" w:space="0" w:color="000000"/>
            </w:tcBorders>
            <w:shd w:val="clear" w:color="auto" w:fill="D4D4D4"/>
          </w:tcPr>
          <w:p>
            <w:pPr/>
          </w:p>
        </w:tc>
        <w:tc>
          <w:tcPr>
            <w:tcW w:w="540" w:type="dxa"/>
            <w:vMerge/>
            <w:tcBorders>
              <w:left w:val="single" w:sz="4" w:space="0" w:color="000000"/>
              <w:bottom w:val="nil" w:sz="6" w:space="0" w:color="auto"/>
              <w:right w:val="single" w:sz="4" w:space="0" w:color="000000"/>
            </w:tcBorders>
            <w:shd w:val="clear" w:color="auto" w:fill="D4D4D4"/>
          </w:tcPr>
          <w:p>
            <w:pPr/>
          </w:p>
        </w:tc>
        <w:tc>
          <w:tcPr>
            <w:tcW w:w="600" w:type="dxa"/>
            <w:vMerge/>
            <w:tcBorders>
              <w:left w:val="single" w:sz="4" w:space="0" w:color="000000"/>
              <w:right w:val="single" w:sz="4" w:space="0" w:color="000000"/>
            </w:tcBorders>
            <w:shd w:val="clear" w:color="auto" w:fill="D4D4D4"/>
          </w:tcPr>
          <w:p>
            <w:pPr/>
          </w:p>
        </w:tc>
        <w:tc>
          <w:tcPr>
            <w:tcW w:w="946" w:type="dxa"/>
            <w:vMerge/>
            <w:tcBorders>
              <w:left w:val="single" w:sz="4" w:space="0" w:color="000000"/>
              <w:bottom w:val="nil" w:sz="6" w:space="0" w:color="auto"/>
              <w:right w:val="single" w:sz="4" w:space="0" w:color="000000"/>
            </w:tcBorders>
            <w:shd w:val="clear" w:color="auto" w:fill="D4D4D4"/>
          </w:tcPr>
          <w:p>
            <w:pPr/>
          </w:p>
        </w:tc>
        <w:tc>
          <w:tcPr>
            <w:tcW w:w="943" w:type="dxa"/>
            <w:vMerge/>
            <w:tcBorders>
              <w:left w:val="single" w:sz="4" w:space="0" w:color="000000"/>
              <w:bottom w:val="nil" w:sz="6" w:space="0" w:color="auto"/>
              <w:right w:val="single" w:sz="4" w:space="0" w:color="000000"/>
            </w:tcBorders>
            <w:shd w:val="clear" w:color="auto" w:fill="D4D4D4"/>
          </w:tcPr>
          <w:p>
            <w:pPr/>
          </w:p>
        </w:tc>
        <w:tc>
          <w:tcPr>
            <w:tcW w:w="1051" w:type="dxa"/>
            <w:vMerge/>
            <w:tcBorders>
              <w:left w:val="single" w:sz="4" w:space="0" w:color="000000"/>
              <w:bottom w:val="nil" w:sz="6" w:space="0" w:color="auto"/>
              <w:right w:val="single" w:sz="4" w:space="0" w:color="000000"/>
            </w:tcBorders>
            <w:shd w:val="clear" w:color="auto" w:fill="D4D4D4"/>
          </w:tcPr>
          <w:p>
            <w:pPr/>
          </w:p>
        </w:tc>
        <w:tc>
          <w:tcPr>
            <w:tcW w:w="792" w:type="dxa"/>
            <w:vMerge/>
            <w:tcBorders>
              <w:left w:val="single" w:sz="4" w:space="0" w:color="000000"/>
              <w:bottom w:val="nil" w:sz="6" w:space="0" w:color="auto"/>
              <w:right w:val="single" w:sz="4" w:space="0" w:color="000000"/>
            </w:tcBorders>
            <w:shd w:val="clear" w:color="auto" w:fill="D4D4D4"/>
          </w:tcPr>
          <w:p>
            <w:pPr/>
          </w:p>
        </w:tc>
      </w:tr>
      <w:tr>
        <w:trPr>
          <w:trHeight w:val="161" w:hRule="exact"/>
        </w:trPr>
        <w:tc>
          <w:tcPr>
            <w:tcW w:w="1916" w:type="dxa"/>
            <w:vMerge/>
            <w:tcBorders>
              <w:left w:val="single" w:sz="4" w:space="0" w:color="000000"/>
              <w:bottom w:val="single" w:sz="4" w:space="0" w:color="000000"/>
              <w:right w:val="single" w:sz="4" w:space="0" w:color="000000"/>
            </w:tcBorders>
            <w:shd w:val="clear" w:color="auto" w:fill="D4D4D4"/>
          </w:tcPr>
          <w:p>
            <w:pPr/>
          </w:p>
        </w:tc>
        <w:tc>
          <w:tcPr>
            <w:tcW w:w="1002" w:type="dxa"/>
            <w:tcBorders>
              <w:top w:val="nil" w:sz="6" w:space="0" w:color="auto"/>
              <w:left w:val="single" w:sz="4" w:space="0" w:color="000000"/>
              <w:bottom w:val="single" w:sz="4" w:space="0" w:color="000000"/>
              <w:right w:val="single" w:sz="4" w:space="0" w:color="000000"/>
            </w:tcBorders>
            <w:shd w:val="clear" w:color="auto" w:fill="D4D4D4"/>
          </w:tcPr>
          <w:p>
            <w:pPr/>
          </w:p>
        </w:tc>
        <w:tc>
          <w:tcPr>
            <w:tcW w:w="869" w:type="dxa"/>
            <w:tcBorders>
              <w:top w:val="nil" w:sz="6" w:space="0" w:color="auto"/>
              <w:left w:val="single" w:sz="4" w:space="0" w:color="000000"/>
              <w:bottom w:val="single" w:sz="4" w:space="0" w:color="000000"/>
              <w:right w:val="single" w:sz="4" w:space="0" w:color="000000"/>
            </w:tcBorders>
            <w:shd w:val="clear" w:color="auto" w:fill="D4D4D4"/>
          </w:tcPr>
          <w:p>
            <w:pPr/>
          </w:p>
        </w:tc>
        <w:tc>
          <w:tcPr>
            <w:tcW w:w="900" w:type="dxa"/>
            <w:tcBorders>
              <w:top w:val="nil" w:sz="6" w:space="0" w:color="auto"/>
              <w:left w:val="single" w:sz="4" w:space="0" w:color="000000"/>
              <w:bottom w:val="single" w:sz="4" w:space="0" w:color="000000"/>
              <w:right w:val="single" w:sz="4" w:space="0" w:color="000000"/>
            </w:tcBorders>
            <w:shd w:val="clear" w:color="auto" w:fill="D4D4D4"/>
          </w:tcPr>
          <w:p>
            <w:pPr/>
          </w:p>
        </w:tc>
        <w:tc>
          <w:tcPr>
            <w:tcW w:w="540" w:type="dxa"/>
            <w:tcBorders>
              <w:top w:val="nil" w:sz="6" w:space="0" w:color="auto"/>
              <w:left w:val="single" w:sz="4" w:space="0" w:color="000000"/>
              <w:bottom w:val="single" w:sz="4" w:space="0" w:color="000000"/>
              <w:right w:val="single" w:sz="4" w:space="0" w:color="000000"/>
            </w:tcBorders>
            <w:shd w:val="clear" w:color="auto" w:fill="D4D4D4"/>
          </w:tcPr>
          <w:p>
            <w:pPr/>
          </w:p>
        </w:tc>
        <w:tc>
          <w:tcPr>
            <w:tcW w:w="600" w:type="dxa"/>
            <w:vMerge/>
            <w:tcBorders>
              <w:left w:val="single" w:sz="4" w:space="0" w:color="000000"/>
              <w:bottom w:val="single" w:sz="4" w:space="0" w:color="000000"/>
              <w:right w:val="single" w:sz="4" w:space="0" w:color="000000"/>
            </w:tcBorders>
            <w:shd w:val="clear" w:color="auto" w:fill="D4D4D4"/>
          </w:tcPr>
          <w:p>
            <w:pPr/>
          </w:p>
        </w:tc>
        <w:tc>
          <w:tcPr>
            <w:tcW w:w="946" w:type="dxa"/>
            <w:tcBorders>
              <w:top w:val="nil" w:sz="6" w:space="0" w:color="auto"/>
              <w:left w:val="single" w:sz="4" w:space="0" w:color="000000"/>
              <w:bottom w:val="single" w:sz="4" w:space="0" w:color="000000"/>
              <w:right w:val="single" w:sz="4" w:space="0" w:color="000000"/>
            </w:tcBorders>
            <w:shd w:val="clear" w:color="auto" w:fill="D4D4D4"/>
          </w:tcPr>
          <w:p>
            <w:pPr/>
          </w:p>
        </w:tc>
        <w:tc>
          <w:tcPr>
            <w:tcW w:w="943" w:type="dxa"/>
            <w:tcBorders>
              <w:top w:val="nil" w:sz="6" w:space="0" w:color="auto"/>
              <w:left w:val="single" w:sz="4" w:space="0" w:color="000000"/>
              <w:bottom w:val="single" w:sz="4" w:space="0" w:color="000000"/>
              <w:right w:val="single" w:sz="4" w:space="0" w:color="000000"/>
            </w:tcBorders>
            <w:shd w:val="clear" w:color="auto" w:fill="D4D4D4"/>
          </w:tcPr>
          <w:p>
            <w:pPr/>
          </w:p>
        </w:tc>
        <w:tc>
          <w:tcPr>
            <w:tcW w:w="1051" w:type="dxa"/>
            <w:tcBorders>
              <w:top w:val="nil" w:sz="6" w:space="0" w:color="auto"/>
              <w:left w:val="single" w:sz="4" w:space="0" w:color="000000"/>
              <w:bottom w:val="single" w:sz="4" w:space="0" w:color="000000"/>
              <w:right w:val="single" w:sz="4" w:space="0" w:color="000000"/>
            </w:tcBorders>
            <w:shd w:val="clear" w:color="auto" w:fill="D4D4D4"/>
          </w:tcPr>
          <w:p>
            <w:pPr/>
          </w:p>
        </w:tc>
        <w:tc>
          <w:tcPr>
            <w:tcW w:w="792" w:type="dxa"/>
            <w:tcBorders>
              <w:top w:val="nil" w:sz="6" w:space="0" w:color="auto"/>
              <w:left w:val="single" w:sz="4" w:space="0" w:color="000000"/>
              <w:bottom w:val="single" w:sz="4" w:space="0" w:color="000000"/>
              <w:right w:val="single" w:sz="4" w:space="0" w:color="000000"/>
            </w:tcBorders>
            <w:shd w:val="clear" w:color="auto" w:fill="D4D4D4"/>
          </w:tcPr>
          <w:p>
            <w:pP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00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303,727,853</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38.21%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9,577,900</w:t>
            </w:r>
          </w:p>
        </w:tc>
        <w:tc>
          <w:tcPr>
            <w:tcW w:w="54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-41,674,295</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-32,096,395</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271,631,458</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33.79%</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00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0.00%</w:t>
            </w:r>
          </w:p>
        </w:tc>
        <w:tc>
          <w:tcPr>
            <w:tcW w:w="90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0.00%</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00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0.00%</w:t>
            </w:r>
          </w:p>
        </w:tc>
        <w:tc>
          <w:tcPr>
            <w:tcW w:w="90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00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303,614,253</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38.20%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9,461,600</w:t>
            </w:r>
          </w:p>
        </w:tc>
        <w:tc>
          <w:tcPr>
            <w:tcW w:w="54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-41,560,695</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-32,099,095</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271,515,158</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33.77%</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100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0.00%</w:t>
            </w:r>
          </w:p>
        </w:tc>
        <w:tc>
          <w:tcPr>
            <w:tcW w:w="90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92"/>
              <w:jc w:val="right"/>
              <w:rPr>
                <w:rFonts w:ascii="宋体" w:hAnsi="宋体" w:cs="宋体" w:eastAsia="宋体" w:hint="default"/>
                <w:sz w:val="18"/>
                <w:szCs w:val="18"/>
              </w:rPr>
            </w:pPr>
            <w:r>
              <w:rPr>
                <w:rFonts w:ascii="宋体" w:hAnsi="宋体" w:cs="宋体" w:eastAsia="宋体" w:hint="default"/>
                <w:sz w:val="18"/>
                <w:szCs w:val="18"/>
              </w:rPr>
              <w:t>境内自然人持股</w:t>
            </w:r>
          </w:p>
        </w:tc>
        <w:tc>
          <w:tcPr>
            <w:tcW w:w="100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303,614,253</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38.20%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9,461,600</w:t>
            </w:r>
          </w:p>
        </w:tc>
        <w:tc>
          <w:tcPr>
            <w:tcW w:w="54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-41,560,695</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-32,099,095</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271,515,158</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33.77%</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00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113,600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2"/>
                <w:sz w:val="18"/>
              </w:rPr>
              <w:t>116,300</w:t>
            </w:r>
          </w:p>
        </w:tc>
        <w:tc>
          <w:tcPr>
            <w:tcW w:w="54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w w:val="95"/>
                <w:sz w:val="18"/>
              </w:rPr>
              <w:t>-113,600</w:t>
            </w:r>
            <w:r>
              <w:rPr>
                <w:rFonts w:ascii="Times New Roman"/>
                <w:spacing w:val="-1"/>
                <w:sz w:val="18"/>
              </w:rPr>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2,700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2"/>
                <w:sz w:val="18"/>
              </w:rPr>
              <w:t>116,300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0.01%</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00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0.00%</w:t>
            </w:r>
          </w:p>
        </w:tc>
        <w:tc>
          <w:tcPr>
            <w:tcW w:w="90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0.00%</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92"/>
              <w:jc w:val="right"/>
              <w:rPr>
                <w:rFonts w:ascii="宋体" w:hAnsi="宋体" w:cs="宋体" w:eastAsia="宋体" w:hint="default"/>
                <w:sz w:val="18"/>
                <w:szCs w:val="18"/>
              </w:rPr>
            </w:pPr>
            <w:r>
              <w:rPr>
                <w:rFonts w:ascii="宋体" w:hAnsi="宋体" w:cs="宋体" w:eastAsia="宋体" w:hint="default"/>
                <w:sz w:val="18"/>
                <w:szCs w:val="18"/>
              </w:rPr>
              <w:t>境外自然人持股</w:t>
            </w:r>
          </w:p>
        </w:tc>
        <w:tc>
          <w:tcPr>
            <w:tcW w:w="100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113,600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2"/>
                <w:sz w:val="18"/>
              </w:rPr>
              <w:t>116,300</w:t>
            </w:r>
          </w:p>
        </w:tc>
        <w:tc>
          <w:tcPr>
            <w:tcW w:w="54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w w:val="95"/>
                <w:sz w:val="18"/>
              </w:rPr>
              <w:t>-113,600</w:t>
            </w:r>
            <w:r>
              <w:rPr>
                <w:rFonts w:ascii="Times New Roman"/>
                <w:spacing w:val="-1"/>
                <w:sz w:val="18"/>
              </w:rPr>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2,700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2"/>
                <w:sz w:val="18"/>
              </w:rPr>
              <w:t>116,300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0.01%</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00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491,104,956</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61.79%</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54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41,257,303</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41,257,303</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532,362,259</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66.21%</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00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491,104,956</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61.79%</w:t>
            </w:r>
          </w:p>
        </w:tc>
        <w:tc>
          <w:tcPr>
            <w:tcW w:w="90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41,257,303</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41,257,303</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532,362,259</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66.21%</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100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0.00%</w:t>
            </w:r>
          </w:p>
        </w:tc>
        <w:tc>
          <w:tcPr>
            <w:tcW w:w="90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0.00%</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100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0.00%</w:t>
            </w:r>
          </w:p>
        </w:tc>
        <w:tc>
          <w:tcPr>
            <w:tcW w:w="90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00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0.00%</w:t>
            </w:r>
          </w:p>
        </w:tc>
        <w:tc>
          <w:tcPr>
            <w:tcW w:w="90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00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794,832,809</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9,577,900</w:t>
            </w:r>
          </w:p>
        </w:tc>
        <w:tc>
          <w:tcPr>
            <w:tcW w:w="54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-416,992</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9,160,908</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803,993,717</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100.00%</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股份变动的原因</w:t>
      </w:r>
    </w:p>
    <w:p>
      <w:pPr>
        <w:spacing w:before="115"/>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13"/>
          <w:szCs w:val="13"/>
        </w:rPr>
      </w:pPr>
    </w:p>
    <w:p>
      <w:pPr>
        <w:pStyle w:val="BodyText"/>
        <w:spacing w:line="408" w:lineRule="auto" w:before="0"/>
        <w:ind w:right="1128" w:firstLine="314"/>
        <w:jc w:val="both"/>
      </w:pPr>
      <w:r>
        <w:rPr>
          <w:spacing w:val="-2"/>
        </w:rPr>
        <w:t>（</w:t>
      </w:r>
      <w:r>
        <w:rPr>
          <w:rFonts w:ascii="宋体" w:hAnsi="宋体" w:cs="宋体" w:eastAsia="宋体" w:hint="default"/>
          <w:spacing w:val="-2"/>
        </w:rPr>
        <w:t>1</w:t>
      </w:r>
      <w:r>
        <w:rPr>
          <w:spacing w:val="-2"/>
        </w:rPr>
        <w:t>）部分董事、高级管理人员所持公司股份解锁：前副董事长郭永芳，副总经理苏学武、张雪峰，前</w:t>
      </w:r>
      <w:r>
        <w:rPr>
          <w:w w:val="100"/>
        </w:rPr>
        <w:t> </w:t>
      </w:r>
      <w:r>
        <w:rPr>
          <w:spacing w:val="-2"/>
        </w:rPr>
        <w:t>副总经理赵庸今年年初所持高管锁定股按上年末持股总数的</w:t>
      </w:r>
      <w:r>
        <w:rPr>
          <w:rFonts w:ascii="宋体" w:hAnsi="宋体" w:cs="宋体" w:eastAsia="宋体" w:hint="default"/>
          <w:spacing w:val="-2"/>
        </w:rPr>
        <w:t>25%</w:t>
      </w:r>
      <w:r>
        <w:rPr>
          <w:spacing w:val="-2"/>
        </w:rPr>
        <w:t>解锁，共计</w:t>
      </w:r>
      <w:r>
        <w:rPr>
          <w:rFonts w:ascii="宋体" w:hAnsi="宋体" w:cs="宋体" w:eastAsia="宋体" w:hint="default"/>
          <w:spacing w:val="-2"/>
        </w:rPr>
        <w:t>8,002,504</w:t>
      </w:r>
      <w:r>
        <w:rPr>
          <w:spacing w:val="-2"/>
        </w:rPr>
        <w:t>股由高管锁定股转为</w:t>
      </w:r>
      <w:r>
        <w:rPr>
          <w:spacing w:val="-36"/>
        </w:rPr>
        <w:t> </w:t>
      </w:r>
      <w:r>
        <w:rPr>
          <w:spacing w:val="-36"/>
        </w:rPr>
      </w:r>
      <w:r>
        <w:rPr>
          <w:spacing w:val="-2"/>
        </w:rPr>
        <w:t>无限售流通股。原副总经理、董事会秘书李滢雪离任至任期届满已满半年，其所持高管锁定股共计</w:t>
      </w:r>
      <w:r>
        <w:rPr>
          <w:rFonts w:ascii="宋体" w:hAnsi="宋体" w:cs="宋体" w:eastAsia="宋体" w:hint="default"/>
          <w:spacing w:val="-2"/>
        </w:rPr>
        <w:t>88,800</w:t>
      </w:r>
      <w:r>
        <w:rPr>
          <w:rFonts w:ascii="宋体" w:hAnsi="宋体" w:cs="宋体" w:eastAsia="宋体" w:hint="default"/>
          <w:spacing w:val="-37"/>
        </w:rPr>
        <w:t> </w:t>
      </w:r>
      <w:r>
        <w:rPr>
          <w:rFonts w:ascii="宋体" w:hAnsi="宋体" w:cs="宋体" w:eastAsia="宋体" w:hint="default"/>
          <w:spacing w:val="-37"/>
        </w:rPr>
      </w:r>
      <w:r>
        <w:rPr/>
        <w:t>股全部转为无限售流通股。</w:t>
      </w:r>
    </w:p>
    <w:p>
      <w:pPr>
        <w:pStyle w:val="BodyText"/>
        <w:spacing w:line="408" w:lineRule="auto"/>
        <w:ind w:right="986" w:firstLine="422"/>
        <w:jc w:val="left"/>
      </w:pPr>
      <w:r>
        <w:rPr>
          <w:spacing w:val="-2"/>
        </w:rPr>
        <w:t>（</w:t>
      </w:r>
      <w:r>
        <w:rPr>
          <w:rFonts w:ascii="宋体" w:hAnsi="宋体" w:cs="宋体" w:eastAsia="宋体" w:hint="default"/>
          <w:spacing w:val="-2"/>
        </w:rPr>
        <w:t>2</w:t>
      </w:r>
      <w:r>
        <w:rPr>
          <w:spacing w:val="-2"/>
        </w:rPr>
        <w:t>）非公开发行限售股解禁：公司非公开发行股份购买资产之标的公司江苏税软、新德汇</w:t>
      </w:r>
      <w:r>
        <w:rPr>
          <w:rFonts w:ascii="宋体" w:hAnsi="宋体" w:cs="宋体" w:eastAsia="宋体" w:hint="default"/>
          <w:spacing w:val="-2"/>
        </w:rPr>
        <w:t>2017</w:t>
      </w:r>
      <w:r>
        <w:rPr>
          <w:spacing w:val="-2"/>
        </w:rPr>
        <w:t>年度</w:t>
      </w:r>
      <w:r>
        <w:rPr>
          <w:spacing w:val="-3"/>
          <w:w w:val="100"/>
        </w:rPr>
        <w:t> </w:t>
      </w:r>
      <w:r>
        <w:rPr>
          <w:spacing w:val="-2"/>
        </w:rPr>
        <w:t>完成了业绩承诺，公司于</w:t>
      </w:r>
      <w:r>
        <w:rPr>
          <w:rFonts w:ascii="宋体" w:hAnsi="宋体" w:cs="宋体" w:eastAsia="宋体" w:hint="default"/>
          <w:spacing w:val="-2"/>
        </w:rPr>
        <w:t>2019</w:t>
      </w:r>
      <w:r>
        <w:rPr>
          <w:spacing w:val="-2"/>
        </w:rPr>
        <w:t>年</w:t>
      </w:r>
      <w:r>
        <w:rPr>
          <w:rFonts w:ascii="宋体" w:hAnsi="宋体" w:cs="宋体" w:eastAsia="宋体" w:hint="default"/>
          <w:spacing w:val="-2"/>
        </w:rPr>
        <w:t>1</w:t>
      </w:r>
      <w:r>
        <w:rPr>
          <w:spacing w:val="-2"/>
        </w:rPr>
        <w:t>月</w:t>
      </w:r>
      <w:r>
        <w:rPr>
          <w:rFonts w:ascii="宋体" w:hAnsi="宋体" w:cs="宋体" w:eastAsia="宋体" w:hint="default"/>
          <w:spacing w:val="-2"/>
        </w:rPr>
        <w:t>25</w:t>
      </w:r>
      <w:r>
        <w:rPr>
          <w:spacing w:val="-2"/>
        </w:rPr>
        <w:t>日对韦玉荣等</w:t>
      </w:r>
      <w:r>
        <w:rPr>
          <w:rFonts w:ascii="宋体" w:hAnsi="宋体" w:cs="宋体" w:eastAsia="宋体" w:hint="default"/>
          <w:spacing w:val="-2"/>
        </w:rPr>
        <w:t>19</w:t>
      </w:r>
      <w:r>
        <w:rPr>
          <w:spacing w:val="-2"/>
        </w:rPr>
        <w:t>人持有的共计</w:t>
      </w:r>
      <w:r>
        <w:rPr>
          <w:rFonts w:ascii="宋体" w:hAnsi="宋体" w:cs="宋体" w:eastAsia="宋体" w:hint="default"/>
          <w:spacing w:val="-2"/>
        </w:rPr>
        <w:t>36,686,489</w:t>
      </w:r>
      <w:r>
        <w:rPr>
          <w:spacing w:val="-2"/>
        </w:rPr>
        <w:t>股解除限售，由于苏学武</w:t>
      </w:r>
    </w:p>
    <w:p>
      <w:pPr>
        <w:spacing w:after="0" w:line="408"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left="153" w:right="986" w:hanging="1"/>
        <w:jc w:val="left"/>
      </w:pPr>
      <w:r>
        <w:rPr>
          <w:spacing w:val="-2"/>
        </w:rPr>
        <w:t>和韦玉荣为公司董事，其所持共计</w:t>
      </w:r>
      <w:r>
        <w:rPr>
          <w:rFonts w:ascii="宋体" w:hAnsi="宋体" w:cs="宋体" w:eastAsia="宋体" w:hint="default"/>
          <w:spacing w:val="-2"/>
        </w:rPr>
        <w:t>12,437,162</w:t>
      </w:r>
      <w:r>
        <w:rPr>
          <w:spacing w:val="-2"/>
        </w:rPr>
        <w:t>股转为高管锁定股。详见</w:t>
      </w:r>
      <w:r>
        <w:rPr>
          <w:rFonts w:ascii="宋体" w:hAnsi="宋体" w:cs="宋体" w:eastAsia="宋体" w:hint="default"/>
          <w:spacing w:val="-2"/>
        </w:rPr>
        <w:t>2019</w:t>
      </w:r>
      <w:r>
        <w:rPr>
          <w:spacing w:val="-2"/>
        </w:rPr>
        <w:t>年</w:t>
      </w:r>
      <w:r>
        <w:rPr>
          <w:rFonts w:ascii="宋体" w:hAnsi="宋体" w:cs="宋体" w:eastAsia="宋体" w:hint="default"/>
          <w:spacing w:val="-2"/>
        </w:rPr>
        <w:t>1</w:t>
      </w:r>
      <w:r>
        <w:rPr>
          <w:spacing w:val="-2"/>
        </w:rPr>
        <w:t>月</w:t>
      </w:r>
      <w:r>
        <w:rPr>
          <w:rFonts w:ascii="宋体" w:hAnsi="宋体" w:cs="宋体" w:eastAsia="宋体" w:hint="default"/>
          <w:spacing w:val="-2"/>
        </w:rPr>
        <w:t>22</w:t>
      </w:r>
      <w:r>
        <w:rPr>
          <w:spacing w:val="-2"/>
        </w:rPr>
        <w:t>日公司发布在巨潮资</w:t>
      </w:r>
      <w:r>
        <w:rPr>
          <w:spacing w:val="-9"/>
        </w:rPr>
        <w:t> </w:t>
      </w:r>
      <w:r>
        <w:rPr>
          <w:spacing w:val="-9"/>
        </w:rPr>
      </w:r>
      <w:r>
        <w:rPr/>
        <w:t>讯网</w:t>
      </w:r>
      <w:r>
        <w:rPr>
          <w:spacing w:val="-3"/>
        </w:rPr>
        <w:t> </w:t>
      </w:r>
      <w:hyperlink r:id="rId22">
        <w:r>
          <w:rPr>
            <w:rFonts w:ascii="宋体" w:hAnsi="宋体" w:cs="宋体" w:eastAsia="宋体" w:hint="default"/>
          </w:rPr>
          <w:t>www.cninfo.com.cn</w:t>
        </w:r>
        <w:r>
          <w:rPr/>
          <w:t>的《关</w:t>
        </w:r>
      </w:hyperlink>
      <w:r>
        <w:rPr/>
        <w:t>于非公开发行限售股份上市流通的提示性公告》。</w:t>
      </w:r>
    </w:p>
    <w:p>
      <w:pPr>
        <w:pStyle w:val="BodyText"/>
        <w:spacing w:line="408" w:lineRule="auto"/>
        <w:ind w:left="153" w:right="986" w:firstLine="314"/>
        <w:jc w:val="left"/>
      </w:pPr>
      <w:r>
        <w:rPr>
          <w:spacing w:val="-2"/>
        </w:rPr>
        <w:t>（</w:t>
      </w:r>
      <w:r>
        <w:rPr>
          <w:rFonts w:ascii="宋体" w:hAnsi="宋体" w:cs="宋体" w:eastAsia="宋体" w:hint="default"/>
          <w:spacing w:val="-2"/>
        </w:rPr>
        <w:t>3</w:t>
      </w:r>
      <w:r>
        <w:rPr>
          <w:spacing w:val="-2"/>
        </w:rPr>
        <w:t>）第二期限制性股票激励计划首次授予部分第二个解锁期及预留部分第一个解锁期解除限售：解锁</w:t>
      </w:r>
      <w:r>
        <w:rPr>
          <w:w w:val="100"/>
        </w:rPr>
        <w:t> </w:t>
      </w:r>
      <w:r>
        <w:rPr>
          <w:spacing w:val="-2"/>
        </w:rPr>
        <w:t>的首次授予部分限制性股票数量为</w:t>
      </w:r>
      <w:r>
        <w:rPr>
          <w:rFonts w:ascii="宋体" w:hAnsi="宋体" w:cs="宋体" w:eastAsia="宋体" w:hint="default"/>
          <w:spacing w:val="-2"/>
        </w:rPr>
        <w:t>4,098,912</w:t>
      </w:r>
      <w:r>
        <w:rPr>
          <w:spacing w:val="-2"/>
        </w:rPr>
        <w:t>股；解锁的预留授予部分的限制性股票数量为</w:t>
      </w:r>
      <w:r>
        <w:rPr>
          <w:rFonts w:ascii="宋体" w:hAnsi="宋体" w:cs="宋体" w:eastAsia="宋体" w:hint="default"/>
          <w:spacing w:val="-2"/>
        </w:rPr>
        <w:t>701,360</w:t>
      </w:r>
      <w:r>
        <w:rPr>
          <w:spacing w:val="-2"/>
        </w:rPr>
        <w:t>股。其</w:t>
      </w:r>
      <w:r>
        <w:rPr>
          <w:spacing w:val="-44"/>
        </w:rPr>
        <w:t> </w:t>
      </w:r>
      <w:r>
        <w:rPr>
          <w:spacing w:val="-44"/>
        </w:rPr>
      </w:r>
      <w:r>
        <w:rPr/>
        <w:t>中苏学武、葛鹏、周成祖、蔡志评、吴鸿伟、</w:t>
      </w:r>
      <w:r>
        <w:rPr>
          <w:spacing w:val="-7"/>
        </w:rPr>
        <w:t> </w:t>
      </w:r>
      <w:r>
        <w:rPr/>
        <w:t>栾江霞、张雪峰、张乃军，因其可转让额度已经达到其所</w:t>
      </w:r>
      <w:r>
        <w:rPr>
          <w:spacing w:val="-3"/>
          <w:w w:val="100"/>
        </w:rPr>
        <w:t> </w:t>
      </w:r>
      <w:r>
        <w:rPr>
          <w:spacing w:val="-2"/>
        </w:rPr>
        <w:t>持全部股份的</w:t>
      </w:r>
      <w:r>
        <w:rPr>
          <w:rFonts w:ascii="宋体" w:hAnsi="宋体" w:cs="宋体" w:eastAsia="宋体" w:hint="default"/>
          <w:spacing w:val="-2"/>
        </w:rPr>
        <w:t>25%</w:t>
      </w:r>
      <w:r>
        <w:rPr>
          <w:spacing w:val="-2"/>
        </w:rPr>
        <w:t>，根据董事、监事、高管每年可转让其持有的</w:t>
      </w:r>
      <w:r>
        <w:rPr>
          <w:rFonts w:ascii="宋体" w:hAnsi="宋体" w:cs="宋体" w:eastAsia="宋体" w:hint="default"/>
          <w:spacing w:val="-2"/>
        </w:rPr>
        <w:t>25%</w:t>
      </w:r>
      <w:r>
        <w:rPr>
          <w:spacing w:val="-2"/>
        </w:rPr>
        <w:t>公司股份的规定，上述人员本次解除限</w:t>
      </w:r>
      <w:r>
        <w:rPr>
          <w:spacing w:val="-48"/>
        </w:rPr>
        <w:t> </w:t>
      </w:r>
      <w:r>
        <w:rPr>
          <w:spacing w:val="-48"/>
        </w:rPr>
      </w:r>
      <w:r>
        <w:rPr/>
        <w:t>售的限制性股票总计</w:t>
      </w:r>
      <w:r>
        <w:rPr>
          <w:rFonts w:ascii="宋体" w:hAnsi="宋体" w:cs="宋体" w:eastAsia="宋体" w:hint="default"/>
        </w:rPr>
        <w:t>183,840</w:t>
      </w:r>
      <w:r>
        <w:rPr/>
        <w:t>股，转为高管锁定股。详见</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28</w:t>
      </w:r>
      <w:r>
        <w:rPr/>
        <w:t>日公司发布在巨潮资讯网</w:t>
      </w:r>
      <w:r>
        <w:rPr>
          <w:spacing w:val="-3"/>
          <w:w w:val="100"/>
        </w:rPr>
        <w:t> </w:t>
      </w:r>
      <w:hyperlink r:id="rId22">
        <w:r>
          <w:rPr>
            <w:rFonts w:ascii="宋体" w:hAnsi="宋体" w:cs="宋体" w:eastAsia="宋体" w:hint="default"/>
          </w:rPr>
          <w:t>www.cninfo.com.cn</w:t>
        </w:r>
        <w:r>
          <w:rPr/>
          <w:t>的《</w:t>
        </w:r>
      </w:hyperlink>
      <w:r>
        <w:rPr/>
        <w:t>关于公司第二期限制性股票激励计划首次授予部分第二个解锁期解锁股份上市流</w:t>
      </w:r>
      <w:r>
        <w:rPr>
          <w:w w:val="100"/>
        </w:rPr>
        <w:t> </w:t>
      </w:r>
      <w:r>
        <w:rPr>
          <w:spacing w:val="-2"/>
        </w:rPr>
        <w:t>通的提示性公告》、《关于公司第二期限制性股票激励计划预留授予部分第一个解锁期解锁股份上市流通</w:t>
      </w:r>
      <w:r>
        <w:rPr>
          <w:spacing w:val="-43"/>
        </w:rPr>
        <w:t> </w:t>
      </w:r>
      <w:r>
        <w:rPr>
          <w:spacing w:val="-43"/>
        </w:rPr>
      </w:r>
      <w:r>
        <w:rPr/>
        <w:t>的提示性公告》。</w:t>
      </w:r>
    </w:p>
    <w:p>
      <w:pPr>
        <w:pStyle w:val="BodyText"/>
        <w:spacing w:line="408" w:lineRule="auto"/>
        <w:ind w:left="153" w:right="986" w:firstLine="314"/>
        <w:jc w:val="left"/>
      </w:pPr>
      <w:r>
        <w:rPr>
          <w:spacing w:val="-2"/>
        </w:rPr>
        <w:t>（</w:t>
      </w:r>
      <w:r>
        <w:rPr>
          <w:rFonts w:ascii="宋体" w:hAnsi="宋体" w:cs="宋体" w:eastAsia="宋体" w:hint="default"/>
          <w:spacing w:val="-2"/>
        </w:rPr>
        <w:t>4</w:t>
      </w:r>
      <w:r>
        <w:rPr>
          <w:spacing w:val="-2"/>
        </w:rPr>
        <w:t>）第二期限制性股票激励计划首次授予部分第三个解锁期及预留部分第二个解锁期解除限售：解锁</w:t>
      </w:r>
      <w:r>
        <w:rPr>
          <w:w w:val="100"/>
        </w:rPr>
        <w:t> </w:t>
      </w:r>
      <w:r>
        <w:rPr>
          <w:spacing w:val="-2"/>
        </w:rPr>
        <w:t>的首次授予部分限制性股票数量为</w:t>
      </w:r>
      <w:r>
        <w:rPr>
          <w:rFonts w:ascii="宋体" w:hAnsi="宋体" w:cs="宋体" w:eastAsia="宋体" w:hint="default"/>
          <w:spacing w:val="-2"/>
        </w:rPr>
        <w:t>3,846,720</w:t>
      </w:r>
      <w:r>
        <w:rPr>
          <w:spacing w:val="-2"/>
        </w:rPr>
        <w:t>股；解锁的预留授予部分的限制性股票数量为</w:t>
      </w:r>
      <w:r>
        <w:rPr>
          <w:rFonts w:ascii="宋体" w:hAnsi="宋体" w:cs="宋体" w:eastAsia="宋体" w:hint="default"/>
          <w:spacing w:val="-2"/>
        </w:rPr>
        <w:t>666,160</w:t>
      </w:r>
      <w:r>
        <w:rPr>
          <w:spacing w:val="-2"/>
        </w:rPr>
        <w:t>股。其</w:t>
      </w:r>
      <w:r>
        <w:rPr>
          <w:spacing w:val="-44"/>
        </w:rPr>
        <w:t> </w:t>
      </w:r>
      <w:r>
        <w:rPr>
          <w:spacing w:val="-44"/>
        </w:rPr>
      </w:r>
      <w:r>
        <w:rPr/>
        <w:t>中苏学武、葛鹏、周成祖、蔡志评、吴鸿伟、</w:t>
      </w:r>
      <w:r>
        <w:rPr>
          <w:spacing w:val="-7"/>
        </w:rPr>
        <w:t> </w:t>
      </w:r>
      <w:r>
        <w:rPr/>
        <w:t>栾江霞、张雪峰、张乃军，因其可转让额度已经达到其所</w:t>
      </w:r>
      <w:r>
        <w:rPr>
          <w:spacing w:val="-3"/>
          <w:w w:val="100"/>
        </w:rPr>
        <w:t> </w:t>
      </w:r>
      <w:r>
        <w:rPr>
          <w:spacing w:val="-2"/>
        </w:rPr>
        <w:t>持全部股份的</w:t>
      </w:r>
      <w:r>
        <w:rPr>
          <w:rFonts w:ascii="宋体" w:hAnsi="宋体" w:cs="宋体" w:eastAsia="宋体" w:hint="default"/>
          <w:spacing w:val="-2"/>
        </w:rPr>
        <w:t>25%</w:t>
      </w:r>
      <w:r>
        <w:rPr>
          <w:spacing w:val="-2"/>
        </w:rPr>
        <w:t>，根据董事、监事、高管每年可转让其持有的</w:t>
      </w:r>
      <w:r>
        <w:rPr>
          <w:rFonts w:ascii="宋体" w:hAnsi="宋体" w:cs="宋体" w:eastAsia="宋体" w:hint="default"/>
          <w:spacing w:val="-2"/>
        </w:rPr>
        <w:t>25%</w:t>
      </w:r>
      <w:r>
        <w:rPr>
          <w:spacing w:val="-2"/>
        </w:rPr>
        <w:t>公司股份的规定，上述人员本次解除限</w:t>
      </w:r>
      <w:r>
        <w:rPr>
          <w:spacing w:val="-48"/>
        </w:rPr>
        <w:t> </w:t>
      </w:r>
      <w:r>
        <w:rPr>
          <w:spacing w:val="-48"/>
        </w:rPr>
      </w:r>
      <w:r>
        <w:rPr/>
        <w:t>售的限制性股票总计</w:t>
      </w:r>
      <w:r>
        <w:rPr>
          <w:rFonts w:ascii="宋体" w:hAnsi="宋体" w:cs="宋体" w:eastAsia="宋体" w:hint="default"/>
        </w:rPr>
        <w:t>183,840</w:t>
      </w:r>
      <w:r>
        <w:rPr/>
        <w:t>股，转为高管锁定股。详见</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25</w:t>
      </w:r>
      <w:r>
        <w:rPr/>
        <w:t>日公司发布在巨潮资讯网</w:t>
      </w:r>
      <w:r>
        <w:rPr>
          <w:spacing w:val="-3"/>
          <w:w w:val="100"/>
        </w:rPr>
        <w:t> </w:t>
      </w:r>
      <w:hyperlink r:id="rId22">
        <w:r>
          <w:rPr>
            <w:rFonts w:ascii="宋体" w:hAnsi="宋体" w:cs="宋体" w:eastAsia="宋体" w:hint="default"/>
          </w:rPr>
          <w:t>www.cninfo.com.cn</w:t>
        </w:r>
        <w:r>
          <w:rPr/>
          <w:t>的《</w:t>
        </w:r>
      </w:hyperlink>
      <w:r>
        <w:rPr/>
        <w:t>关于公司第二期限制性股票激励计划首次授予部分第二个解锁期解锁股份上市流</w:t>
      </w:r>
      <w:r>
        <w:rPr>
          <w:w w:val="100"/>
        </w:rPr>
        <w:t> </w:t>
      </w:r>
      <w:r>
        <w:rPr>
          <w:spacing w:val="-2"/>
        </w:rPr>
        <w:t>通的提示性公告》、《关于公司第二期限制性股票激励计划预留授予部分第一个解锁期解锁股份上市流通</w:t>
      </w:r>
      <w:r>
        <w:rPr>
          <w:spacing w:val="-43"/>
        </w:rPr>
        <w:t> </w:t>
      </w:r>
      <w:r>
        <w:rPr>
          <w:spacing w:val="-43"/>
        </w:rPr>
      </w:r>
      <w:r>
        <w:rPr/>
        <w:t>的提示性公告》。</w:t>
      </w:r>
    </w:p>
    <w:p>
      <w:pPr>
        <w:pStyle w:val="BodyText"/>
        <w:spacing w:line="408" w:lineRule="auto"/>
        <w:ind w:left="154" w:right="986" w:firstLine="314"/>
        <w:jc w:val="left"/>
      </w:pPr>
      <w:r>
        <w:rPr/>
        <w:t>（</w:t>
      </w:r>
      <w:r>
        <w:rPr>
          <w:rFonts w:ascii="宋体" w:hAnsi="宋体" w:cs="宋体" w:eastAsia="宋体" w:hint="default"/>
        </w:rPr>
        <w:t>5</w:t>
      </w:r>
      <w:r>
        <w:rPr/>
        <w:t>）</w:t>
      </w:r>
      <w:r>
        <w:rPr>
          <w:rFonts w:ascii="宋体" w:hAnsi="宋体" w:cs="宋体" w:eastAsia="宋体" w:hint="default"/>
        </w:rPr>
        <w:t>2019</w:t>
      </w:r>
      <w:r>
        <w:rPr/>
        <w:t>年股票期权与限制性股票激励计划：</w:t>
      </w:r>
      <w:r>
        <w:rPr>
          <w:rFonts w:ascii="宋体" w:hAnsi="宋体" w:cs="宋体" w:eastAsia="宋体" w:hint="default"/>
        </w:rPr>
        <w:t>2019</w:t>
      </w:r>
      <w:r>
        <w:rPr/>
        <w:t>年</w:t>
      </w:r>
      <w:r>
        <w:rPr>
          <w:rFonts w:ascii="宋体" w:hAnsi="宋体" w:cs="宋体" w:eastAsia="宋体" w:hint="default"/>
        </w:rPr>
        <w:t>3</w:t>
      </w:r>
      <w:r>
        <w:rPr/>
        <w:t>月</w:t>
      </w:r>
      <w:r>
        <w:rPr>
          <w:rFonts w:ascii="宋体" w:hAnsi="宋体" w:cs="宋体" w:eastAsia="宋体" w:hint="default"/>
        </w:rPr>
        <w:t>28</w:t>
      </w:r>
      <w:r>
        <w:rPr/>
        <w:t>日，公司第四届董事会第六次会议审议通</w:t>
      </w:r>
      <w:r>
        <w:rPr>
          <w:spacing w:val="-3"/>
          <w:w w:val="100"/>
        </w:rPr>
        <w:t> </w:t>
      </w:r>
      <w:r>
        <w:rPr>
          <w:spacing w:val="-2"/>
        </w:rPr>
        <w:t>过了《</w:t>
      </w:r>
      <w:r>
        <w:rPr>
          <w:rFonts w:ascii="宋体" w:hAnsi="宋体" w:cs="宋体" w:eastAsia="宋体" w:hint="default"/>
          <w:spacing w:val="-2"/>
        </w:rPr>
        <w:t>&lt;2019</w:t>
      </w:r>
      <w:r>
        <w:rPr>
          <w:spacing w:val="-2"/>
        </w:rPr>
        <w:t>年股票期权与限制性股票激励计划</w:t>
      </w:r>
      <w:r>
        <w:rPr>
          <w:rFonts w:ascii="宋体" w:hAnsi="宋体" w:cs="宋体" w:eastAsia="宋体" w:hint="default"/>
          <w:spacing w:val="-2"/>
        </w:rPr>
        <w:t>(</w:t>
      </w:r>
      <w:r>
        <w:rPr>
          <w:spacing w:val="-2"/>
        </w:rPr>
        <w:t>草案）</w:t>
      </w:r>
      <w:r>
        <w:rPr>
          <w:rFonts w:ascii="宋体" w:hAnsi="宋体" w:cs="宋体" w:eastAsia="宋体" w:hint="default"/>
          <w:spacing w:val="-2"/>
        </w:rPr>
        <w:t>&gt;</w:t>
      </w:r>
      <w:r>
        <w:rPr>
          <w:spacing w:val="-2"/>
        </w:rPr>
        <w:t>及其摘要》等议案，公司共向</w:t>
      </w:r>
      <w:r>
        <w:rPr>
          <w:rFonts w:ascii="宋体" w:hAnsi="宋体" w:cs="宋体" w:eastAsia="宋体" w:hint="default"/>
          <w:spacing w:val="-2"/>
        </w:rPr>
        <w:t>841</w:t>
      </w:r>
      <w:r>
        <w:rPr>
          <w:spacing w:val="-2"/>
        </w:rPr>
        <w:t>名激励对象授予</w:t>
      </w:r>
      <w:r>
        <w:rPr>
          <w:spacing w:val="-43"/>
        </w:rPr>
        <w:t> </w:t>
      </w:r>
      <w:r>
        <w:rPr>
          <w:spacing w:val="-43"/>
        </w:rPr>
      </w:r>
      <w:r>
        <w:rPr>
          <w:rFonts w:ascii="宋体" w:hAnsi="宋体" w:cs="宋体" w:eastAsia="宋体" w:hint="default"/>
        </w:rPr>
        <w:t>957.79</w:t>
      </w:r>
      <w:r>
        <w:rPr/>
        <w:t>万股限制性股票，该部分新增股份于</w:t>
      </w:r>
      <w:r>
        <w:rPr>
          <w:rFonts w:ascii="宋体" w:hAnsi="宋体" w:cs="宋体" w:eastAsia="宋体" w:hint="default"/>
        </w:rPr>
        <w:t>2019</w:t>
      </w:r>
      <w:r>
        <w:rPr/>
        <w:t>年</w:t>
      </w:r>
      <w:r>
        <w:rPr>
          <w:rFonts w:ascii="宋体" w:hAnsi="宋体" w:cs="宋体" w:eastAsia="宋体" w:hint="default"/>
        </w:rPr>
        <w:t>6</w:t>
      </w:r>
      <w:r>
        <w:rPr/>
        <w:t>月</w:t>
      </w:r>
      <w:r>
        <w:rPr>
          <w:rFonts w:ascii="宋体" w:hAnsi="宋体" w:cs="宋体" w:eastAsia="宋体" w:hint="default"/>
        </w:rPr>
        <w:t>11</w:t>
      </w:r>
      <w:r>
        <w:rPr/>
        <w:t>日上市。新增股份上市后，公司总股本由</w:t>
      </w:r>
    </w:p>
    <w:p>
      <w:pPr>
        <w:pStyle w:val="BodyText"/>
        <w:spacing w:line="240" w:lineRule="auto"/>
        <w:ind w:left="154" w:right="986"/>
        <w:jc w:val="left"/>
      </w:pPr>
      <w:r>
        <w:rPr>
          <w:rFonts w:ascii="宋体" w:hAnsi="宋体" w:cs="宋体" w:eastAsia="宋体" w:hint="default"/>
        </w:rPr>
        <w:t>794,832,809</w:t>
      </w:r>
      <w:r>
        <w:rPr/>
        <w:t>股增加至</w:t>
      </w:r>
      <w:r>
        <w:rPr>
          <w:rFonts w:ascii="宋体" w:hAnsi="宋体" w:cs="宋体" w:eastAsia="宋体" w:hint="default"/>
        </w:rPr>
        <w:t>804,410,709</w:t>
      </w:r>
      <w:r>
        <w:rPr/>
        <w:t>股。</w:t>
      </w:r>
    </w:p>
    <w:p>
      <w:pPr>
        <w:spacing w:line="240" w:lineRule="auto" w:before="10"/>
        <w:rPr>
          <w:rFonts w:ascii="宋体" w:hAnsi="宋体" w:cs="宋体" w:eastAsia="宋体" w:hint="default"/>
          <w:sz w:val="14"/>
          <w:szCs w:val="14"/>
        </w:rPr>
      </w:pPr>
    </w:p>
    <w:p>
      <w:pPr>
        <w:pStyle w:val="BodyText"/>
        <w:spacing w:line="240" w:lineRule="auto" w:before="0"/>
        <w:ind w:left="469" w:right="986"/>
        <w:jc w:val="left"/>
      </w:pPr>
      <w:r>
        <w:rPr/>
        <w:t>（</w:t>
      </w:r>
      <w:r>
        <w:rPr>
          <w:rFonts w:ascii="宋体" w:hAnsi="宋体" w:cs="宋体" w:eastAsia="宋体" w:hint="default"/>
        </w:rPr>
        <w:t>6</w:t>
      </w:r>
      <w:r>
        <w:rPr/>
        <w:t>）</w:t>
      </w:r>
      <w:r>
        <w:rPr>
          <w:rFonts w:ascii="宋体" w:hAnsi="宋体" w:cs="宋体" w:eastAsia="宋体" w:hint="default"/>
        </w:rPr>
        <w:t>2019</w:t>
      </w:r>
      <w:r>
        <w:rPr/>
        <w:t>年度股权激励回购注销，共回购注销股份</w:t>
      </w:r>
      <w:r>
        <w:rPr>
          <w:rFonts w:ascii="宋体" w:hAnsi="宋体" w:cs="宋体" w:eastAsia="宋体" w:hint="default"/>
        </w:rPr>
        <w:t>416,992</w:t>
      </w:r>
      <w:r>
        <w:rPr/>
        <w:t>股；公司总股本由</w:t>
      </w:r>
      <w:r>
        <w:rPr>
          <w:rFonts w:ascii="宋体" w:hAnsi="宋体" w:cs="宋体" w:eastAsia="宋体" w:hint="default"/>
        </w:rPr>
        <w:t>804,410,709</w:t>
      </w:r>
      <w:r>
        <w:rPr/>
        <w:t>股减至</w:t>
      </w:r>
    </w:p>
    <w:p>
      <w:pPr>
        <w:spacing w:line="240" w:lineRule="auto" w:before="10"/>
        <w:rPr>
          <w:rFonts w:ascii="宋体" w:hAnsi="宋体" w:cs="宋体" w:eastAsia="宋体" w:hint="default"/>
          <w:sz w:val="14"/>
          <w:szCs w:val="14"/>
        </w:rPr>
      </w:pPr>
    </w:p>
    <w:p>
      <w:pPr>
        <w:pStyle w:val="BodyText"/>
        <w:spacing w:line="240" w:lineRule="auto" w:before="0"/>
        <w:ind w:left="154" w:right="986"/>
        <w:jc w:val="left"/>
      </w:pPr>
      <w:r>
        <w:rPr>
          <w:rFonts w:ascii="宋体" w:hAnsi="宋体" w:cs="宋体" w:eastAsia="宋体" w:hint="default"/>
        </w:rPr>
        <w:t>803,993,717</w:t>
      </w:r>
      <w:r>
        <w:rPr/>
        <w:t>股。</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股份变动的批准情况</w:t>
      </w:r>
    </w:p>
    <w:p>
      <w:pPr>
        <w:spacing w:before="115"/>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13"/>
          <w:szCs w:val="13"/>
        </w:rPr>
      </w:pPr>
    </w:p>
    <w:p>
      <w:pPr>
        <w:pStyle w:val="BodyText"/>
        <w:spacing w:line="386" w:lineRule="auto" w:before="0"/>
        <w:ind w:right="986" w:firstLine="419"/>
        <w:jc w:val="left"/>
      </w:pPr>
      <w:r>
        <w:rPr>
          <w:spacing w:val="-2"/>
        </w:rPr>
        <w:t>报告内，公司股份的变动主要是源于公司实施的第二期限制性股票激励计划和</w:t>
      </w:r>
      <w:r>
        <w:rPr>
          <w:rFonts w:ascii="Times New Roman" w:hAnsi="Times New Roman" w:cs="Times New Roman" w:eastAsia="Times New Roman" w:hint="default"/>
          <w:spacing w:val="-2"/>
        </w:rPr>
        <w:t>2019</w:t>
      </w:r>
      <w:r>
        <w:rPr>
          <w:spacing w:val="-2"/>
        </w:rPr>
        <w:t>年股票期权与限制</w:t>
      </w:r>
      <w:r>
        <w:rPr>
          <w:w w:val="100"/>
        </w:rPr>
        <w:t> </w:t>
      </w:r>
      <w:r>
        <w:rPr/>
        <w:t>性股票激励计划。</w:t>
      </w:r>
    </w:p>
    <w:p>
      <w:pPr>
        <w:pStyle w:val="BodyText"/>
        <w:spacing w:line="240" w:lineRule="auto" w:before="106"/>
        <w:ind w:left="573" w:right="986"/>
        <w:jc w:val="left"/>
      </w:pPr>
      <w:r>
        <w:rPr/>
        <w:t>详见第五节《重要事项》之</w:t>
      </w:r>
      <w:r>
        <w:rPr>
          <w:rFonts w:ascii="Times New Roman" w:hAnsi="Times New Roman" w:cs="Times New Roman" w:eastAsia="Times New Roman" w:hint="default"/>
        </w:rPr>
        <w:t>“</w:t>
      </w:r>
      <w:r>
        <w:rPr/>
        <w:t>十四、公司股权激励计划、员工持股计划或其他员工激励措施的实施情</w:t>
      </w:r>
    </w:p>
    <w:p>
      <w:pPr>
        <w:spacing w:after="0" w:line="240"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240" w:lineRule="auto" w:before="175"/>
        <w:ind w:right="986"/>
        <w:jc w:val="left"/>
      </w:pPr>
      <w:r>
        <w:rPr/>
        <w:t>况</w:t>
      </w:r>
      <w:r>
        <w:rPr>
          <w:rFonts w:ascii="Times New Roman" w:hAnsi="Times New Roman" w:cs="Times New Roman" w:eastAsia="Times New Roman" w:hint="default"/>
        </w:rPr>
        <w:t>”</w:t>
      </w:r>
      <w:r>
        <w:rPr/>
        <w:t>。</w:t>
      </w:r>
    </w:p>
    <w:p>
      <w:pPr>
        <w:spacing w:before="162"/>
        <w:ind w:left="152" w:right="986" w:firstLine="0"/>
        <w:jc w:val="left"/>
        <w:rPr>
          <w:rFonts w:ascii="宋体" w:hAnsi="宋体" w:cs="宋体" w:eastAsia="宋体" w:hint="default"/>
          <w:sz w:val="18"/>
          <w:szCs w:val="18"/>
        </w:rPr>
      </w:pPr>
      <w:r>
        <w:rPr>
          <w:rFonts w:ascii="宋体" w:hAnsi="宋体" w:cs="宋体" w:eastAsia="宋体" w:hint="default"/>
          <w:sz w:val="18"/>
          <w:szCs w:val="18"/>
        </w:rPr>
        <w:t>股份变动的过户情况</w:t>
      </w:r>
    </w:p>
    <w:p>
      <w:pPr>
        <w:spacing w:before="115"/>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pStyle w:val="BodyText"/>
        <w:spacing w:line="240" w:lineRule="auto" w:before="159"/>
        <w:ind w:left="572" w:right="986"/>
        <w:jc w:val="left"/>
      </w:pPr>
      <w:r>
        <w:rPr/>
        <w:t>报告期内，公司共回购注销股份</w:t>
      </w:r>
      <w:r>
        <w:rPr>
          <w:rFonts w:ascii="宋体" w:hAnsi="宋体" w:cs="宋体" w:eastAsia="宋体" w:hint="default"/>
        </w:rPr>
        <w:t>416,992</w:t>
      </w:r>
      <w:r>
        <w:rPr>
          <w:rFonts w:ascii="宋体" w:hAnsi="宋体" w:cs="宋体" w:eastAsia="宋体" w:hint="default"/>
          <w:spacing w:val="-10"/>
        </w:rPr>
        <w:t> </w:t>
      </w:r>
      <w:r>
        <w:rPr/>
        <w:t>股，新增股份</w:t>
      </w:r>
      <w:r>
        <w:rPr>
          <w:rFonts w:ascii="宋体" w:hAnsi="宋体" w:cs="宋体" w:eastAsia="宋体" w:hint="default"/>
        </w:rPr>
        <w:t>9,577,900</w:t>
      </w:r>
      <w:r>
        <w:rPr/>
        <w:t>股，股份过户情况如下：</w:t>
      </w:r>
    </w:p>
    <w:p>
      <w:pPr>
        <w:spacing w:line="240" w:lineRule="auto" w:before="10"/>
        <w:rPr>
          <w:rFonts w:ascii="宋体" w:hAnsi="宋体" w:cs="宋体" w:eastAsia="宋体" w:hint="default"/>
          <w:sz w:val="14"/>
          <w:szCs w:val="14"/>
        </w:rPr>
      </w:pPr>
    </w:p>
    <w:p>
      <w:pPr>
        <w:pStyle w:val="BodyText"/>
        <w:spacing w:line="240" w:lineRule="auto" w:before="0"/>
        <w:ind w:left="572" w:right="986"/>
        <w:jc w:val="left"/>
      </w:pPr>
      <w:r>
        <w:rPr>
          <w:rFonts w:ascii="宋体" w:hAnsi="宋体" w:cs="宋体" w:eastAsia="宋体" w:hint="default"/>
          <w:spacing w:val="-4"/>
        </w:rPr>
        <w:t>2019</w:t>
      </w:r>
      <w:r>
        <w:rPr>
          <w:spacing w:val="-4"/>
        </w:rPr>
        <w:t>年</w:t>
      </w:r>
      <w:r>
        <w:rPr>
          <w:rFonts w:ascii="宋体" w:hAnsi="宋体" w:cs="宋体" w:eastAsia="宋体" w:hint="default"/>
          <w:spacing w:val="-4"/>
        </w:rPr>
        <w:t>6</w:t>
      </w:r>
      <w:r>
        <w:rPr>
          <w:spacing w:val="-4"/>
        </w:rPr>
        <w:t>月</w:t>
      </w:r>
      <w:r>
        <w:rPr>
          <w:rFonts w:ascii="宋体" w:hAnsi="宋体" w:cs="宋体" w:eastAsia="宋体" w:hint="default"/>
          <w:spacing w:val="-4"/>
        </w:rPr>
        <w:t>6</w:t>
      </w:r>
      <w:r>
        <w:rPr>
          <w:spacing w:val="-4"/>
        </w:rPr>
        <w:t>日，公司发布了《关于</w:t>
      </w:r>
      <w:r>
        <w:rPr>
          <w:rFonts w:ascii="宋体" w:hAnsi="宋体" w:cs="宋体" w:eastAsia="宋体" w:hint="default"/>
          <w:spacing w:val="-4"/>
        </w:rPr>
        <w:t>2019</w:t>
      </w:r>
      <w:r>
        <w:rPr>
          <w:spacing w:val="-4"/>
        </w:rPr>
        <w:t>年股票期权与限制性股票激励计划首次授予登记完成的公告》，</w:t>
      </w:r>
    </w:p>
    <w:p>
      <w:pPr>
        <w:spacing w:line="240" w:lineRule="auto" w:before="10"/>
        <w:rPr>
          <w:rFonts w:ascii="宋体" w:hAnsi="宋体" w:cs="宋体" w:eastAsia="宋体" w:hint="default"/>
          <w:sz w:val="14"/>
          <w:szCs w:val="14"/>
        </w:rPr>
      </w:pPr>
    </w:p>
    <w:p>
      <w:pPr>
        <w:pStyle w:val="BodyText"/>
        <w:spacing w:line="408" w:lineRule="auto" w:before="0"/>
        <w:ind w:left="153" w:right="986" w:hanging="1"/>
        <w:jc w:val="left"/>
      </w:pPr>
      <w:r>
        <w:rPr>
          <w:rFonts w:ascii="宋体" w:hAnsi="宋体" w:cs="宋体" w:eastAsia="宋体" w:hint="default"/>
          <w:spacing w:val="-2"/>
        </w:rPr>
        <w:t>2019</w:t>
      </w:r>
      <w:r>
        <w:rPr>
          <w:spacing w:val="-2"/>
        </w:rPr>
        <w:t>年</w:t>
      </w:r>
      <w:r>
        <w:rPr>
          <w:rFonts w:ascii="宋体" w:hAnsi="宋体" w:cs="宋体" w:eastAsia="宋体" w:hint="default"/>
          <w:spacing w:val="-2"/>
        </w:rPr>
        <w:t>6</w:t>
      </w:r>
      <w:r>
        <w:rPr>
          <w:spacing w:val="-2"/>
        </w:rPr>
        <w:t>月</w:t>
      </w:r>
      <w:r>
        <w:rPr>
          <w:rFonts w:ascii="宋体" w:hAnsi="宋体" w:cs="宋体" w:eastAsia="宋体" w:hint="default"/>
          <w:spacing w:val="-2"/>
        </w:rPr>
        <w:t>10</w:t>
      </w:r>
      <w:r>
        <w:rPr>
          <w:spacing w:val="-2"/>
        </w:rPr>
        <w:t>日，公司在中国证券登记结算有限责任公司深圳分公司股份授予登记手续，授予激励对象股</w:t>
      </w:r>
      <w:r>
        <w:rPr>
          <w:spacing w:val="-16"/>
        </w:rPr>
        <w:t> </w:t>
      </w:r>
      <w:r>
        <w:rPr>
          <w:spacing w:val="-16"/>
        </w:rPr>
      </w:r>
      <w:r>
        <w:rPr/>
        <w:t>票期权</w:t>
      </w:r>
      <w:r>
        <w:rPr>
          <w:rFonts w:ascii="宋体" w:hAnsi="宋体" w:cs="宋体" w:eastAsia="宋体" w:hint="default"/>
        </w:rPr>
        <w:t>468.54</w:t>
      </w:r>
      <w:r>
        <w:rPr/>
        <w:t>万份，授予限制性股票</w:t>
      </w:r>
      <w:r>
        <w:rPr>
          <w:rFonts w:ascii="宋体" w:hAnsi="宋体" w:cs="宋体" w:eastAsia="宋体" w:hint="default"/>
        </w:rPr>
        <w:t>957.79</w:t>
      </w:r>
      <w:r>
        <w:rPr/>
        <w:t>万股，公司总股本由</w:t>
      </w:r>
      <w:r>
        <w:rPr>
          <w:rFonts w:ascii="宋体" w:hAnsi="宋体" w:cs="宋体" w:eastAsia="宋体" w:hint="default"/>
        </w:rPr>
        <w:t>794,832,809</w:t>
      </w:r>
      <w:r>
        <w:rPr/>
        <w:t>股增加至</w:t>
      </w:r>
      <w:r>
        <w:rPr>
          <w:rFonts w:ascii="宋体" w:hAnsi="宋体" w:cs="宋体" w:eastAsia="宋体" w:hint="default"/>
        </w:rPr>
        <w:t>804,410,709</w:t>
      </w:r>
      <w:r>
        <w:rPr/>
        <w:t>股。</w:t>
      </w:r>
    </w:p>
    <w:p>
      <w:pPr>
        <w:pStyle w:val="BodyText"/>
        <w:spacing w:line="408" w:lineRule="auto"/>
        <w:ind w:left="153" w:right="986" w:firstLine="419"/>
        <w:jc w:val="left"/>
      </w:pPr>
      <w:r>
        <w:rPr>
          <w:rFonts w:ascii="宋体" w:hAnsi="宋体" w:cs="宋体" w:eastAsia="宋体" w:hint="default"/>
        </w:rPr>
        <w:t>2019</w:t>
      </w:r>
      <w:r>
        <w:rPr/>
        <w:t>年</w:t>
      </w:r>
      <w:r>
        <w:rPr>
          <w:rFonts w:ascii="宋体" w:hAnsi="宋体" w:cs="宋体" w:eastAsia="宋体" w:hint="default"/>
        </w:rPr>
        <w:t>11</w:t>
      </w:r>
      <w:r>
        <w:rPr/>
        <w:t>月</w:t>
      </w:r>
      <w:r>
        <w:rPr>
          <w:rFonts w:ascii="宋体" w:hAnsi="宋体" w:cs="宋体" w:eastAsia="宋体" w:hint="default"/>
        </w:rPr>
        <w:t>6</w:t>
      </w:r>
      <w:r>
        <w:rPr/>
        <w:t>日，公司发布了《关于部分股票期权注销和部分限制性股票回购注销完成的公告》，公</w:t>
      </w:r>
      <w:r>
        <w:rPr>
          <w:w w:val="100"/>
        </w:rPr>
        <w:t> </w:t>
      </w:r>
      <w:r>
        <w:rPr>
          <w:spacing w:val="-2"/>
        </w:rPr>
        <w:t>司注销股票期权</w:t>
      </w:r>
      <w:r>
        <w:rPr>
          <w:rFonts w:ascii="宋体" w:hAnsi="宋体" w:cs="宋体" w:eastAsia="宋体" w:hint="default"/>
          <w:spacing w:val="-2"/>
        </w:rPr>
        <w:t>50,000</w:t>
      </w:r>
      <w:r>
        <w:rPr>
          <w:spacing w:val="-2"/>
        </w:rPr>
        <w:t>份，回购注销限制性股票数量为</w:t>
      </w:r>
      <w:r>
        <w:rPr>
          <w:rFonts w:ascii="宋体" w:hAnsi="宋体" w:cs="宋体" w:eastAsia="宋体" w:hint="default"/>
          <w:spacing w:val="-2"/>
        </w:rPr>
        <w:t>248,092</w:t>
      </w:r>
      <w:r>
        <w:rPr>
          <w:spacing w:val="-2"/>
        </w:rPr>
        <w:t>股。</w:t>
      </w:r>
      <w:r>
        <w:rPr>
          <w:rFonts w:ascii="宋体" w:hAnsi="宋体" w:cs="宋体" w:eastAsia="宋体" w:hint="default"/>
          <w:spacing w:val="-2"/>
        </w:rPr>
        <w:t>2019</w:t>
      </w:r>
      <w:r>
        <w:rPr>
          <w:spacing w:val="-2"/>
        </w:rPr>
        <w:t>年</w:t>
      </w:r>
      <w:r>
        <w:rPr>
          <w:rFonts w:ascii="宋体" w:hAnsi="宋体" w:cs="宋体" w:eastAsia="宋体" w:hint="default"/>
          <w:spacing w:val="-2"/>
        </w:rPr>
        <w:t>11</w:t>
      </w:r>
      <w:r>
        <w:rPr>
          <w:spacing w:val="-2"/>
        </w:rPr>
        <w:t>月</w:t>
      </w:r>
      <w:r>
        <w:rPr>
          <w:rFonts w:ascii="宋体" w:hAnsi="宋体" w:cs="宋体" w:eastAsia="宋体" w:hint="default"/>
          <w:spacing w:val="-2"/>
        </w:rPr>
        <w:t>5</w:t>
      </w:r>
      <w:r>
        <w:rPr>
          <w:spacing w:val="-2"/>
        </w:rPr>
        <w:t>日，公司在中国证券登记</w:t>
      </w:r>
      <w:r>
        <w:rPr>
          <w:spacing w:val="-32"/>
        </w:rPr>
        <w:t> </w:t>
      </w:r>
      <w:r>
        <w:rPr>
          <w:spacing w:val="-32"/>
        </w:rPr>
      </w:r>
      <w:r>
        <w:rPr/>
        <w:t>结算有限责任公司深圳分公司完成回购注销手续，公司总股本由</w:t>
      </w:r>
      <w:r>
        <w:rPr>
          <w:rFonts w:ascii="宋体" w:hAnsi="宋体" w:cs="宋体" w:eastAsia="宋体" w:hint="default"/>
        </w:rPr>
        <w:t>804,410,709</w:t>
      </w:r>
      <w:r>
        <w:rPr/>
        <w:t>股减少至</w:t>
      </w:r>
      <w:r>
        <w:rPr>
          <w:rFonts w:ascii="宋体" w:hAnsi="宋体" w:cs="宋体" w:eastAsia="宋体" w:hint="default"/>
        </w:rPr>
        <w:t>804,162,617</w:t>
      </w:r>
      <w:r>
        <w:rPr/>
        <w:t>股。</w:t>
      </w:r>
    </w:p>
    <w:p>
      <w:pPr>
        <w:pStyle w:val="BodyText"/>
        <w:spacing w:line="408" w:lineRule="auto"/>
        <w:ind w:left="153" w:right="986" w:firstLine="419"/>
        <w:jc w:val="left"/>
      </w:pPr>
      <w:r>
        <w:rPr>
          <w:rFonts w:ascii="宋体" w:hAnsi="宋体" w:cs="宋体" w:eastAsia="宋体" w:hint="default"/>
          <w:spacing w:val="-2"/>
        </w:rPr>
        <w:t>2019</w:t>
      </w:r>
      <w:r>
        <w:rPr>
          <w:spacing w:val="-2"/>
        </w:rPr>
        <w:t>年</w:t>
      </w:r>
      <w:r>
        <w:rPr>
          <w:rFonts w:ascii="宋体" w:hAnsi="宋体" w:cs="宋体" w:eastAsia="宋体" w:hint="default"/>
          <w:spacing w:val="-2"/>
        </w:rPr>
        <w:t>11</w:t>
      </w:r>
      <w:r>
        <w:rPr>
          <w:spacing w:val="-2"/>
        </w:rPr>
        <w:t>月</w:t>
      </w:r>
      <w:r>
        <w:rPr>
          <w:rFonts w:ascii="宋体" w:hAnsi="宋体" w:cs="宋体" w:eastAsia="宋体" w:hint="default"/>
          <w:spacing w:val="-2"/>
        </w:rPr>
        <w:t>21</w:t>
      </w:r>
      <w:r>
        <w:rPr>
          <w:spacing w:val="-2"/>
        </w:rPr>
        <w:t>日，公司发布了《关于部分股票期权注销和部分限制性股票回购注销完成的公告》，公</w:t>
      </w:r>
      <w:r>
        <w:rPr>
          <w:w w:val="100"/>
        </w:rPr>
        <w:t> </w:t>
      </w:r>
      <w:r>
        <w:rPr/>
        <w:t>司注销股票期权</w:t>
      </w:r>
      <w:r>
        <w:rPr>
          <w:rFonts w:ascii="宋体" w:hAnsi="宋体" w:cs="宋体" w:eastAsia="宋体" w:hint="default"/>
        </w:rPr>
        <w:t>131,700</w:t>
      </w:r>
      <w:r>
        <w:rPr/>
        <w:t>份</w:t>
      </w:r>
      <w:r>
        <w:rPr>
          <w:rFonts w:ascii="宋体" w:hAnsi="宋体" w:cs="宋体" w:eastAsia="宋体" w:hint="default"/>
        </w:rPr>
        <w:t>,</w:t>
      </w:r>
      <w:r>
        <w:rPr/>
        <w:t>回购注销的限制性股票数量为</w:t>
      </w:r>
      <w:r>
        <w:rPr>
          <w:rFonts w:ascii="宋体" w:hAnsi="宋体" w:cs="宋体" w:eastAsia="宋体" w:hint="default"/>
        </w:rPr>
        <w:t>168,900</w:t>
      </w:r>
      <w:r>
        <w:rPr/>
        <w:t>股，</w:t>
      </w:r>
      <w:r>
        <w:rPr>
          <w:rFonts w:ascii="宋体" w:hAnsi="宋体" w:cs="宋体" w:eastAsia="宋体" w:hint="default"/>
        </w:rPr>
        <w:t>2019</w:t>
      </w:r>
      <w:r>
        <w:rPr/>
        <w:t>年</w:t>
      </w:r>
      <w:r>
        <w:rPr>
          <w:rFonts w:ascii="宋体" w:hAnsi="宋体" w:cs="宋体" w:eastAsia="宋体" w:hint="default"/>
        </w:rPr>
        <w:t>11</w:t>
      </w:r>
      <w:r>
        <w:rPr/>
        <w:t>月</w:t>
      </w:r>
      <w:r>
        <w:rPr>
          <w:rFonts w:ascii="宋体" w:hAnsi="宋体" w:cs="宋体" w:eastAsia="宋体" w:hint="default"/>
        </w:rPr>
        <w:t>20</w:t>
      </w:r>
      <w:r>
        <w:rPr/>
        <w:t>日，公司在中国证券</w:t>
      </w:r>
      <w:r>
        <w:rPr>
          <w:w w:val="100"/>
        </w:rPr>
        <w:t> </w:t>
      </w:r>
      <w:r>
        <w:rPr/>
        <w:t>登记结算有限责任公司深圳分公司完成回购注销手续，公司总股本由</w:t>
      </w:r>
      <w:r>
        <w:rPr>
          <w:rFonts w:ascii="宋体" w:hAnsi="宋体" w:cs="宋体" w:eastAsia="宋体" w:hint="default"/>
        </w:rPr>
        <w:t>804,162,617</w:t>
      </w:r>
      <w:r>
        <w:rPr/>
        <w:t>股减少至</w:t>
      </w:r>
      <w:r>
        <w:rPr>
          <w:rFonts w:ascii="宋体" w:hAnsi="宋体" w:cs="宋体" w:eastAsia="宋体" w:hint="default"/>
        </w:rPr>
        <w:t>803,993,717</w:t>
      </w:r>
      <w:r>
        <w:rPr>
          <w:rFonts w:ascii="宋体" w:hAnsi="宋体" w:cs="宋体" w:eastAsia="宋体" w:hint="default"/>
          <w:w w:val="100"/>
        </w:rPr>
        <w:t> </w:t>
      </w:r>
      <w:r>
        <w:rPr/>
        <w:t>股。</w:t>
      </w:r>
    </w:p>
    <w:p>
      <w:pPr>
        <w:spacing w:before="30"/>
        <w:ind w:left="152" w:right="986" w:firstLine="0"/>
        <w:jc w:val="left"/>
        <w:rPr>
          <w:rFonts w:ascii="宋体" w:hAnsi="宋体" w:cs="宋体" w:eastAsia="宋体" w:hint="default"/>
          <w:sz w:val="18"/>
          <w:szCs w:val="18"/>
        </w:rPr>
      </w:pPr>
      <w:r>
        <w:rPr>
          <w:rFonts w:ascii="宋体" w:hAnsi="宋体" w:cs="宋体" w:eastAsia="宋体" w:hint="default"/>
          <w:sz w:val="18"/>
          <w:szCs w:val="18"/>
        </w:rPr>
        <w:t>股份回购的实施进展情况</w:t>
      </w:r>
    </w:p>
    <w:p>
      <w:pPr>
        <w:spacing w:line="396" w:lineRule="auto" w:before="115"/>
        <w:ind w:left="152" w:right="6974"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r>
        <w:rPr>
          <w:rFonts w:ascii="宋体" w:hAnsi="宋体" w:cs="宋体" w:eastAsia="宋体" w:hint="default"/>
          <w:sz w:val="18"/>
          <w:szCs w:val="18"/>
        </w:rPr>
        <w:t> </w:t>
      </w:r>
      <w:r>
        <w:rPr>
          <w:rFonts w:ascii="宋体" w:hAnsi="宋体" w:cs="宋体" w:eastAsia="宋体" w:hint="default"/>
          <w:sz w:val="21"/>
          <w:szCs w:val="21"/>
        </w:rPr>
        <w:t>详见上述</w:t>
      </w:r>
      <w:r>
        <w:rPr>
          <w:rFonts w:ascii="Times New Roman" w:hAnsi="Times New Roman" w:cs="Times New Roman" w:eastAsia="Times New Roman" w:hint="default"/>
          <w:sz w:val="21"/>
          <w:szCs w:val="21"/>
        </w:rPr>
        <w:t>“</w:t>
      </w:r>
      <w:r>
        <w:rPr>
          <w:rFonts w:ascii="宋体" w:hAnsi="宋体" w:cs="宋体" w:eastAsia="宋体" w:hint="default"/>
          <w:sz w:val="21"/>
          <w:szCs w:val="21"/>
        </w:rPr>
        <w:t>股份变动的过户情况</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宋体" w:hAnsi="宋体" w:cs="宋体" w:eastAsia="宋体" w:hint="default"/>
          <w:w w:val="100"/>
          <w:sz w:val="21"/>
          <w:szCs w:val="21"/>
        </w:rPr>
        <w:t> </w:t>
      </w:r>
      <w:r>
        <w:rPr>
          <w:rFonts w:ascii="宋体" w:hAnsi="宋体" w:cs="宋体" w:eastAsia="宋体" w:hint="default"/>
          <w:sz w:val="18"/>
          <w:szCs w:val="18"/>
        </w:rPr>
        <w:t>采用集中竞价方式减持回购股份的实施进展情况</w:t>
      </w:r>
    </w:p>
    <w:p>
      <w:pPr>
        <w:spacing w:line="340" w:lineRule="auto" w:before="0"/>
        <w:ind w:left="152" w:right="13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股份变动对最近一年和最近一期基本每股收益和稀释每股收益、归属于公司普通股股东的每股净资产等财务指标的影响</w:t>
      </w:r>
    </w:p>
    <w:p>
      <w:pPr>
        <w:pStyle w:val="BodyText"/>
        <w:spacing w:line="388" w:lineRule="auto" w:before="41"/>
        <w:ind w:right="986"/>
        <w:jc w:val="left"/>
      </w:pPr>
      <w:r>
        <w:rPr>
          <w:rFonts w:ascii="Times New Roman" w:hAnsi="Times New Roman" w:cs="Times New Roman" w:eastAsia="Times New Roman" w:hint="default"/>
          <w:sz w:val="18"/>
          <w:szCs w:val="18"/>
        </w:rPr>
        <w:t>√ </w:t>
      </w:r>
      <w:r>
        <w:rPr>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sz w:val="18"/>
          <w:szCs w:val="18"/>
        </w:rPr>
        <w:t>不适用 </w:t>
      </w:r>
      <w:r>
        <w:rPr>
          <w:spacing w:val="-2"/>
        </w:rPr>
        <w:t>股份变动后，按股本</w:t>
      </w:r>
      <w:r>
        <w:rPr>
          <w:rFonts w:ascii="Times New Roman" w:hAnsi="Times New Roman" w:cs="Times New Roman" w:eastAsia="Times New Roman" w:hint="default"/>
          <w:spacing w:val="-2"/>
        </w:rPr>
        <w:t>803,993,717</w:t>
      </w:r>
      <w:r>
        <w:rPr>
          <w:spacing w:val="-2"/>
        </w:rPr>
        <w:t>股摊薄计算，公司</w:t>
      </w:r>
      <w:r>
        <w:rPr>
          <w:rFonts w:ascii="Times New Roman" w:hAnsi="Times New Roman" w:cs="Times New Roman" w:eastAsia="Times New Roman" w:hint="default"/>
          <w:spacing w:val="-2"/>
        </w:rPr>
        <w:t>2018</w:t>
      </w:r>
      <w:r>
        <w:rPr>
          <w:spacing w:val="-2"/>
        </w:rPr>
        <w:t>年度基本每股收益为</w:t>
      </w:r>
      <w:r>
        <w:rPr>
          <w:rFonts w:ascii="Times New Roman" w:hAnsi="Times New Roman" w:cs="Times New Roman" w:eastAsia="Times New Roman" w:hint="default"/>
          <w:spacing w:val="-2"/>
        </w:rPr>
        <w:t>0.38</w:t>
      </w:r>
      <w:r>
        <w:rPr>
          <w:spacing w:val="-2"/>
        </w:rPr>
        <w:t>元，归属于普通股股东的</w:t>
      </w:r>
      <w:r>
        <w:rPr>
          <w:spacing w:val="-12"/>
        </w:rPr>
        <w:t> </w:t>
      </w:r>
      <w:r>
        <w:rPr>
          <w:spacing w:val="-12"/>
        </w:rPr>
      </w:r>
      <w:r>
        <w:rPr/>
        <w:t>每股净资产</w:t>
      </w:r>
      <w:r>
        <w:rPr>
          <w:rFonts w:ascii="Times New Roman" w:hAnsi="Times New Roman" w:cs="Times New Roman" w:eastAsia="Times New Roman" w:hint="default"/>
        </w:rPr>
        <w:t>3.17</w:t>
      </w:r>
      <w:r>
        <w:rPr/>
        <w:t>元。</w:t>
      </w:r>
    </w:p>
    <w:p>
      <w:pPr>
        <w:spacing w:line="240" w:lineRule="auto" w:before="3"/>
        <w:rPr>
          <w:rFonts w:ascii="宋体" w:hAnsi="宋体" w:cs="宋体" w:eastAsia="宋体" w:hint="default"/>
          <w:sz w:val="25"/>
          <w:szCs w:val="25"/>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公司认为必要或证券监管机构要求披露的其他内容</w:t>
      </w:r>
    </w:p>
    <w:p>
      <w:pPr>
        <w:spacing w:before="117"/>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25"/>
          <w:szCs w:val="25"/>
        </w:rPr>
      </w:pPr>
    </w:p>
    <w:p>
      <w:pPr>
        <w:pStyle w:val="Heading4"/>
        <w:spacing w:line="240" w:lineRule="auto"/>
        <w:ind w:right="986"/>
        <w:jc w:val="left"/>
        <w:rPr>
          <w:b w:val="0"/>
          <w:bCs w:val="0"/>
        </w:rPr>
      </w:pPr>
      <w:bookmarkStart w:name="2、限售股份变动情况" w:id="108"/>
      <w:bookmarkEnd w:id="108"/>
      <w:r>
        <w:rPr>
          <w:b w:val="0"/>
          <w:bCs w:val="0"/>
        </w:rPr>
      </w:r>
      <w:r>
        <w:rPr>
          <w:rFonts w:ascii="Times New Roman" w:hAnsi="Times New Roman" w:cs="Times New Roman" w:eastAsia="Times New Roman" w:hint="default"/>
        </w:rPr>
        <w:t>2</w:t>
      </w:r>
      <w:r>
        <w:rPr/>
        <w:t>、限售股份变动情况</w:t>
      </w:r>
      <w:r>
        <w:rPr>
          <w:b w:val="0"/>
          <w:bCs w:val="0"/>
        </w:rPr>
      </w:r>
    </w:p>
    <w:p>
      <w:pPr>
        <w:spacing w:line="240" w:lineRule="auto" w:before="12"/>
        <w:rPr>
          <w:rFonts w:ascii="宋体" w:hAnsi="宋体" w:cs="宋体" w:eastAsia="宋体" w:hint="default"/>
          <w:b/>
          <w:bCs/>
          <w:sz w:val="22"/>
          <w:szCs w:val="22"/>
        </w:rPr>
      </w:pPr>
    </w:p>
    <w:p>
      <w:pPr>
        <w:spacing w:before="44"/>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before="103"/>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3"/>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276"/>
        <w:gridCol w:w="977"/>
        <w:gridCol w:w="1008"/>
        <w:gridCol w:w="991"/>
        <w:gridCol w:w="991"/>
        <w:gridCol w:w="1418"/>
        <w:gridCol w:w="2904"/>
      </w:tblGrid>
      <w:tr>
        <w:trPr>
          <w:trHeight w:val="714" w:hRule="exact"/>
        </w:trPr>
        <w:tc>
          <w:tcPr>
            <w:tcW w:w="12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72"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97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0"/>
              <w:ind w:left="393" w:right="31" w:hanging="360"/>
              <w:jc w:val="left"/>
              <w:rPr>
                <w:rFonts w:ascii="宋体" w:hAnsi="宋体" w:cs="宋体" w:eastAsia="宋体" w:hint="default"/>
                <w:sz w:val="18"/>
                <w:szCs w:val="18"/>
              </w:rPr>
            </w:pPr>
            <w:r>
              <w:rPr>
                <w:rFonts w:ascii="宋体" w:hAnsi="宋体" w:cs="宋体" w:eastAsia="宋体" w:hint="default"/>
                <w:sz w:val="18"/>
                <w:szCs w:val="18"/>
              </w:rPr>
              <w:t>期初限售股 数</w:t>
            </w:r>
          </w:p>
        </w:tc>
        <w:tc>
          <w:tcPr>
            <w:tcW w:w="100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0"/>
              <w:ind w:left="228" w:right="48" w:hanging="180"/>
              <w:jc w:val="left"/>
              <w:rPr>
                <w:rFonts w:ascii="宋体" w:hAnsi="宋体" w:cs="宋体" w:eastAsia="宋体" w:hint="default"/>
                <w:sz w:val="18"/>
                <w:szCs w:val="18"/>
              </w:rPr>
            </w:pPr>
            <w:r>
              <w:rPr>
                <w:rFonts w:ascii="宋体" w:hAnsi="宋体" w:cs="宋体" w:eastAsia="宋体" w:hint="default"/>
                <w:sz w:val="18"/>
                <w:szCs w:val="18"/>
              </w:rPr>
              <w:t>本期增加限 售股数</w:t>
            </w:r>
          </w:p>
        </w:tc>
        <w:tc>
          <w:tcPr>
            <w:tcW w:w="99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0"/>
              <w:ind w:left="220" w:right="38" w:hanging="180"/>
              <w:jc w:val="left"/>
              <w:rPr>
                <w:rFonts w:ascii="宋体" w:hAnsi="宋体" w:cs="宋体" w:eastAsia="宋体" w:hint="default"/>
                <w:sz w:val="18"/>
                <w:szCs w:val="18"/>
              </w:rPr>
            </w:pPr>
            <w:r>
              <w:rPr>
                <w:rFonts w:ascii="宋体" w:hAnsi="宋体" w:cs="宋体" w:eastAsia="宋体" w:hint="default"/>
                <w:sz w:val="18"/>
                <w:szCs w:val="18"/>
              </w:rPr>
              <w:t>本期解除限 售股数</w:t>
            </w:r>
          </w:p>
        </w:tc>
        <w:tc>
          <w:tcPr>
            <w:tcW w:w="99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0"/>
              <w:ind w:left="400" w:right="38" w:hanging="360"/>
              <w:jc w:val="left"/>
              <w:rPr>
                <w:rFonts w:ascii="宋体" w:hAnsi="宋体" w:cs="宋体" w:eastAsia="宋体" w:hint="default"/>
                <w:sz w:val="18"/>
                <w:szCs w:val="18"/>
              </w:rPr>
            </w:pPr>
            <w:r>
              <w:rPr>
                <w:rFonts w:ascii="宋体" w:hAnsi="宋体" w:cs="宋体" w:eastAsia="宋体" w:hint="default"/>
                <w:sz w:val="18"/>
                <w:szCs w:val="18"/>
              </w:rPr>
              <w:t>期末限售股 数</w:t>
            </w:r>
          </w:p>
        </w:tc>
        <w:tc>
          <w:tcPr>
            <w:tcW w:w="141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47"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29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816" w:right="0"/>
              <w:jc w:val="left"/>
              <w:rPr>
                <w:rFonts w:ascii="宋体" w:hAnsi="宋体" w:cs="宋体" w:eastAsia="宋体" w:hint="default"/>
                <w:sz w:val="18"/>
                <w:szCs w:val="18"/>
              </w:rPr>
            </w:pPr>
            <w:r>
              <w:rPr>
                <w:rFonts w:ascii="宋体" w:hAnsi="宋体" w:cs="宋体" w:eastAsia="宋体" w:hint="default"/>
                <w:sz w:val="18"/>
                <w:szCs w:val="18"/>
              </w:rPr>
              <w:t>拟解除限售日期</w:t>
            </w:r>
          </w:p>
        </w:tc>
      </w:tr>
      <w:tr>
        <w:trPr>
          <w:trHeight w:val="403" w:hRule="exact"/>
        </w:trPr>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滕达</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5" w:right="0"/>
              <w:jc w:val="left"/>
              <w:rPr>
                <w:rFonts w:ascii="Times New Roman" w:hAnsi="Times New Roman" w:cs="Times New Roman" w:eastAsia="Times New Roman" w:hint="default"/>
                <w:sz w:val="18"/>
                <w:szCs w:val="18"/>
              </w:rPr>
            </w:pPr>
            <w:r>
              <w:rPr>
                <w:rFonts w:ascii="Times New Roman"/>
                <w:sz w:val="18"/>
              </w:rPr>
              <w:t>1,940,941</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9" w:right="0"/>
              <w:jc w:val="left"/>
              <w:rPr>
                <w:rFonts w:ascii="Times New Roman" w:hAnsi="Times New Roman" w:cs="Times New Roman" w:eastAsia="Times New Roman" w:hint="default"/>
                <w:sz w:val="18"/>
                <w:szCs w:val="18"/>
              </w:rPr>
            </w:pPr>
            <w:r>
              <w:rPr>
                <w:rFonts w:ascii="Times New Roman"/>
                <w:sz w:val="18"/>
              </w:rPr>
              <w:t>1,940,941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89"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每年年初 </w:t>
            </w:r>
            <w:r>
              <w:rPr>
                <w:rFonts w:ascii="Times New Roman" w:hAnsi="Times New Roman" w:cs="Times New Roman" w:eastAsia="Times New Roman" w:hint="default"/>
                <w:sz w:val="18"/>
                <w:szCs w:val="18"/>
              </w:rPr>
              <w:t>25%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解除限售</w:t>
            </w:r>
          </w:p>
        </w:tc>
      </w:tr>
    </w:tbl>
    <w:p>
      <w:pPr>
        <w:spacing w:after="0" w:line="240"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277"/>
        <w:gridCol w:w="977"/>
        <w:gridCol w:w="1008"/>
        <w:gridCol w:w="991"/>
        <w:gridCol w:w="991"/>
        <w:gridCol w:w="1418"/>
        <w:gridCol w:w="2904"/>
      </w:tblGrid>
      <w:tr>
        <w:trPr>
          <w:trHeight w:val="401"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郭永芳</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137,894,349</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3,749,999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134,144,350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
              <w:jc w:val="right"/>
              <w:rPr>
                <w:rFonts w:ascii="宋体" w:hAnsi="宋体" w:cs="宋体" w:eastAsia="宋体" w:hint="default"/>
                <w:sz w:val="18"/>
                <w:szCs w:val="18"/>
              </w:rPr>
            </w:pPr>
            <w:r>
              <w:rPr>
                <w:rFonts w:ascii="宋体" w:hAnsi="宋体" w:cs="宋体" w:eastAsia="宋体" w:hint="default"/>
                <w:sz w:val="18"/>
                <w:szCs w:val="18"/>
              </w:rPr>
              <w:t>高管锁定股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每年年初 </w:t>
            </w:r>
            <w:r>
              <w:rPr>
                <w:rFonts w:ascii="Times New Roman" w:hAnsi="Times New Roman" w:cs="Times New Roman" w:eastAsia="Times New Roman" w:hint="default"/>
                <w:sz w:val="18"/>
                <w:szCs w:val="18"/>
              </w:rPr>
              <w:t>25%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解除限售</w:t>
            </w:r>
          </w:p>
        </w:tc>
      </w:tr>
      <w:tr>
        <w:trPr>
          <w:trHeight w:val="40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李国林</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71,192,520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71,192,520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hAnsi="宋体" w:cs="宋体" w:eastAsia="宋体" w:hint="default"/>
                <w:sz w:val="18"/>
                <w:szCs w:val="18"/>
              </w:rPr>
              <w:t>高管锁定股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每年年初 </w:t>
            </w:r>
            <w:r>
              <w:rPr>
                <w:rFonts w:ascii="Times New Roman" w:hAnsi="Times New Roman" w:cs="Times New Roman" w:eastAsia="Times New Roman" w:hint="default"/>
                <w:sz w:val="18"/>
                <w:szCs w:val="18"/>
              </w:rPr>
              <w:t>25%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解除限售</w:t>
            </w:r>
          </w:p>
        </w:tc>
      </w:tr>
      <w:tr>
        <w:trPr>
          <w:trHeight w:val="401"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刘冬颖</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30,720,000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30,720,000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
              <w:jc w:val="right"/>
              <w:rPr>
                <w:rFonts w:ascii="宋体" w:hAnsi="宋体" w:cs="宋体" w:eastAsia="宋体" w:hint="default"/>
                <w:sz w:val="18"/>
                <w:szCs w:val="18"/>
              </w:rPr>
            </w:pPr>
            <w:r>
              <w:rPr>
                <w:rFonts w:ascii="宋体" w:hAnsi="宋体" w:cs="宋体" w:eastAsia="宋体" w:hint="default"/>
                <w:sz w:val="18"/>
                <w:szCs w:val="18"/>
              </w:rPr>
              <w:t>高管锁定股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每年年初 </w:t>
            </w:r>
            <w:r>
              <w:rPr>
                <w:rFonts w:ascii="Times New Roman" w:hAnsi="Times New Roman" w:cs="Times New Roman" w:eastAsia="Times New Roman" w:hint="default"/>
                <w:sz w:val="18"/>
                <w:szCs w:val="18"/>
              </w:rPr>
              <w:t>25%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解除限售</w:t>
            </w:r>
          </w:p>
        </w:tc>
      </w:tr>
      <w:tr>
        <w:trPr>
          <w:trHeight w:val="40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吴鸿伟</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1,238,160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28,800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1,266,960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hAnsi="宋体" w:cs="宋体" w:eastAsia="宋体" w:hint="default"/>
                <w:sz w:val="18"/>
                <w:szCs w:val="18"/>
              </w:rPr>
              <w:t>高管锁定股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每年年初 </w:t>
            </w:r>
            <w:r>
              <w:rPr>
                <w:rFonts w:ascii="Times New Roman" w:hAnsi="Times New Roman" w:cs="Times New Roman" w:eastAsia="Times New Roman" w:hint="default"/>
                <w:sz w:val="18"/>
                <w:szCs w:val="18"/>
              </w:rPr>
              <w:t>25%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解除限售</w:t>
            </w:r>
          </w:p>
        </w:tc>
      </w:tr>
      <w:tr>
        <w:trPr>
          <w:trHeight w:val="401"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申强</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1,246,800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1,246,800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
              <w:jc w:val="right"/>
              <w:rPr>
                <w:rFonts w:ascii="宋体" w:hAnsi="宋体" w:cs="宋体" w:eastAsia="宋体" w:hint="default"/>
                <w:sz w:val="18"/>
                <w:szCs w:val="18"/>
              </w:rPr>
            </w:pPr>
            <w:r>
              <w:rPr>
                <w:rFonts w:ascii="宋体" w:hAnsi="宋体" w:cs="宋体" w:eastAsia="宋体" w:hint="default"/>
                <w:sz w:val="18"/>
                <w:szCs w:val="18"/>
              </w:rPr>
              <w:t>高管锁定股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每年年初 </w:t>
            </w:r>
            <w:r>
              <w:rPr>
                <w:rFonts w:ascii="Times New Roman" w:hAnsi="Times New Roman" w:cs="Times New Roman" w:eastAsia="Times New Roman" w:hint="default"/>
                <w:sz w:val="18"/>
                <w:szCs w:val="18"/>
              </w:rPr>
              <w:t>25%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解除限售</w:t>
            </w:r>
          </w:p>
        </w:tc>
      </w:tr>
      <w:tr>
        <w:trPr>
          <w:trHeight w:val="40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张雪峰</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893,400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48,000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150,000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791,400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hAnsi="宋体" w:cs="宋体" w:eastAsia="宋体" w:hint="default"/>
                <w:sz w:val="18"/>
                <w:szCs w:val="18"/>
              </w:rPr>
              <w:t>高管锁定股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每年年初 </w:t>
            </w:r>
            <w:r>
              <w:rPr>
                <w:rFonts w:ascii="Times New Roman" w:hAnsi="Times New Roman" w:cs="Times New Roman" w:eastAsia="Times New Roman" w:hint="default"/>
                <w:sz w:val="18"/>
                <w:szCs w:val="18"/>
              </w:rPr>
              <w:t>25%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解除限售</w:t>
            </w:r>
          </w:p>
        </w:tc>
      </w:tr>
      <w:tr>
        <w:trPr>
          <w:trHeight w:val="401"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赵庸</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1,101,600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28,800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9,050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1,121,350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
              <w:jc w:val="right"/>
              <w:rPr>
                <w:rFonts w:ascii="宋体" w:hAnsi="宋体" w:cs="宋体" w:eastAsia="宋体" w:hint="default"/>
                <w:sz w:val="18"/>
                <w:szCs w:val="18"/>
              </w:rPr>
            </w:pPr>
            <w:r>
              <w:rPr>
                <w:rFonts w:ascii="宋体" w:hAnsi="宋体" w:cs="宋体" w:eastAsia="宋体" w:hint="default"/>
                <w:sz w:val="18"/>
                <w:szCs w:val="18"/>
              </w:rPr>
              <w:t>高管锁定股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每年年初 </w:t>
            </w:r>
            <w:r>
              <w:rPr>
                <w:rFonts w:ascii="Times New Roman" w:hAnsi="Times New Roman" w:cs="Times New Roman" w:eastAsia="Times New Roman" w:hint="default"/>
                <w:sz w:val="18"/>
                <w:szCs w:val="18"/>
              </w:rPr>
              <w:t>25%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解除限售</w:t>
            </w:r>
          </w:p>
        </w:tc>
      </w:tr>
      <w:tr>
        <w:trPr>
          <w:trHeight w:val="40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张乃军</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871,200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28,800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900,000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hAnsi="宋体" w:cs="宋体" w:eastAsia="宋体" w:hint="default"/>
                <w:sz w:val="18"/>
                <w:szCs w:val="18"/>
              </w:rPr>
              <w:t>高管锁定股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每年年初 </w:t>
            </w:r>
            <w:r>
              <w:rPr>
                <w:rFonts w:ascii="Times New Roman" w:hAnsi="Times New Roman" w:cs="Times New Roman" w:eastAsia="Times New Roman" w:hint="default"/>
                <w:sz w:val="18"/>
                <w:szCs w:val="18"/>
              </w:rPr>
              <w:t>25%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解除限售</w:t>
            </w:r>
          </w:p>
        </w:tc>
      </w:tr>
      <w:tr>
        <w:trPr>
          <w:trHeight w:val="401"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栾江霞</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612,000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28,800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640,800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
              <w:jc w:val="right"/>
              <w:rPr>
                <w:rFonts w:ascii="宋体" w:hAnsi="宋体" w:cs="宋体" w:eastAsia="宋体" w:hint="default"/>
                <w:sz w:val="18"/>
                <w:szCs w:val="18"/>
              </w:rPr>
            </w:pPr>
            <w:r>
              <w:rPr>
                <w:rFonts w:ascii="宋体" w:hAnsi="宋体" w:cs="宋体" w:eastAsia="宋体" w:hint="default"/>
                <w:sz w:val="18"/>
                <w:szCs w:val="18"/>
              </w:rPr>
              <w:t>高管锁定股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每年年初 </w:t>
            </w:r>
            <w:r>
              <w:rPr>
                <w:rFonts w:ascii="Times New Roman" w:hAnsi="Times New Roman" w:cs="Times New Roman" w:eastAsia="Times New Roman" w:hint="default"/>
                <w:sz w:val="18"/>
                <w:szCs w:val="18"/>
              </w:rPr>
              <w:t>25%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解除限售</w:t>
            </w:r>
          </w:p>
        </w:tc>
      </w:tr>
      <w:tr>
        <w:trPr>
          <w:trHeight w:val="40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李滢雪</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88,800</w:t>
            </w:r>
          </w:p>
        </w:tc>
        <w:tc>
          <w:tcPr>
            <w:tcW w:w="10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88,800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hAnsi="宋体" w:cs="宋体" w:eastAsia="宋体" w:hint="default"/>
                <w:sz w:val="18"/>
                <w:szCs w:val="18"/>
              </w:rPr>
              <w:t>高管锁定股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离任至任期届满已满半年</w:t>
            </w:r>
          </w:p>
        </w:tc>
      </w:tr>
      <w:tr>
        <w:trPr>
          <w:trHeight w:val="401"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蔡志评</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106,560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154,560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
              <w:jc w:val="right"/>
              <w:rPr>
                <w:rFonts w:ascii="宋体" w:hAnsi="宋体" w:cs="宋体" w:eastAsia="宋体" w:hint="default"/>
                <w:sz w:val="18"/>
                <w:szCs w:val="18"/>
              </w:rPr>
            </w:pPr>
            <w:r>
              <w:rPr>
                <w:rFonts w:ascii="宋体" w:hAnsi="宋体" w:cs="宋体" w:eastAsia="宋体" w:hint="default"/>
                <w:sz w:val="18"/>
                <w:szCs w:val="18"/>
              </w:rPr>
              <w:t>高管锁定股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每年年初 </w:t>
            </w:r>
            <w:r>
              <w:rPr>
                <w:rFonts w:ascii="Times New Roman" w:hAnsi="Times New Roman" w:cs="Times New Roman" w:eastAsia="Times New Roman" w:hint="default"/>
                <w:sz w:val="18"/>
                <w:szCs w:val="18"/>
              </w:rPr>
              <w:t>25%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解除限售</w:t>
            </w:r>
          </w:p>
        </w:tc>
      </w:tr>
      <w:tr>
        <w:trPr>
          <w:trHeight w:val="1027"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苏学武</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7,636,602</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8,757,030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4,093,455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12,300,177</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29" w:right="17" w:hanging="104"/>
              <w:jc w:val="right"/>
              <w:rPr>
                <w:rFonts w:ascii="宋体" w:hAnsi="宋体" w:cs="宋体" w:eastAsia="宋体" w:hint="default"/>
                <w:sz w:val="18"/>
                <w:szCs w:val="18"/>
              </w:rPr>
            </w:pPr>
            <w:r>
              <w:rPr>
                <w:rFonts w:ascii="宋体" w:hAnsi="宋体" w:cs="宋体" w:eastAsia="宋体" w:hint="default"/>
                <w:spacing w:val="-10"/>
                <w:sz w:val="18"/>
                <w:szCs w:val="18"/>
              </w:rPr>
              <w:t>高管锁定股（年初</w:t>
            </w:r>
            <w:r>
              <w:rPr>
                <w:rFonts w:ascii="宋体" w:hAnsi="宋体" w:cs="宋体" w:eastAsia="宋体" w:hint="default"/>
                <w:sz w:val="18"/>
                <w:szCs w:val="18"/>
              </w:rPr>
              <w:t> 首发限售股转为 高管锁定股）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每年年初 </w:t>
            </w:r>
            <w:r>
              <w:rPr>
                <w:rFonts w:ascii="Times New Roman" w:hAnsi="Times New Roman" w:cs="Times New Roman" w:eastAsia="Times New Roman" w:hint="default"/>
                <w:sz w:val="18"/>
                <w:szCs w:val="18"/>
              </w:rPr>
              <w:t>25%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解除限售</w:t>
            </w:r>
          </w:p>
        </w:tc>
      </w:tr>
      <w:tr>
        <w:trPr>
          <w:trHeight w:val="1025"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韦玉荣</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1,861,888</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3,721,412</w:t>
            </w:r>
          </w:p>
        </w:tc>
        <w:tc>
          <w:tcPr>
            <w:tcW w:w="99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5,583,300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29" w:right="17" w:hanging="104"/>
              <w:jc w:val="right"/>
              <w:rPr>
                <w:rFonts w:ascii="宋体" w:hAnsi="宋体" w:cs="宋体" w:eastAsia="宋体" w:hint="default"/>
                <w:sz w:val="18"/>
                <w:szCs w:val="18"/>
              </w:rPr>
            </w:pPr>
            <w:r>
              <w:rPr>
                <w:rFonts w:ascii="宋体" w:hAnsi="宋体" w:cs="宋体" w:eastAsia="宋体" w:hint="default"/>
                <w:spacing w:val="-10"/>
                <w:sz w:val="18"/>
                <w:szCs w:val="18"/>
              </w:rPr>
              <w:t>高管锁定股（年初</w:t>
            </w:r>
            <w:r>
              <w:rPr>
                <w:rFonts w:ascii="宋体" w:hAnsi="宋体" w:cs="宋体" w:eastAsia="宋体" w:hint="default"/>
                <w:sz w:val="18"/>
                <w:szCs w:val="18"/>
              </w:rPr>
              <w:t> 首发限售股转为 高管锁定股）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每年年初 </w:t>
            </w:r>
            <w:r>
              <w:rPr>
                <w:rFonts w:ascii="Times New Roman" w:hAnsi="Times New Roman" w:cs="Times New Roman" w:eastAsia="Times New Roman" w:hint="default"/>
                <w:sz w:val="18"/>
                <w:szCs w:val="18"/>
              </w:rPr>
              <w:t>25%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解除限售</w:t>
            </w:r>
          </w:p>
        </w:tc>
      </w:tr>
      <w:tr>
        <w:trPr>
          <w:trHeight w:val="40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葛鹏</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19,200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76,800</w:t>
            </w:r>
          </w:p>
        </w:tc>
        <w:tc>
          <w:tcPr>
            <w:tcW w:w="99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96,000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hAnsi="宋体" w:cs="宋体" w:eastAsia="宋体" w:hint="default"/>
                <w:sz w:val="18"/>
                <w:szCs w:val="18"/>
              </w:rPr>
              <w:t>高管锁定股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每年年初 </w:t>
            </w:r>
            <w:r>
              <w:rPr>
                <w:rFonts w:ascii="Times New Roman" w:hAnsi="Times New Roman" w:cs="Times New Roman" w:eastAsia="Times New Roman" w:hint="default"/>
                <w:sz w:val="18"/>
                <w:szCs w:val="18"/>
              </w:rPr>
              <w:t>25%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解除限售</w:t>
            </w:r>
          </w:p>
        </w:tc>
      </w:tr>
      <w:tr>
        <w:trPr>
          <w:trHeight w:val="401"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周成祖</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16,800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67,200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84,000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
              <w:jc w:val="right"/>
              <w:rPr>
                <w:rFonts w:ascii="宋体" w:hAnsi="宋体" w:cs="宋体" w:eastAsia="宋体" w:hint="default"/>
                <w:sz w:val="18"/>
                <w:szCs w:val="18"/>
              </w:rPr>
            </w:pPr>
            <w:r>
              <w:rPr>
                <w:rFonts w:ascii="宋体" w:hAnsi="宋体" w:cs="宋体" w:eastAsia="宋体" w:hint="default"/>
                <w:sz w:val="18"/>
                <w:szCs w:val="18"/>
              </w:rPr>
              <w:t>高管锁定股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每年年初 </w:t>
            </w:r>
            <w:r>
              <w:rPr>
                <w:rFonts w:ascii="Times New Roman" w:hAnsi="Times New Roman" w:cs="Times New Roman" w:eastAsia="Times New Roman" w:hint="default"/>
                <w:sz w:val="18"/>
                <w:szCs w:val="18"/>
              </w:rPr>
              <w:t>25%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解除限售</w:t>
            </w:r>
          </w:p>
        </w:tc>
      </w:tr>
      <w:tr>
        <w:trPr>
          <w:trHeight w:val="1027"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韦玉荣</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w w:val="95"/>
                <w:sz w:val="18"/>
              </w:rPr>
              <w:t>3,721,411</w:t>
            </w:r>
          </w:p>
        </w:tc>
        <w:tc>
          <w:tcPr>
            <w:tcW w:w="10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w w:val="95"/>
                <w:sz w:val="18"/>
              </w:rPr>
              <w:t>3,721,411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7"/>
              <w:jc w:val="right"/>
              <w:rPr>
                <w:rFonts w:ascii="宋体" w:hAnsi="宋体" w:cs="宋体" w:eastAsia="宋体" w:hint="default"/>
                <w:sz w:val="18"/>
                <w:szCs w:val="18"/>
              </w:rPr>
            </w:pPr>
            <w:r>
              <w:rPr>
                <w:rFonts w:ascii="宋体" w:hAnsi="宋体" w:cs="宋体" w:eastAsia="宋体" w:hint="default"/>
                <w:sz w:val="18"/>
                <w:szCs w:val="18"/>
              </w:rPr>
              <w:t>首发后限售股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1"/>
              <w:ind w:left="23" w:right="20"/>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达到业绩承诺条件的，增发股份自本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次发行完成之日起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3</w:t>
            </w:r>
            <w:r>
              <w:rPr>
                <w:rFonts w:ascii="Times New Roman" w:hAnsi="Times New Roman" w:cs="Times New Roman" w:eastAsia="Times New Roman" w:hint="default"/>
                <w:sz w:val="18"/>
                <w:szCs w:val="18"/>
              </w:rPr>
              <w:t> </w:t>
            </w:r>
            <w:r>
              <w:rPr>
                <w:rFonts w:ascii="宋体" w:hAnsi="宋体" w:cs="宋体" w:eastAsia="宋体" w:hint="default"/>
                <w:sz w:val="18"/>
                <w:szCs w:val="18"/>
              </w:rPr>
              <w:t>年后分别解锁</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50%</w:t>
            </w:r>
          </w:p>
        </w:tc>
      </w:tr>
      <w:tr>
        <w:trPr>
          <w:trHeight w:val="1025"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苏学武</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8,715,750</w:t>
            </w:r>
          </w:p>
        </w:tc>
        <w:tc>
          <w:tcPr>
            <w:tcW w:w="10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8,715,750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7"/>
              <w:jc w:val="right"/>
              <w:rPr>
                <w:rFonts w:ascii="宋体" w:hAnsi="宋体" w:cs="宋体" w:eastAsia="宋体" w:hint="default"/>
                <w:sz w:val="18"/>
                <w:szCs w:val="18"/>
              </w:rPr>
            </w:pPr>
            <w:r>
              <w:rPr>
                <w:rFonts w:ascii="宋体" w:hAnsi="宋体" w:cs="宋体" w:eastAsia="宋体" w:hint="default"/>
                <w:sz w:val="18"/>
                <w:szCs w:val="18"/>
              </w:rPr>
              <w:t>首发后限售股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20"/>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达到业绩承诺条件的，增发股份自本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次发行完成之日起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3</w:t>
            </w:r>
            <w:r>
              <w:rPr>
                <w:rFonts w:ascii="Times New Roman" w:hAnsi="Times New Roman" w:cs="Times New Roman" w:eastAsia="Times New Roman" w:hint="default"/>
                <w:sz w:val="18"/>
                <w:szCs w:val="18"/>
              </w:rPr>
              <w:t> </w:t>
            </w:r>
            <w:r>
              <w:rPr>
                <w:rFonts w:ascii="宋体" w:hAnsi="宋体" w:cs="宋体" w:eastAsia="宋体" w:hint="default"/>
                <w:sz w:val="18"/>
                <w:szCs w:val="18"/>
              </w:rPr>
              <w:t>年后分别解锁</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r>
              <w:rPr>
                <w:rFonts w:ascii="Times New Roman" w:hAnsi="Times New Roman" w:cs="Times New Roman" w:eastAsia="Times New Roman" w:hint="default"/>
                <w:sz w:val="18"/>
                <w:szCs w:val="18"/>
              </w:rPr>
              <w:t>40%</w:t>
            </w:r>
          </w:p>
        </w:tc>
      </w:tr>
      <w:tr>
        <w:trPr>
          <w:trHeight w:val="715"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陈燕</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7,442,819</w:t>
            </w:r>
          </w:p>
        </w:tc>
        <w:tc>
          <w:tcPr>
            <w:tcW w:w="10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7,442,819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7"/>
              <w:jc w:val="right"/>
              <w:rPr>
                <w:rFonts w:ascii="宋体" w:hAnsi="宋体" w:cs="宋体" w:eastAsia="宋体" w:hint="default"/>
                <w:sz w:val="18"/>
                <w:szCs w:val="18"/>
              </w:rPr>
            </w:pPr>
            <w:r>
              <w:rPr>
                <w:rFonts w:ascii="宋体" w:hAnsi="宋体" w:cs="宋体" w:eastAsia="宋体" w:hint="default"/>
                <w:sz w:val="18"/>
                <w:szCs w:val="18"/>
              </w:rPr>
              <w:t>首发后限售股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22"/>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达到业绩承诺条件的，增发股份自本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次发行完成之日起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年后解锁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p>
        </w:tc>
      </w:tr>
      <w:tr>
        <w:trPr>
          <w:trHeight w:val="1025"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孙士玉</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3,797,357</w:t>
            </w:r>
          </w:p>
        </w:tc>
        <w:tc>
          <w:tcPr>
            <w:tcW w:w="10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3,797,357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7"/>
              <w:jc w:val="right"/>
              <w:rPr>
                <w:rFonts w:ascii="宋体" w:hAnsi="宋体" w:cs="宋体" w:eastAsia="宋体" w:hint="default"/>
                <w:sz w:val="18"/>
                <w:szCs w:val="18"/>
              </w:rPr>
            </w:pPr>
            <w:r>
              <w:rPr>
                <w:rFonts w:ascii="宋体" w:hAnsi="宋体" w:cs="宋体" w:eastAsia="宋体" w:hint="default"/>
                <w:sz w:val="18"/>
                <w:szCs w:val="18"/>
              </w:rPr>
              <w:t>首发后限售股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20"/>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达到业绩承诺条件的，增发股份自本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次发行完成之日起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3</w:t>
            </w:r>
            <w:r>
              <w:rPr>
                <w:rFonts w:ascii="Times New Roman" w:hAnsi="Times New Roman" w:cs="Times New Roman" w:eastAsia="Times New Roman" w:hint="default"/>
                <w:sz w:val="18"/>
                <w:szCs w:val="18"/>
              </w:rPr>
              <w:t> </w:t>
            </w:r>
            <w:r>
              <w:rPr>
                <w:rFonts w:ascii="宋体" w:hAnsi="宋体" w:cs="宋体" w:eastAsia="宋体" w:hint="default"/>
                <w:sz w:val="18"/>
                <w:szCs w:val="18"/>
              </w:rPr>
              <w:t>年后分别解锁</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50%</w:t>
            </w:r>
          </w:p>
        </w:tc>
      </w:tr>
      <w:tr>
        <w:trPr>
          <w:trHeight w:val="1027"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李江</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w w:val="95"/>
                <w:sz w:val="18"/>
              </w:rPr>
              <w:t>3,721,411</w:t>
            </w:r>
          </w:p>
        </w:tc>
        <w:tc>
          <w:tcPr>
            <w:tcW w:w="10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w w:val="95"/>
                <w:sz w:val="18"/>
              </w:rPr>
              <w:t>3,721,411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7"/>
              <w:jc w:val="right"/>
              <w:rPr>
                <w:rFonts w:ascii="宋体" w:hAnsi="宋体" w:cs="宋体" w:eastAsia="宋体" w:hint="default"/>
                <w:sz w:val="18"/>
                <w:szCs w:val="18"/>
              </w:rPr>
            </w:pPr>
            <w:r>
              <w:rPr>
                <w:rFonts w:ascii="宋体" w:hAnsi="宋体" w:cs="宋体" w:eastAsia="宋体" w:hint="default"/>
                <w:sz w:val="18"/>
                <w:szCs w:val="18"/>
              </w:rPr>
              <w:t>首发后限售股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1"/>
              <w:ind w:left="23" w:right="20"/>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达到业绩承诺条件的，增发股份自本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次发行完成之日起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3</w:t>
            </w:r>
            <w:r>
              <w:rPr>
                <w:rFonts w:ascii="Times New Roman" w:hAnsi="Times New Roman" w:cs="Times New Roman" w:eastAsia="Times New Roman" w:hint="default"/>
                <w:sz w:val="18"/>
                <w:szCs w:val="18"/>
              </w:rPr>
              <w:t> </w:t>
            </w:r>
            <w:r>
              <w:rPr>
                <w:rFonts w:ascii="宋体" w:hAnsi="宋体" w:cs="宋体" w:eastAsia="宋体" w:hint="default"/>
                <w:sz w:val="18"/>
                <w:szCs w:val="18"/>
              </w:rPr>
              <w:t>年后分别解锁</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50%</w:t>
            </w:r>
          </w:p>
        </w:tc>
      </w:tr>
      <w:tr>
        <w:trPr>
          <w:trHeight w:val="1027"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卢晓英</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3,560,023</w:t>
            </w:r>
          </w:p>
        </w:tc>
        <w:tc>
          <w:tcPr>
            <w:tcW w:w="10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3,560,023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7"/>
              <w:jc w:val="right"/>
              <w:rPr>
                <w:rFonts w:ascii="宋体" w:hAnsi="宋体" w:cs="宋体" w:eastAsia="宋体" w:hint="default"/>
                <w:sz w:val="18"/>
                <w:szCs w:val="18"/>
              </w:rPr>
            </w:pPr>
            <w:r>
              <w:rPr>
                <w:rFonts w:ascii="宋体" w:hAnsi="宋体" w:cs="宋体" w:eastAsia="宋体" w:hint="default"/>
                <w:sz w:val="18"/>
                <w:szCs w:val="18"/>
              </w:rPr>
              <w:t>首发后限售股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20"/>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达到业绩承诺条件的，增发股份自本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次发行完成之日起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3</w:t>
            </w:r>
            <w:r>
              <w:rPr>
                <w:rFonts w:ascii="Times New Roman" w:hAnsi="Times New Roman" w:cs="Times New Roman" w:eastAsia="Times New Roman" w:hint="default"/>
                <w:sz w:val="18"/>
                <w:szCs w:val="18"/>
              </w:rPr>
              <w:t> </w:t>
            </w:r>
            <w:r>
              <w:rPr>
                <w:rFonts w:ascii="宋体" w:hAnsi="宋体" w:cs="宋体" w:eastAsia="宋体" w:hint="default"/>
                <w:sz w:val="18"/>
                <w:szCs w:val="18"/>
              </w:rPr>
              <w:t>年后分别解锁</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50%</w:t>
            </w:r>
          </w:p>
        </w:tc>
      </w:tr>
    </w:tbl>
    <w:p>
      <w:pPr>
        <w:spacing w:after="0" w:line="309" w:lineRule="auto"/>
        <w:jc w:val="both"/>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277"/>
        <w:gridCol w:w="977"/>
        <w:gridCol w:w="1008"/>
        <w:gridCol w:w="991"/>
        <w:gridCol w:w="991"/>
        <w:gridCol w:w="1418"/>
        <w:gridCol w:w="2904"/>
      </w:tblGrid>
      <w:tr>
        <w:trPr>
          <w:trHeight w:val="1025"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黄新</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2,482,523</w:t>
            </w:r>
          </w:p>
        </w:tc>
        <w:tc>
          <w:tcPr>
            <w:tcW w:w="10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2,482,523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7"/>
              <w:jc w:val="right"/>
              <w:rPr>
                <w:rFonts w:ascii="宋体" w:hAnsi="宋体" w:cs="宋体" w:eastAsia="宋体" w:hint="default"/>
                <w:sz w:val="18"/>
                <w:szCs w:val="18"/>
              </w:rPr>
            </w:pPr>
            <w:r>
              <w:rPr>
                <w:rFonts w:ascii="宋体" w:hAnsi="宋体" w:cs="宋体" w:eastAsia="宋体" w:hint="default"/>
                <w:sz w:val="18"/>
                <w:szCs w:val="18"/>
              </w:rPr>
              <w:t>首发后限售股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20"/>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达到业绩承诺条件的，增发股份自本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次发行完成之日起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3</w:t>
            </w:r>
            <w:r>
              <w:rPr>
                <w:rFonts w:ascii="Times New Roman" w:hAnsi="Times New Roman" w:cs="Times New Roman" w:eastAsia="Times New Roman" w:hint="default"/>
                <w:sz w:val="18"/>
                <w:szCs w:val="18"/>
              </w:rPr>
              <w:t> </w:t>
            </w:r>
            <w:r>
              <w:rPr>
                <w:rFonts w:ascii="宋体" w:hAnsi="宋体" w:cs="宋体" w:eastAsia="宋体" w:hint="default"/>
                <w:sz w:val="18"/>
                <w:szCs w:val="18"/>
              </w:rPr>
              <w:t>年后分别解锁</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50%</w:t>
            </w:r>
          </w:p>
        </w:tc>
      </w:tr>
      <w:tr>
        <w:trPr>
          <w:trHeight w:val="1027"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安林冲</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356,005</w:t>
            </w:r>
          </w:p>
        </w:tc>
        <w:tc>
          <w:tcPr>
            <w:tcW w:w="10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356,005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7"/>
              <w:jc w:val="right"/>
              <w:rPr>
                <w:rFonts w:ascii="宋体" w:hAnsi="宋体" w:cs="宋体" w:eastAsia="宋体" w:hint="default"/>
                <w:sz w:val="18"/>
                <w:szCs w:val="18"/>
              </w:rPr>
            </w:pPr>
            <w:r>
              <w:rPr>
                <w:rFonts w:ascii="宋体" w:hAnsi="宋体" w:cs="宋体" w:eastAsia="宋体" w:hint="default"/>
                <w:sz w:val="18"/>
                <w:szCs w:val="18"/>
              </w:rPr>
              <w:t>首发后限售股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1"/>
              <w:ind w:left="23" w:right="20"/>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达到业绩承诺条件的，增发股份自本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次发行完成之日起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3</w:t>
            </w:r>
            <w:r>
              <w:rPr>
                <w:rFonts w:ascii="Times New Roman" w:hAnsi="Times New Roman" w:cs="Times New Roman" w:eastAsia="Times New Roman" w:hint="default"/>
                <w:sz w:val="18"/>
                <w:szCs w:val="18"/>
              </w:rPr>
              <w:t> </w:t>
            </w:r>
            <w:r>
              <w:rPr>
                <w:rFonts w:ascii="宋体" w:hAnsi="宋体" w:cs="宋体" w:eastAsia="宋体" w:hint="default"/>
                <w:sz w:val="18"/>
                <w:szCs w:val="18"/>
              </w:rPr>
              <w:t>年后分别解锁</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50%</w:t>
            </w:r>
          </w:p>
        </w:tc>
      </w:tr>
      <w:tr>
        <w:trPr>
          <w:trHeight w:val="1025"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仇宏远</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356,005</w:t>
            </w:r>
          </w:p>
        </w:tc>
        <w:tc>
          <w:tcPr>
            <w:tcW w:w="10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356,005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7"/>
              <w:jc w:val="right"/>
              <w:rPr>
                <w:rFonts w:ascii="宋体" w:hAnsi="宋体" w:cs="宋体" w:eastAsia="宋体" w:hint="default"/>
                <w:sz w:val="18"/>
                <w:szCs w:val="18"/>
              </w:rPr>
            </w:pPr>
            <w:r>
              <w:rPr>
                <w:rFonts w:ascii="宋体" w:hAnsi="宋体" w:cs="宋体" w:eastAsia="宋体" w:hint="default"/>
                <w:sz w:val="18"/>
                <w:szCs w:val="18"/>
              </w:rPr>
              <w:t>首发后限售股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20"/>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达到业绩承诺条件的，增发股份自本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次发行完成之日起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3</w:t>
            </w:r>
            <w:r>
              <w:rPr>
                <w:rFonts w:ascii="Times New Roman" w:hAnsi="Times New Roman" w:cs="Times New Roman" w:eastAsia="Times New Roman" w:hint="default"/>
                <w:sz w:val="18"/>
                <w:szCs w:val="18"/>
              </w:rPr>
              <w:t> </w:t>
            </w:r>
            <w:r>
              <w:rPr>
                <w:rFonts w:ascii="宋体" w:hAnsi="宋体" w:cs="宋体" w:eastAsia="宋体" w:hint="default"/>
                <w:sz w:val="18"/>
                <w:szCs w:val="18"/>
              </w:rPr>
              <w:t>年后分别解锁</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50%</w:t>
            </w:r>
          </w:p>
        </w:tc>
      </w:tr>
      <w:tr>
        <w:trPr>
          <w:trHeight w:val="1027"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郭玉智</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356,005</w:t>
            </w:r>
          </w:p>
        </w:tc>
        <w:tc>
          <w:tcPr>
            <w:tcW w:w="10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356,005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7"/>
              <w:jc w:val="right"/>
              <w:rPr>
                <w:rFonts w:ascii="宋体" w:hAnsi="宋体" w:cs="宋体" w:eastAsia="宋体" w:hint="default"/>
                <w:sz w:val="18"/>
                <w:szCs w:val="18"/>
              </w:rPr>
            </w:pPr>
            <w:r>
              <w:rPr>
                <w:rFonts w:ascii="宋体" w:hAnsi="宋体" w:cs="宋体" w:eastAsia="宋体" w:hint="default"/>
                <w:sz w:val="18"/>
                <w:szCs w:val="18"/>
              </w:rPr>
              <w:t>首发后限售股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1"/>
              <w:ind w:left="23" w:right="20"/>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达到业绩承诺条件的，增发股份自本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次发行完成之日起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3</w:t>
            </w:r>
            <w:r>
              <w:rPr>
                <w:rFonts w:ascii="Times New Roman" w:hAnsi="Times New Roman" w:cs="Times New Roman" w:eastAsia="Times New Roman" w:hint="default"/>
                <w:sz w:val="18"/>
                <w:szCs w:val="18"/>
              </w:rPr>
              <w:t> </w:t>
            </w:r>
            <w:r>
              <w:rPr>
                <w:rFonts w:ascii="宋体" w:hAnsi="宋体" w:cs="宋体" w:eastAsia="宋体" w:hint="default"/>
                <w:sz w:val="18"/>
                <w:szCs w:val="18"/>
              </w:rPr>
              <w:t>年后分别解锁</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50%</w:t>
            </w:r>
          </w:p>
        </w:tc>
      </w:tr>
      <w:tr>
        <w:trPr>
          <w:trHeight w:val="1025"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邓炽成</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257,920</w:t>
            </w:r>
          </w:p>
        </w:tc>
        <w:tc>
          <w:tcPr>
            <w:tcW w:w="10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257,920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7"/>
              <w:jc w:val="right"/>
              <w:rPr>
                <w:rFonts w:ascii="宋体" w:hAnsi="宋体" w:cs="宋体" w:eastAsia="宋体" w:hint="default"/>
                <w:sz w:val="18"/>
                <w:szCs w:val="18"/>
              </w:rPr>
            </w:pPr>
            <w:r>
              <w:rPr>
                <w:rFonts w:ascii="宋体" w:hAnsi="宋体" w:cs="宋体" w:eastAsia="宋体" w:hint="default"/>
                <w:sz w:val="18"/>
                <w:szCs w:val="18"/>
              </w:rPr>
              <w:t>首发后限售股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20"/>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达到业绩承诺条件的，增发股份自本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次发行完成之日起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3</w:t>
            </w:r>
            <w:r>
              <w:rPr>
                <w:rFonts w:ascii="Times New Roman" w:hAnsi="Times New Roman" w:cs="Times New Roman" w:eastAsia="Times New Roman" w:hint="default"/>
                <w:sz w:val="18"/>
                <w:szCs w:val="18"/>
              </w:rPr>
              <w:t> </w:t>
            </w:r>
            <w:r>
              <w:rPr>
                <w:rFonts w:ascii="宋体" w:hAnsi="宋体" w:cs="宋体" w:eastAsia="宋体" w:hint="default"/>
                <w:sz w:val="18"/>
                <w:szCs w:val="18"/>
              </w:rPr>
              <w:t>年后分别解锁</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r>
              <w:rPr>
                <w:rFonts w:ascii="Times New Roman" w:hAnsi="Times New Roman" w:cs="Times New Roman" w:eastAsia="Times New Roman" w:hint="default"/>
                <w:sz w:val="18"/>
                <w:szCs w:val="18"/>
              </w:rPr>
              <w:t>40%</w:t>
            </w:r>
          </w:p>
        </w:tc>
      </w:tr>
      <w:tr>
        <w:trPr>
          <w:trHeight w:val="1027"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水军</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257,920</w:t>
            </w:r>
          </w:p>
        </w:tc>
        <w:tc>
          <w:tcPr>
            <w:tcW w:w="10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257,920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7"/>
              <w:jc w:val="right"/>
              <w:rPr>
                <w:rFonts w:ascii="宋体" w:hAnsi="宋体" w:cs="宋体" w:eastAsia="宋体" w:hint="default"/>
                <w:sz w:val="18"/>
                <w:szCs w:val="18"/>
              </w:rPr>
            </w:pPr>
            <w:r>
              <w:rPr>
                <w:rFonts w:ascii="宋体" w:hAnsi="宋体" w:cs="宋体" w:eastAsia="宋体" w:hint="default"/>
                <w:sz w:val="18"/>
                <w:szCs w:val="18"/>
              </w:rPr>
              <w:t>首发后限售股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1"/>
              <w:ind w:left="23" w:right="20"/>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达到业绩承诺条件的，增发股份自本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次发行完成之日起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3</w:t>
            </w:r>
            <w:r>
              <w:rPr>
                <w:rFonts w:ascii="Times New Roman" w:hAnsi="Times New Roman" w:cs="Times New Roman" w:eastAsia="Times New Roman" w:hint="default"/>
                <w:sz w:val="18"/>
                <w:szCs w:val="18"/>
              </w:rPr>
              <w:t> </w:t>
            </w:r>
            <w:r>
              <w:rPr>
                <w:rFonts w:ascii="宋体" w:hAnsi="宋体" w:cs="宋体" w:eastAsia="宋体" w:hint="default"/>
                <w:sz w:val="18"/>
                <w:szCs w:val="18"/>
              </w:rPr>
              <w:t>年后分别解锁</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r>
              <w:rPr>
                <w:rFonts w:ascii="Times New Roman" w:hAnsi="Times New Roman" w:cs="Times New Roman" w:eastAsia="Times New Roman" w:hint="default"/>
                <w:sz w:val="18"/>
                <w:szCs w:val="18"/>
              </w:rPr>
              <w:t>40%</w:t>
            </w:r>
          </w:p>
        </w:tc>
      </w:tr>
      <w:tr>
        <w:trPr>
          <w:trHeight w:val="1025"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包志翔</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237,335</w:t>
            </w:r>
          </w:p>
        </w:tc>
        <w:tc>
          <w:tcPr>
            <w:tcW w:w="10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237,335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7"/>
              <w:jc w:val="right"/>
              <w:rPr>
                <w:rFonts w:ascii="宋体" w:hAnsi="宋体" w:cs="宋体" w:eastAsia="宋体" w:hint="default"/>
                <w:sz w:val="18"/>
                <w:szCs w:val="18"/>
              </w:rPr>
            </w:pPr>
            <w:r>
              <w:rPr>
                <w:rFonts w:ascii="宋体" w:hAnsi="宋体" w:cs="宋体" w:eastAsia="宋体" w:hint="default"/>
                <w:sz w:val="18"/>
                <w:szCs w:val="18"/>
              </w:rPr>
              <w:t>首发后限售股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20"/>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达到业绩承诺条件的，增发股份自本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次发行完成之日起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3</w:t>
            </w:r>
            <w:r>
              <w:rPr>
                <w:rFonts w:ascii="Times New Roman" w:hAnsi="Times New Roman" w:cs="Times New Roman" w:eastAsia="Times New Roman" w:hint="default"/>
                <w:sz w:val="18"/>
                <w:szCs w:val="18"/>
              </w:rPr>
              <w:t> </w:t>
            </w:r>
            <w:r>
              <w:rPr>
                <w:rFonts w:ascii="宋体" w:hAnsi="宋体" w:cs="宋体" w:eastAsia="宋体" w:hint="default"/>
                <w:sz w:val="18"/>
                <w:szCs w:val="18"/>
              </w:rPr>
              <w:t>年后分别解锁</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50%</w:t>
            </w:r>
          </w:p>
        </w:tc>
      </w:tr>
      <w:tr>
        <w:trPr>
          <w:trHeight w:val="1027"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韩海青</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237,335</w:t>
            </w:r>
          </w:p>
        </w:tc>
        <w:tc>
          <w:tcPr>
            <w:tcW w:w="10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237,335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7"/>
              <w:jc w:val="right"/>
              <w:rPr>
                <w:rFonts w:ascii="宋体" w:hAnsi="宋体" w:cs="宋体" w:eastAsia="宋体" w:hint="default"/>
                <w:sz w:val="18"/>
                <w:szCs w:val="18"/>
              </w:rPr>
            </w:pPr>
            <w:r>
              <w:rPr>
                <w:rFonts w:ascii="宋体" w:hAnsi="宋体" w:cs="宋体" w:eastAsia="宋体" w:hint="default"/>
                <w:sz w:val="18"/>
                <w:szCs w:val="18"/>
              </w:rPr>
              <w:t>首发后限售股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1"/>
              <w:ind w:left="23" w:right="20"/>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达到业绩承诺条件的，增发股份自本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次发行完成之日起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3</w:t>
            </w:r>
            <w:r>
              <w:rPr>
                <w:rFonts w:ascii="Times New Roman" w:hAnsi="Times New Roman" w:cs="Times New Roman" w:eastAsia="Times New Roman" w:hint="default"/>
                <w:sz w:val="18"/>
                <w:szCs w:val="18"/>
              </w:rPr>
              <w:t> </w:t>
            </w:r>
            <w:r>
              <w:rPr>
                <w:rFonts w:ascii="宋体" w:hAnsi="宋体" w:cs="宋体" w:eastAsia="宋体" w:hint="default"/>
                <w:sz w:val="18"/>
                <w:szCs w:val="18"/>
              </w:rPr>
              <w:t>年后分别解锁</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50%</w:t>
            </w:r>
          </w:p>
        </w:tc>
      </w:tr>
      <w:tr>
        <w:trPr>
          <w:trHeight w:val="1025"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李佳</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237,334</w:t>
            </w:r>
          </w:p>
        </w:tc>
        <w:tc>
          <w:tcPr>
            <w:tcW w:w="10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237,334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7"/>
              <w:jc w:val="right"/>
              <w:rPr>
                <w:rFonts w:ascii="宋体" w:hAnsi="宋体" w:cs="宋体" w:eastAsia="宋体" w:hint="default"/>
                <w:sz w:val="18"/>
                <w:szCs w:val="18"/>
              </w:rPr>
            </w:pPr>
            <w:r>
              <w:rPr>
                <w:rFonts w:ascii="宋体" w:hAnsi="宋体" w:cs="宋体" w:eastAsia="宋体" w:hint="default"/>
                <w:sz w:val="18"/>
                <w:szCs w:val="18"/>
              </w:rPr>
              <w:t>首发后限售股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20"/>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达到业绩承诺条件的，增发股份自本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次发行完成之日起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3</w:t>
            </w:r>
            <w:r>
              <w:rPr>
                <w:rFonts w:ascii="Times New Roman" w:hAnsi="Times New Roman" w:cs="Times New Roman" w:eastAsia="Times New Roman" w:hint="default"/>
                <w:sz w:val="18"/>
                <w:szCs w:val="18"/>
              </w:rPr>
              <w:t> </w:t>
            </w:r>
            <w:r>
              <w:rPr>
                <w:rFonts w:ascii="宋体" w:hAnsi="宋体" w:cs="宋体" w:eastAsia="宋体" w:hint="default"/>
                <w:sz w:val="18"/>
                <w:szCs w:val="18"/>
              </w:rPr>
              <w:t>年后分别解锁</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50%</w:t>
            </w:r>
          </w:p>
        </w:tc>
      </w:tr>
      <w:tr>
        <w:trPr>
          <w:trHeight w:val="1027"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任炜</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237,334</w:t>
            </w:r>
          </w:p>
        </w:tc>
        <w:tc>
          <w:tcPr>
            <w:tcW w:w="10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237,334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7"/>
              <w:jc w:val="right"/>
              <w:rPr>
                <w:rFonts w:ascii="宋体" w:hAnsi="宋体" w:cs="宋体" w:eastAsia="宋体" w:hint="default"/>
                <w:sz w:val="18"/>
                <w:szCs w:val="18"/>
              </w:rPr>
            </w:pPr>
            <w:r>
              <w:rPr>
                <w:rFonts w:ascii="宋体" w:hAnsi="宋体" w:cs="宋体" w:eastAsia="宋体" w:hint="default"/>
                <w:sz w:val="18"/>
                <w:szCs w:val="18"/>
              </w:rPr>
              <w:t>首发后限售股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1"/>
              <w:ind w:left="23" w:right="20"/>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达到业绩承诺条件的，增发股份自本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次发行完成之日起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3</w:t>
            </w:r>
            <w:r>
              <w:rPr>
                <w:rFonts w:ascii="Times New Roman" w:hAnsi="Times New Roman" w:cs="Times New Roman" w:eastAsia="Times New Roman" w:hint="default"/>
                <w:sz w:val="18"/>
                <w:szCs w:val="18"/>
              </w:rPr>
              <w:t> </w:t>
            </w:r>
            <w:r>
              <w:rPr>
                <w:rFonts w:ascii="宋体" w:hAnsi="宋体" w:cs="宋体" w:eastAsia="宋体" w:hint="default"/>
                <w:sz w:val="18"/>
                <w:szCs w:val="18"/>
              </w:rPr>
              <w:t>年后分别解锁</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50%</w:t>
            </w:r>
          </w:p>
        </w:tc>
      </w:tr>
      <w:tr>
        <w:trPr>
          <w:trHeight w:val="1025"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王亚明</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237,334</w:t>
            </w:r>
          </w:p>
        </w:tc>
        <w:tc>
          <w:tcPr>
            <w:tcW w:w="10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237,334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7"/>
              <w:jc w:val="right"/>
              <w:rPr>
                <w:rFonts w:ascii="宋体" w:hAnsi="宋体" w:cs="宋体" w:eastAsia="宋体" w:hint="default"/>
                <w:sz w:val="18"/>
                <w:szCs w:val="18"/>
              </w:rPr>
            </w:pPr>
            <w:r>
              <w:rPr>
                <w:rFonts w:ascii="宋体" w:hAnsi="宋体" w:cs="宋体" w:eastAsia="宋体" w:hint="default"/>
                <w:sz w:val="18"/>
                <w:szCs w:val="18"/>
              </w:rPr>
              <w:t>首发后限售股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20"/>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达到业绩承诺条件的，增发股份自本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次发行完成之日起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3</w:t>
            </w:r>
            <w:r>
              <w:rPr>
                <w:rFonts w:ascii="Times New Roman" w:hAnsi="Times New Roman" w:cs="Times New Roman" w:eastAsia="Times New Roman" w:hint="default"/>
                <w:sz w:val="18"/>
                <w:szCs w:val="18"/>
              </w:rPr>
              <w:t> </w:t>
            </w:r>
            <w:r>
              <w:rPr>
                <w:rFonts w:ascii="宋体" w:hAnsi="宋体" w:cs="宋体" w:eastAsia="宋体" w:hint="default"/>
                <w:sz w:val="18"/>
                <w:szCs w:val="18"/>
              </w:rPr>
              <w:t>年后分别解锁</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50%</w:t>
            </w:r>
          </w:p>
        </w:tc>
      </w:tr>
      <w:tr>
        <w:trPr>
          <w:trHeight w:val="1027"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叶树军</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237,334</w:t>
            </w:r>
          </w:p>
        </w:tc>
        <w:tc>
          <w:tcPr>
            <w:tcW w:w="10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237,334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7"/>
              <w:jc w:val="right"/>
              <w:rPr>
                <w:rFonts w:ascii="宋体" w:hAnsi="宋体" w:cs="宋体" w:eastAsia="宋体" w:hint="default"/>
                <w:sz w:val="18"/>
                <w:szCs w:val="18"/>
              </w:rPr>
            </w:pPr>
            <w:r>
              <w:rPr>
                <w:rFonts w:ascii="宋体" w:hAnsi="宋体" w:cs="宋体" w:eastAsia="宋体" w:hint="default"/>
                <w:sz w:val="18"/>
                <w:szCs w:val="18"/>
              </w:rPr>
              <w:t>首发后限售股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1"/>
              <w:ind w:left="23" w:right="20"/>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达到业绩承诺条件的，增发股份自本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次发行完成之日起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3</w:t>
            </w:r>
            <w:r>
              <w:rPr>
                <w:rFonts w:ascii="Times New Roman" w:hAnsi="Times New Roman" w:cs="Times New Roman" w:eastAsia="Times New Roman" w:hint="default"/>
                <w:sz w:val="18"/>
                <w:szCs w:val="18"/>
              </w:rPr>
              <w:t> </w:t>
            </w:r>
            <w:r>
              <w:rPr>
                <w:rFonts w:ascii="宋体" w:hAnsi="宋体" w:cs="宋体" w:eastAsia="宋体" w:hint="default"/>
                <w:sz w:val="18"/>
                <w:szCs w:val="18"/>
              </w:rPr>
              <w:t>年后分别解锁</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50%</w:t>
            </w:r>
          </w:p>
        </w:tc>
      </w:tr>
      <w:tr>
        <w:trPr>
          <w:trHeight w:val="1027"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张红光</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237,334</w:t>
            </w:r>
          </w:p>
        </w:tc>
        <w:tc>
          <w:tcPr>
            <w:tcW w:w="10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237,334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7"/>
              <w:jc w:val="right"/>
              <w:rPr>
                <w:rFonts w:ascii="宋体" w:hAnsi="宋体" w:cs="宋体" w:eastAsia="宋体" w:hint="default"/>
                <w:sz w:val="18"/>
                <w:szCs w:val="18"/>
              </w:rPr>
            </w:pPr>
            <w:r>
              <w:rPr>
                <w:rFonts w:ascii="宋体" w:hAnsi="宋体" w:cs="宋体" w:eastAsia="宋体" w:hint="default"/>
                <w:sz w:val="18"/>
                <w:szCs w:val="18"/>
              </w:rPr>
              <w:t>首发后限售股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20"/>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达到业绩承诺条件的，增发股份自本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次发行完成之日起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年后、</w:t>
            </w:r>
            <w:r>
              <w:rPr>
                <w:rFonts w:ascii="Times New Roman" w:hAnsi="Times New Roman" w:cs="Times New Roman" w:eastAsia="Times New Roman" w:hint="default"/>
                <w:spacing w:val="-11"/>
                <w:sz w:val="18"/>
                <w:szCs w:val="18"/>
              </w:rPr>
              <w:t>3</w:t>
            </w:r>
            <w:r>
              <w:rPr>
                <w:rFonts w:ascii="Times New Roman" w:hAnsi="Times New Roman" w:cs="Times New Roman" w:eastAsia="Times New Roman" w:hint="default"/>
                <w:sz w:val="18"/>
                <w:szCs w:val="18"/>
              </w:rPr>
              <w:t> </w:t>
            </w:r>
            <w:r>
              <w:rPr>
                <w:rFonts w:ascii="宋体" w:hAnsi="宋体" w:cs="宋体" w:eastAsia="宋体" w:hint="default"/>
                <w:sz w:val="18"/>
                <w:szCs w:val="18"/>
              </w:rPr>
              <w:t>年后分别解锁</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50%</w:t>
            </w:r>
          </w:p>
        </w:tc>
      </w:tr>
    </w:tbl>
    <w:p>
      <w:pPr>
        <w:spacing w:after="0" w:line="309" w:lineRule="auto"/>
        <w:jc w:val="both"/>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277"/>
        <w:gridCol w:w="977"/>
        <w:gridCol w:w="1008"/>
        <w:gridCol w:w="991"/>
        <w:gridCol w:w="991"/>
        <w:gridCol w:w="1418"/>
        <w:gridCol w:w="2904"/>
      </w:tblGrid>
      <w:tr>
        <w:trPr>
          <w:trHeight w:val="1337"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both"/>
              <w:rPr>
                <w:rFonts w:ascii="宋体" w:hAnsi="宋体" w:cs="宋体" w:eastAsia="宋体" w:hint="default"/>
                <w:sz w:val="18"/>
                <w:szCs w:val="18"/>
              </w:rPr>
            </w:pPr>
            <w:r>
              <w:rPr>
                <w:rFonts w:ascii="宋体" w:hAnsi="宋体" w:cs="宋体" w:eastAsia="宋体" w:hint="default"/>
                <w:sz w:val="18"/>
                <w:szCs w:val="18"/>
              </w:rPr>
              <w:t>股权激励对象</w:t>
            </w:r>
          </w:p>
          <w:p>
            <w:pPr>
              <w:pStyle w:val="TableParagraph"/>
              <w:spacing w:line="316" w:lineRule="auto" w:before="76"/>
              <w:ind w:left="24" w:right="158"/>
              <w:jc w:val="both"/>
              <w:rPr>
                <w:rFonts w:ascii="宋体" w:hAnsi="宋体" w:cs="宋体" w:eastAsia="宋体" w:hint="default"/>
                <w:sz w:val="18"/>
                <w:szCs w:val="18"/>
              </w:rPr>
            </w:pPr>
            <w:r>
              <w:rPr>
                <w:rFonts w:ascii="宋体" w:hAnsi="宋体" w:cs="宋体" w:eastAsia="宋体" w:hint="default"/>
                <w:sz w:val="18"/>
                <w:szCs w:val="18"/>
              </w:rPr>
              <w:t>（第二期限制 性股票激励计 划）共</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550 </w:t>
            </w:r>
            <w:r>
              <w:rPr>
                <w:rFonts w:ascii="宋体" w:hAnsi="宋体" w:cs="宋体" w:eastAsia="宋体" w:hint="default"/>
                <w:sz w:val="18"/>
                <w:szCs w:val="18"/>
              </w:rPr>
              <w:t>人</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9,600,544</w:t>
            </w:r>
          </w:p>
        </w:tc>
        <w:tc>
          <w:tcPr>
            <w:tcW w:w="10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9,600,544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110" w:right="0"/>
              <w:jc w:val="center"/>
              <w:rPr>
                <w:rFonts w:ascii="宋体" w:hAnsi="宋体" w:cs="宋体" w:eastAsia="宋体" w:hint="default"/>
                <w:sz w:val="18"/>
                <w:szCs w:val="18"/>
              </w:rPr>
            </w:pPr>
            <w:r>
              <w:rPr>
                <w:rFonts w:ascii="宋体" w:hAnsi="宋体" w:cs="宋体" w:eastAsia="宋体" w:hint="default"/>
                <w:sz w:val="18"/>
                <w:szCs w:val="18"/>
              </w:rPr>
              <w:t>股权激励限售股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2"/>
              <w:jc w:val="left"/>
              <w:rPr>
                <w:rFonts w:ascii="宋体" w:hAnsi="宋体" w:cs="宋体" w:eastAsia="宋体" w:hint="default"/>
                <w:sz w:val="18"/>
                <w:szCs w:val="18"/>
              </w:rPr>
            </w:pPr>
            <w:r>
              <w:rPr>
                <w:rFonts w:ascii="宋体" w:hAnsi="宋体" w:cs="宋体" w:eastAsia="宋体" w:hint="default"/>
                <w:sz w:val="18"/>
                <w:szCs w:val="18"/>
              </w:rPr>
              <w:t>根据公司第二期限制性股票激励计 </w:t>
            </w:r>
            <w:r>
              <w:rPr>
                <w:rFonts w:ascii="宋体" w:hAnsi="宋体" w:cs="宋体" w:eastAsia="宋体" w:hint="default"/>
                <w:spacing w:val="-3"/>
                <w:sz w:val="18"/>
                <w:szCs w:val="18"/>
              </w:rPr>
              <w:t>划（草案）的有关规定执行解锁及回</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购注销。</w:t>
            </w:r>
          </w:p>
        </w:tc>
      </w:tr>
      <w:tr>
        <w:trPr>
          <w:trHeight w:val="1339"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股权激励对象</w:t>
            </w:r>
          </w:p>
          <w:p>
            <w:pPr>
              <w:pStyle w:val="TableParagraph"/>
              <w:spacing w:line="309" w:lineRule="auto" w:before="74"/>
              <w:ind w:left="24" w:right="-17"/>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年股票 期权与限制性 股票激励计划）</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0"/>
              <w:jc w:val="right"/>
              <w:rPr>
                <w:rFonts w:ascii="Times New Roman" w:hAnsi="Times New Roman" w:cs="Times New Roman" w:eastAsia="Times New Roman" w:hint="default"/>
                <w:sz w:val="18"/>
                <w:szCs w:val="18"/>
              </w:rPr>
            </w:pPr>
            <w:r>
              <w:rPr>
                <w:rFonts w:ascii="Times New Roman"/>
                <w:sz w:val="18"/>
              </w:rPr>
              <w:t>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0"/>
              <w:jc w:val="right"/>
              <w:rPr>
                <w:rFonts w:ascii="Times New Roman" w:hAnsi="Times New Roman" w:cs="Times New Roman" w:eastAsia="Times New Roman" w:hint="default"/>
                <w:sz w:val="18"/>
                <w:szCs w:val="18"/>
              </w:rPr>
            </w:pPr>
            <w:r>
              <w:rPr>
                <w:rFonts w:ascii="Times New Roman"/>
                <w:spacing w:val="-1"/>
                <w:sz w:val="18"/>
              </w:rPr>
              <w:t>9,577,900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6"/>
              <w:jc w:val="right"/>
              <w:rPr>
                <w:rFonts w:ascii="Times New Roman" w:hAnsi="Times New Roman" w:cs="Times New Roman" w:eastAsia="Times New Roman" w:hint="default"/>
                <w:sz w:val="18"/>
                <w:szCs w:val="18"/>
              </w:rPr>
            </w:pPr>
            <w:r>
              <w:rPr>
                <w:rFonts w:ascii="Times New Roman"/>
                <w:sz w:val="18"/>
              </w:rPr>
              <w:t>129,600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8"/>
              <w:jc w:val="right"/>
              <w:rPr>
                <w:rFonts w:ascii="Times New Roman" w:hAnsi="Times New Roman" w:cs="Times New Roman" w:eastAsia="Times New Roman" w:hint="default"/>
                <w:sz w:val="18"/>
                <w:szCs w:val="18"/>
              </w:rPr>
            </w:pPr>
            <w:r>
              <w:rPr>
                <w:rFonts w:ascii="Times New Roman"/>
                <w:spacing w:val="-1"/>
                <w:sz w:val="18"/>
              </w:rPr>
              <w:t>9,448,300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10" w:right="0"/>
              <w:jc w:val="center"/>
              <w:rPr>
                <w:rFonts w:ascii="宋体" w:hAnsi="宋体" w:cs="宋体" w:eastAsia="宋体" w:hint="default"/>
                <w:sz w:val="18"/>
                <w:szCs w:val="18"/>
              </w:rPr>
            </w:pPr>
            <w:r>
              <w:rPr>
                <w:rFonts w:ascii="宋体" w:hAnsi="宋体" w:cs="宋体" w:eastAsia="宋体" w:hint="default"/>
                <w:sz w:val="18"/>
                <w:szCs w:val="18"/>
              </w:rPr>
              <w:t>股权激励限售股</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7" w:lineRule="auto"/>
              <w:ind w:left="23" w:right="22"/>
              <w:jc w:val="both"/>
              <w:rPr>
                <w:rFonts w:ascii="宋体" w:hAnsi="宋体" w:cs="宋体" w:eastAsia="宋体" w:hint="default"/>
                <w:sz w:val="18"/>
                <w:szCs w:val="18"/>
              </w:rPr>
            </w:pPr>
            <w:r>
              <w:rPr>
                <w:rFonts w:ascii="宋体" w:hAnsi="宋体" w:cs="宋体" w:eastAsia="宋体" w:hint="default"/>
                <w:sz w:val="18"/>
                <w:szCs w:val="18"/>
              </w:rPr>
              <w:t>根据公司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年股票期权与限制性 </w:t>
            </w:r>
            <w:r>
              <w:rPr>
                <w:rFonts w:ascii="宋体" w:hAnsi="宋体" w:cs="宋体" w:eastAsia="宋体" w:hint="default"/>
                <w:spacing w:val="-3"/>
                <w:sz w:val="18"/>
                <w:szCs w:val="18"/>
              </w:rPr>
              <w:t>股票激励计划（草案）的有关规定执</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行解锁及回购注销。</w:t>
            </w:r>
          </w:p>
        </w:tc>
      </w:tr>
      <w:tr>
        <w:trPr>
          <w:trHeight w:val="403" w:hRule="exact"/>
        </w:trPr>
        <w:tc>
          <w:tcPr>
            <w:tcW w:w="127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303,727,853</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22,411,542</w:t>
            </w:r>
            <w:r>
              <w:rPr>
                <w:rFonts w:ascii="Times New Roman"/>
                <w:sz w:val="18"/>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54,507,937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271,631,458</w:t>
            </w:r>
          </w:p>
        </w:tc>
        <w:tc>
          <w:tcPr>
            <w:tcW w:w="141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w:t>
            </w:r>
          </w:p>
        </w:tc>
        <w:tc>
          <w:tcPr>
            <w:tcW w:w="29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6"/>
        <w:rPr>
          <w:rFonts w:ascii="Times New Roman" w:hAnsi="Times New Roman" w:cs="Times New Roman" w:eastAsia="Times New Roman" w:hint="default"/>
          <w:sz w:val="20"/>
          <w:szCs w:val="20"/>
        </w:rPr>
      </w:pPr>
    </w:p>
    <w:p>
      <w:pPr>
        <w:pStyle w:val="Heading2"/>
        <w:spacing w:line="240" w:lineRule="auto" w:before="26"/>
        <w:ind w:right="986"/>
        <w:jc w:val="left"/>
        <w:rPr>
          <w:b w:val="0"/>
          <w:bCs w:val="0"/>
        </w:rPr>
      </w:pPr>
      <w:bookmarkStart w:name="二、证券发行与上市情况" w:id="109"/>
      <w:bookmarkEnd w:id="109"/>
      <w:r>
        <w:rPr>
          <w:b w:val="0"/>
          <w:bCs w:val="0"/>
        </w:rPr>
      </w:r>
      <w:r>
        <w:rPr/>
        <w:t>二、证券发行与上市情况</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986"/>
        <w:jc w:val="left"/>
        <w:rPr>
          <w:b w:val="0"/>
          <w:bCs w:val="0"/>
        </w:rPr>
      </w:pPr>
      <w:bookmarkStart w:name="1、报告期内证券发行（不含优先股）情况" w:id="110"/>
      <w:bookmarkEnd w:id="110"/>
      <w:r>
        <w:rPr>
          <w:b w:val="0"/>
          <w:bCs w:val="0"/>
        </w:rPr>
      </w: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25"/>
          <w:szCs w:val="25"/>
        </w:rPr>
      </w:pPr>
    </w:p>
    <w:p>
      <w:pPr>
        <w:pStyle w:val="Heading4"/>
        <w:spacing w:line="240" w:lineRule="auto"/>
        <w:ind w:right="986"/>
        <w:jc w:val="left"/>
        <w:rPr>
          <w:b w:val="0"/>
          <w:bCs w:val="0"/>
        </w:rPr>
      </w:pPr>
      <w:bookmarkStart w:name="2、公司股份总数及股东结构的变动、公司资产和负债结构的变动情况说明" w:id="111"/>
      <w:bookmarkEnd w:id="111"/>
      <w:r>
        <w:rPr>
          <w:b w:val="0"/>
          <w:bCs w:val="0"/>
        </w:rPr>
      </w: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pStyle w:val="BodyText"/>
        <w:spacing w:line="408" w:lineRule="auto" w:before="159"/>
        <w:ind w:right="1209" w:firstLine="420"/>
        <w:jc w:val="left"/>
      </w:pPr>
      <w:r>
        <w:rPr/>
        <w:t>报告期期初，公司股份总数为</w:t>
      </w:r>
      <w:r>
        <w:rPr>
          <w:rFonts w:ascii="宋体" w:hAnsi="宋体" w:cs="宋体" w:eastAsia="宋体" w:hint="default"/>
        </w:rPr>
        <w:t>794,832,809</w:t>
      </w:r>
      <w:r>
        <w:rPr/>
        <w:t>股。报告期内，公司共回购注销股份</w:t>
      </w:r>
      <w:r>
        <w:rPr>
          <w:rFonts w:ascii="宋体" w:hAnsi="宋体" w:cs="宋体" w:eastAsia="宋体" w:hint="default"/>
        </w:rPr>
        <w:t>416,992</w:t>
      </w:r>
      <w:r>
        <w:rPr>
          <w:rFonts w:ascii="宋体" w:hAnsi="宋体" w:cs="宋体" w:eastAsia="宋体" w:hint="default"/>
          <w:spacing w:val="-10"/>
        </w:rPr>
        <w:t> </w:t>
      </w:r>
      <w:r>
        <w:rPr/>
        <w:t>股，新增股</w:t>
      </w:r>
      <w:r>
        <w:rPr>
          <w:spacing w:val="-3"/>
          <w:w w:val="100"/>
        </w:rPr>
        <w:t> </w:t>
      </w:r>
      <w:r>
        <w:rPr/>
        <w:t>份</w:t>
      </w:r>
      <w:r>
        <w:rPr>
          <w:rFonts w:ascii="宋体" w:hAnsi="宋体" w:cs="宋体" w:eastAsia="宋体" w:hint="default"/>
        </w:rPr>
        <w:t>9,577,900</w:t>
      </w:r>
      <w:r>
        <w:rPr/>
        <w:t>股。公司总股本由</w:t>
      </w:r>
      <w:r>
        <w:rPr>
          <w:rFonts w:ascii="宋体" w:hAnsi="宋体" w:cs="宋体" w:eastAsia="宋体" w:hint="default"/>
        </w:rPr>
        <w:t>794,832,809</w:t>
      </w:r>
      <w:r>
        <w:rPr/>
        <w:t>股变为</w:t>
      </w:r>
      <w:r>
        <w:rPr>
          <w:rFonts w:ascii="宋体" w:hAnsi="宋体" w:cs="宋体" w:eastAsia="宋体" w:hint="default"/>
        </w:rPr>
        <w:t>803,993,717</w:t>
      </w:r>
      <w:r>
        <w:rPr/>
        <w:t>股。</w:t>
      </w:r>
    </w:p>
    <w:p>
      <w:pPr>
        <w:spacing w:line="240" w:lineRule="auto" w:before="8"/>
        <w:rPr>
          <w:rFonts w:ascii="宋体" w:hAnsi="宋体" w:cs="宋体" w:eastAsia="宋体" w:hint="default"/>
          <w:sz w:val="20"/>
          <w:szCs w:val="20"/>
        </w:rPr>
      </w:pPr>
    </w:p>
    <w:p>
      <w:pPr>
        <w:pStyle w:val="Heading4"/>
        <w:spacing w:line="240" w:lineRule="auto"/>
        <w:ind w:right="986"/>
        <w:jc w:val="left"/>
        <w:rPr>
          <w:b w:val="0"/>
          <w:bCs w:val="0"/>
        </w:rPr>
      </w:pPr>
      <w:bookmarkStart w:name="3、现存的内部职工股情况" w:id="112"/>
      <w:bookmarkEnd w:id="112"/>
      <w:r>
        <w:rPr>
          <w:b w:val="0"/>
          <w:bCs w:val="0"/>
        </w:rPr>
      </w:r>
      <w:r>
        <w:rPr>
          <w:rFonts w:ascii="Times New Roman" w:hAnsi="Times New Roman" w:cs="Times New Roman" w:eastAsia="Times New Roman" w:hint="default"/>
        </w:rPr>
        <w:t>3</w:t>
      </w:r>
      <w:r>
        <w:rPr/>
        <w:t>、现存的内部职工股情况</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986"/>
        <w:jc w:val="left"/>
        <w:rPr>
          <w:b w:val="0"/>
          <w:bCs w:val="0"/>
        </w:rPr>
      </w:pPr>
      <w:bookmarkStart w:name="三、股东和实际控制人情况" w:id="113"/>
      <w:bookmarkEnd w:id="113"/>
      <w:r>
        <w:rPr>
          <w:b w:val="0"/>
          <w:bCs w:val="0"/>
        </w:rPr>
      </w:r>
      <w:r>
        <w:rPr/>
        <w:t>三、股东和实际控制人情况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6"/>
        <w:jc w:val="left"/>
        <w:rPr>
          <w:b w:val="0"/>
          <w:bCs w:val="0"/>
        </w:rPr>
      </w:pPr>
      <w:bookmarkStart w:name="1、公司股东数量及持股情况" w:id="114"/>
      <w:bookmarkEnd w:id="114"/>
      <w:r>
        <w:rPr>
          <w:b w:val="0"/>
          <w:bCs w:val="0"/>
        </w:rPr>
      </w:r>
      <w:r>
        <w:rPr>
          <w:rFonts w:ascii="Times New Roman" w:hAnsi="Times New Roman" w:cs="Times New Roman" w:eastAsia="Times New Roman" w:hint="default"/>
        </w:rPr>
        <w:t>1</w:t>
      </w:r>
      <w:r>
        <w:rPr/>
        <w:t>、公司股东数量及持股情况</w:t>
      </w:r>
      <w:r>
        <w:rPr>
          <w:b w:val="0"/>
          <w:bCs w:val="0"/>
        </w:rPr>
      </w:r>
    </w:p>
    <w:p>
      <w:pPr>
        <w:spacing w:line="240" w:lineRule="auto" w:before="4"/>
        <w:rPr>
          <w:rFonts w:ascii="宋体" w:hAnsi="宋体" w:cs="宋体" w:eastAsia="宋体" w:hint="default"/>
          <w:b/>
          <w:bCs/>
          <w:sz w:val="26"/>
          <w:szCs w:val="26"/>
        </w:rPr>
      </w:pPr>
    </w:p>
    <w:p>
      <w:pPr>
        <w:spacing w:before="0"/>
        <w:ind w:left="0" w:right="1133" w:firstLine="0"/>
        <w:jc w:val="right"/>
        <w:rPr>
          <w:rFonts w:ascii="宋体" w:hAnsi="宋体" w:cs="宋体" w:eastAsia="宋体" w:hint="default"/>
          <w:sz w:val="18"/>
          <w:szCs w:val="18"/>
        </w:rPr>
      </w:pPr>
      <w:r>
        <w:rPr/>
        <w:pict>
          <v:shape style="position:absolute;margin-left:362.640015pt;margin-top:52.871712pt;width:34pt;height:15.6pt;mso-position-horizontal-relative:page;mso-position-vertical-relative:paragraph;z-index:-1348312" type="#_x0000_t202" filled="false" stroked="false">
            <v:textbox inset="0,0,0,0">
              <w:txbxContent>
                <w:p>
                  <w:pPr>
                    <w:spacing w:line="203"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pict>
          <v:shape style="position:absolute;margin-left:497.399994pt;margin-top:52.871712pt;width:37.450pt;height:15.6pt;mso-position-horizontal-relative:page;mso-position-vertical-relative:paragraph;z-index:-1348288" type="#_x0000_t202" filled="false" stroked="false">
            <v:textbox inset="0,0,0,0">
              <w:txbxContent>
                <w:p>
                  <w:pPr>
                    <w:spacing w:line="203"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pict>
          <v:group style="position:absolute;margin-left:368.76001pt;margin-top:52.871712pt;width:27.85pt;height:15.6pt;mso-position-horizontal-relative:page;mso-position-vertical-relative:paragraph;z-index:-1348264" coordorigin="7375,1057" coordsize="557,312">
            <v:shape style="position:absolute;left:7375;top:1057;width:557;height:312" coordorigin="7375,1057" coordsize="557,312" path="m7375,1369l7932,1369,7932,1057,7375,1057,7375,1369xe" filled="true" fillcolor="#ffffff" stroked="false">
              <v:path arrowok="t"/>
              <v:fill type="solid"/>
            </v:shape>
            <w10:wrap type="none"/>
          </v:group>
        </w:pict>
      </w:r>
      <w:r>
        <w:rPr/>
        <w:pict>
          <v:group style="position:absolute;margin-left:503.519989pt;margin-top:52.871712pt;width:31.35pt;height:15.6pt;mso-position-horizontal-relative:page;mso-position-vertical-relative:paragraph;z-index:-1348240" coordorigin="10070,1057" coordsize="627,312">
            <v:shape style="position:absolute;left:10070;top:1057;width:627;height:312" coordorigin="10070,1057" coordsize="627,312" path="m10070,1369l10697,1369,10697,1057,10070,1057,10070,1369xe" filled="true" fillcolor="#ffffff" stroked="false">
              <v:path arrowok="t"/>
              <v:fill type="solid"/>
            </v:shape>
            <w10:wrap type="none"/>
          </v:group>
        </w:pict>
      </w:r>
      <w:r>
        <w:rPr>
          <w:rFonts w:ascii="宋体" w:hAnsi="宋体" w:cs="宋体" w:eastAsia="宋体" w:hint="default"/>
          <w:sz w:val="18"/>
          <w:szCs w:val="18"/>
        </w:rPr>
        <w:t>单位：股</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123"/>
        <w:gridCol w:w="578"/>
        <w:gridCol w:w="437"/>
        <w:gridCol w:w="696"/>
        <w:gridCol w:w="710"/>
        <w:gridCol w:w="272"/>
        <w:gridCol w:w="754"/>
        <w:gridCol w:w="1014"/>
        <w:gridCol w:w="642"/>
        <w:gridCol w:w="266"/>
        <w:gridCol w:w="317"/>
        <w:gridCol w:w="1129"/>
        <w:gridCol w:w="850"/>
        <w:gridCol w:w="131"/>
        <w:gridCol w:w="304"/>
        <w:gridCol w:w="346"/>
      </w:tblGrid>
      <w:tr>
        <w:trPr>
          <w:trHeight w:val="1032" w:hRule="exact"/>
        </w:trPr>
        <w:tc>
          <w:tcPr>
            <w:tcW w:w="112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4" w:right="187"/>
              <w:jc w:val="both"/>
              <w:rPr>
                <w:rFonts w:ascii="宋体" w:hAnsi="宋体" w:cs="宋体" w:eastAsia="宋体" w:hint="default"/>
                <w:sz w:val="18"/>
                <w:szCs w:val="18"/>
              </w:rPr>
            </w:pPr>
            <w:r>
              <w:rPr>
                <w:rFonts w:ascii="宋体" w:hAnsi="宋体" w:cs="宋体" w:eastAsia="宋体" w:hint="default"/>
                <w:sz w:val="18"/>
                <w:szCs w:val="18"/>
              </w:rPr>
              <w:t>报告期末普 通股股东总 数</w:t>
            </w:r>
          </w:p>
        </w:tc>
        <w:tc>
          <w:tcPr>
            <w:tcW w:w="1015" w:type="dxa"/>
            <w:gridSpan w:val="2"/>
            <w:tcBorders>
              <w:top w:val="single" w:sz="4" w:space="0" w:color="000000"/>
              <w:left w:val="single" w:sz="13" w:space="0" w:color="D4D4D4"/>
              <w:bottom w:val="single" w:sz="4" w:space="0" w:color="000000"/>
              <w:right w:val="single" w:sz="13" w:space="0" w:color="D4D4D4"/>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65" w:right="0"/>
              <w:jc w:val="left"/>
              <w:rPr>
                <w:rFonts w:ascii="Times New Roman" w:hAnsi="Times New Roman" w:cs="Times New Roman" w:eastAsia="Times New Roman" w:hint="default"/>
                <w:sz w:val="18"/>
                <w:szCs w:val="18"/>
              </w:rPr>
            </w:pPr>
            <w:r>
              <w:rPr>
                <w:rFonts w:ascii="Times New Roman"/>
                <w:sz w:val="18"/>
              </w:rPr>
              <w:t>31,343</w:t>
            </w:r>
          </w:p>
        </w:tc>
        <w:tc>
          <w:tcPr>
            <w:tcW w:w="1679" w:type="dxa"/>
            <w:gridSpan w:val="3"/>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1" w:right="35"/>
              <w:jc w:val="both"/>
              <w:rPr>
                <w:rFonts w:ascii="宋体" w:hAnsi="宋体" w:cs="宋体" w:eastAsia="宋体" w:hint="default"/>
                <w:sz w:val="18"/>
                <w:szCs w:val="18"/>
              </w:rPr>
            </w:pPr>
            <w:r>
              <w:rPr>
                <w:rFonts w:ascii="宋体" w:hAnsi="宋体" w:cs="宋体" w:eastAsia="宋体" w:hint="default"/>
                <w:sz w:val="18"/>
                <w:szCs w:val="18"/>
              </w:rPr>
              <w:t>年度报告披露日前上 一月末普通股股东总 数</w:t>
            </w:r>
          </w:p>
        </w:tc>
        <w:tc>
          <w:tcPr>
            <w:tcW w:w="754" w:type="dxa"/>
            <w:tcBorders>
              <w:top w:val="single" w:sz="4" w:space="0" w:color="000000"/>
              <w:left w:val="single" w:sz="12" w:space="0" w:color="D4D4D4"/>
              <w:bottom w:val="single" w:sz="4" w:space="0" w:color="000000"/>
              <w:right w:val="single" w:sz="13" w:space="0" w:color="D4D4D4"/>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08" w:right="0"/>
              <w:jc w:val="left"/>
              <w:rPr>
                <w:rFonts w:ascii="Times New Roman" w:hAnsi="Times New Roman" w:cs="Times New Roman" w:eastAsia="Times New Roman" w:hint="default"/>
                <w:sz w:val="18"/>
                <w:szCs w:val="18"/>
              </w:rPr>
            </w:pPr>
            <w:r>
              <w:rPr>
                <w:rFonts w:ascii="Times New Roman"/>
                <w:sz w:val="18"/>
              </w:rPr>
              <w:t>26,389</w:t>
            </w:r>
          </w:p>
        </w:tc>
        <w:tc>
          <w:tcPr>
            <w:tcW w:w="1656"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7" w:right="101"/>
              <w:jc w:val="both"/>
              <w:rPr>
                <w:rFonts w:ascii="Times New Roman" w:hAnsi="Times New Roman" w:cs="Times New Roman" w:eastAsia="Times New Roman" w:hint="default"/>
                <w:sz w:val="18"/>
                <w:szCs w:val="18"/>
              </w:rPr>
            </w:pPr>
            <w:r>
              <w:rPr>
                <w:rFonts w:ascii="宋体" w:hAnsi="宋体" w:cs="宋体" w:eastAsia="宋体" w:hint="default"/>
                <w:sz w:val="18"/>
                <w:szCs w:val="18"/>
              </w:rPr>
              <w:t>报告期末表决权恢 复的优先股股东总 </w:t>
            </w:r>
            <w:r>
              <w:rPr>
                <w:rFonts w:ascii="宋体" w:hAnsi="宋体" w:cs="宋体" w:eastAsia="宋体" w:hint="default"/>
                <w:spacing w:val="-26"/>
                <w:sz w:val="18"/>
                <w:szCs w:val="18"/>
              </w:rPr>
              <w:t>数（如有）（参见注</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9</w:t>
            </w:r>
          </w:p>
        </w:tc>
        <w:tc>
          <w:tcPr>
            <w:tcW w:w="266" w:type="dxa"/>
            <w:tcBorders>
              <w:top w:val="single" w:sz="4" w:space="0" w:color="000000"/>
              <w:left w:val="single" w:sz="12" w:space="0" w:color="D4D4D4"/>
              <w:bottom w:val="single" w:sz="4" w:space="0" w:color="000000"/>
              <w:right w:val="nil" w:sz="6" w:space="0" w:color="auto"/>
            </w:tcBorders>
          </w:tcPr>
          <w:p>
            <w:pPr/>
          </w:p>
        </w:tc>
        <w:tc>
          <w:tcPr>
            <w:tcW w:w="317" w:type="dxa"/>
            <w:tcBorders>
              <w:top w:val="single" w:sz="4" w:space="0" w:color="000000"/>
              <w:left w:val="nil" w:sz="6" w:space="0" w:color="auto"/>
              <w:bottom w:val="single" w:sz="4" w:space="0" w:color="000000"/>
              <w:right w:val="single" w:sz="13" w:space="0" w:color="D4D4D4"/>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93" w:right="0"/>
              <w:jc w:val="left"/>
              <w:rPr>
                <w:rFonts w:ascii="Times New Roman" w:hAnsi="Times New Roman" w:cs="Times New Roman" w:eastAsia="Times New Roman" w:hint="default"/>
                <w:sz w:val="18"/>
                <w:szCs w:val="18"/>
              </w:rPr>
            </w:pPr>
            <w:r>
              <w:rPr>
                <w:rFonts w:ascii="Times New Roman"/>
                <w:sz w:val="18"/>
              </w:rPr>
              <w:t>0</w:t>
            </w:r>
          </w:p>
        </w:tc>
        <w:tc>
          <w:tcPr>
            <w:tcW w:w="2110" w:type="dxa"/>
            <w:gridSpan w:val="3"/>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7" w:right="98"/>
              <w:jc w:val="both"/>
              <w:rPr>
                <w:rFonts w:ascii="Times New Roman" w:hAnsi="Times New Roman" w:cs="Times New Roman" w:eastAsia="Times New Roman" w:hint="default"/>
                <w:sz w:val="18"/>
                <w:szCs w:val="18"/>
              </w:rPr>
            </w:pPr>
            <w:r>
              <w:rPr>
                <w:rFonts w:ascii="宋体" w:hAnsi="宋体" w:cs="宋体" w:eastAsia="宋体" w:hint="default"/>
                <w:sz w:val="18"/>
                <w:szCs w:val="18"/>
              </w:rPr>
              <w:t>年度报告披露日前上一月 末表决权恢复的优先股股 </w:t>
            </w:r>
            <w:r>
              <w:rPr>
                <w:rFonts w:ascii="宋体" w:hAnsi="宋体" w:cs="宋体" w:eastAsia="宋体" w:hint="default"/>
                <w:spacing w:val="-13"/>
                <w:sz w:val="18"/>
                <w:szCs w:val="18"/>
              </w:rPr>
              <w:t>东总数（如有）（参见注</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9</w:t>
            </w:r>
          </w:p>
        </w:tc>
        <w:tc>
          <w:tcPr>
            <w:tcW w:w="304" w:type="dxa"/>
            <w:tcBorders>
              <w:top w:val="single" w:sz="4" w:space="0" w:color="000000"/>
              <w:left w:val="single" w:sz="10" w:space="0" w:color="D4D4D4"/>
              <w:bottom w:val="single" w:sz="4" w:space="0" w:color="000000"/>
              <w:right w:val="nil" w:sz="6" w:space="0" w:color="auto"/>
            </w:tcBorders>
          </w:tcPr>
          <w:p>
            <w:pPr/>
          </w:p>
        </w:tc>
        <w:tc>
          <w:tcPr>
            <w:tcW w:w="346"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391" w:hRule="exact"/>
        </w:trPr>
        <w:tc>
          <w:tcPr>
            <w:tcW w:w="9569" w:type="dxa"/>
            <w:gridSpan w:val="16"/>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4"/>
              <w:ind w:left="3062"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名股东持股情况</w:t>
            </w:r>
          </w:p>
        </w:tc>
      </w:tr>
      <w:tr>
        <w:trPr>
          <w:trHeight w:val="166" w:hRule="exact"/>
        </w:trPr>
        <w:tc>
          <w:tcPr>
            <w:tcW w:w="1702" w:type="dxa"/>
            <w:gridSpan w:val="2"/>
            <w:vMerge w:val="restart"/>
            <w:tcBorders>
              <w:top w:val="single" w:sz="4" w:space="0" w:color="000000"/>
              <w:left w:val="single" w:sz="4" w:space="0" w:color="000000"/>
              <w:right w:val="single" w:sz="4" w:space="0" w:color="000000"/>
            </w:tcBorders>
            <w:shd w:val="clear" w:color="auto" w:fill="D4D4D4"/>
          </w:tcPr>
          <w:p>
            <w:pPr/>
          </w:p>
        </w:tc>
        <w:tc>
          <w:tcPr>
            <w:tcW w:w="1133" w:type="dxa"/>
            <w:gridSpan w:val="2"/>
            <w:vMerge w:val="restart"/>
            <w:tcBorders>
              <w:top w:val="single" w:sz="4" w:space="0" w:color="000000"/>
              <w:left w:val="single" w:sz="4" w:space="0" w:color="000000"/>
              <w:right w:val="single" w:sz="4" w:space="0" w:color="000000"/>
            </w:tcBorders>
            <w:shd w:val="clear" w:color="auto" w:fill="D4D4D4"/>
          </w:tcPr>
          <w:p>
            <w:pPr/>
          </w:p>
        </w:tc>
        <w:tc>
          <w:tcPr>
            <w:tcW w:w="710" w:type="dxa"/>
            <w:tcBorders>
              <w:top w:val="single" w:sz="4" w:space="0" w:color="000000"/>
              <w:left w:val="single" w:sz="4" w:space="0" w:color="000000"/>
              <w:bottom w:val="nil" w:sz="6" w:space="0" w:color="auto"/>
              <w:right w:val="single" w:sz="4" w:space="0" w:color="000000"/>
            </w:tcBorders>
            <w:shd w:val="clear" w:color="auto" w:fill="D4D4D4"/>
          </w:tcPr>
          <w:p>
            <w:pPr/>
          </w:p>
        </w:tc>
        <w:tc>
          <w:tcPr>
            <w:tcW w:w="1026" w:type="dxa"/>
            <w:gridSpan w:val="2"/>
            <w:tcBorders>
              <w:top w:val="single" w:sz="4" w:space="0" w:color="000000"/>
              <w:left w:val="single" w:sz="4" w:space="0" w:color="000000"/>
              <w:bottom w:val="nil" w:sz="6" w:space="0" w:color="auto"/>
              <w:right w:val="single" w:sz="4" w:space="0" w:color="000000"/>
            </w:tcBorders>
            <w:shd w:val="clear" w:color="auto" w:fill="D4D4D4"/>
          </w:tcPr>
          <w:p>
            <w:pPr/>
          </w:p>
        </w:tc>
        <w:tc>
          <w:tcPr>
            <w:tcW w:w="1014" w:type="dxa"/>
            <w:tcBorders>
              <w:top w:val="single" w:sz="4" w:space="0" w:color="000000"/>
              <w:left w:val="single" w:sz="4" w:space="0" w:color="000000"/>
              <w:bottom w:val="nil" w:sz="6" w:space="0" w:color="auto"/>
              <w:right w:val="single" w:sz="4" w:space="0" w:color="000000"/>
            </w:tcBorders>
            <w:shd w:val="clear" w:color="auto" w:fill="D4D4D4"/>
          </w:tcPr>
          <w:p>
            <w:pPr/>
          </w:p>
        </w:tc>
        <w:tc>
          <w:tcPr>
            <w:tcW w:w="1225" w:type="dxa"/>
            <w:gridSpan w:val="3"/>
            <w:tcBorders>
              <w:top w:val="single" w:sz="4" w:space="0" w:color="000000"/>
              <w:left w:val="single" w:sz="4" w:space="0" w:color="000000"/>
              <w:bottom w:val="nil" w:sz="6" w:space="0" w:color="auto"/>
              <w:right w:val="single" w:sz="4" w:space="0" w:color="000000"/>
            </w:tcBorders>
            <w:shd w:val="clear" w:color="auto" w:fill="D4D4D4"/>
          </w:tcPr>
          <w:p>
            <w:pPr/>
          </w:p>
        </w:tc>
        <w:tc>
          <w:tcPr>
            <w:tcW w:w="1129"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53"/>
              <w:ind w:left="106" w:right="110"/>
              <w:jc w:val="center"/>
              <w:rPr>
                <w:rFonts w:ascii="宋体" w:hAnsi="宋体" w:cs="宋体" w:eastAsia="宋体" w:hint="default"/>
                <w:sz w:val="18"/>
                <w:szCs w:val="18"/>
              </w:rPr>
            </w:pPr>
            <w:r>
              <w:rPr>
                <w:rFonts w:ascii="宋体" w:hAnsi="宋体" w:cs="宋体" w:eastAsia="宋体" w:hint="default"/>
                <w:sz w:val="18"/>
                <w:szCs w:val="18"/>
              </w:rPr>
              <w:t>持有无限售 条件的股份 数量</w:t>
            </w:r>
          </w:p>
        </w:tc>
        <w:tc>
          <w:tcPr>
            <w:tcW w:w="1630" w:type="dxa"/>
            <w:gridSpan w:val="4"/>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179"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156" w:hRule="exact"/>
        </w:trPr>
        <w:tc>
          <w:tcPr>
            <w:tcW w:w="1702" w:type="dxa"/>
            <w:gridSpan w:val="2"/>
            <w:vMerge/>
            <w:tcBorders>
              <w:left w:val="single" w:sz="4" w:space="0" w:color="000000"/>
              <w:bottom w:val="nil" w:sz="6" w:space="0" w:color="auto"/>
              <w:right w:val="single" w:sz="4" w:space="0" w:color="000000"/>
            </w:tcBorders>
            <w:shd w:val="clear" w:color="auto" w:fill="D4D4D4"/>
          </w:tcPr>
          <w:p>
            <w:pPr/>
          </w:p>
        </w:tc>
        <w:tc>
          <w:tcPr>
            <w:tcW w:w="1133" w:type="dxa"/>
            <w:gridSpan w:val="2"/>
            <w:vMerge/>
            <w:tcBorders>
              <w:left w:val="single" w:sz="4" w:space="0" w:color="000000"/>
              <w:bottom w:val="nil" w:sz="6" w:space="0" w:color="auto"/>
              <w:right w:val="single" w:sz="4" w:space="0" w:color="000000"/>
            </w:tcBorders>
            <w:shd w:val="clear" w:color="auto" w:fill="D4D4D4"/>
          </w:tcPr>
          <w:p>
            <w:pPr/>
          </w:p>
        </w:tc>
        <w:tc>
          <w:tcPr>
            <w:tcW w:w="710"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49"/>
              <w:ind w:left="259" w:right="79" w:hanging="180"/>
              <w:jc w:val="left"/>
              <w:rPr>
                <w:rFonts w:ascii="宋体" w:hAnsi="宋体" w:cs="宋体" w:eastAsia="宋体" w:hint="default"/>
                <w:sz w:val="18"/>
                <w:szCs w:val="18"/>
              </w:rPr>
            </w:pPr>
            <w:r>
              <w:rPr>
                <w:rFonts w:ascii="宋体" w:hAnsi="宋体" w:cs="宋体" w:eastAsia="宋体" w:hint="default"/>
                <w:sz w:val="18"/>
                <w:szCs w:val="18"/>
              </w:rPr>
              <w:t>持股比 例</w:t>
            </w:r>
          </w:p>
        </w:tc>
        <w:tc>
          <w:tcPr>
            <w:tcW w:w="1026" w:type="dxa"/>
            <w:gridSpan w:val="2"/>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49"/>
              <w:ind w:left="235" w:right="59" w:hanging="180"/>
              <w:jc w:val="left"/>
              <w:rPr>
                <w:rFonts w:ascii="宋体" w:hAnsi="宋体" w:cs="宋体" w:eastAsia="宋体" w:hint="default"/>
                <w:sz w:val="18"/>
                <w:szCs w:val="18"/>
              </w:rPr>
            </w:pPr>
            <w:r>
              <w:rPr>
                <w:rFonts w:ascii="宋体" w:hAnsi="宋体" w:cs="宋体" w:eastAsia="宋体" w:hint="default"/>
                <w:sz w:val="18"/>
                <w:szCs w:val="18"/>
              </w:rPr>
              <w:t>报告期末持 股数量</w:t>
            </w:r>
          </w:p>
        </w:tc>
        <w:tc>
          <w:tcPr>
            <w:tcW w:w="1014"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49"/>
              <w:ind w:left="49" w:right="53"/>
              <w:jc w:val="left"/>
              <w:rPr>
                <w:rFonts w:ascii="宋体" w:hAnsi="宋体" w:cs="宋体" w:eastAsia="宋体" w:hint="default"/>
                <w:sz w:val="18"/>
                <w:szCs w:val="18"/>
              </w:rPr>
            </w:pPr>
            <w:r>
              <w:rPr>
                <w:rFonts w:ascii="宋体" w:hAnsi="宋体" w:cs="宋体" w:eastAsia="宋体" w:hint="default"/>
                <w:sz w:val="18"/>
                <w:szCs w:val="18"/>
              </w:rPr>
              <w:t>报告期内增 减变动情况</w:t>
            </w:r>
          </w:p>
        </w:tc>
        <w:tc>
          <w:tcPr>
            <w:tcW w:w="1225" w:type="dxa"/>
            <w:gridSpan w:val="3"/>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49"/>
              <w:ind w:left="64" w:right="68"/>
              <w:jc w:val="left"/>
              <w:rPr>
                <w:rFonts w:ascii="宋体" w:hAnsi="宋体" w:cs="宋体" w:eastAsia="宋体" w:hint="default"/>
                <w:sz w:val="18"/>
                <w:szCs w:val="18"/>
              </w:rPr>
            </w:pPr>
            <w:r>
              <w:rPr>
                <w:rFonts w:ascii="宋体" w:hAnsi="宋体" w:cs="宋体" w:eastAsia="宋体" w:hint="default"/>
                <w:sz w:val="18"/>
                <w:szCs w:val="18"/>
              </w:rPr>
              <w:t>持有有限售条 件的股份数量</w:t>
            </w:r>
          </w:p>
        </w:tc>
        <w:tc>
          <w:tcPr>
            <w:tcW w:w="1129" w:type="dxa"/>
            <w:vMerge/>
            <w:tcBorders>
              <w:left w:val="single" w:sz="4" w:space="0" w:color="000000"/>
              <w:right w:val="single" w:sz="4" w:space="0" w:color="000000"/>
            </w:tcBorders>
            <w:shd w:val="clear" w:color="auto" w:fill="D4D4D4"/>
          </w:tcPr>
          <w:p>
            <w:pPr/>
          </w:p>
        </w:tc>
        <w:tc>
          <w:tcPr>
            <w:tcW w:w="1630" w:type="dxa"/>
            <w:gridSpan w:val="4"/>
            <w:vMerge/>
            <w:tcBorders>
              <w:left w:val="single" w:sz="4" w:space="0" w:color="000000"/>
              <w:right w:val="single" w:sz="4" w:space="0" w:color="000000"/>
            </w:tcBorders>
            <w:shd w:val="clear" w:color="auto" w:fill="D4D4D4"/>
          </w:tcPr>
          <w:p>
            <w:pPr/>
          </w:p>
        </w:tc>
      </w:tr>
      <w:tr>
        <w:trPr>
          <w:trHeight w:val="142" w:hRule="exact"/>
        </w:trPr>
        <w:tc>
          <w:tcPr>
            <w:tcW w:w="1702" w:type="dxa"/>
            <w:gridSpan w:val="2"/>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484"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133" w:type="dxa"/>
            <w:gridSpan w:val="2"/>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201"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710" w:type="dxa"/>
            <w:vMerge/>
            <w:tcBorders>
              <w:left w:val="single" w:sz="4" w:space="0" w:color="000000"/>
              <w:right w:val="single" w:sz="4" w:space="0" w:color="000000"/>
            </w:tcBorders>
            <w:shd w:val="clear" w:color="auto" w:fill="D4D4D4"/>
          </w:tcPr>
          <w:p>
            <w:pPr/>
          </w:p>
        </w:tc>
        <w:tc>
          <w:tcPr>
            <w:tcW w:w="1026" w:type="dxa"/>
            <w:gridSpan w:val="2"/>
            <w:vMerge/>
            <w:tcBorders>
              <w:left w:val="single" w:sz="4" w:space="0" w:color="000000"/>
              <w:right w:val="single" w:sz="4" w:space="0" w:color="000000"/>
            </w:tcBorders>
            <w:shd w:val="clear" w:color="auto" w:fill="D4D4D4"/>
          </w:tcPr>
          <w:p>
            <w:pPr/>
          </w:p>
        </w:tc>
        <w:tc>
          <w:tcPr>
            <w:tcW w:w="1014" w:type="dxa"/>
            <w:vMerge/>
            <w:tcBorders>
              <w:left w:val="single" w:sz="4" w:space="0" w:color="000000"/>
              <w:right w:val="single" w:sz="4" w:space="0" w:color="000000"/>
            </w:tcBorders>
            <w:shd w:val="clear" w:color="auto" w:fill="D4D4D4"/>
          </w:tcPr>
          <w:p>
            <w:pPr/>
          </w:p>
        </w:tc>
        <w:tc>
          <w:tcPr>
            <w:tcW w:w="1225" w:type="dxa"/>
            <w:gridSpan w:val="3"/>
            <w:vMerge/>
            <w:tcBorders>
              <w:left w:val="single" w:sz="4" w:space="0" w:color="000000"/>
              <w:right w:val="single" w:sz="4" w:space="0" w:color="000000"/>
            </w:tcBorders>
            <w:shd w:val="clear" w:color="auto" w:fill="D4D4D4"/>
          </w:tcPr>
          <w:p>
            <w:pPr/>
          </w:p>
        </w:tc>
        <w:tc>
          <w:tcPr>
            <w:tcW w:w="1129" w:type="dxa"/>
            <w:vMerge/>
            <w:tcBorders>
              <w:left w:val="single" w:sz="4" w:space="0" w:color="000000"/>
              <w:right w:val="single" w:sz="4" w:space="0" w:color="000000"/>
            </w:tcBorders>
            <w:shd w:val="clear" w:color="auto" w:fill="D4D4D4"/>
          </w:tcPr>
          <w:p>
            <w:pPr/>
          </w:p>
        </w:tc>
        <w:tc>
          <w:tcPr>
            <w:tcW w:w="1630" w:type="dxa"/>
            <w:gridSpan w:val="4"/>
            <w:vMerge/>
            <w:tcBorders>
              <w:left w:val="single" w:sz="4" w:space="0" w:color="000000"/>
              <w:bottom w:val="single" w:sz="4" w:space="0" w:color="000000"/>
              <w:right w:val="single" w:sz="4" w:space="0" w:color="000000"/>
            </w:tcBorders>
            <w:shd w:val="clear" w:color="auto" w:fill="D4D4D4"/>
          </w:tcPr>
          <w:p>
            <w:pPr/>
          </w:p>
        </w:tc>
      </w:tr>
      <w:tr>
        <w:trPr>
          <w:trHeight w:val="252" w:hRule="exact"/>
        </w:trPr>
        <w:tc>
          <w:tcPr>
            <w:tcW w:w="1702" w:type="dxa"/>
            <w:gridSpan w:val="2"/>
            <w:vMerge/>
            <w:tcBorders>
              <w:left w:val="single" w:sz="4" w:space="0" w:color="000000"/>
              <w:bottom w:val="nil" w:sz="6" w:space="0" w:color="auto"/>
              <w:right w:val="single" w:sz="4" w:space="0" w:color="000000"/>
            </w:tcBorders>
            <w:shd w:val="clear" w:color="auto" w:fill="D4D4D4"/>
          </w:tcPr>
          <w:p>
            <w:pPr/>
          </w:p>
        </w:tc>
        <w:tc>
          <w:tcPr>
            <w:tcW w:w="1133" w:type="dxa"/>
            <w:gridSpan w:val="2"/>
            <w:vMerge/>
            <w:tcBorders>
              <w:left w:val="single" w:sz="4" w:space="0" w:color="000000"/>
              <w:bottom w:val="nil" w:sz="6" w:space="0" w:color="auto"/>
              <w:right w:val="single" w:sz="4" w:space="0" w:color="000000"/>
            </w:tcBorders>
            <w:shd w:val="clear" w:color="auto" w:fill="D4D4D4"/>
          </w:tcPr>
          <w:p>
            <w:pPr/>
          </w:p>
        </w:tc>
        <w:tc>
          <w:tcPr>
            <w:tcW w:w="710" w:type="dxa"/>
            <w:vMerge/>
            <w:tcBorders>
              <w:left w:val="single" w:sz="4" w:space="0" w:color="000000"/>
              <w:right w:val="single" w:sz="4" w:space="0" w:color="000000"/>
            </w:tcBorders>
            <w:shd w:val="clear" w:color="auto" w:fill="D4D4D4"/>
          </w:tcPr>
          <w:p>
            <w:pPr/>
          </w:p>
        </w:tc>
        <w:tc>
          <w:tcPr>
            <w:tcW w:w="1026" w:type="dxa"/>
            <w:gridSpan w:val="2"/>
            <w:vMerge/>
            <w:tcBorders>
              <w:left w:val="single" w:sz="4" w:space="0" w:color="000000"/>
              <w:right w:val="single" w:sz="4" w:space="0" w:color="000000"/>
            </w:tcBorders>
            <w:shd w:val="clear" w:color="auto" w:fill="D4D4D4"/>
          </w:tcPr>
          <w:p>
            <w:pPr/>
          </w:p>
        </w:tc>
        <w:tc>
          <w:tcPr>
            <w:tcW w:w="1014" w:type="dxa"/>
            <w:vMerge/>
            <w:tcBorders>
              <w:left w:val="single" w:sz="4" w:space="0" w:color="000000"/>
              <w:right w:val="single" w:sz="4" w:space="0" w:color="000000"/>
            </w:tcBorders>
            <w:shd w:val="clear" w:color="auto" w:fill="D4D4D4"/>
          </w:tcPr>
          <w:p>
            <w:pPr/>
          </w:p>
        </w:tc>
        <w:tc>
          <w:tcPr>
            <w:tcW w:w="1225" w:type="dxa"/>
            <w:gridSpan w:val="3"/>
            <w:vMerge/>
            <w:tcBorders>
              <w:left w:val="single" w:sz="4" w:space="0" w:color="000000"/>
              <w:right w:val="single" w:sz="4" w:space="0" w:color="000000"/>
            </w:tcBorders>
            <w:shd w:val="clear" w:color="auto" w:fill="D4D4D4"/>
          </w:tcPr>
          <w:p>
            <w:pPr/>
          </w:p>
        </w:tc>
        <w:tc>
          <w:tcPr>
            <w:tcW w:w="1129" w:type="dxa"/>
            <w:vMerge/>
            <w:tcBorders>
              <w:left w:val="single" w:sz="4" w:space="0" w:color="000000"/>
              <w:right w:val="single" w:sz="4" w:space="0" w:color="000000"/>
            </w:tcBorders>
            <w:shd w:val="clear" w:color="auto" w:fill="D4D4D4"/>
          </w:tcPr>
          <w:p>
            <w:pPr/>
          </w:p>
        </w:tc>
        <w:tc>
          <w:tcPr>
            <w:tcW w:w="850"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104"/>
              <w:ind w:left="59"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780" w:type="dxa"/>
            <w:gridSpan w:val="3"/>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104"/>
              <w:ind w:left="206"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156" w:hRule="exact"/>
        </w:trPr>
        <w:tc>
          <w:tcPr>
            <w:tcW w:w="1702" w:type="dxa"/>
            <w:gridSpan w:val="2"/>
            <w:vMerge w:val="restart"/>
            <w:tcBorders>
              <w:top w:val="nil" w:sz="6" w:space="0" w:color="auto"/>
              <w:left w:val="single" w:sz="4" w:space="0" w:color="000000"/>
              <w:right w:val="single" w:sz="4" w:space="0" w:color="000000"/>
            </w:tcBorders>
            <w:shd w:val="clear" w:color="auto" w:fill="D4D4D4"/>
          </w:tcPr>
          <w:p>
            <w:pPr/>
          </w:p>
        </w:tc>
        <w:tc>
          <w:tcPr>
            <w:tcW w:w="1133" w:type="dxa"/>
            <w:gridSpan w:val="2"/>
            <w:vMerge w:val="restart"/>
            <w:tcBorders>
              <w:top w:val="nil" w:sz="6" w:space="0" w:color="auto"/>
              <w:left w:val="single" w:sz="4" w:space="0" w:color="000000"/>
              <w:right w:val="single" w:sz="4" w:space="0" w:color="000000"/>
            </w:tcBorders>
            <w:shd w:val="clear" w:color="auto" w:fill="D4D4D4"/>
          </w:tcPr>
          <w:p>
            <w:pPr/>
          </w:p>
        </w:tc>
        <w:tc>
          <w:tcPr>
            <w:tcW w:w="710" w:type="dxa"/>
            <w:vMerge/>
            <w:tcBorders>
              <w:left w:val="single" w:sz="4" w:space="0" w:color="000000"/>
              <w:bottom w:val="nil" w:sz="6" w:space="0" w:color="auto"/>
              <w:right w:val="single" w:sz="4" w:space="0" w:color="000000"/>
            </w:tcBorders>
            <w:shd w:val="clear" w:color="auto" w:fill="D4D4D4"/>
          </w:tcPr>
          <w:p>
            <w:pPr/>
          </w:p>
        </w:tc>
        <w:tc>
          <w:tcPr>
            <w:tcW w:w="1026" w:type="dxa"/>
            <w:gridSpan w:val="2"/>
            <w:vMerge/>
            <w:tcBorders>
              <w:left w:val="single" w:sz="4" w:space="0" w:color="000000"/>
              <w:bottom w:val="nil" w:sz="6" w:space="0" w:color="auto"/>
              <w:right w:val="single" w:sz="4" w:space="0" w:color="000000"/>
            </w:tcBorders>
            <w:shd w:val="clear" w:color="auto" w:fill="D4D4D4"/>
          </w:tcPr>
          <w:p>
            <w:pPr/>
          </w:p>
        </w:tc>
        <w:tc>
          <w:tcPr>
            <w:tcW w:w="1014" w:type="dxa"/>
            <w:vMerge/>
            <w:tcBorders>
              <w:left w:val="single" w:sz="4" w:space="0" w:color="000000"/>
              <w:bottom w:val="nil" w:sz="6" w:space="0" w:color="auto"/>
              <w:right w:val="single" w:sz="4" w:space="0" w:color="000000"/>
            </w:tcBorders>
            <w:shd w:val="clear" w:color="auto" w:fill="D4D4D4"/>
          </w:tcPr>
          <w:p>
            <w:pPr/>
          </w:p>
        </w:tc>
        <w:tc>
          <w:tcPr>
            <w:tcW w:w="1225" w:type="dxa"/>
            <w:gridSpan w:val="3"/>
            <w:vMerge/>
            <w:tcBorders>
              <w:left w:val="single" w:sz="4" w:space="0" w:color="000000"/>
              <w:bottom w:val="nil" w:sz="6" w:space="0" w:color="auto"/>
              <w:right w:val="single" w:sz="4" w:space="0" w:color="000000"/>
            </w:tcBorders>
            <w:shd w:val="clear" w:color="auto" w:fill="D4D4D4"/>
          </w:tcPr>
          <w:p>
            <w:pPr/>
          </w:p>
        </w:tc>
        <w:tc>
          <w:tcPr>
            <w:tcW w:w="1129" w:type="dxa"/>
            <w:vMerge/>
            <w:tcBorders>
              <w:left w:val="single" w:sz="4" w:space="0" w:color="000000"/>
              <w:right w:val="single" w:sz="4" w:space="0" w:color="000000"/>
            </w:tcBorders>
            <w:shd w:val="clear" w:color="auto" w:fill="D4D4D4"/>
          </w:tcPr>
          <w:p>
            <w:pPr/>
          </w:p>
        </w:tc>
        <w:tc>
          <w:tcPr>
            <w:tcW w:w="850" w:type="dxa"/>
            <w:vMerge/>
            <w:tcBorders>
              <w:left w:val="single" w:sz="4" w:space="0" w:color="000000"/>
              <w:right w:val="single" w:sz="4" w:space="0" w:color="000000"/>
            </w:tcBorders>
            <w:shd w:val="clear" w:color="auto" w:fill="D4D4D4"/>
          </w:tcPr>
          <w:p>
            <w:pPr/>
          </w:p>
        </w:tc>
        <w:tc>
          <w:tcPr>
            <w:tcW w:w="780" w:type="dxa"/>
            <w:gridSpan w:val="3"/>
            <w:vMerge/>
            <w:tcBorders>
              <w:left w:val="single" w:sz="4" w:space="0" w:color="000000"/>
              <w:right w:val="single" w:sz="4" w:space="0" w:color="000000"/>
            </w:tcBorders>
            <w:shd w:val="clear" w:color="auto" w:fill="D4D4D4"/>
          </w:tcPr>
          <w:p>
            <w:pPr/>
          </w:p>
        </w:tc>
      </w:tr>
      <w:tr>
        <w:trPr>
          <w:trHeight w:val="161" w:hRule="exact"/>
        </w:trPr>
        <w:tc>
          <w:tcPr>
            <w:tcW w:w="1702" w:type="dxa"/>
            <w:gridSpan w:val="2"/>
            <w:vMerge/>
            <w:tcBorders>
              <w:left w:val="single" w:sz="4" w:space="0" w:color="000000"/>
              <w:bottom w:val="single" w:sz="4" w:space="0" w:color="000000"/>
              <w:right w:val="single" w:sz="4" w:space="0" w:color="000000"/>
            </w:tcBorders>
            <w:shd w:val="clear" w:color="auto" w:fill="D4D4D4"/>
          </w:tcPr>
          <w:p>
            <w:pPr/>
          </w:p>
        </w:tc>
        <w:tc>
          <w:tcPr>
            <w:tcW w:w="1133" w:type="dxa"/>
            <w:gridSpan w:val="2"/>
            <w:vMerge/>
            <w:tcBorders>
              <w:left w:val="single" w:sz="4" w:space="0" w:color="000000"/>
              <w:bottom w:val="single" w:sz="4" w:space="0" w:color="000000"/>
              <w:right w:val="single" w:sz="4" w:space="0" w:color="000000"/>
            </w:tcBorders>
            <w:shd w:val="clear" w:color="auto" w:fill="D4D4D4"/>
          </w:tcPr>
          <w:p>
            <w:pPr/>
          </w:p>
        </w:tc>
        <w:tc>
          <w:tcPr>
            <w:tcW w:w="710" w:type="dxa"/>
            <w:tcBorders>
              <w:top w:val="nil" w:sz="6" w:space="0" w:color="auto"/>
              <w:left w:val="single" w:sz="4" w:space="0" w:color="000000"/>
              <w:bottom w:val="single" w:sz="4" w:space="0" w:color="000000"/>
              <w:right w:val="single" w:sz="4" w:space="0" w:color="000000"/>
            </w:tcBorders>
            <w:shd w:val="clear" w:color="auto" w:fill="D4D4D4"/>
          </w:tcPr>
          <w:p>
            <w:pPr/>
          </w:p>
        </w:tc>
        <w:tc>
          <w:tcPr>
            <w:tcW w:w="1026" w:type="dxa"/>
            <w:gridSpan w:val="2"/>
            <w:tcBorders>
              <w:top w:val="nil" w:sz="6" w:space="0" w:color="auto"/>
              <w:left w:val="single" w:sz="4" w:space="0" w:color="000000"/>
              <w:bottom w:val="single" w:sz="4" w:space="0" w:color="000000"/>
              <w:right w:val="single" w:sz="4" w:space="0" w:color="000000"/>
            </w:tcBorders>
            <w:shd w:val="clear" w:color="auto" w:fill="D4D4D4"/>
          </w:tcPr>
          <w:p>
            <w:pPr/>
          </w:p>
        </w:tc>
        <w:tc>
          <w:tcPr>
            <w:tcW w:w="1014" w:type="dxa"/>
            <w:tcBorders>
              <w:top w:val="nil" w:sz="6" w:space="0" w:color="auto"/>
              <w:left w:val="single" w:sz="4" w:space="0" w:color="000000"/>
              <w:bottom w:val="single" w:sz="4" w:space="0" w:color="000000"/>
              <w:right w:val="single" w:sz="4" w:space="0" w:color="000000"/>
            </w:tcBorders>
            <w:shd w:val="clear" w:color="auto" w:fill="D4D4D4"/>
          </w:tcPr>
          <w:p>
            <w:pPr/>
          </w:p>
        </w:tc>
        <w:tc>
          <w:tcPr>
            <w:tcW w:w="1225" w:type="dxa"/>
            <w:gridSpan w:val="3"/>
            <w:tcBorders>
              <w:top w:val="nil" w:sz="6" w:space="0" w:color="auto"/>
              <w:left w:val="single" w:sz="4" w:space="0" w:color="000000"/>
              <w:bottom w:val="single" w:sz="4" w:space="0" w:color="000000"/>
              <w:right w:val="single" w:sz="4" w:space="0" w:color="000000"/>
            </w:tcBorders>
            <w:shd w:val="clear" w:color="auto" w:fill="D4D4D4"/>
          </w:tcPr>
          <w:p>
            <w:pPr/>
          </w:p>
        </w:tc>
        <w:tc>
          <w:tcPr>
            <w:tcW w:w="1129" w:type="dxa"/>
            <w:vMerge/>
            <w:tcBorders>
              <w:left w:val="single" w:sz="4" w:space="0" w:color="000000"/>
              <w:bottom w:val="single" w:sz="4" w:space="0" w:color="000000"/>
              <w:right w:val="single" w:sz="4" w:space="0" w:color="000000"/>
            </w:tcBorders>
            <w:shd w:val="clear" w:color="auto" w:fill="D4D4D4"/>
          </w:tcPr>
          <w:p>
            <w:pPr/>
          </w:p>
        </w:tc>
        <w:tc>
          <w:tcPr>
            <w:tcW w:w="850" w:type="dxa"/>
            <w:vMerge/>
            <w:tcBorders>
              <w:left w:val="single" w:sz="4" w:space="0" w:color="000000"/>
              <w:bottom w:val="single" w:sz="4" w:space="0" w:color="000000"/>
              <w:right w:val="single" w:sz="4" w:space="0" w:color="000000"/>
            </w:tcBorders>
            <w:shd w:val="clear" w:color="auto" w:fill="D4D4D4"/>
          </w:tcPr>
          <w:p>
            <w:pPr/>
          </w:p>
        </w:tc>
        <w:tc>
          <w:tcPr>
            <w:tcW w:w="780" w:type="dxa"/>
            <w:gridSpan w:val="3"/>
            <w:vMerge/>
            <w:tcBorders>
              <w:left w:val="single" w:sz="4" w:space="0" w:color="000000"/>
              <w:bottom w:val="single" w:sz="4" w:space="0" w:color="000000"/>
              <w:right w:val="single" w:sz="4" w:space="0" w:color="000000"/>
            </w:tcBorders>
            <w:shd w:val="clear" w:color="auto" w:fill="D4D4D4"/>
          </w:tcPr>
          <w:p>
            <w:pPr/>
          </w:p>
        </w:tc>
      </w:tr>
      <w:tr>
        <w:trPr>
          <w:trHeight w:val="401" w:hRule="exact"/>
        </w:trPr>
        <w:tc>
          <w:tcPr>
            <w:tcW w:w="17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郭永芳</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16.68%</w:t>
            </w:r>
          </w:p>
        </w:tc>
        <w:tc>
          <w:tcPr>
            <w:tcW w:w="102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134,144,350</w:t>
            </w:r>
          </w:p>
        </w:tc>
        <w:tc>
          <w:tcPr>
            <w:tcW w:w="1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2"/>
              <w:jc w:val="center"/>
              <w:rPr>
                <w:rFonts w:ascii="Times New Roman" w:hAnsi="Times New Roman" w:cs="Times New Roman" w:eastAsia="Times New Roman" w:hint="default"/>
                <w:sz w:val="18"/>
                <w:szCs w:val="18"/>
              </w:rPr>
            </w:pPr>
            <w:r>
              <w:rPr>
                <w:rFonts w:ascii="Times New Roman"/>
                <w:sz w:val="18"/>
              </w:rPr>
              <w:t>-44,714,783</w:t>
            </w:r>
          </w:p>
        </w:tc>
        <w:tc>
          <w:tcPr>
            <w:tcW w:w="122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7" w:right="0"/>
              <w:jc w:val="left"/>
              <w:rPr>
                <w:rFonts w:ascii="Times New Roman" w:hAnsi="Times New Roman" w:cs="Times New Roman" w:eastAsia="Times New Roman" w:hint="default"/>
                <w:sz w:val="18"/>
                <w:szCs w:val="18"/>
              </w:rPr>
            </w:pPr>
            <w:r>
              <w:rPr>
                <w:rFonts w:ascii="Times New Roman"/>
                <w:sz w:val="18"/>
              </w:rPr>
              <w:t>134,144,350</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5" w:space="0" w:color="D4D4D4"/>
              <w:left w:val="single" w:sz="4" w:space="0" w:color="000000"/>
              <w:bottom w:val="single" w:sz="4" w:space="0" w:color="000000"/>
              <w:right w:val="single" w:sz="4" w:space="0" w:color="000000"/>
            </w:tcBorders>
          </w:tcPr>
          <w:p>
            <w:pPr/>
          </w:p>
        </w:tc>
        <w:tc>
          <w:tcPr>
            <w:tcW w:w="780" w:type="dxa"/>
            <w:gridSpan w:val="3"/>
            <w:tcBorders>
              <w:top w:val="single" w:sz="45" w:space="0" w:color="D4D4D4"/>
              <w:left w:val="single" w:sz="4" w:space="0" w:color="000000"/>
              <w:bottom w:val="single" w:sz="4" w:space="0" w:color="000000"/>
              <w:right w:val="single" w:sz="4" w:space="0" w:color="000000"/>
            </w:tcBorders>
          </w:tcPr>
          <w:p>
            <w:pPr/>
          </w:p>
        </w:tc>
      </w:tr>
      <w:tr>
        <w:trPr>
          <w:trHeight w:val="715" w:hRule="exact"/>
        </w:trPr>
        <w:tc>
          <w:tcPr>
            <w:tcW w:w="1702"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7"/>
              <w:jc w:val="left"/>
              <w:rPr>
                <w:rFonts w:ascii="宋体" w:hAnsi="宋体" w:cs="宋体" w:eastAsia="宋体" w:hint="default"/>
                <w:sz w:val="18"/>
                <w:szCs w:val="18"/>
              </w:rPr>
            </w:pPr>
            <w:r>
              <w:rPr>
                <w:rFonts w:ascii="宋体" w:hAnsi="宋体" w:cs="宋体" w:eastAsia="宋体" w:hint="default"/>
                <w:sz w:val="18"/>
                <w:szCs w:val="18"/>
              </w:rPr>
              <w:t>国投智能科技有限公 司</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15.61%</w:t>
            </w:r>
          </w:p>
        </w:tc>
        <w:tc>
          <w:tcPr>
            <w:tcW w:w="102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125,475,942</w:t>
            </w:r>
          </w:p>
        </w:tc>
        <w:tc>
          <w:tcPr>
            <w:tcW w:w="1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64"/>
              <w:jc w:val="center"/>
              <w:rPr>
                <w:rFonts w:ascii="Times New Roman" w:hAnsi="Times New Roman" w:cs="Times New Roman" w:eastAsia="Times New Roman" w:hint="default"/>
                <w:sz w:val="18"/>
                <w:szCs w:val="18"/>
              </w:rPr>
            </w:pPr>
            <w:r>
              <w:rPr>
                <w:rFonts w:ascii="Times New Roman"/>
                <w:sz w:val="18"/>
              </w:rPr>
              <w:t>125,475,942</w:t>
            </w:r>
          </w:p>
        </w:tc>
        <w:tc>
          <w:tcPr>
            <w:tcW w:w="122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z w:val="18"/>
              </w:rPr>
              <w:t>0</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125,475,942</w:t>
            </w:r>
          </w:p>
        </w:tc>
        <w:tc>
          <w:tcPr>
            <w:tcW w:w="850" w:type="dxa"/>
            <w:tcBorders>
              <w:top w:val="single" w:sz="4" w:space="0" w:color="000000"/>
              <w:left w:val="single" w:sz="4" w:space="0" w:color="000000"/>
              <w:bottom w:val="single" w:sz="4" w:space="0" w:color="000000"/>
              <w:right w:val="single" w:sz="4" w:space="0" w:color="000000"/>
            </w:tcBorders>
          </w:tcPr>
          <w:p>
            <w:pPr/>
          </w:p>
        </w:tc>
        <w:tc>
          <w:tcPr>
            <w:tcW w:w="780" w:type="dxa"/>
            <w:gridSpan w:val="3"/>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702"/>
        <w:gridCol w:w="1133"/>
        <w:gridCol w:w="710"/>
        <w:gridCol w:w="1020"/>
        <w:gridCol w:w="1020"/>
        <w:gridCol w:w="809"/>
        <w:gridCol w:w="410"/>
        <w:gridCol w:w="1135"/>
        <w:gridCol w:w="374"/>
        <w:gridCol w:w="475"/>
        <w:gridCol w:w="780"/>
      </w:tblGrid>
      <w:tr>
        <w:trPr>
          <w:trHeight w:val="40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李国林</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8.87%</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71,323,360</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-23,600,000</w:t>
            </w:r>
          </w:p>
        </w:tc>
        <w:tc>
          <w:tcPr>
            <w:tcW w:w="12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76" w:right="0"/>
              <w:jc w:val="left"/>
              <w:rPr>
                <w:rFonts w:ascii="Times New Roman" w:hAnsi="Times New Roman" w:cs="Times New Roman" w:eastAsia="Times New Roman" w:hint="default"/>
                <w:sz w:val="18"/>
                <w:szCs w:val="18"/>
              </w:rPr>
            </w:pPr>
            <w:r>
              <w:rPr>
                <w:rFonts w:ascii="Times New Roman"/>
                <w:sz w:val="18"/>
              </w:rPr>
              <w:t>71,192,520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130,840</w:t>
            </w:r>
          </w:p>
        </w:tc>
        <w:tc>
          <w:tcPr>
            <w:tcW w:w="8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5,700,000</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刘冬颖</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3.82%</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30,720,000</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-10,240,000</w:t>
            </w:r>
          </w:p>
        </w:tc>
        <w:tc>
          <w:tcPr>
            <w:tcW w:w="12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76" w:right="0"/>
              <w:jc w:val="left"/>
              <w:rPr>
                <w:rFonts w:ascii="Times New Roman" w:hAnsi="Times New Roman" w:cs="Times New Roman" w:eastAsia="Times New Roman" w:hint="default"/>
                <w:sz w:val="18"/>
                <w:szCs w:val="18"/>
              </w:rPr>
            </w:pPr>
            <w:r>
              <w:rPr>
                <w:rFonts w:ascii="Times New Roman"/>
                <w:sz w:val="18"/>
              </w:rPr>
              <w:t>30,720,000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850" w:type="dxa"/>
            <w:gridSpan w:val="2"/>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1337"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7"/>
              <w:jc w:val="both"/>
              <w:rPr>
                <w:rFonts w:ascii="宋体" w:hAnsi="宋体" w:cs="宋体" w:eastAsia="宋体" w:hint="default"/>
                <w:sz w:val="18"/>
                <w:szCs w:val="18"/>
              </w:rPr>
            </w:pPr>
            <w:r>
              <w:rPr>
                <w:rFonts w:ascii="宋体" w:hAnsi="宋体" w:cs="宋体" w:eastAsia="宋体" w:hint="default"/>
                <w:sz w:val="18"/>
                <w:szCs w:val="18"/>
              </w:rPr>
              <w:t>中国建设银行股份有 限公司－交银施罗德 阿尔法核心混合型证 券投资基金</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z w:val="18"/>
              </w:rPr>
              <w:t>2.55%</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6"/>
              <w:jc w:val="right"/>
              <w:rPr>
                <w:rFonts w:ascii="Times New Roman" w:hAnsi="Times New Roman" w:cs="Times New Roman" w:eastAsia="Times New Roman" w:hint="default"/>
                <w:sz w:val="18"/>
                <w:szCs w:val="18"/>
              </w:rPr>
            </w:pPr>
            <w:r>
              <w:rPr>
                <w:rFonts w:ascii="Times New Roman"/>
                <w:sz w:val="18"/>
              </w:rPr>
              <w:t>20,531,638</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23" w:right="0"/>
              <w:jc w:val="left"/>
              <w:rPr>
                <w:rFonts w:ascii="Times New Roman" w:hAnsi="Times New Roman" w:cs="Times New Roman" w:eastAsia="Times New Roman" w:hint="default"/>
                <w:sz w:val="18"/>
                <w:szCs w:val="18"/>
              </w:rPr>
            </w:pPr>
            <w:r>
              <w:rPr>
                <w:rFonts w:ascii="Times New Roman"/>
                <w:sz w:val="18"/>
              </w:rPr>
              <w:t>3,987,522</w:t>
            </w:r>
          </w:p>
        </w:tc>
        <w:tc>
          <w:tcPr>
            <w:tcW w:w="12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z w:val="18"/>
              </w:rPr>
              <w:t>20,531,638</w:t>
            </w:r>
          </w:p>
        </w:tc>
        <w:tc>
          <w:tcPr>
            <w:tcW w:w="850" w:type="dxa"/>
            <w:gridSpan w:val="2"/>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47"/>
              <w:jc w:val="both"/>
              <w:rPr>
                <w:rFonts w:ascii="宋体" w:hAnsi="宋体" w:cs="宋体" w:eastAsia="宋体" w:hint="default"/>
                <w:sz w:val="18"/>
                <w:szCs w:val="18"/>
              </w:rPr>
            </w:pPr>
            <w:r>
              <w:rPr>
                <w:rFonts w:ascii="宋体" w:hAnsi="宋体" w:cs="宋体" w:eastAsia="宋体" w:hint="default"/>
                <w:sz w:val="18"/>
                <w:szCs w:val="18"/>
              </w:rPr>
              <w:t>中国工商银行股份有 限公司－交银施罗德 优势行业灵活配置混 合型证券投资基金</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9"/>
              <w:jc w:val="right"/>
              <w:rPr>
                <w:rFonts w:ascii="Times New Roman" w:hAnsi="Times New Roman" w:cs="Times New Roman" w:eastAsia="Times New Roman" w:hint="default"/>
                <w:sz w:val="18"/>
                <w:szCs w:val="18"/>
              </w:rPr>
            </w:pPr>
            <w:r>
              <w:rPr>
                <w:rFonts w:ascii="Times New Roman"/>
                <w:sz w:val="18"/>
              </w:rPr>
              <w:t>1.71%</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6"/>
              <w:jc w:val="right"/>
              <w:rPr>
                <w:rFonts w:ascii="Times New Roman" w:hAnsi="Times New Roman" w:cs="Times New Roman" w:eastAsia="Times New Roman" w:hint="default"/>
                <w:sz w:val="18"/>
                <w:szCs w:val="18"/>
              </w:rPr>
            </w:pPr>
            <w:r>
              <w:rPr>
                <w:rFonts w:ascii="Times New Roman"/>
                <w:sz w:val="18"/>
              </w:rPr>
              <w:t>13,721,505</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left="23" w:right="0"/>
              <w:jc w:val="left"/>
              <w:rPr>
                <w:rFonts w:ascii="Times New Roman" w:hAnsi="Times New Roman" w:cs="Times New Roman" w:eastAsia="Times New Roman" w:hint="default"/>
                <w:sz w:val="18"/>
                <w:szCs w:val="18"/>
              </w:rPr>
            </w:pPr>
            <w:r>
              <w:rPr>
                <w:rFonts w:ascii="Times New Roman"/>
                <w:sz w:val="18"/>
              </w:rPr>
              <w:t>-2,492,127</w:t>
            </w:r>
          </w:p>
        </w:tc>
        <w:tc>
          <w:tcPr>
            <w:tcW w:w="12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0"/>
              <w:jc w:val="right"/>
              <w:rPr>
                <w:rFonts w:ascii="Times New Roman" w:hAnsi="Times New Roman" w:cs="Times New Roman" w:eastAsia="Times New Roman" w:hint="default"/>
                <w:sz w:val="18"/>
                <w:szCs w:val="18"/>
              </w:rPr>
            </w:pPr>
            <w:r>
              <w:rPr>
                <w:rFonts w:ascii="Times New Roman"/>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9"/>
              <w:jc w:val="right"/>
              <w:rPr>
                <w:rFonts w:ascii="Times New Roman" w:hAnsi="Times New Roman" w:cs="Times New Roman" w:eastAsia="Times New Roman" w:hint="default"/>
                <w:sz w:val="18"/>
                <w:szCs w:val="18"/>
              </w:rPr>
            </w:pPr>
            <w:r>
              <w:rPr>
                <w:rFonts w:ascii="Times New Roman"/>
                <w:sz w:val="18"/>
              </w:rPr>
              <w:t>13,721,505</w:t>
            </w:r>
          </w:p>
        </w:tc>
        <w:tc>
          <w:tcPr>
            <w:tcW w:w="850" w:type="dxa"/>
            <w:gridSpan w:val="2"/>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1337"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7"/>
              <w:jc w:val="both"/>
              <w:rPr>
                <w:rFonts w:ascii="宋体" w:hAnsi="宋体" w:cs="宋体" w:eastAsia="宋体" w:hint="default"/>
                <w:sz w:val="18"/>
                <w:szCs w:val="18"/>
              </w:rPr>
            </w:pPr>
            <w:r>
              <w:rPr>
                <w:rFonts w:ascii="宋体" w:hAnsi="宋体" w:cs="宋体" w:eastAsia="宋体" w:hint="default"/>
                <w:sz w:val="18"/>
                <w:szCs w:val="18"/>
              </w:rPr>
              <w:t>中信银行股份有限公 司－交银施罗德新生 活力灵活配置混合型 证券投资基金</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z w:val="18"/>
              </w:rPr>
              <w:t>1.66%</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6"/>
              <w:jc w:val="right"/>
              <w:rPr>
                <w:rFonts w:ascii="Times New Roman" w:hAnsi="Times New Roman" w:cs="Times New Roman" w:eastAsia="Times New Roman" w:hint="default"/>
                <w:sz w:val="18"/>
                <w:szCs w:val="18"/>
              </w:rPr>
            </w:pPr>
            <w:r>
              <w:rPr>
                <w:rFonts w:ascii="Times New Roman"/>
                <w:sz w:val="18"/>
              </w:rPr>
              <w:t>13,365,837</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23" w:right="0"/>
              <w:jc w:val="left"/>
              <w:rPr>
                <w:rFonts w:ascii="Times New Roman" w:hAnsi="Times New Roman" w:cs="Times New Roman" w:eastAsia="Times New Roman" w:hint="default"/>
                <w:sz w:val="18"/>
                <w:szCs w:val="18"/>
              </w:rPr>
            </w:pPr>
            <w:r>
              <w:rPr>
                <w:rFonts w:ascii="Times New Roman"/>
                <w:sz w:val="18"/>
              </w:rPr>
              <w:t>-2,985,893</w:t>
            </w:r>
          </w:p>
        </w:tc>
        <w:tc>
          <w:tcPr>
            <w:tcW w:w="12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z w:val="18"/>
              </w:rPr>
              <w:t>13,365,837</w:t>
            </w:r>
          </w:p>
        </w:tc>
        <w:tc>
          <w:tcPr>
            <w:tcW w:w="850" w:type="dxa"/>
            <w:gridSpan w:val="2"/>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47"/>
              <w:jc w:val="both"/>
              <w:rPr>
                <w:rFonts w:ascii="宋体" w:hAnsi="宋体" w:cs="宋体" w:eastAsia="宋体" w:hint="default"/>
                <w:sz w:val="18"/>
                <w:szCs w:val="18"/>
              </w:rPr>
            </w:pPr>
            <w:r>
              <w:rPr>
                <w:rFonts w:ascii="宋体" w:hAnsi="宋体" w:cs="宋体" w:eastAsia="宋体" w:hint="default"/>
                <w:sz w:val="18"/>
                <w:szCs w:val="18"/>
              </w:rPr>
              <w:t>中国工商银行股份有 限公司－交银施罗德 持续成长主题混合型 证券投资基金</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9"/>
              <w:jc w:val="right"/>
              <w:rPr>
                <w:rFonts w:ascii="Times New Roman" w:hAnsi="Times New Roman" w:cs="Times New Roman" w:eastAsia="Times New Roman" w:hint="default"/>
                <w:sz w:val="18"/>
                <w:szCs w:val="18"/>
              </w:rPr>
            </w:pPr>
            <w:r>
              <w:rPr>
                <w:rFonts w:ascii="Times New Roman"/>
                <w:sz w:val="18"/>
              </w:rPr>
              <w:t>1.54%</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6"/>
              <w:jc w:val="right"/>
              <w:rPr>
                <w:rFonts w:ascii="Times New Roman" w:hAnsi="Times New Roman" w:cs="Times New Roman" w:eastAsia="Times New Roman" w:hint="default"/>
                <w:sz w:val="18"/>
                <w:szCs w:val="18"/>
              </w:rPr>
            </w:pPr>
            <w:r>
              <w:rPr>
                <w:rFonts w:ascii="Times New Roman"/>
                <w:sz w:val="18"/>
              </w:rPr>
              <w:t>12,410,481</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left="23" w:right="0"/>
              <w:jc w:val="left"/>
              <w:rPr>
                <w:rFonts w:ascii="Times New Roman" w:hAnsi="Times New Roman" w:cs="Times New Roman" w:eastAsia="Times New Roman" w:hint="default"/>
                <w:sz w:val="18"/>
                <w:szCs w:val="18"/>
              </w:rPr>
            </w:pPr>
            <w:r>
              <w:rPr>
                <w:rFonts w:ascii="Times New Roman"/>
                <w:sz w:val="18"/>
              </w:rPr>
              <w:t>1,967,764</w:t>
            </w:r>
          </w:p>
        </w:tc>
        <w:tc>
          <w:tcPr>
            <w:tcW w:w="12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0"/>
              <w:jc w:val="right"/>
              <w:rPr>
                <w:rFonts w:ascii="Times New Roman" w:hAnsi="Times New Roman" w:cs="Times New Roman" w:eastAsia="Times New Roman" w:hint="default"/>
                <w:sz w:val="18"/>
                <w:szCs w:val="18"/>
              </w:rPr>
            </w:pPr>
            <w:r>
              <w:rPr>
                <w:rFonts w:ascii="Times New Roman"/>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9"/>
              <w:jc w:val="right"/>
              <w:rPr>
                <w:rFonts w:ascii="Times New Roman" w:hAnsi="Times New Roman" w:cs="Times New Roman" w:eastAsia="Times New Roman" w:hint="default"/>
                <w:sz w:val="18"/>
                <w:szCs w:val="18"/>
              </w:rPr>
            </w:pPr>
            <w:r>
              <w:rPr>
                <w:rFonts w:ascii="Times New Roman"/>
                <w:sz w:val="18"/>
              </w:rPr>
              <w:t>12,410,481</w:t>
            </w:r>
          </w:p>
        </w:tc>
        <w:tc>
          <w:tcPr>
            <w:tcW w:w="850" w:type="dxa"/>
            <w:gridSpan w:val="2"/>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苏学武</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1.53%</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12,300,177</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-4,100,059</w:t>
            </w:r>
          </w:p>
        </w:tc>
        <w:tc>
          <w:tcPr>
            <w:tcW w:w="12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76" w:right="0"/>
              <w:jc w:val="left"/>
              <w:rPr>
                <w:rFonts w:ascii="Times New Roman" w:hAnsi="Times New Roman" w:cs="Times New Roman" w:eastAsia="Times New Roman" w:hint="default"/>
                <w:sz w:val="18"/>
                <w:szCs w:val="18"/>
              </w:rPr>
            </w:pPr>
            <w:r>
              <w:rPr>
                <w:rFonts w:ascii="Times New Roman"/>
                <w:sz w:val="18"/>
              </w:rPr>
              <w:t>12,300,177</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50" w:type="dxa"/>
            <w:gridSpan w:val="2"/>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47"/>
              <w:jc w:val="both"/>
              <w:rPr>
                <w:rFonts w:ascii="宋体" w:hAnsi="宋体" w:cs="宋体" w:eastAsia="宋体" w:hint="default"/>
                <w:sz w:val="18"/>
                <w:szCs w:val="18"/>
              </w:rPr>
            </w:pPr>
            <w:r>
              <w:rPr>
                <w:rFonts w:ascii="宋体" w:hAnsi="宋体" w:cs="宋体" w:eastAsia="宋体" w:hint="default"/>
                <w:sz w:val="18"/>
                <w:szCs w:val="18"/>
              </w:rPr>
              <w:t>中国光大银行股份有 限公司－泓德优选成 长混合型证券投资基 金</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9"/>
              <w:jc w:val="right"/>
              <w:rPr>
                <w:rFonts w:ascii="Times New Roman" w:hAnsi="Times New Roman" w:cs="Times New Roman" w:eastAsia="Times New Roman" w:hint="default"/>
                <w:sz w:val="18"/>
                <w:szCs w:val="18"/>
              </w:rPr>
            </w:pPr>
            <w:r>
              <w:rPr>
                <w:rFonts w:ascii="Times New Roman"/>
                <w:sz w:val="18"/>
              </w:rPr>
              <w:t>0.98%</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8"/>
              <w:jc w:val="right"/>
              <w:rPr>
                <w:rFonts w:ascii="Times New Roman" w:hAnsi="Times New Roman" w:cs="Times New Roman" w:eastAsia="Times New Roman" w:hint="default"/>
                <w:sz w:val="18"/>
                <w:szCs w:val="18"/>
              </w:rPr>
            </w:pPr>
            <w:r>
              <w:rPr>
                <w:rFonts w:ascii="Times New Roman"/>
                <w:spacing w:val="-1"/>
                <w:sz w:val="18"/>
              </w:rPr>
              <w:t>7,887,687</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left="23" w:right="0"/>
              <w:jc w:val="left"/>
              <w:rPr>
                <w:rFonts w:ascii="Times New Roman" w:hAnsi="Times New Roman" w:cs="Times New Roman" w:eastAsia="Times New Roman" w:hint="default"/>
                <w:sz w:val="18"/>
                <w:szCs w:val="18"/>
              </w:rPr>
            </w:pPr>
            <w:r>
              <w:rPr>
                <w:rFonts w:ascii="Times New Roman"/>
                <w:sz w:val="18"/>
              </w:rPr>
              <w:t>235,792</w:t>
            </w:r>
          </w:p>
        </w:tc>
        <w:tc>
          <w:tcPr>
            <w:tcW w:w="12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0"/>
              <w:jc w:val="right"/>
              <w:rPr>
                <w:rFonts w:ascii="Times New Roman" w:hAnsi="Times New Roman" w:cs="Times New Roman" w:eastAsia="Times New Roman" w:hint="default"/>
                <w:sz w:val="18"/>
                <w:szCs w:val="18"/>
              </w:rPr>
            </w:pPr>
            <w:r>
              <w:rPr>
                <w:rFonts w:ascii="Times New Roman"/>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0"/>
              <w:jc w:val="right"/>
              <w:rPr>
                <w:rFonts w:ascii="Times New Roman" w:hAnsi="Times New Roman" w:cs="Times New Roman" w:eastAsia="Times New Roman" w:hint="default"/>
                <w:sz w:val="18"/>
                <w:szCs w:val="18"/>
              </w:rPr>
            </w:pPr>
            <w:r>
              <w:rPr>
                <w:rFonts w:ascii="Times New Roman"/>
                <w:spacing w:val="-1"/>
                <w:sz w:val="18"/>
              </w:rPr>
              <w:t>7,887,687</w:t>
            </w:r>
          </w:p>
        </w:tc>
        <w:tc>
          <w:tcPr>
            <w:tcW w:w="850" w:type="dxa"/>
            <w:gridSpan w:val="2"/>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1702" w:type="dxa"/>
            <w:tcBorders>
              <w:top w:val="single" w:sz="4" w:space="0" w:color="000000"/>
              <w:left w:val="single" w:sz="4" w:space="0" w:color="000000"/>
              <w:bottom w:val="nil" w:sz="6" w:space="0" w:color="auto"/>
              <w:right w:val="single" w:sz="4" w:space="0" w:color="000000"/>
            </w:tcBorders>
            <w:shd w:val="clear" w:color="auto" w:fill="D4D4D4"/>
          </w:tcPr>
          <w:p>
            <w:pPr/>
          </w:p>
        </w:tc>
        <w:tc>
          <w:tcPr>
            <w:tcW w:w="7867" w:type="dxa"/>
            <w:gridSpan w:val="10"/>
            <w:vMerge w:val="restart"/>
            <w:tcBorders>
              <w:top w:val="single" w:sz="4" w:space="0" w:color="000000"/>
              <w:left w:val="single" w:sz="9" w:space="0" w:color="D4D4D4"/>
              <w:right w:val="single" w:sz="4" w:space="0" w:color="000000"/>
            </w:tcBorders>
          </w:tcPr>
          <w:p>
            <w:pPr>
              <w:pStyle w:val="TableParagraph"/>
              <w:spacing w:line="316" w:lineRule="auto" w:before="49"/>
              <w:ind w:left="18" w:right="91"/>
              <w:jc w:val="both"/>
              <w:rPr>
                <w:rFonts w:ascii="宋体" w:hAnsi="宋体" w:cs="宋体" w:eastAsia="宋体" w:hint="default"/>
                <w:sz w:val="18"/>
                <w:szCs w:val="18"/>
              </w:rPr>
            </w:pPr>
            <w:r>
              <w:rPr>
                <w:rFonts w:ascii="宋体" w:hAnsi="宋体" w:cs="宋体" w:eastAsia="宋体" w:hint="default"/>
                <w:sz w:val="18"/>
                <w:szCs w:val="18"/>
              </w:rPr>
              <w:t>上述股东中：中国建设银行股份有限公司－交银施罗德阿尔法核心混合型证券投资基金、中国工商 银行股份有限公司－交银施罗德优势行业灵活配置混合型证券投资基金、中信银行股份有限公司－ 交银施罗德新生活力灵活配置混合型证券投资基金、中国工商银行股份有限公司－交银施罗德持续 成长主题混合型证券投资基金同属于交银施罗德基金管理公司。</w:t>
            </w:r>
          </w:p>
        </w:tc>
      </w:tr>
      <w:tr>
        <w:trPr>
          <w:trHeight w:val="703" w:hRule="exact"/>
        </w:trPr>
        <w:tc>
          <w:tcPr>
            <w:tcW w:w="1702"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316" w:lineRule="auto" w:before="49"/>
              <w:ind w:left="24" w:right="47"/>
              <w:jc w:val="left"/>
              <w:rPr>
                <w:rFonts w:ascii="宋体" w:hAnsi="宋体" w:cs="宋体" w:eastAsia="宋体" w:hint="default"/>
                <w:sz w:val="18"/>
                <w:szCs w:val="18"/>
              </w:rPr>
            </w:pPr>
            <w:r>
              <w:rPr>
                <w:rFonts w:ascii="宋体" w:hAnsi="宋体" w:cs="宋体" w:eastAsia="宋体" w:hint="default"/>
                <w:sz w:val="18"/>
                <w:szCs w:val="18"/>
              </w:rPr>
              <w:t>上述股东关联关系或 一致行动的说明</w:t>
            </w:r>
          </w:p>
        </w:tc>
        <w:tc>
          <w:tcPr>
            <w:tcW w:w="7867" w:type="dxa"/>
            <w:gridSpan w:val="10"/>
            <w:vMerge/>
            <w:tcBorders>
              <w:left w:val="single" w:sz="9" w:space="0" w:color="D4D4D4"/>
              <w:right w:val="single" w:sz="4" w:space="0" w:color="000000"/>
            </w:tcBorders>
          </w:tcPr>
          <w:p>
            <w:pPr/>
          </w:p>
        </w:tc>
      </w:tr>
      <w:tr>
        <w:trPr>
          <w:trHeight w:val="318" w:hRule="exact"/>
        </w:trPr>
        <w:tc>
          <w:tcPr>
            <w:tcW w:w="1702" w:type="dxa"/>
            <w:tcBorders>
              <w:top w:val="nil" w:sz="6" w:space="0" w:color="auto"/>
              <w:left w:val="single" w:sz="4" w:space="0" w:color="000000"/>
              <w:bottom w:val="single" w:sz="4" w:space="0" w:color="000000"/>
              <w:right w:val="single" w:sz="4" w:space="0" w:color="000000"/>
            </w:tcBorders>
            <w:shd w:val="clear" w:color="auto" w:fill="D4D4D4"/>
          </w:tcPr>
          <w:p>
            <w:pPr/>
          </w:p>
        </w:tc>
        <w:tc>
          <w:tcPr>
            <w:tcW w:w="7867" w:type="dxa"/>
            <w:gridSpan w:val="10"/>
            <w:vMerge/>
            <w:tcBorders>
              <w:left w:val="single" w:sz="9" w:space="0" w:color="D4D4D4"/>
              <w:bottom w:val="single" w:sz="4" w:space="0" w:color="000000"/>
              <w:right w:val="single" w:sz="4" w:space="0" w:color="000000"/>
            </w:tcBorders>
          </w:tcPr>
          <w:p>
            <w:pPr/>
          </w:p>
        </w:tc>
      </w:tr>
      <w:tr>
        <w:trPr>
          <w:trHeight w:val="402" w:hRule="exact"/>
        </w:trPr>
        <w:tc>
          <w:tcPr>
            <w:tcW w:w="9569" w:type="dxa"/>
            <w:gridSpan w:val="11"/>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名无限售条件股东持股情况</w:t>
            </w:r>
          </w:p>
        </w:tc>
      </w:tr>
      <w:tr>
        <w:trPr>
          <w:trHeight w:val="206" w:hRule="exact"/>
        </w:trPr>
        <w:tc>
          <w:tcPr>
            <w:tcW w:w="3545" w:type="dxa"/>
            <w:gridSpan w:val="3"/>
            <w:tcBorders>
              <w:top w:val="single" w:sz="4" w:space="0" w:color="000000"/>
              <w:left w:val="single" w:sz="4" w:space="0" w:color="000000"/>
              <w:bottom w:val="nil" w:sz="6" w:space="0" w:color="auto"/>
              <w:right w:val="single" w:sz="4" w:space="0" w:color="000000"/>
            </w:tcBorders>
            <w:shd w:val="clear" w:color="auto" w:fill="D4D4D4"/>
          </w:tcPr>
          <w:p>
            <w:pPr/>
          </w:p>
        </w:tc>
        <w:tc>
          <w:tcPr>
            <w:tcW w:w="2849" w:type="dxa"/>
            <w:gridSpan w:val="3"/>
            <w:tcBorders>
              <w:top w:val="single" w:sz="4" w:space="0" w:color="000000"/>
              <w:left w:val="single" w:sz="4" w:space="0" w:color="000000"/>
              <w:bottom w:val="nil" w:sz="6" w:space="0" w:color="auto"/>
              <w:right w:val="single" w:sz="4" w:space="0" w:color="000000"/>
            </w:tcBorders>
            <w:shd w:val="clear" w:color="auto" w:fill="D4D4D4"/>
          </w:tcPr>
          <w:p>
            <w:pPr/>
          </w:p>
        </w:tc>
        <w:tc>
          <w:tcPr>
            <w:tcW w:w="3175" w:type="dxa"/>
            <w:gridSpan w:val="5"/>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196" w:hRule="exact"/>
        </w:trPr>
        <w:tc>
          <w:tcPr>
            <w:tcW w:w="3545" w:type="dxa"/>
            <w:gridSpan w:val="3"/>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849" w:type="dxa"/>
            <w:gridSpan w:val="3"/>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69"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3175" w:type="dxa"/>
            <w:gridSpan w:val="5"/>
            <w:vMerge/>
            <w:tcBorders>
              <w:left w:val="single" w:sz="4" w:space="0" w:color="000000"/>
              <w:bottom w:val="single" w:sz="4" w:space="0" w:color="000000"/>
              <w:right w:val="single" w:sz="4" w:space="0" w:color="000000"/>
            </w:tcBorders>
            <w:shd w:val="clear" w:color="auto" w:fill="D4D4D4"/>
          </w:tcPr>
          <w:p>
            <w:pPr/>
          </w:p>
        </w:tc>
      </w:tr>
      <w:tr>
        <w:trPr>
          <w:trHeight w:val="196" w:hRule="exact"/>
        </w:trPr>
        <w:tc>
          <w:tcPr>
            <w:tcW w:w="3545" w:type="dxa"/>
            <w:gridSpan w:val="3"/>
            <w:vMerge/>
            <w:tcBorders>
              <w:left w:val="single" w:sz="4" w:space="0" w:color="000000"/>
              <w:bottom w:val="nil" w:sz="6" w:space="0" w:color="auto"/>
              <w:right w:val="single" w:sz="4" w:space="0" w:color="000000"/>
            </w:tcBorders>
            <w:shd w:val="clear" w:color="auto" w:fill="D4D4D4"/>
          </w:tcPr>
          <w:p>
            <w:pPr/>
          </w:p>
        </w:tc>
        <w:tc>
          <w:tcPr>
            <w:tcW w:w="2849" w:type="dxa"/>
            <w:gridSpan w:val="3"/>
            <w:vMerge/>
            <w:tcBorders>
              <w:left w:val="single" w:sz="4" w:space="0" w:color="000000"/>
              <w:bottom w:val="nil" w:sz="6" w:space="0" w:color="auto"/>
              <w:right w:val="single" w:sz="4" w:space="0" w:color="000000"/>
            </w:tcBorders>
            <w:shd w:val="clear" w:color="auto" w:fill="D4D4D4"/>
          </w:tcPr>
          <w:p>
            <w:pPr/>
          </w:p>
        </w:tc>
        <w:tc>
          <w:tcPr>
            <w:tcW w:w="1920" w:type="dxa"/>
            <w:gridSpan w:val="3"/>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0"/>
              <w:ind w:left="595"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255"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206" w:hRule="exact"/>
        </w:trPr>
        <w:tc>
          <w:tcPr>
            <w:tcW w:w="3545" w:type="dxa"/>
            <w:gridSpan w:val="3"/>
            <w:tcBorders>
              <w:top w:val="nil" w:sz="6" w:space="0" w:color="auto"/>
              <w:left w:val="single" w:sz="4" w:space="0" w:color="000000"/>
              <w:bottom w:val="single" w:sz="4" w:space="0" w:color="000000"/>
              <w:right w:val="single" w:sz="4" w:space="0" w:color="000000"/>
            </w:tcBorders>
            <w:shd w:val="clear" w:color="auto" w:fill="D4D4D4"/>
          </w:tcPr>
          <w:p>
            <w:pPr/>
          </w:p>
        </w:tc>
        <w:tc>
          <w:tcPr>
            <w:tcW w:w="2849" w:type="dxa"/>
            <w:gridSpan w:val="3"/>
            <w:tcBorders>
              <w:top w:val="nil" w:sz="6" w:space="0" w:color="auto"/>
              <w:left w:val="single" w:sz="4" w:space="0" w:color="000000"/>
              <w:bottom w:val="single" w:sz="4" w:space="0" w:color="000000"/>
              <w:right w:val="single" w:sz="4" w:space="0" w:color="000000"/>
            </w:tcBorders>
            <w:shd w:val="clear" w:color="auto" w:fill="D4D4D4"/>
          </w:tcPr>
          <w:p>
            <w:pPr/>
          </w:p>
        </w:tc>
        <w:tc>
          <w:tcPr>
            <w:tcW w:w="1920" w:type="dxa"/>
            <w:gridSpan w:val="3"/>
            <w:vMerge/>
            <w:tcBorders>
              <w:left w:val="single" w:sz="4" w:space="0" w:color="000000"/>
              <w:bottom w:val="single" w:sz="4" w:space="0" w:color="000000"/>
              <w:right w:val="single" w:sz="4" w:space="0" w:color="000000"/>
            </w:tcBorders>
            <w:shd w:val="clear" w:color="auto" w:fill="D4D4D4"/>
          </w:tcPr>
          <w:p>
            <w:pPr/>
          </w:p>
        </w:tc>
        <w:tc>
          <w:tcPr>
            <w:tcW w:w="1255" w:type="dxa"/>
            <w:gridSpan w:val="2"/>
            <w:vMerge/>
            <w:tcBorders>
              <w:left w:val="single" w:sz="4" w:space="0" w:color="000000"/>
              <w:bottom w:val="single" w:sz="4" w:space="0" w:color="000000"/>
              <w:right w:val="single" w:sz="4" w:space="0" w:color="000000"/>
            </w:tcBorders>
            <w:shd w:val="clear" w:color="auto" w:fill="D4D4D4"/>
          </w:tcPr>
          <w:p>
            <w:pPr/>
          </w:p>
        </w:tc>
      </w:tr>
      <w:tr>
        <w:trPr>
          <w:trHeight w:val="401" w:hRule="exact"/>
        </w:trPr>
        <w:tc>
          <w:tcPr>
            <w:tcW w:w="354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国投智能科技有限公司</w:t>
            </w:r>
          </w:p>
        </w:tc>
        <w:tc>
          <w:tcPr>
            <w:tcW w:w="284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125,475,942</w:t>
            </w:r>
          </w:p>
        </w:tc>
        <w:tc>
          <w:tcPr>
            <w:tcW w:w="19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25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23" w:right="0"/>
              <w:jc w:val="left"/>
              <w:rPr>
                <w:rFonts w:ascii="Times New Roman" w:hAnsi="Times New Roman" w:cs="Times New Roman" w:eastAsia="Times New Roman" w:hint="default"/>
                <w:sz w:val="18"/>
                <w:szCs w:val="18"/>
              </w:rPr>
            </w:pPr>
            <w:r>
              <w:rPr>
                <w:rFonts w:ascii="Times New Roman"/>
                <w:sz w:val="18"/>
              </w:rPr>
              <w:t>125,475,942</w:t>
            </w:r>
          </w:p>
        </w:tc>
      </w:tr>
      <w:tr>
        <w:trPr>
          <w:trHeight w:val="715" w:hRule="exact"/>
        </w:trPr>
        <w:tc>
          <w:tcPr>
            <w:tcW w:w="3545" w:type="dxa"/>
            <w:gridSpan w:val="3"/>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89"/>
              <w:jc w:val="left"/>
              <w:rPr>
                <w:rFonts w:ascii="宋体" w:hAnsi="宋体" w:cs="宋体" w:eastAsia="宋体" w:hint="default"/>
                <w:sz w:val="18"/>
                <w:szCs w:val="18"/>
              </w:rPr>
            </w:pPr>
            <w:r>
              <w:rPr>
                <w:rFonts w:ascii="宋体" w:hAnsi="宋体" w:cs="宋体" w:eastAsia="宋体" w:hint="default"/>
                <w:sz w:val="18"/>
                <w:szCs w:val="18"/>
              </w:rPr>
              <w:t>中国建设银行股份有限公司－交银施罗德阿 尔法核心混合型证券投资基金</w:t>
            </w:r>
          </w:p>
        </w:tc>
        <w:tc>
          <w:tcPr>
            <w:tcW w:w="284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20,531,638</w:t>
            </w:r>
          </w:p>
        </w:tc>
        <w:tc>
          <w:tcPr>
            <w:tcW w:w="19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25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12" w:right="0"/>
              <w:jc w:val="left"/>
              <w:rPr>
                <w:rFonts w:ascii="Times New Roman" w:hAnsi="Times New Roman" w:cs="Times New Roman" w:eastAsia="Times New Roman" w:hint="default"/>
                <w:sz w:val="18"/>
                <w:szCs w:val="18"/>
              </w:rPr>
            </w:pPr>
            <w:r>
              <w:rPr>
                <w:rFonts w:ascii="Times New Roman"/>
                <w:sz w:val="18"/>
              </w:rPr>
              <w:t>20,531,638</w:t>
            </w:r>
          </w:p>
        </w:tc>
      </w:tr>
      <w:tr>
        <w:trPr>
          <w:trHeight w:val="713" w:hRule="exact"/>
        </w:trPr>
        <w:tc>
          <w:tcPr>
            <w:tcW w:w="3545" w:type="dxa"/>
            <w:gridSpan w:val="3"/>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9"/>
              <w:jc w:val="left"/>
              <w:rPr>
                <w:rFonts w:ascii="宋体" w:hAnsi="宋体" w:cs="宋体" w:eastAsia="宋体" w:hint="default"/>
                <w:sz w:val="18"/>
                <w:szCs w:val="18"/>
              </w:rPr>
            </w:pPr>
            <w:r>
              <w:rPr>
                <w:rFonts w:ascii="宋体" w:hAnsi="宋体" w:cs="宋体" w:eastAsia="宋体" w:hint="default"/>
                <w:sz w:val="18"/>
                <w:szCs w:val="18"/>
              </w:rPr>
              <w:t>中国工商银行股份有限公司－交银施罗德优 势行业灵活配置混合型证券投资基金</w:t>
            </w:r>
          </w:p>
        </w:tc>
        <w:tc>
          <w:tcPr>
            <w:tcW w:w="284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13,721,505</w:t>
            </w:r>
          </w:p>
        </w:tc>
        <w:tc>
          <w:tcPr>
            <w:tcW w:w="19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25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12" w:right="0"/>
              <w:jc w:val="left"/>
              <w:rPr>
                <w:rFonts w:ascii="Times New Roman" w:hAnsi="Times New Roman" w:cs="Times New Roman" w:eastAsia="Times New Roman" w:hint="default"/>
                <w:sz w:val="18"/>
                <w:szCs w:val="18"/>
              </w:rPr>
            </w:pPr>
            <w:r>
              <w:rPr>
                <w:rFonts w:ascii="Times New Roman"/>
                <w:sz w:val="18"/>
              </w:rPr>
              <w:t>13,721,505</w:t>
            </w:r>
          </w:p>
        </w:tc>
      </w:tr>
      <w:tr>
        <w:trPr>
          <w:trHeight w:val="715" w:hRule="exact"/>
        </w:trPr>
        <w:tc>
          <w:tcPr>
            <w:tcW w:w="3545" w:type="dxa"/>
            <w:gridSpan w:val="3"/>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89"/>
              <w:jc w:val="left"/>
              <w:rPr>
                <w:rFonts w:ascii="宋体" w:hAnsi="宋体" w:cs="宋体" w:eastAsia="宋体" w:hint="default"/>
                <w:sz w:val="18"/>
                <w:szCs w:val="18"/>
              </w:rPr>
            </w:pPr>
            <w:r>
              <w:rPr>
                <w:rFonts w:ascii="宋体" w:hAnsi="宋体" w:cs="宋体" w:eastAsia="宋体" w:hint="default"/>
                <w:sz w:val="18"/>
                <w:szCs w:val="18"/>
              </w:rPr>
              <w:t>中信银行股份有限公司－交银施罗德新生活 力灵活配置混合型证券投资基金</w:t>
            </w:r>
          </w:p>
        </w:tc>
        <w:tc>
          <w:tcPr>
            <w:tcW w:w="284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13,365,837</w:t>
            </w:r>
          </w:p>
        </w:tc>
        <w:tc>
          <w:tcPr>
            <w:tcW w:w="19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25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12" w:right="0"/>
              <w:jc w:val="left"/>
              <w:rPr>
                <w:rFonts w:ascii="Times New Roman" w:hAnsi="Times New Roman" w:cs="Times New Roman" w:eastAsia="Times New Roman" w:hint="default"/>
                <w:sz w:val="18"/>
                <w:szCs w:val="18"/>
              </w:rPr>
            </w:pPr>
            <w:r>
              <w:rPr>
                <w:rFonts w:ascii="Times New Roman"/>
                <w:sz w:val="18"/>
              </w:rPr>
              <w:t>13,365,837</w:t>
            </w:r>
          </w:p>
        </w:tc>
      </w:tr>
      <w:tr>
        <w:trPr>
          <w:trHeight w:val="715" w:hRule="exact"/>
        </w:trPr>
        <w:tc>
          <w:tcPr>
            <w:tcW w:w="3545" w:type="dxa"/>
            <w:gridSpan w:val="3"/>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9"/>
              <w:jc w:val="left"/>
              <w:rPr>
                <w:rFonts w:ascii="宋体" w:hAnsi="宋体" w:cs="宋体" w:eastAsia="宋体" w:hint="default"/>
                <w:sz w:val="18"/>
                <w:szCs w:val="18"/>
              </w:rPr>
            </w:pPr>
            <w:r>
              <w:rPr>
                <w:rFonts w:ascii="宋体" w:hAnsi="宋体" w:cs="宋体" w:eastAsia="宋体" w:hint="default"/>
                <w:sz w:val="18"/>
                <w:szCs w:val="18"/>
              </w:rPr>
              <w:t>中国工商银行股份有限公司－交银施罗德持 续成长主题混合型证券投资基金</w:t>
            </w:r>
          </w:p>
        </w:tc>
        <w:tc>
          <w:tcPr>
            <w:tcW w:w="284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12,410,481</w:t>
            </w:r>
          </w:p>
        </w:tc>
        <w:tc>
          <w:tcPr>
            <w:tcW w:w="19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25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12" w:right="0"/>
              <w:jc w:val="left"/>
              <w:rPr>
                <w:rFonts w:ascii="Times New Roman" w:hAnsi="Times New Roman" w:cs="Times New Roman" w:eastAsia="Times New Roman" w:hint="default"/>
                <w:sz w:val="18"/>
                <w:szCs w:val="18"/>
              </w:rPr>
            </w:pPr>
            <w:r>
              <w:rPr>
                <w:rFonts w:ascii="Times New Roman"/>
                <w:sz w:val="18"/>
              </w:rPr>
              <w:t>12,410,481</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268"/>
        <w:gridCol w:w="1277"/>
        <w:gridCol w:w="2849"/>
        <w:gridCol w:w="1920"/>
        <w:gridCol w:w="1255"/>
      </w:tblGrid>
      <w:tr>
        <w:trPr>
          <w:trHeight w:val="713" w:hRule="exact"/>
        </w:trPr>
        <w:tc>
          <w:tcPr>
            <w:tcW w:w="3545"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9"/>
              <w:jc w:val="left"/>
              <w:rPr>
                <w:rFonts w:ascii="宋体" w:hAnsi="宋体" w:cs="宋体" w:eastAsia="宋体" w:hint="default"/>
                <w:sz w:val="18"/>
                <w:szCs w:val="18"/>
              </w:rPr>
            </w:pPr>
            <w:r>
              <w:rPr>
                <w:rFonts w:ascii="宋体" w:hAnsi="宋体" w:cs="宋体" w:eastAsia="宋体" w:hint="default"/>
                <w:sz w:val="18"/>
                <w:szCs w:val="18"/>
              </w:rPr>
              <w:t>中国光大银行股份有限公司－泓德优选成长 混合型证券投资基金</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7,887,687</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7,887,687</w:t>
            </w:r>
          </w:p>
        </w:tc>
      </w:tr>
      <w:tr>
        <w:trPr>
          <w:trHeight w:val="403" w:hRule="exact"/>
        </w:trPr>
        <w:tc>
          <w:tcPr>
            <w:tcW w:w="35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卢晓英</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7,120,046</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7,120,046</w:t>
            </w:r>
          </w:p>
        </w:tc>
      </w:tr>
      <w:tr>
        <w:trPr>
          <w:trHeight w:val="401" w:hRule="exact"/>
        </w:trPr>
        <w:tc>
          <w:tcPr>
            <w:tcW w:w="35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王建祥</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7,021,586</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7,021,586</w:t>
            </w:r>
          </w:p>
        </w:tc>
      </w:tr>
      <w:tr>
        <w:trPr>
          <w:trHeight w:val="403" w:hRule="exact"/>
        </w:trPr>
        <w:tc>
          <w:tcPr>
            <w:tcW w:w="35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香港中央结算有限公司</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5,558,292</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5,558,292</w:t>
            </w:r>
          </w:p>
        </w:tc>
      </w:tr>
      <w:tr>
        <w:trPr>
          <w:trHeight w:val="401" w:hRule="exact"/>
        </w:trPr>
        <w:tc>
          <w:tcPr>
            <w:tcW w:w="35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孙士玉</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5,467,142</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5,467,142</w:t>
            </w:r>
          </w:p>
        </w:tc>
      </w:tr>
      <w:tr>
        <w:trPr>
          <w:trHeight w:val="1339" w:hRule="exact"/>
        </w:trPr>
        <w:tc>
          <w:tcPr>
            <w:tcW w:w="22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名无限售流通股股东之</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pacing w:val="-8"/>
                <w:sz w:val="18"/>
                <w:szCs w:val="18"/>
              </w:rPr>
              <w:t>间，以及前</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名无限售流通</w:t>
            </w:r>
          </w:p>
          <w:p>
            <w:pPr>
              <w:pStyle w:val="TableParagraph"/>
              <w:spacing w:line="300" w:lineRule="auto" w:before="63"/>
              <w:ind w:left="24" w:right="17"/>
              <w:jc w:val="left"/>
              <w:rPr>
                <w:rFonts w:ascii="宋体" w:hAnsi="宋体" w:cs="宋体" w:eastAsia="宋体" w:hint="default"/>
                <w:sz w:val="18"/>
                <w:szCs w:val="18"/>
              </w:rPr>
            </w:pPr>
            <w:r>
              <w:rPr>
                <w:rFonts w:ascii="宋体" w:hAnsi="宋体" w:cs="宋体" w:eastAsia="宋体" w:hint="default"/>
                <w:sz w:val="18"/>
                <w:szCs w:val="18"/>
              </w:rPr>
              <w:t>股股东和前</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名股东之间关 联关系或一致行动的说明</w:t>
            </w:r>
          </w:p>
        </w:tc>
        <w:tc>
          <w:tcPr>
            <w:tcW w:w="7301" w:type="dxa"/>
            <w:gridSpan w:val="4"/>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65"/>
              <w:jc w:val="both"/>
              <w:rPr>
                <w:rFonts w:ascii="宋体" w:hAnsi="宋体" w:cs="宋体" w:eastAsia="宋体" w:hint="default"/>
                <w:sz w:val="18"/>
                <w:szCs w:val="18"/>
              </w:rPr>
            </w:pPr>
            <w:r>
              <w:rPr>
                <w:rFonts w:ascii="宋体" w:hAnsi="宋体" w:cs="宋体" w:eastAsia="宋体" w:hint="default"/>
                <w:sz w:val="18"/>
                <w:szCs w:val="18"/>
              </w:rPr>
              <w:t>上述股东中：中国建设银行股份有限公司－交银施罗德阿尔法核心混合型证券投资基金、中 国工商银行股份有限公司－交银施罗德优势行业灵活配置混合型证券投资基金、中信银行股 份有限公司－交银施罗德新生活力灵活配置混合型证券投资基金、中国工商银行股份有限公 司－交银施罗德持续成长主题混合型证券投资基金同属于交银施罗德基金管理公司。</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名无限售条件普通股股东在报告期内是否进行约定购回交易</w:t>
      </w:r>
    </w:p>
    <w:p>
      <w:pPr>
        <w:spacing w:before="101"/>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spacing w:before="103"/>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名无限售条件普通股股东在报告期内未进行约定购回交易。</w:t>
      </w:r>
    </w:p>
    <w:p>
      <w:pPr>
        <w:spacing w:line="240" w:lineRule="auto" w:before="2"/>
        <w:rPr>
          <w:rFonts w:ascii="宋体" w:hAnsi="宋体" w:cs="宋体" w:eastAsia="宋体" w:hint="default"/>
          <w:sz w:val="26"/>
          <w:szCs w:val="26"/>
        </w:rPr>
      </w:pPr>
    </w:p>
    <w:p>
      <w:pPr>
        <w:pStyle w:val="Heading4"/>
        <w:spacing w:line="240" w:lineRule="auto"/>
        <w:ind w:right="986"/>
        <w:jc w:val="left"/>
        <w:rPr>
          <w:b w:val="0"/>
          <w:bCs w:val="0"/>
        </w:rPr>
      </w:pPr>
      <w:bookmarkStart w:name="2、公司控股股东情况" w:id="115"/>
      <w:bookmarkEnd w:id="115"/>
      <w:r>
        <w:rPr>
          <w:b w:val="0"/>
          <w:bCs w:val="0"/>
        </w:rPr>
      </w:r>
      <w:r>
        <w:rPr>
          <w:rFonts w:ascii="Times New Roman" w:hAnsi="Times New Roman" w:cs="Times New Roman" w:eastAsia="Times New Roman" w:hint="default"/>
        </w:rPr>
        <w:t>2</w:t>
      </w:r>
      <w:r>
        <w:rPr/>
        <w:t>、公司控股股东情况</w:t>
      </w:r>
      <w:r>
        <w:rPr>
          <w:b w:val="0"/>
          <w:bCs w:val="0"/>
        </w:rPr>
      </w:r>
    </w:p>
    <w:p>
      <w:pPr>
        <w:spacing w:line="240" w:lineRule="auto" w:before="4"/>
        <w:rPr>
          <w:rFonts w:ascii="宋体" w:hAnsi="宋体" w:cs="宋体" w:eastAsia="宋体" w:hint="default"/>
          <w:b/>
          <w:bCs/>
          <w:sz w:val="26"/>
          <w:szCs w:val="26"/>
        </w:rPr>
      </w:pPr>
    </w:p>
    <w:p>
      <w:pPr>
        <w:spacing w:line="357" w:lineRule="auto" w:before="0"/>
        <w:ind w:left="152" w:right="8414" w:firstLine="0"/>
        <w:jc w:val="left"/>
        <w:rPr>
          <w:rFonts w:ascii="宋体" w:hAnsi="宋体" w:cs="宋体" w:eastAsia="宋体" w:hint="default"/>
          <w:sz w:val="18"/>
          <w:szCs w:val="18"/>
        </w:rPr>
      </w:pPr>
      <w:r>
        <w:rPr>
          <w:rFonts w:ascii="宋体" w:hAnsi="宋体" w:cs="宋体" w:eastAsia="宋体" w:hint="default"/>
          <w:sz w:val="18"/>
          <w:szCs w:val="18"/>
        </w:rPr>
        <w:t>控股股东性质：中央国有控股 控股股东类型：法人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8"/>
          <w:szCs w:val="28"/>
        </w:rPr>
      </w:pPr>
    </w:p>
    <w:p>
      <w:pPr>
        <w:spacing w:before="44"/>
        <w:ind w:left="0" w:right="1140" w:firstLine="0"/>
        <w:jc w:val="right"/>
        <w:rPr>
          <w:rFonts w:ascii="宋体" w:hAnsi="宋体" w:cs="宋体" w:eastAsia="宋体" w:hint="default"/>
          <w:sz w:val="18"/>
          <w:szCs w:val="18"/>
        </w:rPr>
      </w:pPr>
      <w:r>
        <w:rPr/>
        <w:pict>
          <v:shape style="position:absolute;margin-left:56.400002pt;margin-top:-83.169273pt;width:479.2pt;height:165.5pt;mso-position-horizontal-relative:page;mso-position-vertical-relative:paragraph;z-index:200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14"/>
                    <w:gridCol w:w="1111"/>
                    <w:gridCol w:w="1663"/>
                    <w:gridCol w:w="1800"/>
                    <w:gridCol w:w="3581"/>
                  </w:tblGrid>
                  <w:tr>
                    <w:trPr>
                      <w:trHeight w:val="715" w:hRule="exact"/>
                    </w:trPr>
                    <w:tc>
                      <w:tcPr>
                        <w:tcW w:w="141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控股股东名称</w:t>
                        </w:r>
                      </w:p>
                    </w:tc>
                    <w:tc>
                      <w:tcPr>
                        <w:tcW w:w="11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0" w:lineRule="auto" w:before="49"/>
                          <w:ind w:left="100" w:right="75" w:hanging="27"/>
                          <w:jc w:val="left"/>
                          <w:rPr>
                            <w:rFonts w:ascii="宋体" w:hAnsi="宋体" w:cs="宋体" w:eastAsia="宋体" w:hint="default"/>
                            <w:sz w:val="18"/>
                            <w:szCs w:val="18"/>
                          </w:rPr>
                        </w:pPr>
                        <w:r>
                          <w:rPr>
                            <w:rFonts w:ascii="宋体" w:hAnsi="宋体" w:cs="宋体" w:eastAsia="宋体" w:hint="default"/>
                            <w:sz w:val="18"/>
                            <w:szCs w:val="18"/>
                          </w:rPr>
                          <w:t>法定代表人</w:t>
                        </w:r>
                        <w:r>
                          <w:rPr>
                            <w:rFonts w:ascii="Times New Roman" w:hAnsi="Times New Roman" w:cs="Times New Roman" w:eastAsia="Times New Roman" w:hint="default"/>
                            <w:sz w:val="18"/>
                            <w:szCs w:val="18"/>
                          </w:rPr>
                          <w:t>/ </w:t>
                        </w:r>
                        <w:r>
                          <w:rPr>
                            <w:rFonts w:ascii="宋体" w:hAnsi="宋体" w:cs="宋体" w:eastAsia="宋体" w:hint="default"/>
                            <w:sz w:val="18"/>
                            <w:szCs w:val="18"/>
                          </w:rPr>
                          <w:t>单位负责人</w:t>
                        </w:r>
                      </w:p>
                    </w:tc>
                    <w:tc>
                      <w:tcPr>
                        <w:tcW w:w="166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成立日期</w:t>
                        </w:r>
                      </w:p>
                    </w:tc>
                    <w:tc>
                      <w:tcPr>
                        <w:tcW w:w="180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57"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35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主要经营业务</w:t>
                        </w:r>
                      </w:p>
                    </w:tc>
                  </w:tr>
                  <w:tr>
                    <w:trPr>
                      <w:trHeight w:val="2585" w:hRule="exact"/>
                    </w:trPr>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314" w:lineRule="auto"/>
                          <w:ind w:left="432" w:right="71" w:hanging="360"/>
                          <w:jc w:val="left"/>
                          <w:rPr>
                            <w:rFonts w:ascii="宋体" w:hAnsi="宋体" w:cs="宋体" w:eastAsia="宋体" w:hint="default"/>
                            <w:sz w:val="18"/>
                            <w:szCs w:val="18"/>
                          </w:rPr>
                        </w:pPr>
                        <w:r>
                          <w:rPr>
                            <w:rFonts w:ascii="宋体" w:hAnsi="宋体" w:cs="宋体" w:eastAsia="宋体" w:hint="default"/>
                            <w:sz w:val="18"/>
                            <w:szCs w:val="18"/>
                          </w:rPr>
                          <w:t>国投智能科技有 限公司</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孙烨</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91310115MA1H8BT61</w:t>
                        </w:r>
                      </w:p>
                      <w:p>
                        <w:pPr>
                          <w:pStyle w:val="TableParagraph"/>
                          <w:spacing w:line="240" w:lineRule="auto" w:before="102"/>
                          <w:ind w:left="3" w:right="0"/>
                          <w:jc w:val="center"/>
                          <w:rPr>
                            <w:rFonts w:ascii="Times New Roman" w:hAnsi="Times New Roman" w:cs="Times New Roman" w:eastAsia="Times New Roman" w:hint="default"/>
                            <w:sz w:val="18"/>
                            <w:szCs w:val="18"/>
                          </w:rPr>
                        </w:pPr>
                        <w:r>
                          <w:rPr>
                            <w:rFonts w:ascii="Times New Roman"/>
                            <w:sz w:val="18"/>
                          </w:rPr>
                          <w:t>8</w:t>
                        </w:r>
                      </w:p>
                    </w:tc>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19"/>
                          <w:jc w:val="center"/>
                          <w:rPr>
                            <w:rFonts w:ascii="宋体" w:hAnsi="宋体" w:cs="宋体" w:eastAsia="宋体" w:hint="default"/>
                            <w:sz w:val="18"/>
                            <w:szCs w:val="18"/>
                          </w:rPr>
                        </w:pPr>
                        <w:r>
                          <w:rPr>
                            <w:rFonts w:ascii="宋体" w:hAnsi="宋体" w:cs="宋体" w:eastAsia="宋体" w:hint="default"/>
                            <w:spacing w:val="-4"/>
                            <w:sz w:val="18"/>
                            <w:szCs w:val="18"/>
                          </w:rPr>
                          <w:t>从事智能科技、物联网科技、计算机科技、环</w:t>
                        </w:r>
                        <w:r>
                          <w:rPr>
                            <w:rFonts w:ascii="宋体" w:hAnsi="宋体" w:cs="宋体" w:eastAsia="宋体" w:hint="default"/>
                            <w:sz w:val="18"/>
                            <w:szCs w:val="18"/>
                          </w:rPr>
                          <w:t> </w:t>
                        </w:r>
                        <w:r>
                          <w:rPr>
                            <w:rFonts w:ascii="宋体" w:hAnsi="宋体" w:cs="宋体" w:eastAsia="宋体" w:hint="default"/>
                            <w:spacing w:val="-4"/>
                            <w:sz w:val="18"/>
                            <w:szCs w:val="18"/>
                          </w:rPr>
                          <w:t>保科技、电子科技、能源科技领域内的技术开</w:t>
                        </w:r>
                        <w:r>
                          <w:rPr>
                            <w:rFonts w:ascii="宋体" w:hAnsi="宋体" w:cs="宋体" w:eastAsia="宋体" w:hint="default"/>
                            <w:sz w:val="18"/>
                            <w:szCs w:val="18"/>
                          </w:rPr>
                          <w:t> </w:t>
                        </w:r>
                        <w:r>
                          <w:rPr>
                            <w:rFonts w:ascii="宋体" w:hAnsi="宋体" w:cs="宋体" w:eastAsia="宋体" w:hint="default"/>
                            <w:spacing w:val="-4"/>
                            <w:sz w:val="18"/>
                            <w:szCs w:val="18"/>
                          </w:rPr>
                          <w:t>发、技术咨询、技术服务、技术转让、网络科</w:t>
                        </w:r>
                        <w:r>
                          <w:rPr>
                            <w:rFonts w:ascii="宋体" w:hAnsi="宋体" w:cs="宋体" w:eastAsia="宋体" w:hint="default"/>
                            <w:sz w:val="18"/>
                            <w:szCs w:val="18"/>
                          </w:rPr>
                          <w:t> </w:t>
                        </w:r>
                        <w:r>
                          <w:rPr>
                            <w:rFonts w:ascii="宋体" w:hAnsi="宋体" w:cs="宋体" w:eastAsia="宋体" w:hint="default"/>
                            <w:spacing w:val="-17"/>
                            <w:sz w:val="18"/>
                            <w:szCs w:val="18"/>
                          </w:rPr>
                          <w:t>技、网络工程、电子商务（不得从事金融业务）</w:t>
                        </w:r>
                        <w:r>
                          <w:rPr>
                            <w:rFonts w:ascii="宋体" w:hAnsi="宋体" w:cs="宋体" w:eastAsia="宋体" w:hint="default"/>
                            <w:spacing w:val="-92"/>
                            <w:sz w:val="18"/>
                            <w:szCs w:val="18"/>
                          </w:rPr>
                          <w:t> </w:t>
                        </w:r>
                        <w:r>
                          <w:rPr>
                            <w:rFonts w:ascii="宋体" w:hAnsi="宋体" w:cs="宋体" w:eastAsia="宋体" w:hint="default"/>
                            <w:spacing w:val="-9"/>
                            <w:sz w:val="18"/>
                            <w:szCs w:val="18"/>
                          </w:rPr>
                          <w:t>企业管理咨询，通讯建设工程施工，项目投资</w:t>
                        </w:r>
                        <w:r>
                          <w:rPr>
                            <w:rFonts w:ascii="宋体" w:hAnsi="宋体" w:cs="宋体" w:eastAsia="宋体" w:hint="default"/>
                            <w:sz w:val="18"/>
                            <w:szCs w:val="18"/>
                          </w:rPr>
                          <w:t> 投资管理，投资咨询，企业策划，资产管理 </w:t>
                        </w:r>
                        <w:r>
                          <w:rPr>
                            <w:rFonts w:ascii="宋体" w:hAnsi="宋体" w:cs="宋体" w:eastAsia="宋体" w:hint="default"/>
                            <w:spacing w:val="-5"/>
                            <w:sz w:val="18"/>
                            <w:szCs w:val="18"/>
                          </w:rPr>
                          <w:t>电信业务。【依法须经批准的项目，经相关部</w:t>
                        </w:r>
                        <w:r>
                          <w:rPr>
                            <w:rFonts w:ascii="宋体" w:hAnsi="宋体" w:cs="宋体" w:eastAsia="宋体" w:hint="default"/>
                            <w:sz w:val="18"/>
                            <w:szCs w:val="18"/>
                          </w:rPr>
                          <w:t> 门批准后方可开展经营活动】</w:t>
                        </w:r>
                      </w:p>
                    </w:tc>
                  </w:tr>
                </w:tbl>
                <w:p>
                  <w:pPr/>
                </w:p>
              </w:txbxContent>
            </v:textbox>
            <w10:wrap type="none"/>
          </v:shape>
        </w:pict>
      </w:r>
      <w:r>
        <w:rPr>
          <w:rFonts w:ascii="宋体" w:hAnsi="宋体" w:cs="宋体" w:eastAsia="宋体" w:hint="default"/>
          <w:sz w:val="18"/>
          <w:szCs w:val="18"/>
        </w:rPr>
        <w:t>，</w:t>
      </w:r>
    </w:p>
    <w:p>
      <w:pPr>
        <w:spacing w:before="76"/>
        <w:ind w:left="0" w:right="1140" w:firstLine="0"/>
        <w:jc w:val="right"/>
        <w:rPr>
          <w:rFonts w:ascii="宋体" w:hAnsi="宋体" w:cs="宋体" w:eastAsia="宋体" w:hint="default"/>
          <w:sz w:val="18"/>
          <w:szCs w:val="18"/>
        </w:rPr>
      </w:pPr>
      <w:r>
        <w:rPr>
          <w:rFonts w:ascii="宋体" w:hAnsi="宋体" w:cs="宋体" w:eastAsia="宋体" w:hint="default"/>
          <w:sz w:val="18"/>
          <w:szCs w:val="18"/>
        </w:rPr>
        <w:t>，</w:t>
      </w:r>
    </w:p>
    <w:p>
      <w:pPr>
        <w:spacing w:before="76"/>
        <w:ind w:left="0" w:right="1152"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控股股东报告期内变更</w:t>
      </w:r>
    </w:p>
    <w:p>
      <w:pPr>
        <w:spacing w:before="117"/>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704"/>
        <w:gridCol w:w="6864"/>
      </w:tblGrid>
      <w:tr>
        <w:trPr>
          <w:trHeight w:val="403" w:hRule="exact"/>
        </w:trPr>
        <w:tc>
          <w:tcPr>
            <w:tcW w:w="27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新控股股东名称</w:t>
            </w:r>
          </w:p>
        </w:tc>
        <w:tc>
          <w:tcPr>
            <w:tcW w:w="6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国投智能科技有限公司</w:t>
            </w:r>
          </w:p>
        </w:tc>
      </w:tr>
      <w:tr>
        <w:trPr>
          <w:trHeight w:val="401" w:hRule="exact"/>
        </w:trPr>
        <w:tc>
          <w:tcPr>
            <w:tcW w:w="27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变更日期</w:t>
            </w:r>
          </w:p>
        </w:tc>
        <w:tc>
          <w:tcPr>
            <w:tcW w:w="6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 </w:t>
            </w:r>
            <w:r>
              <w:rPr>
                <w:rFonts w:ascii="宋体" w:hAnsi="宋体" w:cs="宋体" w:eastAsia="宋体" w:hint="default"/>
                <w:sz w:val="18"/>
                <w:szCs w:val="18"/>
              </w:rPr>
              <w:t>日</w:t>
            </w:r>
          </w:p>
        </w:tc>
      </w:tr>
      <w:tr>
        <w:trPr>
          <w:trHeight w:val="715" w:hRule="exact"/>
        </w:trPr>
        <w:tc>
          <w:tcPr>
            <w:tcW w:w="27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指定网站查询索引</w:t>
            </w:r>
          </w:p>
        </w:tc>
        <w:tc>
          <w:tcPr>
            <w:tcW w:w="6864"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3" w:right="23"/>
              <w:jc w:val="left"/>
              <w:rPr>
                <w:rFonts w:ascii="Times New Roman" w:hAnsi="Times New Roman" w:cs="Times New Roman" w:eastAsia="Times New Roman" w:hint="default"/>
                <w:sz w:val="18"/>
                <w:szCs w:val="18"/>
              </w:rPr>
            </w:pPr>
            <w:hyperlink r:id="rId11">
              <w:r>
                <w:rPr>
                  <w:rFonts w:ascii="Times New Roman" w:hAnsi="Times New Roman" w:cs="Times New Roman" w:eastAsia="Times New Roman" w:hint="default"/>
                  <w:spacing w:val="-11"/>
                  <w:w w:val="99"/>
                  <w:sz w:val="18"/>
                  <w:szCs w:val="18"/>
                </w:rPr>
                <w:t>www.cninfo.com.cn</w:t>
              </w:r>
            </w:hyperlink>
            <w:r>
              <w:rPr>
                <w:rFonts w:ascii="宋体" w:hAnsi="宋体" w:cs="宋体" w:eastAsia="宋体" w:hint="default"/>
                <w:spacing w:val="-11"/>
                <w:w w:val="99"/>
                <w:sz w:val="18"/>
                <w:szCs w:val="18"/>
              </w:rPr>
              <w:t>《</w:t>
            </w:r>
            <w:r>
              <w:rPr>
                <w:rFonts w:ascii="Times New Roman" w:hAnsi="Times New Roman" w:cs="Times New Roman" w:eastAsia="Times New Roman" w:hint="default"/>
                <w:spacing w:val="-11"/>
                <w:w w:val="99"/>
                <w:sz w:val="18"/>
                <w:szCs w:val="18"/>
              </w:rPr>
              <w:t>,</w:t>
            </w:r>
            <w:r>
              <w:rPr>
                <w:rFonts w:ascii="Times New Roman" w:hAnsi="Times New Roman" w:cs="Times New Roman" w:eastAsia="Times New Roman" w:hint="default"/>
                <w:spacing w:val="18"/>
                <w:w w:val="99"/>
                <w:sz w:val="18"/>
                <w:szCs w:val="18"/>
              </w:rPr>
              <w:t> </w:t>
            </w:r>
            <w:r>
              <w:rPr>
                <w:rFonts w:ascii="宋体" w:hAnsi="宋体" w:cs="宋体" w:eastAsia="宋体" w:hint="default"/>
                <w:spacing w:val="-2"/>
                <w:sz w:val="18"/>
                <w:szCs w:val="18"/>
              </w:rPr>
              <w:t>关于股东协议转让股份完成过户登记暨公司控股股东、实际控制人</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完成变更的公告》编号：</w:t>
            </w:r>
            <w:r>
              <w:rPr>
                <w:rFonts w:ascii="Times New Roman" w:hAnsi="Times New Roman" w:cs="Times New Roman" w:eastAsia="Times New Roman" w:hint="default"/>
                <w:sz w:val="18"/>
                <w:szCs w:val="18"/>
              </w:rPr>
              <w:t>2019-58</w:t>
            </w:r>
          </w:p>
        </w:tc>
      </w:tr>
      <w:tr>
        <w:trPr>
          <w:trHeight w:val="401" w:hRule="exact"/>
        </w:trPr>
        <w:tc>
          <w:tcPr>
            <w:tcW w:w="27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指定网站披露日期</w:t>
            </w:r>
          </w:p>
        </w:tc>
        <w:tc>
          <w:tcPr>
            <w:tcW w:w="6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日</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3、公司实际控制人及其一致行动人" w:id="116"/>
      <w:bookmarkEnd w:id="116"/>
      <w:r>
        <w:rPr>
          <w:b w:val="0"/>
          <w:bCs w:val="0"/>
        </w:rPr>
      </w:r>
      <w:r>
        <w:rPr>
          <w:rFonts w:ascii="Times New Roman" w:hAnsi="Times New Roman" w:cs="Times New Roman" w:eastAsia="Times New Roman" w:hint="default"/>
        </w:rPr>
        <w:t>3</w:t>
      </w:r>
      <w:r>
        <w:rPr/>
        <w:t>、公司实际控制人及其一致行动人</w:t>
      </w:r>
      <w:r>
        <w:rPr>
          <w:b w:val="0"/>
          <w:bCs w:val="0"/>
        </w:rPr>
      </w:r>
    </w:p>
    <w:p>
      <w:pPr>
        <w:spacing w:line="240" w:lineRule="auto" w:before="4"/>
        <w:rPr>
          <w:rFonts w:ascii="宋体" w:hAnsi="宋体" w:cs="宋体" w:eastAsia="宋体" w:hint="default"/>
          <w:b/>
          <w:bCs/>
          <w:sz w:val="26"/>
          <w:szCs w:val="26"/>
        </w:rPr>
      </w:pPr>
    </w:p>
    <w:p>
      <w:pPr>
        <w:spacing w:line="360" w:lineRule="auto" w:before="0"/>
        <w:ind w:left="152" w:right="7874" w:firstLine="0"/>
        <w:jc w:val="left"/>
        <w:rPr>
          <w:rFonts w:ascii="宋体" w:hAnsi="宋体" w:cs="宋体" w:eastAsia="宋体" w:hint="default"/>
          <w:sz w:val="18"/>
          <w:szCs w:val="18"/>
        </w:rPr>
      </w:pPr>
      <w:r>
        <w:rPr>
          <w:rFonts w:ascii="宋体" w:hAnsi="宋体" w:cs="宋体" w:eastAsia="宋体" w:hint="default"/>
          <w:sz w:val="18"/>
          <w:szCs w:val="18"/>
        </w:rPr>
        <w:t>实际控制人性质：中央国资管理机构 实际控制人类型：法人</w:t>
      </w:r>
    </w:p>
    <w:p>
      <w:pPr>
        <w:spacing w:after="0" w:line="360"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spacing w:before="0"/>
        <w:ind w:left="0" w:right="1140" w:firstLine="0"/>
        <w:jc w:val="right"/>
        <w:rPr>
          <w:rFonts w:ascii="宋体" w:hAnsi="宋体" w:cs="宋体" w:eastAsia="宋体" w:hint="default"/>
          <w:sz w:val="18"/>
          <w:szCs w:val="18"/>
        </w:rPr>
      </w:pPr>
      <w:r>
        <w:rPr/>
        <w:pict>
          <v:shape style="position:absolute;margin-left:56.400002pt;margin-top:-69.769264pt;width:479.2pt;height:216.85pt;mso-position-horizontal-relative:page;mso-position-vertical-relative:paragraph;z-index:203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85"/>
                    <w:gridCol w:w="1080"/>
                    <w:gridCol w:w="1034"/>
                    <w:gridCol w:w="1169"/>
                    <w:gridCol w:w="4601"/>
                  </w:tblGrid>
                  <w:tr>
                    <w:trPr>
                      <w:trHeight w:val="713" w:hRule="exact"/>
                    </w:trPr>
                    <w:tc>
                      <w:tcPr>
                        <w:tcW w:w="168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6" w:right="0"/>
                          <w:jc w:val="left"/>
                          <w:rPr>
                            <w:rFonts w:ascii="宋体" w:hAnsi="宋体" w:cs="宋体" w:eastAsia="宋体" w:hint="default"/>
                            <w:sz w:val="18"/>
                            <w:szCs w:val="18"/>
                          </w:rPr>
                        </w:pPr>
                        <w:r>
                          <w:rPr>
                            <w:rFonts w:ascii="宋体" w:hAnsi="宋体" w:cs="宋体" w:eastAsia="宋体" w:hint="default"/>
                            <w:sz w:val="18"/>
                            <w:szCs w:val="18"/>
                          </w:rPr>
                          <w:t>实际控制人名称</w:t>
                        </w:r>
                      </w:p>
                    </w:tc>
                    <w:tc>
                      <w:tcPr>
                        <w:tcW w:w="108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0" w:lineRule="auto" w:before="49"/>
                          <w:ind w:left="86" w:right="58" w:hanging="27"/>
                          <w:jc w:val="left"/>
                          <w:rPr>
                            <w:rFonts w:ascii="宋体" w:hAnsi="宋体" w:cs="宋体" w:eastAsia="宋体" w:hint="default"/>
                            <w:sz w:val="18"/>
                            <w:szCs w:val="18"/>
                          </w:rPr>
                        </w:pPr>
                        <w:r>
                          <w:rPr>
                            <w:rFonts w:ascii="宋体" w:hAnsi="宋体" w:cs="宋体" w:eastAsia="宋体" w:hint="default"/>
                            <w:sz w:val="18"/>
                            <w:szCs w:val="18"/>
                          </w:rPr>
                          <w:t>法定代表人</w:t>
                        </w:r>
                        <w:r>
                          <w:rPr>
                            <w:rFonts w:ascii="Times New Roman" w:hAnsi="Times New Roman" w:cs="Times New Roman" w:eastAsia="Times New Roman" w:hint="default"/>
                            <w:sz w:val="18"/>
                            <w:szCs w:val="18"/>
                          </w:rPr>
                          <w:t>/ </w:t>
                        </w:r>
                        <w:r>
                          <w:rPr>
                            <w:rFonts w:ascii="宋体" w:hAnsi="宋体" w:cs="宋体" w:eastAsia="宋体" w:hint="default"/>
                            <w:sz w:val="18"/>
                            <w:szCs w:val="18"/>
                          </w:rPr>
                          <w:t>单位负责人</w:t>
                        </w:r>
                      </w:p>
                    </w:tc>
                    <w:tc>
                      <w:tcPr>
                        <w:tcW w:w="10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53" w:right="0"/>
                          <w:jc w:val="left"/>
                          <w:rPr>
                            <w:rFonts w:ascii="宋体" w:hAnsi="宋体" w:cs="宋体" w:eastAsia="宋体" w:hint="default"/>
                            <w:sz w:val="18"/>
                            <w:szCs w:val="18"/>
                          </w:rPr>
                        </w:pPr>
                        <w:r>
                          <w:rPr>
                            <w:rFonts w:ascii="宋体" w:hAnsi="宋体" w:cs="宋体" w:eastAsia="宋体" w:hint="default"/>
                            <w:sz w:val="18"/>
                            <w:szCs w:val="18"/>
                          </w:rPr>
                          <w:t>成立日期</w:t>
                        </w:r>
                      </w:p>
                    </w:tc>
                    <w:tc>
                      <w:tcPr>
                        <w:tcW w:w="11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0"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46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主要经营业务</w:t>
                        </w:r>
                      </w:p>
                    </w:tc>
                  </w:tr>
                  <w:tr>
                    <w:trPr>
                      <w:trHeight w:val="2587"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314" w:lineRule="auto"/>
                          <w:ind w:left="24" w:right="29"/>
                          <w:jc w:val="left"/>
                          <w:rPr>
                            <w:rFonts w:ascii="宋体" w:hAnsi="宋体" w:cs="宋体" w:eastAsia="宋体" w:hint="default"/>
                            <w:sz w:val="18"/>
                            <w:szCs w:val="18"/>
                          </w:rPr>
                        </w:pPr>
                        <w:r>
                          <w:rPr>
                            <w:rFonts w:ascii="宋体" w:hAnsi="宋体" w:cs="宋体" w:eastAsia="宋体" w:hint="default"/>
                            <w:sz w:val="18"/>
                            <w:szCs w:val="18"/>
                          </w:rPr>
                          <w:t>国家开发投资集团有 限公司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白涛</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1995</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月</w:t>
                        </w:r>
                      </w:p>
                      <w:p>
                        <w:pPr>
                          <w:pStyle w:val="TableParagraph"/>
                          <w:spacing w:line="240" w:lineRule="auto" w:before="6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911100001000</w:t>
                        </w:r>
                      </w:p>
                      <w:p>
                        <w:pPr>
                          <w:pStyle w:val="TableParagraph"/>
                          <w:spacing w:line="240" w:lineRule="auto" w:before="102"/>
                          <w:ind w:left="23" w:right="0"/>
                          <w:jc w:val="left"/>
                          <w:rPr>
                            <w:rFonts w:ascii="Times New Roman" w:hAnsi="Times New Roman" w:cs="Times New Roman" w:eastAsia="Times New Roman" w:hint="default"/>
                            <w:sz w:val="18"/>
                            <w:szCs w:val="18"/>
                          </w:rPr>
                        </w:pPr>
                        <w:r>
                          <w:rPr>
                            <w:rFonts w:ascii="Times New Roman"/>
                            <w:sz w:val="18"/>
                          </w:rPr>
                          <w:t>17643K</w:t>
                        </w:r>
                      </w:p>
                    </w:tc>
                    <w:tc>
                      <w:tcPr>
                        <w:tcW w:w="460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6" w:right="62"/>
                          <w:jc w:val="both"/>
                          <w:rPr>
                            <w:rFonts w:ascii="宋体" w:hAnsi="宋体" w:cs="宋体" w:eastAsia="宋体" w:hint="default"/>
                            <w:sz w:val="18"/>
                            <w:szCs w:val="18"/>
                          </w:rPr>
                        </w:pPr>
                        <w:r>
                          <w:rPr>
                            <w:rFonts w:ascii="宋体" w:hAnsi="宋体" w:cs="宋体" w:eastAsia="宋体" w:hint="default"/>
                            <w:sz w:val="18"/>
                            <w:szCs w:val="18"/>
                          </w:rPr>
                          <w:t>经营国务院授权范围内的国有资产并开展有关投资业务； 能源、交通运输、化肥、高科技产业、金融服务、咨询、 </w:t>
                        </w:r>
                        <w:r>
                          <w:rPr>
                            <w:rFonts w:ascii="宋体" w:hAnsi="宋体" w:cs="宋体" w:eastAsia="宋体" w:hint="default"/>
                            <w:spacing w:val="-2"/>
                            <w:sz w:val="18"/>
                            <w:szCs w:val="18"/>
                          </w:rPr>
                          <w:t>担保、贸易、生物质能源、养老产业、大数据、医疗健康</w:t>
                        </w:r>
                        <w:r>
                          <w:rPr>
                            <w:rFonts w:ascii="宋体" w:hAnsi="宋体" w:cs="宋体" w:eastAsia="宋体" w:hint="default"/>
                            <w:sz w:val="18"/>
                            <w:szCs w:val="18"/>
                          </w:rPr>
                          <w:t> 检验检测等领域的投资及投资管理；资产管理；经济信息 </w:t>
                        </w:r>
                        <w:r>
                          <w:rPr>
                            <w:rFonts w:ascii="宋体" w:hAnsi="宋体" w:cs="宋体" w:eastAsia="宋体" w:hint="default"/>
                            <w:spacing w:val="-9"/>
                            <w:sz w:val="18"/>
                            <w:szCs w:val="18"/>
                          </w:rPr>
                          <w:t>咨询；技术开发、技术服务。（企业依法自主选择经营项目</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开展经营活动；依法须经批准的项目，经相关部门批准后 依批准的内容开展经营活动；不得从事本市产业政策禁止 </w:t>
                        </w:r>
                        <w:r>
                          <w:rPr>
                            <w:rFonts w:ascii="宋体" w:hAnsi="宋体" w:cs="宋体" w:eastAsia="宋体" w:hint="default"/>
                            <w:spacing w:val="-8"/>
                            <w:sz w:val="18"/>
                            <w:szCs w:val="18"/>
                          </w:rPr>
                          <w:t>和限制类项目的经营活动。）</w:t>
                        </w:r>
                      </w:p>
                    </w:tc>
                  </w:tr>
                  <w:tr>
                    <w:trPr>
                      <w:trHeight w:val="1027" w:hRule="exact"/>
                    </w:trPr>
                    <w:tc>
                      <w:tcPr>
                        <w:tcW w:w="168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4" w:right="29"/>
                          <w:jc w:val="both"/>
                          <w:rPr>
                            <w:rFonts w:ascii="宋体" w:hAnsi="宋体" w:cs="宋体" w:eastAsia="宋体" w:hint="default"/>
                            <w:sz w:val="18"/>
                            <w:szCs w:val="18"/>
                          </w:rPr>
                        </w:pPr>
                        <w:r>
                          <w:rPr>
                            <w:rFonts w:ascii="宋体" w:hAnsi="宋体" w:cs="宋体" w:eastAsia="宋体" w:hint="default"/>
                            <w:sz w:val="18"/>
                            <w:szCs w:val="18"/>
                          </w:rPr>
                          <w:t>实际控制人报告期内 控制的其他境内外上 市公司的股权情况</w:t>
                        </w:r>
                      </w:p>
                    </w:tc>
                    <w:tc>
                      <w:tcPr>
                        <w:tcW w:w="7884" w:type="dxa"/>
                        <w:gridSpan w:val="4"/>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3" w:right="105"/>
                          <w:jc w:val="left"/>
                          <w:rPr>
                            <w:rFonts w:ascii="Times New Roman" w:hAnsi="Times New Roman" w:cs="Times New Roman" w:eastAsia="Times New Roman" w:hint="default"/>
                            <w:sz w:val="18"/>
                            <w:szCs w:val="18"/>
                          </w:rPr>
                        </w:pPr>
                        <w:r>
                          <w:rPr>
                            <w:rFonts w:ascii="宋体" w:hAnsi="宋体" w:cs="宋体" w:eastAsia="宋体" w:hint="default"/>
                            <w:sz w:val="18"/>
                            <w:szCs w:val="18"/>
                          </w:rPr>
                          <w:t>实际控制及间接控制境内外其他上市公司共</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家：国投电力（</w:t>
                        </w:r>
                        <w:r>
                          <w:rPr>
                            <w:rFonts w:ascii="Times New Roman" w:hAnsi="Times New Roman" w:cs="Times New Roman" w:eastAsia="Times New Roman" w:hint="default"/>
                            <w:sz w:val="18"/>
                            <w:szCs w:val="18"/>
                          </w:rPr>
                          <w:t>600886</w:t>
                        </w:r>
                        <w:r>
                          <w:rPr>
                            <w:rFonts w:ascii="宋体" w:hAnsi="宋体" w:cs="宋体" w:eastAsia="宋体" w:hint="default"/>
                            <w:sz w:val="18"/>
                            <w:szCs w:val="18"/>
                          </w:rPr>
                          <w:t>）</w:t>
                        </w:r>
                        <w:r>
                          <w:rPr>
                            <w:rFonts w:ascii="Times New Roman" w:hAnsi="Times New Roman" w:cs="Times New Roman" w:eastAsia="Times New Roman" w:hint="default"/>
                            <w:sz w:val="18"/>
                            <w:szCs w:val="18"/>
                          </w:rPr>
                          <w:t>49.18%</w:t>
                        </w:r>
                        <w:r>
                          <w:rPr>
                            <w:rFonts w:ascii="宋体" w:hAnsi="宋体" w:cs="宋体" w:eastAsia="宋体" w:hint="default"/>
                            <w:sz w:val="18"/>
                            <w:szCs w:val="18"/>
                          </w:rPr>
                          <w:t>、中成股份（</w:t>
                        </w:r>
                        <w:r>
                          <w:rPr>
                            <w:rFonts w:ascii="Times New Roman" w:hAnsi="Times New Roman" w:cs="Times New Roman" w:eastAsia="Times New Roman" w:hint="default"/>
                            <w:sz w:val="18"/>
                            <w:szCs w:val="18"/>
                          </w:rPr>
                          <w:t>000151</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pacing w:val="-10"/>
                            <w:sz w:val="18"/>
                            <w:szCs w:val="18"/>
                          </w:rPr>
                          <w:t>45.80%</w:t>
                        </w:r>
                        <w:r>
                          <w:rPr>
                            <w:rFonts w:ascii="宋体" w:hAnsi="宋体" w:cs="宋体" w:eastAsia="宋体" w:hint="default"/>
                            <w:spacing w:val="-10"/>
                            <w:sz w:val="18"/>
                            <w:szCs w:val="18"/>
                          </w:rPr>
                          <w:t>，国投资本（</w:t>
                        </w:r>
                        <w:r>
                          <w:rPr>
                            <w:rFonts w:ascii="Times New Roman" w:hAnsi="Times New Roman" w:cs="Times New Roman" w:eastAsia="Times New Roman" w:hint="default"/>
                            <w:spacing w:val="-10"/>
                            <w:sz w:val="18"/>
                            <w:szCs w:val="18"/>
                          </w:rPr>
                          <w:t>600061</w:t>
                        </w:r>
                        <w:r>
                          <w:rPr>
                            <w:rFonts w:ascii="宋体" w:hAnsi="宋体" w:cs="宋体" w:eastAsia="宋体" w:hint="default"/>
                            <w:spacing w:val="-10"/>
                            <w:sz w:val="18"/>
                            <w:szCs w:val="18"/>
                          </w:rPr>
                          <w:t>）（穿透合并持股）</w:t>
                        </w:r>
                        <w:r>
                          <w:rPr>
                            <w:rFonts w:ascii="Times New Roman" w:hAnsi="Times New Roman" w:cs="Times New Roman" w:eastAsia="Times New Roman" w:hint="default"/>
                            <w:spacing w:val="-10"/>
                            <w:sz w:val="18"/>
                            <w:szCs w:val="18"/>
                          </w:rPr>
                          <w:t>45.79%</w:t>
                        </w:r>
                        <w:r>
                          <w:rPr>
                            <w:rFonts w:ascii="宋体" w:hAnsi="宋体" w:cs="宋体" w:eastAsia="宋体" w:hint="default"/>
                            <w:spacing w:val="-10"/>
                            <w:sz w:val="18"/>
                            <w:szCs w:val="18"/>
                          </w:rPr>
                          <w:t>、国投中鲁（</w:t>
                        </w:r>
                        <w:r>
                          <w:rPr>
                            <w:rFonts w:ascii="Times New Roman" w:hAnsi="Times New Roman" w:cs="Times New Roman" w:eastAsia="Times New Roman" w:hint="default"/>
                            <w:spacing w:val="-10"/>
                            <w:sz w:val="18"/>
                            <w:szCs w:val="18"/>
                          </w:rPr>
                          <w:t>600962</w:t>
                        </w:r>
                        <w:r>
                          <w:rPr>
                            <w:rFonts w:ascii="宋体" w:hAnsi="宋体" w:cs="宋体" w:eastAsia="宋体" w:hint="default"/>
                            <w:spacing w:val="-10"/>
                            <w:sz w:val="18"/>
                            <w:szCs w:val="18"/>
                          </w:rPr>
                          <w:t>）</w:t>
                        </w:r>
                        <w:r>
                          <w:rPr>
                            <w:rFonts w:ascii="Times New Roman" w:hAnsi="Times New Roman" w:cs="Times New Roman" w:eastAsia="Times New Roman" w:hint="default"/>
                            <w:spacing w:val="-10"/>
                            <w:sz w:val="18"/>
                            <w:szCs w:val="18"/>
                          </w:rPr>
                          <w:t>44.57%</w:t>
                        </w:r>
                        <w:r>
                          <w:rPr>
                            <w:rFonts w:ascii="宋体" w:hAnsi="宋体" w:cs="宋体" w:eastAsia="宋体" w:hint="default"/>
                            <w:spacing w:val="-10"/>
                            <w:sz w:val="18"/>
                            <w:szCs w:val="18"/>
                          </w:rPr>
                          <w:t>、神州高铁（</w:t>
                        </w:r>
                        <w:r>
                          <w:rPr>
                            <w:rFonts w:ascii="Times New Roman" w:hAnsi="Times New Roman" w:cs="Times New Roman" w:eastAsia="Times New Roman" w:hint="default"/>
                            <w:spacing w:val="-10"/>
                            <w:sz w:val="18"/>
                            <w:szCs w:val="18"/>
                          </w:rPr>
                          <w:t>000008</w:t>
                        </w:r>
                      </w:p>
                      <w:p>
                        <w:pPr>
                          <w:pStyle w:val="TableParagraph"/>
                          <w:spacing w:line="240" w:lineRule="auto" w:before="1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宋体" w:hAnsi="宋体" w:cs="宋体" w:eastAsia="宋体" w:hint="default"/>
                            <w:sz w:val="18"/>
                            <w:szCs w:val="18"/>
                          </w:rPr>
                          <w:t>、华联国际（</w:t>
                        </w:r>
                        <w:r>
                          <w:rPr>
                            <w:rFonts w:ascii="Times New Roman" w:hAnsi="Times New Roman" w:cs="Times New Roman" w:eastAsia="Times New Roman" w:hint="default"/>
                            <w:sz w:val="18"/>
                            <w:szCs w:val="18"/>
                          </w:rPr>
                          <w:t>0969.HK)50.2%</w:t>
                        </w:r>
                        <w:r>
                          <w:rPr>
                            <w:rFonts w:ascii="宋体" w:hAnsi="宋体" w:cs="宋体" w:eastAsia="宋体" w:hint="default"/>
                            <w:sz w:val="18"/>
                            <w:szCs w:val="18"/>
                          </w:rPr>
                          <w:t>、中新果业（</w:t>
                        </w:r>
                        <w:r>
                          <w:rPr>
                            <w:rFonts w:ascii="Times New Roman" w:hAnsi="Times New Roman" w:cs="Times New Roman" w:eastAsia="Times New Roman" w:hint="default"/>
                            <w:sz w:val="18"/>
                            <w:szCs w:val="18"/>
                          </w:rPr>
                          <w:t>5EG</w:t>
                        </w:r>
                        <w:r>
                          <w:rPr>
                            <w:rFonts w:ascii="宋体" w:hAnsi="宋体" w:cs="宋体" w:eastAsia="宋体" w:hint="default"/>
                            <w:sz w:val="18"/>
                            <w:szCs w:val="18"/>
                          </w:rPr>
                          <w:t>）</w:t>
                        </w:r>
                        <w:r>
                          <w:rPr>
                            <w:rFonts w:ascii="Times New Roman" w:hAnsi="Times New Roman" w:cs="Times New Roman" w:eastAsia="Times New Roman" w:hint="default"/>
                            <w:sz w:val="18"/>
                            <w:szCs w:val="18"/>
                          </w:rPr>
                          <w:t>53.11%</w:t>
                        </w:r>
                        <w:r>
                          <w:rPr>
                            <w:rFonts w:ascii="宋体" w:hAnsi="宋体" w:cs="宋体" w:eastAsia="宋体" w:hint="default"/>
                            <w:sz w:val="18"/>
                            <w:szCs w:val="18"/>
                          </w:rPr>
                          <w:t>、亚普股份（</w:t>
                        </w:r>
                        <w:r>
                          <w:rPr>
                            <w:rFonts w:ascii="Times New Roman" w:hAnsi="Times New Roman" w:cs="Times New Roman" w:eastAsia="Times New Roman" w:hint="default"/>
                            <w:sz w:val="18"/>
                            <w:szCs w:val="18"/>
                          </w:rPr>
                          <w:t>603013</w:t>
                        </w:r>
                        <w:r>
                          <w:rPr>
                            <w:rFonts w:ascii="宋体" w:hAnsi="宋体" w:cs="宋体" w:eastAsia="宋体" w:hint="default"/>
                            <w:sz w:val="18"/>
                            <w:szCs w:val="18"/>
                          </w:rPr>
                          <w:t>）</w:t>
                        </w:r>
                        <w:r>
                          <w:rPr>
                            <w:rFonts w:ascii="Times New Roman" w:hAnsi="Times New Roman" w:cs="Times New Roman" w:eastAsia="Times New Roman" w:hint="default"/>
                            <w:sz w:val="18"/>
                            <w:szCs w:val="18"/>
                          </w:rPr>
                          <w:t>49.50%</w:t>
                        </w:r>
                        <w:r>
                          <w:rPr>
                            <w:rFonts w:ascii="宋体" w:hAnsi="宋体" w:cs="宋体" w:eastAsia="宋体" w:hint="default"/>
                            <w:sz w:val="18"/>
                            <w:szCs w:val="18"/>
                          </w:rPr>
                          <w:t>。</w:t>
                        </w:r>
                      </w:p>
                    </w:tc>
                  </w:tr>
                </w:tbl>
                <w:p>
                  <w:pPr/>
                </w:p>
              </w:txbxContent>
            </v:textbox>
            <w10:wrap type="none"/>
          </v:shape>
        </w:pict>
      </w:r>
      <w:r>
        <w:rPr>
          <w:rFonts w:ascii="宋体" w:hAnsi="宋体" w:cs="宋体" w:eastAsia="宋体" w:hint="default"/>
          <w:sz w:val="18"/>
          <w:szCs w:val="18"/>
        </w:rPr>
        <w:t>、</w:t>
      </w:r>
    </w:p>
    <w:p>
      <w:pPr>
        <w:spacing w:line="240" w:lineRule="auto" w:before="4"/>
        <w:rPr>
          <w:rFonts w:ascii="宋体" w:hAnsi="宋体" w:cs="宋体" w:eastAsia="宋体" w:hint="default"/>
          <w:sz w:val="26"/>
          <w:szCs w:val="26"/>
        </w:rPr>
      </w:pPr>
    </w:p>
    <w:p>
      <w:pPr>
        <w:spacing w:before="44"/>
        <w:ind w:left="0" w:right="1140"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p>
      <w:pPr>
        <w:spacing w:before="44"/>
        <w:ind w:left="0" w:right="1135" w:firstLine="0"/>
        <w:jc w:val="right"/>
        <w:rPr>
          <w:rFonts w:ascii="宋体" w:hAnsi="宋体" w:cs="宋体" w:eastAsia="宋体" w:hint="default"/>
          <w:sz w:val="18"/>
          <w:szCs w:val="18"/>
        </w:rPr>
      </w:pPr>
      <w:r>
        <w:rPr>
          <w:rFonts w:ascii="宋体" w:hAnsi="宋体" w:cs="宋体" w:eastAsia="宋体" w:hint="default"/>
          <w:sz w:val="18"/>
          <w:szCs w:val="18"/>
        </w:rPr>
        <w:t>）</w:t>
      </w:r>
    </w:p>
    <w:p>
      <w:pPr>
        <w:spacing w:before="76"/>
        <w:ind w:left="0" w:right="1138"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实际控制人报告期内变更</w:t>
      </w:r>
    </w:p>
    <w:p>
      <w:pPr>
        <w:spacing w:before="115"/>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782"/>
        <w:gridCol w:w="4786"/>
      </w:tblGrid>
      <w:tr>
        <w:trPr>
          <w:trHeight w:val="401" w:hRule="exact"/>
        </w:trPr>
        <w:tc>
          <w:tcPr>
            <w:tcW w:w="478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新实际控制人名称</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国家开发投资集团有限公司</w:t>
            </w:r>
          </w:p>
        </w:tc>
      </w:tr>
      <w:tr>
        <w:trPr>
          <w:trHeight w:val="403" w:hRule="exact"/>
        </w:trPr>
        <w:tc>
          <w:tcPr>
            <w:tcW w:w="478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变更日期</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 </w:t>
            </w:r>
            <w:r>
              <w:rPr>
                <w:rFonts w:ascii="宋体" w:hAnsi="宋体" w:cs="宋体" w:eastAsia="宋体" w:hint="default"/>
                <w:sz w:val="18"/>
                <w:szCs w:val="18"/>
              </w:rPr>
              <w:t>日</w:t>
            </w:r>
          </w:p>
        </w:tc>
      </w:tr>
      <w:tr>
        <w:trPr>
          <w:trHeight w:val="713" w:hRule="exact"/>
        </w:trPr>
        <w:tc>
          <w:tcPr>
            <w:tcW w:w="478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指定网站查询索引</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49"/>
              <w:ind w:left="23" w:right="19"/>
              <w:jc w:val="left"/>
              <w:rPr>
                <w:rFonts w:ascii="Times New Roman" w:hAnsi="Times New Roman" w:cs="Times New Roman" w:eastAsia="Times New Roman" w:hint="default"/>
                <w:sz w:val="18"/>
                <w:szCs w:val="18"/>
              </w:rPr>
            </w:pPr>
            <w:hyperlink r:id="rId11">
              <w:r>
                <w:rPr>
                  <w:rFonts w:ascii="Times New Roman" w:hAnsi="Times New Roman" w:cs="Times New Roman" w:eastAsia="Times New Roman" w:hint="default"/>
                  <w:spacing w:val="-1"/>
                  <w:sz w:val="18"/>
                  <w:szCs w:val="18"/>
                </w:rPr>
                <w:t>www.cninfo.com.cn,</w:t>
              </w:r>
            </w:hyperlink>
            <w:r>
              <w:rPr>
                <w:rFonts w:ascii="宋体" w:hAnsi="宋体" w:cs="宋体" w:eastAsia="宋体" w:hint="default"/>
                <w:spacing w:val="-1"/>
                <w:sz w:val="18"/>
                <w:szCs w:val="18"/>
              </w:rPr>
              <w:t>《关于股东协议转让股份完成过户登记暨</w:t>
            </w:r>
            <w:r>
              <w:rPr>
                <w:rFonts w:ascii="宋体" w:hAnsi="宋体" w:cs="宋体" w:eastAsia="宋体" w:hint="default"/>
                <w:spacing w:val="-84"/>
                <w:sz w:val="18"/>
                <w:szCs w:val="18"/>
              </w:rPr>
              <w:t> </w:t>
            </w:r>
            <w:r>
              <w:rPr>
                <w:rFonts w:ascii="宋体" w:hAnsi="宋体" w:cs="宋体" w:eastAsia="宋体" w:hint="default"/>
                <w:spacing w:val="-1"/>
                <w:sz w:val="18"/>
                <w:szCs w:val="18"/>
              </w:rPr>
              <w:t>公司控股股东、实际控制人完成变更的公告》编号：</w:t>
            </w:r>
            <w:r>
              <w:rPr>
                <w:rFonts w:ascii="Times New Roman" w:hAnsi="Times New Roman" w:cs="Times New Roman" w:eastAsia="Times New Roman" w:hint="default"/>
                <w:spacing w:val="-1"/>
                <w:sz w:val="18"/>
                <w:szCs w:val="18"/>
              </w:rPr>
              <w:t>2019-58</w:t>
            </w:r>
            <w:r>
              <w:rPr>
                <w:rFonts w:ascii="Times New Roman" w:hAnsi="Times New Roman" w:cs="Times New Roman" w:eastAsia="Times New Roman" w:hint="default"/>
                <w:sz w:val="18"/>
                <w:szCs w:val="18"/>
              </w:rPr>
            </w:r>
          </w:p>
        </w:tc>
      </w:tr>
      <w:tr>
        <w:trPr>
          <w:trHeight w:val="403" w:hRule="exact"/>
        </w:trPr>
        <w:tc>
          <w:tcPr>
            <w:tcW w:w="478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指定网站披露日期</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日</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公司与实际控制人之间的产权及控制关系的方框图</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0"/>
          <w:szCs w:val="10"/>
        </w:rPr>
      </w:pPr>
    </w:p>
    <w:p>
      <w:pPr>
        <w:spacing w:line="3780" w:lineRule="exact"/>
        <w:ind w:left="2535" w:right="0" w:firstLine="0"/>
        <w:rPr>
          <w:rFonts w:ascii="宋体" w:hAnsi="宋体" w:cs="宋体" w:eastAsia="宋体" w:hint="default"/>
          <w:sz w:val="20"/>
          <w:szCs w:val="20"/>
        </w:rPr>
      </w:pPr>
      <w:r>
        <w:rPr>
          <w:rFonts w:ascii="宋体" w:hAnsi="宋体" w:cs="宋体" w:eastAsia="宋体" w:hint="default"/>
          <w:position w:val="-75"/>
          <w:sz w:val="20"/>
          <w:szCs w:val="20"/>
        </w:rPr>
        <w:drawing>
          <wp:inline distT="0" distB="0" distL="0" distR="0">
            <wp:extent cx="3095440" cy="2400300"/>
            <wp:effectExtent l="0" t="0" r="0" b="0"/>
            <wp:docPr id="15" name="image12.png" descr="?"/>
            <wp:cNvGraphicFramePr>
              <a:graphicFrameLocks noChangeAspect="1"/>
            </wp:cNvGraphicFramePr>
            <a:graphic>
              <a:graphicData uri="http://schemas.openxmlformats.org/drawingml/2006/picture">
                <pic:pic>
                  <pic:nvPicPr>
                    <pic:cNvPr id="16" name="image12.png"/>
                    <pic:cNvPicPr/>
                  </pic:nvPicPr>
                  <pic:blipFill>
                    <a:blip r:embed="rId23" cstate="print"/>
                    <a:stretch>
                      <a:fillRect/>
                    </a:stretch>
                  </pic:blipFill>
                  <pic:spPr>
                    <a:xfrm>
                      <a:off x="0" y="0"/>
                      <a:ext cx="3095440" cy="2400300"/>
                    </a:xfrm>
                    <a:prstGeom prst="rect">
                      <a:avLst/>
                    </a:prstGeom>
                  </pic:spPr>
                </pic:pic>
              </a:graphicData>
            </a:graphic>
          </wp:inline>
        </w:drawing>
      </w:r>
      <w:r>
        <w:rPr>
          <w:rFonts w:ascii="宋体" w:hAnsi="宋体" w:cs="宋体" w:eastAsia="宋体" w:hint="default"/>
          <w:position w:val="-75"/>
          <w:sz w:val="20"/>
          <w:szCs w:val="20"/>
        </w:rPr>
      </w:r>
    </w:p>
    <w:p>
      <w:pPr>
        <w:spacing w:line="240" w:lineRule="auto" w:before="13"/>
        <w:rPr>
          <w:rFonts w:ascii="宋体" w:hAnsi="宋体" w:cs="宋体" w:eastAsia="宋体" w:hint="default"/>
          <w:sz w:val="22"/>
          <w:szCs w:val="22"/>
        </w:rPr>
      </w:pPr>
    </w:p>
    <w:p>
      <w:pPr>
        <w:pStyle w:val="Heading3"/>
        <w:spacing w:line="240" w:lineRule="auto"/>
        <w:ind w:left="152" w:right="986"/>
        <w:jc w:val="left"/>
      </w:pPr>
      <w:r>
        <w:rPr/>
        <w:t>实际控制人通过信托或其他资产管理方式控制公司</w:t>
      </w:r>
    </w:p>
    <w:p>
      <w:pPr>
        <w:spacing w:line="240" w:lineRule="auto" w:before="8"/>
        <w:rPr>
          <w:rFonts w:ascii="宋体" w:hAnsi="宋体" w:cs="宋体" w:eastAsia="宋体" w:hint="default"/>
          <w:sz w:val="18"/>
          <w:szCs w:val="18"/>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6"/>
          <w:szCs w:val="26"/>
        </w:rPr>
      </w:pPr>
    </w:p>
    <w:p>
      <w:pPr>
        <w:pStyle w:val="Heading4"/>
        <w:spacing w:line="240" w:lineRule="auto"/>
        <w:ind w:right="986"/>
        <w:jc w:val="left"/>
        <w:rPr>
          <w:b w:val="0"/>
          <w:bCs w:val="0"/>
        </w:rPr>
      </w:pPr>
      <w:bookmarkStart w:name="4、其他持股在10%以上的法人股东" w:id="117"/>
      <w:bookmarkEnd w:id="117"/>
      <w:r>
        <w:rPr>
          <w:b w:val="0"/>
          <w:bCs w:val="0"/>
        </w:rPr>
      </w:r>
      <w:r>
        <w:rPr>
          <w:rFonts w:ascii="Times New Roman" w:hAnsi="Times New Roman" w:cs="Times New Roman" w:eastAsia="Times New Roman" w:hint="default"/>
        </w:rPr>
        <w:t>4</w:t>
      </w:r>
      <w:r>
        <w:rPr/>
        <w:t>、其他持股在</w:t>
      </w:r>
      <w:r>
        <w:rPr>
          <w:spacing w:val="-53"/>
        </w:rPr>
        <w:t> </w:t>
      </w:r>
      <w:r>
        <w:rPr>
          <w:rFonts w:ascii="Times New Roman" w:hAnsi="Times New Roman" w:cs="Times New Roman" w:eastAsia="Times New Roman" w:hint="default"/>
        </w:rPr>
        <w:t>10%</w:t>
      </w:r>
      <w:r>
        <w:rPr/>
        <w:t>以上的法人股东</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5、控股股东、实际控制人、重组方及其他承诺主体股份限制减持情况" w:id="118"/>
      <w:bookmarkEnd w:id="118"/>
      <w:r>
        <w:rPr>
          <w:b w:val="0"/>
          <w:bCs w:val="0"/>
        </w:rPr>
      </w: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pStyle w:val="BodyText"/>
        <w:spacing w:line="240" w:lineRule="auto" w:before="157"/>
        <w:ind w:left="678" w:right="986"/>
        <w:jc w:val="left"/>
      </w:pPr>
      <w:r>
        <w:rPr>
          <w:rFonts w:ascii="宋体" w:hAnsi="宋体" w:cs="宋体" w:eastAsia="宋体" w:hint="default"/>
        </w:rPr>
        <w:t>1</w:t>
      </w:r>
      <w:r>
        <w:rPr/>
        <w:t>、重组方江苏税软交易对方的锁定期安排</w:t>
      </w:r>
    </w:p>
    <w:p>
      <w:pPr>
        <w:spacing w:line="240" w:lineRule="auto" w:before="10"/>
        <w:rPr>
          <w:rFonts w:ascii="宋体" w:hAnsi="宋体" w:cs="宋体" w:eastAsia="宋体" w:hint="default"/>
          <w:sz w:val="14"/>
          <w:szCs w:val="14"/>
        </w:rPr>
      </w:pPr>
    </w:p>
    <w:p>
      <w:pPr>
        <w:pStyle w:val="BodyText"/>
        <w:spacing w:line="408" w:lineRule="auto" w:before="0"/>
        <w:ind w:right="1128" w:firstLine="314"/>
        <w:jc w:val="both"/>
      </w:pPr>
      <w:r>
        <w:rPr>
          <w:spacing w:val="-2"/>
        </w:rPr>
        <w:t>（</w:t>
      </w:r>
      <w:r>
        <w:rPr>
          <w:rFonts w:ascii="宋体" w:hAnsi="宋体" w:cs="宋体" w:eastAsia="宋体" w:hint="default"/>
          <w:spacing w:val="-2"/>
        </w:rPr>
        <w:t>1</w:t>
      </w:r>
      <w:r>
        <w:rPr>
          <w:spacing w:val="-2"/>
        </w:rPr>
        <w:t>）江苏税软交易对方通过本次交易获得的美亚柏科股份自上市公司向江苏税软交易对方发行股份完</w:t>
      </w:r>
      <w:r>
        <w:rPr>
          <w:w w:val="100"/>
        </w:rPr>
        <w:t> </w:t>
      </w:r>
      <w:r>
        <w:rPr/>
        <w:t>成之日起</w:t>
      </w:r>
      <w:r>
        <w:rPr>
          <w:rFonts w:ascii="宋体" w:hAnsi="宋体" w:cs="宋体" w:eastAsia="宋体" w:hint="default"/>
        </w:rPr>
        <w:t>12</w:t>
      </w:r>
      <w:r>
        <w:rPr/>
        <w:t>个月内不得转让；自该等法定限售期届满之日起，应当按照如下方式进行股份解锁：</w:t>
      </w:r>
    </w:p>
    <w:p>
      <w:pPr>
        <w:pStyle w:val="BodyText"/>
        <w:spacing w:line="408" w:lineRule="auto"/>
        <w:ind w:right="986" w:firstLine="420"/>
        <w:jc w:val="left"/>
      </w:pPr>
      <w:r>
        <w:rPr>
          <w:rFonts w:ascii="宋体" w:hAnsi="宋体" w:cs="宋体" w:eastAsia="宋体" w:hint="default"/>
          <w:spacing w:val="-2"/>
        </w:rPr>
        <w:t>a</w:t>
      </w:r>
      <w:r>
        <w:rPr>
          <w:spacing w:val="-2"/>
        </w:rPr>
        <w:t>）自上市公司向江苏税软交易对方发行股份完成之日起</w:t>
      </w:r>
      <w:r>
        <w:rPr>
          <w:rFonts w:ascii="宋体" w:hAnsi="宋体" w:cs="宋体" w:eastAsia="宋体" w:hint="default"/>
          <w:spacing w:val="-2"/>
        </w:rPr>
        <w:t>12</w:t>
      </w:r>
      <w:r>
        <w:rPr>
          <w:spacing w:val="-2"/>
        </w:rPr>
        <w:t>个月后至</w:t>
      </w:r>
      <w:r>
        <w:rPr>
          <w:rFonts w:ascii="宋体" w:hAnsi="宋体" w:cs="宋体" w:eastAsia="宋体" w:hint="default"/>
          <w:spacing w:val="-2"/>
        </w:rPr>
        <w:t>24</w:t>
      </w:r>
      <w:r>
        <w:rPr>
          <w:spacing w:val="-2"/>
        </w:rPr>
        <w:t>个月内，累计可转让股票数量</w:t>
      </w:r>
      <w:r>
        <w:rPr>
          <w:spacing w:val="-3"/>
          <w:w w:val="100"/>
        </w:rPr>
        <w:t> </w:t>
      </w:r>
      <w:r>
        <w:rPr/>
        <w:t>不超过其在本次发行中所认购股份总数的</w:t>
      </w:r>
      <w:r>
        <w:rPr>
          <w:rFonts w:ascii="宋体" w:hAnsi="宋体" w:cs="宋体" w:eastAsia="宋体" w:hint="default"/>
        </w:rPr>
        <w:t>25%</w:t>
      </w:r>
      <w:r>
        <w:rPr/>
        <w:t>；</w:t>
      </w:r>
    </w:p>
    <w:p>
      <w:pPr>
        <w:pStyle w:val="BodyText"/>
        <w:spacing w:line="408" w:lineRule="auto"/>
        <w:ind w:right="986" w:firstLine="420"/>
        <w:jc w:val="left"/>
      </w:pPr>
      <w:r>
        <w:rPr>
          <w:rFonts w:ascii="宋体" w:hAnsi="宋体" w:cs="宋体" w:eastAsia="宋体" w:hint="default"/>
          <w:spacing w:val="-2"/>
        </w:rPr>
        <w:t>b</w:t>
      </w:r>
      <w:r>
        <w:rPr>
          <w:spacing w:val="-2"/>
        </w:rPr>
        <w:t>）自上市公司向江苏税软交易对方发行股份完成之日起</w:t>
      </w:r>
      <w:r>
        <w:rPr>
          <w:rFonts w:ascii="宋体" w:hAnsi="宋体" w:cs="宋体" w:eastAsia="宋体" w:hint="default"/>
          <w:spacing w:val="-2"/>
        </w:rPr>
        <w:t>12</w:t>
      </w:r>
      <w:r>
        <w:rPr>
          <w:spacing w:val="-2"/>
        </w:rPr>
        <w:t>个月后至</w:t>
      </w:r>
      <w:r>
        <w:rPr>
          <w:rFonts w:ascii="宋体" w:hAnsi="宋体" w:cs="宋体" w:eastAsia="宋体" w:hint="default"/>
          <w:spacing w:val="-2"/>
        </w:rPr>
        <w:t>36</w:t>
      </w:r>
      <w:r>
        <w:rPr>
          <w:spacing w:val="-2"/>
        </w:rPr>
        <w:t>个月内，累计可转让股票数量</w:t>
      </w:r>
      <w:r>
        <w:rPr>
          <w:spacing w:val="-3"/>
          <w:w w:val="100"/>
        </w:rPr>
        <w:t> </w:t>
      </w:r>
      <w:r>
        <w:rPr/>
        <w:t>不超过其在本次发行中所认购股份总数的</w:t>
      </w:r>
      <w:r>
        <w:rPr>
          <w:rFonts w:ascii="宋体" w:hAnsi="宋体" w:cs="宋体" w:eastAsia="宋体" w:hint="default"/>
        </w:rPr>
        <w:t>50%</w:t>
      </w:r>
      <w:r>
        <w:rPr/>
        <w:t>；</w:t>
      </w:r>
    </w:p>
    <w:p>
      <w:pPr>
        <w:pStyle w:val="BodyText"/>
        <w:spacing w:line="408" w:lineRule="auto"/>
        <w:ind w:left="153" w:right="986" w:firstLine="419"/>
        <w:jc w:val="left"/>
      </w:pPr>
      <w:r>
        <w:rPr>
          <w:rFonts w:ascii="宋体" w:hAnsi="宋体" w:cs="宋体" w:eastAsia="宋体" w:hint="default"/>
          <w:spacing w:val="-2"/>
        </w:rPr>
        <w:t>c</w:t>
      </w:r>
      <w:r>
        <w:rPr>
          <w:spacing w:val="-2"/>
        </w:rPr>
        <w:t>）自上市公司向江苏税软交易对方发行股份完成之日起</w:t>
      </w:r>
      <w:r>
        <w:rPr>
          <w:rFonts w:ascii="宋体" w:hAnsi="宋体" w:cs="宋体" w:eastAsia="宋体" w:hint="default"/>
          <w:spacing w:val="-2"/>
        </w:rPr>
        <w:t>36</w:t>
      </w:r>
      <w:r>
        <w:rPr>
          <w:spacing w:val="-2"/>
        </w:rPr>
        <w:t>个月后，可自由转让其在本次发行中所认</w:t>
      </w:r>
      <w:r>
        <w:rPr>
          <w:w w:val="100"/>
        </w:rPr>
        <w:t> </w:t>
      </w:r>
      <w:r>
        <w:rPr/>
        <w:t>购的全部股份。</w:t>
      </w:r>
    </w:p>
    <w:p>
      <w:pPr>
        <w:pStyle w:val="BodyText"/>
        <w:spacing w:line="408" w:lineRule="auto"/>
        <w:ind w:left="153" w:right="1129" w:firstLine="314"/>
        <w:jc w:val="both"/>
      </w:pPr>
      <w:r>
        <w:rPr>
          <w:spacing w:val="-2"/>
        </w:rPr>
        <w:t>（</w:t>
      </w:r>
      <w:r>
        <w:rPr>
          <w:rFonts w:ascii="宋体" w:hAnsi="宋体" w:cs="宋体" w:eastAsia="宋体" w:hint="default"/>
          <w:spacing w:val="-2"/>
        </w:rPr>
        <w:t>2</w:t>
      </w:r>
      <w:r>
        <w:rPr>
          <w:spacing w:val="-2"/>
        </w:rPr>
        <w:t>）实际解锁股份数须扣除因盈利预测补偿而需由美亚柏科回购的股份数（若有）。本次交易实施完</w:t>
      </w:r>
      <w:r>
        <w:rPr>
          <w:w w:val="100"/>
        </w:rPr>
        <w:t> </w:t>
      </w:r>
      <w:r>
        <w:rPr>
          <w:spacing w:val="-2"/>
        </w:rPr>
        <w:t>成后，江苏税软交易对方由于美亚柏科配股、转增股本等原因增持的美亚柏科股份，亦应遵守上述股份锁</w:t>
      </w:r>
      <w:r>
        <w:rPr>
          <w:spacing w:val="-43"/>
        </w:rPr>
        <w:t> </w:t>
      </w:r>
      <w:r>
        <w:rPr>
          <w:spacing w:val="-43"/>
        </w:rPr>
      </w:r>
      <w:r>
        <w:rPr/>
        <w:t>定的规定。</w:t>
      </w:r>
    </w:p>
    <w:p>
      <w:pPr>
        <w:pStyle w:val="BodyText"/>
        <w:spacing w:line="408" w:lineRule="auto"/>
        <w:ind w:right="1128" w:firstLine="314"/>
        <w:jc w:val="both"/>
      </w:pPr>
      <w:r>
        <w:rPr>
          <w:spacing w:val="-2"/>
        </w:rPr>
        <w:t>（</w:t>
      </w:r>
      <w:r>
        <w:rPr>
          <w:rFonts w:ascii="宋体" w:hAnsi="宋体" w:cs="宋体" w:eastAsia="宋体" w:hint="default"/>
          <w:spacing w:val="-2"/>
        </w:rPr>
        <w:t>3</w:t>
      </w:r>
      <w:r>
        <w:rPr>
          <w:spacing w:val="-2"/>
        </w:rPr>
        <w:t>）任一江苏税软交易对方如在本次交易完成后担任美亚柏科董事、监事或高级管理人员的，还需遵</w:t>
      </w:r>
      <w:r>
        <w:rPr>
          <w:w w:val="100"/>
        </w:rPr>
        <w:t> </w:t>
      </w:r>
      <w:r>
        <w:rPr>
          <w:spacing w:val="-2"/>
        </w:rPr>
        <w:t>守上市公司章程以及《中华人民共和国公司法》、《中华人民共和国证券法》、《深圳证券交易所创业板</w:t>
      </w:r>
      <w:r>
        <w:rPr>
          <w:spacing w:val="-46"/>
        </w:rPr>
        <w:t> </w:t>
      </w:r>
      <w:r>
        <w:rPr>
          <w:spacing w:val="-46"/>
        </w:rPr>
      </w:r>
      <w:r>
        <w:rPr>
          <w:spacing w:val="-2"/>
        </w:rPr>
        <w:t>股票上市规则》等法律、法规、规章、规范性文件有关股份有限公司及上市公司董事、监事、高级管理人</w:t>
      </w:r>
      <w:r>
        <w:rPr>
          <w:spacing w:val="-42"/>
        </w:rPr>
        <w:t> </w:t>
      </w:r>
      <w:r>
        <w:rPr>
          <w:spacing w:val="-42"/>
        </w:rPr>
      </w:r>
      <w:r>
        <w:rPr/>
        <w:t>员买卖公司股票的限制性规定。</w:t>
      </w:r>
    </w:p>
    <w:p>
      <w:pPr>
        <w:pStyle w:val="BodyText"/>
        <w:spacing w:line="408" w:lineRule="auto"/>
        <w:ind w:right="986" w:firstLine="314"/>
        <w:jc w:val="left"/>
      </w:pPr>
      <w:r>
        <w:rPr>
          <w:spacing w:val="-2"/>
        </w:rPr>
        <w:t>（</w:t>
      </w:r>
      <w:r>
        <w:rPr>
          <w:rFonts w:ascii="宋体" w:hAnsi="宋体" w:cs="宋体" w:eastAsia="宋体" w:hint="default"/>
          <w:spacing w:val="-2"/>
        </w:rPr>
        <w:t>4</w:t>
      </w:r>
      <w:r>
        <w:rPr>
          <w:spacing w:val="-2"/>
        </w:rPr>
        <w:t>）任一江苏税软交易对方，如其取得本次发行中所认购股份时，对其用于认购公司股份的资产持续</w:t>
      </w:r>
      <w:r>
        <w:rPr>
          <w:spacing w:val="-3"/>
          <w:w w:val="100"/>
        </w:rPr>
        <w:t> </w:t>
      </w:r>
      <w:r>
        <w:rPr/>
        <w:t>拥有权益的时间不足</w:t>
      </w:r>
      <w:r>
        <w:rPr>
          <w:rFonts w:ascii="宋体" w:hAnsi="宋体" w:cs="宋体" w:eastAsia="宋体" w:hint="default"/>
        </w:rPr>
        <w:t>12</w:t>
      </w:r>
      <w:r>
        <w:rPr/>
        <w:t>个月，则其因本次交易获得的上市公司股份从本次发行完成日起</w:t>
      </w:r>
      <w:r>
        <w:rPr>
          <w:rFonts w:ascii="宋体" w:hAnsi="宋体" w:cs="宋体" w:eastAsia="宋体" w:hint="default"/>
        </w:rPr>
        <w:t>36</w:t>
      </w:r>
      <w:r>
        <w:rPr/>
        <w:t>个月内不得转</w:t>
      </w:r>
      <w:r>
        <w:rPr>
          <w:spacing w:val="-3"/>
          <w:w w:val="100"/>
        </w:rPr>
        <w:t> </w:t>
      </w:r>
      <w:r>
        <w:rPr>
          <w:spacing w:val="-2"/>
        </w:rPr>
        <w:t>让。上述所谓“持续拥有权益的时间”应为自该江苏税软交易对方取得该等江苏税软股权之日（以江苏税</w:t>
      </w:r>
      <w:r>
        <w:rPr>
          <w:spacing w:val="-43"/>
        </w:rPr>
        <w:t> </w:t>
      </w:r>
      <w:r>
        <w:rPr>
          <w:spacing w:val="-43"/>
        </w:rPr>
      </w:r>
      <w:r>
        <w:rPr>
          <w:spacing w:val="-2"/>
        </w:rPr>
        <w:t>软就该等交易办理完毕工商变更登记之日为准）起，至股份登记机构将本次交易中所发行的对价股份登记</w:t>
      </w:r>
      <w:r>
        <w:rPr>
          <w:spacing w:val="-42"/>
        </w:rPr>
        <w:t> </w:t>
      </w:r>
      <w:r>
        <w:rPr>
          <w:spacing w:val="-42"/>
        </w:rPr>
      </w:r>
      <w:r>
        <w:rPr/>
        <w:t>于该江苏税软交易对方名下之日止的期间。</w:t>
      </w:r>
    </w:p>
    <w:p>
      <w:pPr>
        <w:pStyle w:val="BodyText"/>
        <w:spacing w:line="408" w:lineRule="auto"/>
        <w:ind w:left="153" w:right="1129" w:firstLine="314"/>
        <w:jc w:val="both"/>
      </w:pPr>
      <w:r>
        <w:rPr>
          <w:spacing w:val="-2"/>
        </w:rPr>
        <w:t>（</w:t>
      </w:r>
      <w:r>
        <w:rPr>
          <w:rFonts w:ascii="宋体" w:hAnsi="宋体" w:cs="宋体" w:eastAsia="宋体" w:hint="default"/>
          <w:spacing w:val="-2"/>
        </w:rPr>
        <w:t>5</w:t>
      </w:r>
      <w:r>
        <w:rPr>
          <w:spacing w:val="-2"/>
        </w:rPr>
        <w:t>）锁定期届满后，交易对方在本次发行中认购的美亚柏科股份的转让将按照届时有效的相关法律法</w:t>
      </w:r>
      <w:r>
        <w:rPr>
          <w:w w:val="100"/>
        </w:rPr>
        <w:t> </w:t>
      </w:r>
      <w:r>
        <w:rPr/>
        <w:t>规、规章和深交所的规则办理。</w:t>
      </w:r>
    </w:p>
    <w:p>
      <w:pPr>
        <w:pStyle w:val="BodyText"/>
        <w:spacing w:line="240" w:lineRule="auto"/>
        <w:ind w:left="678" w:right="986"/>
        <w:jc w:val="left"/>
      </w:pPr>
      <w:r>
        <w:rPr>
          <w:rFonts w:ascii="宋体" w:hAnsi="宋体" w:cs="宋体" w:eastAsia="宋体" w:hint="default"/>
        </w:rPr>
        <w:t>2</w:t>
      </w:r>
      <w:r>
        <w:rPr/>
        <w:t>、重组方新德汇交易对方的锁定期安排</w:t>
      </w:r>
    </w:p>
    <w:p>
      <w:pPr>
        <w:spacing w:line="240" w:lineRule="auto" w:before="10"/>
        <w:rPr>
          <w:rFonts w:ascii="宋体" w:hAnsi="宋体" w:cs="宋体" w:eastAsia="宋体" w:hint="default"/>
          <w:sz w:val="14"/>
          <w:szCs w:val="14"/>
        </w:rPr>
      </w:pPr>
    </w:p>
    <w:p>
      <w:pPr>
        <w:pStyle w:val="BodyText"/>
        <w:spacing w:line="408" w:lineRule="auto" w:before="0"/>
        <w:ind w:left="153" w:right="986" w:firstLine="420"/>
        <w:jc w:val="left"/>
      </w:pPr>
      <w:r>
        <w:rPr>
          <w:spacing w:val="-2"/>
        </w:rPr>
        <w:t>（</w:t>
      </w:r>
      <w:r>
        <w:rPr>
          <w:rFonts w:ascii="宋体" w:hAnsi="宋体" w:cs="宋体" w:eastAsia="宋体" w:hint="default"/>
          <w:spacing w:val="-2"/>
        </w:rPr>
        <w:t>1</w:t>
      </w:r>
      <w:r>
        <w:rPr>
          <w:spacing w:val="-2"/>
        </w:rPr>
        <w:t>）新德汇交易对方通过本次交易获得的美亚柏科股份自上市公司向新德汇交易对方发行股份完成</w:t>
      </w:r>
      <w:r>
        <w:rPr>
          <w:spacing w:val="-3"/>
          <w:w w:val="100"/>
        </w:rPr>
        <w:t> </w:t>
      </w:r>
      <w:r>
        <w:rPr/>
        <w:t>之日起</w:t>
      </w:r>
      <w:r>
        <w:rPr>
          <w:rFonts w:ascii="宋体" w:hAnsi="宋体" w:cs="宋体" w:eastAsia="宋体" w:hint="default"/>
        </w:rPr>
        <w:t>12</w:t>
      </w:r>
      <w:r>
        <w:rPr/>
        <w:t>个月内不得转让；自该等法定限售期届满之日起，应当按照如下方式进行股份解锁：</w:t>
      </w:r>
    </w:p>
    <w:p>
      <w:pPr>
        <w:pStyle w:val="BodyText"/>
        <w:spacing w:line="240" w:lineRule="auto"/>
        <w:ind w:left="678" w:right="986"/>
        <w:jc w:val="left"/>
      </w:pPr>
      <w:r>
        <w:rPr>
          <w:rFonts w:ascii="宋体" w:hAnsi="宋体" w:cs="宋体" w:eastAsia="宋体" w:hint="default"/>
        </w:rPr>
        <w:t>a</w:t>
      </w:r>
      <w:r>
        <w:rPr/>
        <w:t>）自上市公司向新德汇交易对方发行股份完成之日起</w:t>
      </w:r>
      <w:r>
        <w:rPr>
          <w:rFonts w:ascii="宋体" w:hAnsi="宋体" w:cs="宋体" w:eastAsia="宋体" w:hint="default"/>
        </w:rPr>
        <w:t>12</w:t>
      </w:r>
      <w:r>
        <w:rPr/>
        <w:t>个月后至</w:t>
      </w:r>
      <w:r>
        <w:rPr>
          <w:rFonts w:ascii="宋体" w:hAnsi="宋体" w:cs="宋体" w:eastAsia="宋体" w:hint="default"/>
        </w:rPr>
        <w:t>24</w:t>
      </w:r>
      <w:r>
        <w:rPr/>
        <w:t>个月内，累计可转让股票数量不</w:t>
      </w:r>
    </w:p>
    <w:p>
      <w:pPr>
        <w:spacing w:after="0" w:line="240"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240" w:lineRule="auto" w:before="175"/>
        <w:ind w:right="986"/>
        <w:jc w:val="left"/>
      </w:pPr>
      <w:r>
        <w:rPr/>
        <w:t>超过其在本次发行中所认购股份总数的</w:t>
      </w:r>
      <w:r>
        <w:rPr>
          <w:rFonts w:ascii="宋体" w:hAnsi="宋体" w:cs="宋体" w:eastAsia="宋体" w:hint="default"/>
        </w:rPr>
        <w:t>30%</w:t>
      </w:r>
      <w:r>
        <w:rPr/>
        <w:t>；</w:t>
      </w:r>
    </w:p>
    <w:p>
      <w:pPr>
        <w:spacing w:line="240" w:lineRule="auto" w:before="10"/>
        <w:rPr>
          <w:rFonts w:ascii="宋体" w:hAnsi="宋体" w:cs="宋体" w:eastAsia="宋体" w:hint="default"/>
          <w:sz w:val="14"/>
          <w:szCs w:val="14"/>
        </w:rPr>
      </w:pPr>
    </w:p>
    <w:p>
      <w:pPr>
        <w:pStyle w:val="BodyText"/>
        <w:spacing w:line="408" w:lineRule="auto" w:before="0"/>
        <w:ind w:left="153" w:right="986" w:firstLine="525"/>
        <w:jc w:val="left"/>
      </w:pPr>
      <w:r>
        <w:rPr>
          <w:rFonts w:ascii="宋体" w:hAnsi="宋体" w:cs="宋体" w:eastAsia="宋体" w:hint="default"/>
          <w:spacing w:val="-2"/>
        </w:rPr>
        <w:t>b</w:t>
      </w:r>
      <w:r>
        <w:rPr>
          <w:spacing w:val="-2"/>
        </w:rPr>
        <w:t>）自上市公司向新德汇交易对方发行股份完成之日起</w:t>
      </w:r>
      <w:r>
        <w:rPr>
          <w:rFonts w:ascii="宋体" w:hAnsi="宋体" w:cs="宋体" w:eastAsia="宋体" w:hint="default"/>
          <w:spacing w:val="-2"/>
        </w:rPr>
        <w:t>12</w:t>
      </w:r>
      <w:r>
        <w:rPr>
          <w:spacing w:val="-2"/>
        </w:rPr>
        <w:t>个月后至</w:t>
      </w:r>
      <w:r>
        <w:rPr>
          <w:rFonts w:ascii="宋体" w:hAnsi="宋体" w:cs="宋体" w:eastAsia="宋体" w:hint="default"/>
          <w:spacing w:val="-2"/>
        </w:rPr>
        <w:t>36</w:t>
      </w:r>
      <w:r>
        <w:rPr>
          <w:spacing w:val="-2"/>
        </w:rPr>
        <w:t>个月内，累计可转让股票数量不</w:t>
      </w:r>
      <w:r>
        <w:rPr>
          <w:w w:val="100"/>
        </w:rPr>
        <w:t> </w:t>
      </w:r>
      <w:r>
        <w:rPr/>
        <w:t>超过其在本次发行中所认购股份总数的</w:t>
      </w:r>
      <w:r>
        <w:rPr>
          <w:rFonts w:ascii="宋体" w:hAnsi="宋体" w:cs="宋体" w:eastAsia="宋体" w:hint="default"/>
        </w:rPr>
        <w:t>60%</w:t>
      </w:r>
      <w:r>
        <w:rPr/>
        <w:t>；</w:t>
      </w:r>
    </w:p>
    <w:p>
      <w:pPr>
        <w:pStyle w:val="BodyText"/>
        <w:spacing w:line="408" w:lineRule="auto"/>
        <w:ind w:left="153" w:right="986" w:firstLine="525"/>
        <w:jc w:val="left"/>
      </w:pPr>
      <w:r>
        <w:rPr>
          <w:rFonts w:ascii="宋体" w:hAnsi="宋体" w:cs="宋体" w:eastAsia="宋体" w:hint="default"/>
          <w:spacing w:val="-2"/>
        </w:rPr>
        <w:t>c</w:t>
      </w:r>
      <w:r>
        <w:rPr>
          <w:spacing w:val="-2"/>
        </w:rPr>
        <w:t>）自上市公司向新德汇交易对方发行股份完成之日起</w:t>
      </w:r>
      <w:r>
        <w:rPr>
          <w:rFonts w:ascii="宋体" w:hAnsi="宋体" w:cs="宋体" w:eastAsia="宋体" w:hint="default"/>
          <w:spacing w:val="-2"/>
        </w:rPr>
        <w:t>36</w:t>
      </w:r>
      <w:r>
        <w:rPr>
          <w:spacing w:val="-2"/>
        </w:rPr>
        <w:t>个月后，可自由转让其在本次发行中所认购</w:t>
      </w:r>
      <w:r>
        <w:rPr>
          <w:spacing w:val="-3"/>
          <w:w w:val="100"/>
        </w:rPr>
        <w:t> </w:t>
      </w:r>
      <w:r>
        <w:rPr/>
        <w:t>的全部股份。</w:t>
      </w:r>
    </w:p>
    <w:p>
      <w:pPr>
        <w:pStyle w:val="BodyText"/>
        <w:spacing w:line="408" w:lineRule="auto"/>
        <w:ind w:left="153" w:right="1128" w:firstLine="420"/>
        <w:jc w:val="both"/>
      </w:pPr>
      <w:r>
        <w:rPr/>
        <w:t>（</w:t>
      </w:r>
      <w:r>
        <w:rPr>
          <w:rFonts w:ascii="宋体" w:hAnsi="宋体" w:cs="宋体" w:eastAsia="宋体" w:hint="default"/>
        </w:rPr>
        <w:t>2</w:t>
      </w:r>
      <w:r>
        <w:rPr/>
        <w:t>）实际解锁股份数须扣除因盈利预测补偿而需由美亚柏科回购的股份数（若有）。本次发行实施</w:t>
      </w:r>
      <w:r>
        <w:rPr>
          <w:w w:val="100"/>
        </w:rPr>
        <w:t> </w:t>
      </w:r>
      <w:r>
        <w:rPr>
          <w:spacing w:val="-2"/>
        </w:rPr>
        <w:t>完成后，新德汇交易对方由于美亚柏科配股、转增股本等原因增持的美亚柏科股份，亦应遵守上述股份锁</w:t>
      </w:r>
      <w:r>
        <w:rPr>
          <w:spacing w:val="-42"/>
        </w:rPr>
        <w:t> </w:t>
      </w:r>
      <w:r>
        <w:rPr>
          <w:spacing w:val="-42"/>
        </w:rPr>
      </w:r>
      <w:r>
        <w:rPr/>
        <w:t>定的规定。</w:t>
      </w:r>
    </w:p>
    <w:p>
      <w:pPr>
        <w:pStyle w:val="BodyText"/>
        <w:spacing w:line="408" w:lineRule="auto"/>
        <w:ind w:right="1128" w:firstLine="420"/>
        <w:jc w:val="both"/>
      </w:pPr>
      <w:r>
        <w:rPr/>
        <w:t>（</w:t>
      </w:r>
      <w:r>
        <w:rPr>
          <w:rFonts w:ascii="宋体" w:hAnsi="宋体" w:cs="宋体" w:eastAsia="宋体" w:hint="default"/>
        </w:rPr>
        <w:t>3</w:t>
      </w:r>
      <w:r>
        <w:rPr/>
        <w:t>）任一新德汇交易对方如在本次交易完成后担任美亚柏科董事、监事或高级管理人员的，还需遵</w:t>
      </w:r>
      <w:r>
        <w:rPr>
          <w:w w:val="100"/>
        </w:rPr>
        <w:t> </w:t>
      </w:r>
      <w:r>
        <w:rPr>
          <w:spacing w:val="-2"/>
        </w:rPr>
        <w:t>守上市公司章程以及《中华人民共和国公司法》、《中华人民共和国证券法》、《深圳证券交易所创业板</w:t>
      </w:r>
      <w:r>
        <w:rPr>
          <w:spacing w:val="-46"/>
        </w:rPr>
        <w:t> </w:t>
      </w:r>
      <w:r>
        <w:rPr>
          <w:spacing w:val="-46"/>
        </w:rPr>
      </w:r>
      <w:r>
        <w:rPr>
          <w:spacing w:val="-2"/>
        </w:rPr>
        <w:t>股票上市规则》等法律、法规、规章、规范性文件有关股份有限公司及上市公司董事、监事、高级管理人</w:t>
      </w:r>
      <w:r>
        <w:rPr>
          <w:spacing w:val="-42"/>
        </w:rPr>
        <w:t> </w:t>
      </w:r>
      <w:r>
        <w:rPr>
          <w:spacing w:val="-42"/>
        </w:rPr>
      </w:r>
      <w:r>
        <w:rPr/>
        <w:t>员买卖公司股票的限制性规定。</w:t>
      </w:r>
    </w:p>
    <w:p>
      <w:pPr>
        <w:pStyle w:val="BodyText"/>
        <w:spacing w:line="408" w:lineRule="auto"/>
        <w:ind w:right="1133" w:firstLine="420"/>
        <w:jc w:val="both"/>
      </w:pPr>
      <w:r>
        <w:rPr/>
        <w:t>（</w:t>
      </w:r>
      <w:r>
        <w:rPr>
          <w:rFonts w:ascii="宋体" w:hAnsi="宋体" w:cs="宋体" w:eastAsia="宋体" w:hint="default"/>
        </w:rPr>
        <w:t>4</w:t>
      </w:r>
      <w:r>
        <w:rPr/>
        <w:t>）锁定期届满后，交易对方在本次发行中认购的美亚柏科股份的转让将按照届时有效的相关法律</w:t>
      </w:r>
      <w:r>
        <w:rPr>
          <w:w w:val="100"/>
        </w:rPr>
        <w:t> </w:t>
      </w:r>
      <w:r>
        <w:rPr/>
        <w:t>法规、规章和深交所的规则办理。</w:t>
      </w:r>
    </w:p>
    <w:p>
      <w:pPr>
        <w:pStyle w:val="BodyText"/>
        <w:spacing w:line="408" w:lineRule="auto"/>
        <w:ind w:right="1128" w:firstLine="525"/>
        <w:jc w:val="both"/>
      </w:pPr>
      <w:r>
        <w:rPr>
          <w:rFonts w:ascii="宋体" w:hAnsi="宋体" w:cs="宋体" w:eastAsia="宋体" w:hint="default"/>
          <w:spacing w:val="-2"/>
        </w:rPr>
        <w:t>3</w:t>
      </w:r>
      <w:r>
        <w:rPr>
          <w:spacing w:val="-2"/>
        </w:rPr>
        <w:t>、郭永芳、滕达承诺自</w:t>
      </w:r>
      <w:r>
        <w:rPr>
          <w:rFonts w:ascii="宋体" w:hAnsi="宋体" w:cs="宋体" w:eastAsia="宋体" w:hint="default"/>
          <w:spacing w:val="-2"/>
        </w:rPr>
        <w:t>2019</w:t>
      </w:r>
      <w:r>
        <w:rPr>
          <w:spacing w:val="-2"/>
        </w:rPr>
        <w:t>年</w:t>
      </w:r>
      <w:r>
        <w:rPr>
          <w:rFonts w:ascii="宋体" w:hAnsi="宋体" w:cs="宋体" w:eastAsia="宋体" w:hint="default"/>
          <w:spacing w:val="-2"/>
        </w:rPr>
        <w:t>3</w:t>
      </w:r>
      <w:r>
        <w:rPr>
          <w:spacing w:val="-2"/>
        </w:rPr>
        <w:t>月</w:t>
      </w:r>
      <w:r>
        <w:rPr>
          <w:rFonts w:ascii="宋体" w:hAnsi="宋体" w:cs="宋体" w:eastAsia="宋体" w:hint="default"/>
          <w:spacing w:val="-2"/>
        </w:rPr>
        <w:t>29</w:t>
      </w:r>
      <w:r>
        <w:rPr>
          <w:spacing w:val="-2"/>
        </w:rPr>
        <w:t>日起至《股份转让协议》生效之日起</w:t>
      </w:r>
      <w:r>
        <w:rPr>
          <w:rFonts w:ascii="宋体" w:hAnsi="宋体" w:cs="宋体" w:eastAsia="宋体" w:hint="default"/>
          <w:spacing w:val="-2"/>
        </w:rPr>
        <w:t>5</w:t>
      </w:r>
      <w:r>
        <w:rPr>
          <w:spacing w:val="-2"/>
        </w:rPr>
        <w:t>年期限届满之日止，承诺</w:t>
      </w:r>
      <w:r>
        <w:rPr>
          <w:w w:val="100"/>
        </w:rPr>
        <w:t> </w:t>
      </w:r>
      <w:r>
        <w:rPr>
          <w:spacing w:val="-2"/>
        </w:rPr>
        <w:t>人减少美亚柏科的股份合计不得超过</w:t>
      </w:r>
      <w:r>
        <w:rPr>
          <w:rFonts w:ascii="宋体" w:hAnsi="宋体" w:cs="宋体" w:eastAsia="宋体" w:hint="default"/>
          <w:spacing w:val="-2"/>
        </w:rPr>
        <w:t>39,741,641</w:t>
      </w:r>
      <w:r>
        <w:rPr>
          <w:spacing w:val="-2"/>
        </w:rPr>
        <w:t>股（占《股份转让协议》签署日美亚柏科总股本的</w:t>
      </w:r>
      <w:r>
        <w:rPr>
          <w:rFonts w:ascii="宋体" w:hAnsi="宋体" w:cs="宋体" w:eastAsia="宋体" w:hint="default"/>
          <w:spacing w:val="-2"/>
        </w:rPr>
        <w:t>5%</w:t>
      </w:r>
      <w:r>
        <w:rPr>
          <w:spacing w:val="-2"/>
        </w:rPr>
        <w:t>（承</w:t>
      </w:r>
      <w:r>
        <w:rPr>
          <w:spacing w:val="-36"/>
        </w:rPr>
        <w:t> </w:t>
      </w:r>
      <w:r>
        <w:rPr>
          <w:spacing w:val="-2"/>
        </w:rPr>
        <w:t>诺人之间的股份转移不计入减少的股份和比例），如美亚柏科以累计未分配利润派发股票红利（仅限送红</w:t>
      </w:r>
      <w:r>
        <w:rPr>
          <w:spacing w:val="-43"/>
        </w:rPr>
        <w:t> </w:t>
      </w:r>
      <w:r>
        <w:rPr>
          <w:spacing w:val="-43"/>
        </w:rPr>
      </w:r>
      <w:r>
        <w:rPr>
          <w:spacing w:val="-2"/>
        </w:rPr>
        <w:t>股）或者以资本公积金或盈余公积金转增股本，则可转让的股份数量相应进行增加，经过增加后的可转让</w:t>
      </w:r>
      <w:r>
        <w:rPr>
          <w:spacing w:val="-46"/>
        </w:rPr>
        <w:t> </w:t>
      </w:r>
      <w:r>
        <w:rPr>
          <w:spacing w:val="-46"/>
        </w:rPr>
      </w:r>
      <w:r>
        <w:rPr/>
        <w:t>股份为：承诺人持有的美亚柏科</w:t>
      </w:r>
      <w:r>
        <w:rPr>
          <w:rFonts w:ascii="宋体" w:hAnsi="宋体" w:cs="宋体" w:eastAsia="宋体" w:hint="default"/>
        </w:rPr>
        <w:t>39,741,641</w:t>
      </w:r>
      <w:r>
        <w:rPr/>
        <w:t>股股份与该等股份所分得或增加持有的新增股份之和）。</w:t>
      </w:r>
    </w:p>
    <w:p>
      <w:pPr>
        <w:pStyle w:val="BodyText"/>
        <w:spacing w:line="240" w:lineRule="auto"/>
        <w:ind w:left="678" w:right="986"/>
        <w:jc w:val="left"/>
      </w:pPr>
      <w:r>
        <w:rPr>
          <w:rFonts w:ascii="宋体" w:hAnsi="宋体" w:cs="宋体" w:eastAsia="宋体" w:hint="default"/>
          <w:spacing w:val="-9"/>
        </w:rPr>
        <w:t>4</w:t>
      </w:r>
      <w:r>
        <w:rPr>
          <w:spacing w:val="-9"/>
        </w:rPr>
        <w:t>、滕达、申强、苏学武、韦玉荣、吴鸿伟、张雪峰、蔡志评、栾江霞、张乃军（以下合称“承诺人”）</w:t>
      </w:r>
    </w:p>
    <w:p>
      <w:pPr>
        <w:spacing w:line="240" w:lineRule="auto" w:before="10"/>
        <w:rPr>
          <w:rFonts w:ascii="宋体" w:hAnsi="宋体" w:cs="宋体" w:eastAsia="宋体" w:hint="default"/>
          <w:sz w:val="14"/>
          <w:szCs w:val="14"/>
        </w:rPr>
      </w:pPr>
    </w:p>
    <w:p>
      <w:pPr>
        <w:pStyle w:val="BodyText"/>
        <w:spacing w:line="240" w:lineRule="auto" w:before="0"/>
        <w:ind w:left="153" w:right="986"/>
        <w:jc w:val="left"/>
      </w:pPr>
      <w:r>
        <w:rPr/>
        <w:t>承诺</w:t>
      </w:r>
    </w:p>
    <w:p>
      <w:pPr>
        <w:spacing w:line="240" w:lineRule="auto" w:before="10"/>
        <w:rPr>
          <w:rFonts w:ascii="宋体" w:hAnsi="宋体" w:cs="宋体" w:eastAsia="宋体" w:hint="default"/>
          <w:sz w:val="14"/>
          <w:szCs w:val="14"/>
        </w:rPr>
      </w:pPr>
    </w:p>
    <w:p>
      <w:pPr>
        <w:pStyle w:val="BodyText"/>
        <w:spacing w:line="408" w:lineRule="auto" w:before="0"/>
        <w:ind w:left="153" w:right="986" w:firstLine="525"/>
        <w:jc w:val="left"/>
      </w:pPr>
      <w:r>
        <w:rPr/>
        <w:t>承诺在职期间，遵守法律、行政法规和公司章程的规定，严格遵守公司内部的规章制度。承诺人已</w:t>
      </w:r>
      <w:r>
        <w:rPr>
          <w:w w:val="100"/>
        </w:rPr>
        <w:t> </w:t>
      </w:r>
      <w:r>
        <w:rPr>
          <w:spacing w:val="-2"/>
        </w:rPr>
        <w:t>与美亚柏科签署了《劳动合同》，并承诺自《股份转让协议》项下所约定的标的股份过户之日起三年内不</w:t>
      </w:r>
      <w:r>
        <w:rPr>
          <w:spacing w:val="-43"/>
        </w:rPr>
        <w:t> </w:t>
      </w:r>
      <w:r>
        <w:rPr>
          <w:spacing w:val="-43"/>
        </w:rPr>
      </w:r>
      <w:r>
        <w:rPr>
          <w:spacing w:val="-5"/>
        </w:rPr>
        <w:t>从美亚柏科离职（在美亚柏科及其子公司之间进行调动的除外）。若因特殊原因，导致无法履行上述承诺，</w:t>
      </w:r>
      <w:r>
        <w:rPr>
          <w:spacing w:val="-12"/>
        </w:rPr>
        <w:t> </w:t>
      </w:r>
      <w:r>
        <w:rPr>
          <w:spacing w:val="-12"/>
        </w:rPr>
      </w:r>
      <w:r>
        <w:rPr>
          <w:spacing w:val="-2"/>
        </w:rPr>
        <w:t>承诺人将与国投智能提前沟通，在违反承诺的行为发生前取得国投智能书面谅解。在取得国投智能书面谅</w:t>
      </w:r>
      <w:r>
        <w:rPr>
          <w:spacing w:val="-42"/>
        </w:rPr>
        <w:t> </w:t>
      </w:r>
      <w:r>
        <w:rPr>
          <w:spacing w:val="-42"/>
        </w:rPr>
      </w:r>
      <w:r>
        <w:rPr/>
        <w:t>解后，不视为违反承诺。</w:t>
      </w:r>
    </w:p>
    <w:p>
      <w:pPr>
        <w:pStyle w:val="BodyText"/>
        <w:spacing w:line="408" w:lineRule="auto"/>
        <w:ind w:left="153" w:right="986" w:firstLine="525"/>
        <w:jc w:val="left"/>
      </w:pPr>
      <w:r>
        <w:rPr>
          <w:spacing w:val="-2"/>
        </w:rPr>
        <w:t>承诺（</w:t>
      </w:r>
      <w:r>
        <w:rPr>
          <w:rFonts w:ascii="宋体" w:hAnsi="宋体" w:cs="宋体" w:eastAsia="宋体" w:hint="default"/>
          <w:spacing w:val="-2"/>
        </w:rPr>
        <w:t>1</w:t>
      </w:r>
      <w:r>
        <w:rPr>
          <w:spacing w:val="-2"/>
        </w:rPr>
        <w:t>）在美亚柏科任职期间，不以任何形式从事或帮助他人从事与美亚柏科构成竞争关系的业务</w:t>
      </w:r>
      <w:r>
        <w:rPr>
          <w:w w:val="100"/>
        </w:rPr>
        <w:t> </w:t>
      </w:r>
      <w:r>
        <w:rPr/>
        <w:t>经营活动或其他活动；（</w:t>
      </w:r>
      <w:r>
        <w:rPr>
          <w:rFonts w:ascii="宋体" w:hAnsi="宋体" w:cs="宋体" w:eastAsia="宋体" w:hint="default"/>
        </w:rPr>
        <w:t>2</w:t>
      </w:r>
      <w:r>
        <w:rPr/>
        <w:t>）在从美亚柏科离职后两年内，不得直接或间接从事与美亚柏科构成竞争关系</w:t>
      </w:r>
      <w:r>
        <w:rPr>
          <w:w w:val="100"/>
        </w:rPr>
        <w:t> </w:t>
      </w:r>
      <w:r>
        <w:rPr>
          <w:spacing w:val="-2"/>
        </w:rPr>
        <w:t>的业务或者在与美亚柏科构成竞争关系的企业中担任职务或为其提供咨询、顾问等服务。已与美亚柏科签</w:t>
      </w:r>
      <w:r>
        <w:rPr>
          <w:spacing w:val="-43"/>
        </w:rPr>
        <w:t> </w:t>
      </w:r>
      <w:r>
        <w:rPr>
          <w:spacing w:val="-43"/>
        </w:rPr>
      </w:r>
      <w:r>
        <w:rPr/>
        <w:t>署了《保密及竞业限制协议》，并将切实履行该协议项下的竞业限制义务。</w:t>
      </w:r>
    </w:p>
    <w:p>
      <w:pPr>
        <w:spacing w:after="0" w:line="408"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left="153" w:right="986" w:firstLine="419"/>
        <w:jc w:val="left"/>
      </w:pPr>
      <w:r>
        <w:rPr>
          <w:rFonts w:ascii="宋体" w:hAnsi="宋体" w:cs="宋体" w:eastAsia="宋体" w:hint="default"/>
          <w:spacing w:val="-2"/>
        </w:rPr>
        <w:t>2019</w:t>
      </w:r>
      <w:r>
        <w:rPr>
          <w:spacing w:val="-2"/>
        </w:rPr>
        <w:t>年</w:t>
      </w:r>
      <w:r>
        <w:rPr>
          <w:rFonts w:ascii="宋体" w:hAnsi="宋体" w:cs="宋体" w:eastAsia="宋体" w:hint="default"/>
          <w:spacing w:val="-2"/>
        </w:rPr>
        <w:t>3</w:t>
      </w:r>
      <w:r>
        <w:rPr>
          <w:spacing w:val="-2"/>
        </w:rPr>
        <w:t>月</w:t>
      </w:r>
      <w:r>
        <w:rPr>
          <w:rFonts w:ascii="宋体" w:hAnsi="宋体" w:cs="宋体" w:eastAsia="宋体" w:hint="default"/>
          <w:spacing w:val="-2"/>
        </w:rPr>
        <w:t>29</w:t>
      </w:r>
      <w:r>
        <w:rPr>
          <w:spacing w:val="-2"/>
        </w:rPr>
        <w:t>日至</w:t>
      </w:r>
      <w:r>
        <w:rPr>
          <w:rFonts w:ascii="宋体" w:hAnsi="宋体" w:cs="宋体" w:eastAsia="宋体" w:hint="default"/>
          <w:spacing w:val="-2"/>
        </w:rPr>
        <w:t>2022</w:t>
      </w:r>
      <w:r>
        <w:rPr>
          <w:spacing w:val="-2"/>
        </w:rPr>
        <w:t>年</w:t>
      </w:r>
      <w:r>
        <w:rPr>
          <w:rFonts w:ascii="宋体" w:hAnsi="宋体" w:cs="宋体" w:eastAsia="宋体" w:hint="default"/>
          <w:spacing w:val="-2"/>
        </w:rPr>
        <w:t>3</w:t>
      </w:r>
      <w:r>
        <w:rPr>
          <w:spacing w:val="-2"/>
        </w:rPr>
        <w:t>月</w:t>
      </w:r>
      <w:r>
        <w:rPr>
          <w:rFonts w:ascii="宋体" w:hAnsi="宋体" w:cs="宋体" w:eastAsia="宋体" w:hint="default"/>
          <w:spacing w:val="-2"/>
        </w:rPr>
        <w:t>28</w:t>
      </w:r>
      <w:r>
        <w:rPr>
          <w:spacing w:val="-2"/>
        </w:rPr>
        <w:t>日期间，承诺人减少所持有的美亚柏科的股份不得超过承诺人在《股份</w:t>
      </w:r>
      <w:r>
        <w:rPr>
          <w:w w:val="100"/>
        </w:rPr>
        <w:t> </w:t>
      </w:r>
      <w:r>
        <w:rPr/>
        <w:t>转让协议》项下所约定的标的股份过户之后所持有的美亚柏科股份数量的</w:t>
      </w:r>
      <w:r>
        <w:rPr>
          <w:rFonts w:ascii="宋体" w:hAnsi="宋体" w:cs="宋体" w:eastAsia="宋体" w:hint="default"/>
        </w:rPr>
        <w:t>50%</w:t>
      </w:r>
      <w:r>
        <w:rPr/>
        <w:t>。</w:t>
      </w:r>
    </w:p>
    <w:p>
      <w:pPr>
        <w:pStyle w:val="BodyText"/>
        <w:spacing w:line="408" w:lineRule="auto"/>
        <w:ind w:left="153" w:right="986" w:firstLine="419"/>
        <w:jc w:val="left"/>
      </w:pPr>
      <w:r>
        <w:rPr>
          <w:spacing w:val="-2"/>
        </w:rPr>
        <w:t>为进一步表明承诺人与美亚柏科共创美好未来的信心，承诺人同意，如果承诺人违反以上承诺，本人</w:t>
      </w:r>
      <w:r>
        <w:rPr>
          <w:w w:val="100"/>
        </w:rPr>
        <w:t> </w:t>
      </w:r>
      <w:r>
        <w:rPr>
          <w:spacing w:val="-2"/>
        </w:rPr>
        <w:t>将失去股权激励计划的资格（不包含原始股和发股收购形成的限售股），对于本人在违反承诺的行为发生</w:t>
      </w:r>
      <w:r>
        <w:rPr>
          <w:spacing w:val="-43"/>
        </w:rPr>
        <w:t> </w:t>
      </w:r>
      <w:r>
        <w:rPr>
          <w:spacing w:val="-43"/>
        </w:rPr>
      </w:r>
      <w:r>
        <w:rPr>
          <w:spacing w:val="-2"/>
        </w:rPr>
        <w:t>时已获授但尚未行权的股票期权和尚未解除限售的限制性股票，美亚柏科有权注销和回购注销，回购价格</w:t>
      </w:r>
      <w:r>
        <w:rPr>
          <w:spacing w:val="-42"/>
        </w:rPr>
        <w:t> </w:t>
      </w:r>
      <w:r>
        <w:rPr>
          <w:spacing w:val="-42"/>
        </w:rPr>
      </w:r>
      <w:r>
        <w:rPr/>
        <w:t>为授予价格，已行权的股票期权</w:t>
      </w:r>
      <w:r>
        <w:rPr>
          <w:rFonts w:ascii="宋体" w:hAnsi="宋体" w:cs="宋体" w:eastAsia="宋体" w:hint="default"/>
        </w:rPr>
        <w:t>/</w:t>
      </w:r>
      <w:r>
        <w:rPr/>
        <w:t>已解除限售的限制性股票继续有效。如因承诺人的行为给美亚柏科的经</w:t>
      </w:r>
      <w:r>
        <w:rPr>
          <w:spacing w:val="-3"/>
          <w:w w:val="100"/>
        </w:rPr>
        <w:t> </w:t>
      </w:r>
      <w:r>
        <w:rPr/>
        <w:t>营造成损失的，承诺人愿意依法向美亚柏科承担赔偿责任。</w:t>
      </w:r>
    </w:p>
    <w:p>
      <w:pPr>
        <w:spacing w:after="0" w:line="408"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pStyle w:val="Heading1"/>
        <w:spacing w:line="240" w:lineRule="auto"/>
        <w:ind w:left="3364" w:right="986"/>
        <w:jc w:val="left"/>
        <w:rPr>
          <w:b w:val="0"/>
          <w:bCs w:val="0"/>
        </w:rPr>
      </w:pPr>
      <w:bookmarkStart w:name="第七节优先股相关情况" w:id="119"/>
      <w:bookmarkEnd w:id="119"/>
      <w:r>
        <w:rPr>
          <w:b w:val="0"/>
          <w:bCs w:val="0"/>
        </w:rPr>
      </w:r>
      <w:bookmarkStart w:name="_bookmark5" w:id="120"/>
      <w:bookmarkEnd w:id="120"/>
      <w:r>
        <w:rPr>
          <w:b w:val="0"/>
          <w:bCs w:val="0"/>
        </w:rPr>
      </w:r>
      <w:r>
        <w:rPr/>
        <w:t>第七节优先股相关情况</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9"/>
          <w:szCs w:val="19"/>
        </w:rPr>
      </w:pPr>
    </w:p>
    <w:p>
      <w:pPr>
        <w:spacing w:line="340" w:lineRule="auto" w:before="44"/>
        <w:ind w:left="152" w:right="85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报告期公司不存在优先股。</w:t>
      </w:r>
    </w:p>
    <w:p>
      <w:pPr>
        <w:spacing w:after="0" w:line="340"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2723" w:right="986"/>
        <w:jc w:val="left"/>
        <w:rPr>
          <w:b w:val="0"/>
          <w:bCs w:val="0"/>
        </w:rPr>
      </w:pPr>
      <w:bookmarkStart w:name="第八节可转换公司债券相关情况" w:id="121"/>
      <w:bookmarkEnd w:id="121"/>
      <w:r>
        <w:rPr>
          <w:b w:val="0"/>
          <w:bCs w:val="0"/>
        </w:rPr>
      </w:r>
      <w:bookmarkStart w:name="_bookmark6" w:id="122"/>
      <w:bookmarkEnd w:id="122"/>
      <w:r>
        <w:rPr>
          <w:b w:val="0"/>
          <w:bCs w:val="0"/>
        </w:rPr>
      </w:r>
      <w:r>
        <w:rPr/>
        <w:t>第八节可转换公司债券相关情况</w:t>
      </w:r>
      <w:r>
        <w:rPr>
          <w:b w:val="0"/>
          <w:bCs w:val="0"/>
        </w:rPr>
      </w:r>
    </w:p>
    <w:p>
      <w:pPr>
        <w:spacing w:line="240" w:lineRule="auto" w:before="9"/>
        <w:rPr>
          <w:rFonts w:ascii="宋体" w:hAnsi="宋体" w:cs="宋体" w:eastAsia="宋体" w:hint="default"/>
          <w:b/>
          <w:bCs/>
          <w:sz w:val="42"/>
          <w:szCs w:val="42"/>
        </w:rPr>
      </w:pPr>
    </w:p>
    <w:p>
      <w:pPr>
        <w:spacing w:line="338" w:lineRule="auto" w:before="0"/>
        <w:ind w:left="152" w:right="787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报告期公司不存在可转换公司债券。</w:t>
      </w:r>
    </w:p>
    <w:p>
      <w:pPr>
        <w:spacing w:after="0" w:line="338"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1758" w:right="986"/>
        <w:jc w:val="left"/>
        <w:rPr>
          <w:b w:val="0"/>
          <w:bCs w:val="0"/>
        </w:rPr>
      </w:pPr>
      <w:bookmarkStart w:name="第九节董事、监事、高级管理人员和员工情况" w:id="123"/>
      <w:bookmarkEnd w:id="123"/>
      <w:r>
        <w:rPr>
          <w:b w:val="0"/>
          <w:bCs w:val="0"/>
        </w:rPr>
      </w:r>
      <w:bookmarkStart w:name="_bookmark7" w:id="124"/>
      <w:bookmarkEnd w:id="124"/>
      <w:r>
        <w:rPr>
          <w:b w:val="0"/>
          <w:bCs w:val="0"/>
        </w:rPr>
      </w:r>
      <w:r>
        <w:rPr/>
        <w:t>第九节董事、监事、高级管理人员和员工情况</w:t>
      </w:r>
      <w:r>
        <w:rPr>
          <w:b w:val="0"/>
          <w:bCs w:val="0"/>
        </w:rPr>
      </w:r>
    </w:p>
    <w:p>
      <w:pPr>
        <w:spacing w:line="240" w:lineRule="auto" w:before="2"/>
        <w:rPr>
          <w:rFonts w:ascii="宋体" w:hAnsi="宋体" w:cs="宋体" w:eastAsia="宋体" w:hint="default"/>
          <w:b/>
          <w:bCs/>
          <w:sz w:val="39"/>
          <w:szCs w:val="39"/>
        </w:rPr>
      </w:pPr>
    </w:p>
    <w:p>
      <w:pPr>
        <w:pStyle w:val="Heading2"/>
        <w:spacing w:line="240" w:lineRule="auto"/>
        <w:ind w:right="986"/>
        <w:jc w:val="left"/>
        <w:rPr>
          <w:b w:val="0"/>
          <w:bCs w:val="0"/>
        </w:rPr>
      </w:pPr>
      <w:bookmarkStart w:name="一、董事、监事和高级管理人员持股变动" w:id="125"/>
      <w:bookmarkEnd w:id="125"/>
      <w:r>
        <w:rPr>
          <w:b w:val="0"/>
          <w:bCs w:val="0"/>
        </w:rPr>
      </w:r>
      <w:r>
        <w:rPr/>
        <w:t>一、董事、监事和高级管理人员持股变动</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4"/>
          <w:szCs w:val="14"/>
        </w:rPr>
      </w:pPr>
    </w:p>
    <w:p>
      <w:pPr>
        <w:spacing w:before="44"/>
        <w:ind w:left="0" w:right="2858" w:firstLine="0"/>
        <w:jc w:val="right"/>
        <w:rPr>
          <w:rFonts w:ascii="宋体" w:hAnsi="宋体" w:cs="宋体" w:eastAsia="宋体" w:hint="default"/>
          <w:sz w:val="18"/>
          <w:szCs w:val="18"/>
        </w:rPr>
      </w:pPr>
      <w:r>
        <w:rPr/>
        <w:pict>
          <v:shape style="position:absolute;margin-left:56.400002pt;margin-top:-31.929283pt;width:479.3pt;height:572.050pt;mso-position-horizontal-relative:page;mso-position-vertical-relative:paragraph;z-index:205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648"/>
                    <w:gridCol w:w="826"/>
                    <w:gridCol w:w="494"/>
                    <w:gridCol w:w="526"/>
                    <w:gridCol w:w="466"/>
                    <w:gridCol w:w="1546"/>
                    <w:gridCol w:w="763"/>
                    <w:gridCol w:w="977"/>
                    <w:gridCol w:w="643"/>
                    <w:gridCol w:w="960"/>
                    <w:gridCol w:w="71"/>
                    <w:gridCol w:w="620"/>
                    <w:gridCol w:w="1032"/>
                  </w:tblGrid>
                  <w:tr>
                    <w:trPr>
                      <w:trHeight w:val="1339" w:hRule="exact"/>
                    </w:trPr>
                    <w:tc>
                      <w:tcPr>
                        <w:tcW w:w="64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8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4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62" w:right="60"/>
                          <w:jc w:val="left"/>
                          <w:rPr>
                            <w:rFonts w:ascii="宋体" w:hAnsi="宋体" w:cs="宋体" w:eastAsia="宋体" w:hint="default"/>
                            <w:sz w:val="18"/>
                            <w:szCs w:val="18"/>
                          </w:rPr>
                        </w:pPr>
                        <w:r>
                          <w:rPr>
                            <w:rFonts w:ascii="宋体" w:hAnsi="宋体" w:cs="宋体" w:eastAsia="宋体" w:hint="default"/>
                            <w:sz w:val="18"/>
                            <w:szCs w:val="18"/>
                          </w:rPr>
                          <w:t>任职 状态</w:t>
                        </w:r>
                      </w:p>
                    </w:tc>
                    <w:tc>
                      <w:tcPr>
                        <w:tcW w:w="5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4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154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任期起始日期</w:t>
                        </w:r>
                      </w:p>
                    </w:tc>
                    <w:tc>
                      <w:tcPr>
                        <w:tcW w:w="76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107" w:right="103"/>
                          <w:jc w:val="left"/>
                          <w:rPr>
                            <w:rFonts w:ascii="宋体" w:hAnsi="宋体" w:cs="宋体" w:eastAsia="宋体" w:hint="default"/>
                            <w:sz w:val="18"/>
                            <w:szCs w:val="18"/>
                          </w:rPr>
                        </w:pPr>
                        <w:r>
                          <w:rPr>
                            <w:rFonts w:ascii="宋体" w:hAnsi="宋体" w:cs="宋体" w:eastAsia="宋体" w:hint="default"/>
                            <w:sz w:val="18"/>
                            <w:szCs w:val="18"/>
                          </w:rPr>
                          <w:t>任期终 止日期</w:t>
                        </w:r>
                      </w:p>
                    </w:tc>
                    <w:tc>
                      <w:tcPr>
                        <w:tcW w:w="97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4" w:right="0"/>
                          <w:jc w:val="center"/>
                          <w:rPr>
                            <w:rFonts w:ascii="宋体" w:hAnsi="宋体" w:cs="宋体" w:eastAsia="宋体" w:hint="default"/>
                            <w:sz w:val="18"/>
                            <w:szCs w:val="18"/>
                          </w:rPr>
                        </w:pPr>
                        <w:r>
                          <w:rPr>
                            <w:rFonts w:ascii="宋体" w:hAnsi="宋体" w:cs="宋体" w:eastAsia="宋体" w:hint="default"/>
                            <w:sz w:val="18"/>
                            <w:szCs w:val="18"/>
                          </w:rPr>
                          <w:t>期初持股数</w:t>
                        </w:r>
                      </w:p>
                      <w:p>
                        <w:pPr>
                          <w:pStyle w:val="TableParagraph"/>
                          <w:spacing w:line="240" w:lineRule="auto" w:before="76"/>
                          <w:ind w:left="4" w:right="0"/>
                          <w:jc w:val="center"/>
                          <w:rPr>
                            <w:rFonts w:ascii="宋体" w:hAnsi="宋体" w:cs="宋体" w:eastAsia="宋体" w:hint="default"/>
                            <w:sz w:val="18"/>
                            <w:szCs w:val="18"/>
                          </w:rPr>
                        </w:pPr>
                        <w:r>
                          <w:rPr>
                            <w:rFonts w:ascii="宋体" w:hAnsi="宋体" w:cs="宋体" w:eastAsia="宋体" w:hint="default"/>
                            <w:sz w:val="18"/>
                            <w:szCs w:val="18"/>
                          </w:rPr>
                          <w:t>（股）</w:t>
                        </w:r>
                      </w:p>
                    </w:tc>
                    <w:tc>
                      <w:tcPr>
                        <w:tcW w:w="64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47" w:right="43"/>
                          <w:jc w:val="both"/>
                          <w:rPr>
                            <w:rFonts w:ascii="宋体" w:hAnsi="宋体" w:cs="宋体" w:eastAsia="宋体" w:hint="default"/>
                            <w:sz w:val="18"/>
                            <w:szCs w:val="18"/>
                          </w:rPr>
                        </w:pPr>
                        <w:r>
                          <w:rPr>
                            <w:rFonts w:ascii="宋体" w:hAnsi="宋体" w:cs="宋体" w:eastAsia="宋体" w:hint="default"/>
                            <w:sz w:val="18"/>
                            <w:szCs w:val="18"/>
                          </w:rPr>
                          <w:t>本期增 持股份 数量</w:t>
                        </w:r>
                      </w:p>
                      <w:p>
                        <w:pPr>
                          <w:pStyle w:val="TableParagraph"/>
                          <w:spacing w:line="240" w:lineRule="auto" w:before="19"/>
                          <w:ind w:left="47" w:right="0"/>
                          <w:jc w:val="both"/>
                          <w:rPr>
                            <w:rFonts w:ascii="宋体" w:hAnsi="宋体" w:cs="宋体" w:eastAsia="宋体" w:hint="default"/>
                            <w:sz w:val="18"/>
                            <w:szCs w:val="18"/>
                          </w:rPr>
                        </w:pPr>
                        <w:r>
                          <w:rPr>
                            <w:rFonts w:ascii="宋体" w:hAnsi="宋体" w:cs="宋体" w:eastAsia="宋体" w:hint="default"/>
                            <w:sz w:val="18"/>
                            <w:szCs w:val="18"/>
                          </w:rPr>
                          <w:t>（股）</w:t>
                        </w:r>
                      </w:p>
                    </w:tc>
                    <w:tc>
                      <w:tcPr>
                        <w:tcW w:w="9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6" w:right="19" w:firstLine="2"/>
                          <w:jc w:val="left"/>
                          <w:rPr>
                            <w:rFonts w:ascii="宋体" w:hAnsi="宋体" w:cs="宋体" w:eastAsia="宋体" w:hint="default"/>
                            <w:sz w:val="18"/>
                            <w:szCs w:val="18"/>
                          </w:rPr>
                        </w:pPr>
                        <w:r>
                          <w:rPr>
                            <w:rFonts w:ascii="宋体" w:hAnsi="宋体" w:cs="宋体" w:eastAsia="宋体" w:hint="default"/>
                            <w:sz w:val="18"/>
                            <w:szCs w:val="18"/>
                          </w:rPr>
                          <w:t>本期减持股 </w:t>
                        </w:r>
                        <w:r>
                          <w:rPr>
                            <w:rFonts w:ascii="宋体" w:hAnsi="宋体" w:cs="宋体" w:eastAsia="宋体" w:hint="default"/>
                            <w:spacing w:val="-18"/>
                            <w:sz w:val="18"/>
                            <w:szCs w:val="18"/>
                          </w:rPr>
                          <w:t>份数量（股</w:t>
                        </w:r>
                      </w:p>
                    </w:tc>
                    <w:tc>
                      <w:tcPr>
                        <w:tcW w:w="71" w:type="dxa"/>
                        <w:tcBorders>
                          <w:top w:val="single" w:sz="4" w:space="0" w:color="000000"/>
                          <w:left w:val="single" w:sz="4" w:space="0" w:color="000000"/>
                          <w:bottom w:val="single" w:sz="4" w:space="0" w:color="000000"/>
                          <w:right w:val="nil" w:sz="6" w:space="0" w:color="auto"/>
                        </w:tcBorders>
                        <w:shd w:val="clear" w:color="auto" w:fill="D4D4D4"/>
                      </w:tcPr>
                      <w:p>
                        <w:pPr/>
                      </w:p>
                    </w:tc>
                    <w:tc>
                      <w:tcPr>
                        <w:tcW w:w="620" w:type="dxa"/>
                        <w:tcBorders>
                          <w:top w:val="single" w:sz="4" w:space="0" w:color="000000"/>
                          <w:left w:val="nil" w:sz="6" w:space="0" w:color="auto"/>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5" w:right="67"/>
                          <w:jc w:val="left"/>
                          <w:rPr>
                            <w:rFonts w:ascii="宋体" w:hAnsi="宋体" w:cs="宋体" w:eastAsia="宋体" w:hint="default"/>
                            <w:sz w:val="18"/>
                            <w:szCs w:val="18"/>
                          </w:rPr>
                        </w:pPr>
                        <w:r>
                          <w:rPr>
                            <w:rFonts w:ascii="宋体" w:hAnsi="宋体" w:cs="宋体" w:eastAsia="宋体" w:hint="default"/>
                            <w:sz w:val="18"/>
                            <w:szCs w:val="18"/>
                          </w:rPr>
                          <w:t>其他增 减变动</w:t>
                        </w:r>
                      </w:p>
                      <w:p>
                        <w:pPr>
                          <w:pStyle w:val="TableParagraph"/>
                          <w:spacing w:line="240" w:lineRule="auto" w:before="19"/>
                          <w:ind w:left="5" w:right="0"/>
                          <w:jc w:val="left"/>
                          <w:rPr>
                            <w:rFonts w:ascii="宋体" w:hAnsi="宋体" w:cs="宋体" w:eastAsia="宋体" w:hint="default"/>
                            <w:sz w:val="18"/>
                            <w:szCs w:val="18"/>
                          </w:rPr>
                        </w:pPr>
                        <w:r>
                          <w:rPr>
                            <w:rFonts w:ascii="宋体" w:hAnsi="宋体" w:cs="宋体" w:eastAsia="宋体" w:hint="default"/>
                            <w:sz w:val="18"/>
                            <w:szCs w:val="18"/>
                          </w:rPr>
                          <w:t>（股）</w:t>
                        </w:r>
                      </w:p>
                    </w:tc>
                    <w:tc>
                      <w:tcPr>
                        <w:tcW w:w="103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 w:right="0"/>
                          <w:jc w:val="center"/>
                          <w:rPr>
                            <w:rFonts w:ascii="宋体" w:hAnsi="宋体" w:cs="宋体" w:eastAsia="宋体" w:hint="default"/>
                            <w:sz w:val="18"/>
                            <w:szCs w:val="18"/>
                          </w:rPr>
                        </w:pPr>
                        <w:r>
                          <w:rPr>
                            <w:rFonts w:ascii="宋体" w:hAnsi="宋体" w:cs="宋体" w:eastAsia="宋体" w:hint="default"/>
                            <w:sz w:val="18"/>
                            <w:szCs w:val="18"/>
                          </w:rPr>
                          <w:t>期末持股数</w:t>
                        </w:r>
                      </w:p>
                      <w:p>
                        <w:pPr>
                          <w:pStyle w:val="TableParagraph"/>
                          <w:spacing w:line="240" w:lineRule="auto" w:before="76"/>
                          <w:ind w:left="2" w:right="0"/>
                          <w:jc w:val="center"/>
                          <w:rPr>
                            <w:rFonts w:ascii="宋体" w:hAnsi="宋体" w:cs="宋体" w:eastAsia="宋体" w:hint="default"/>
                            <w:sz w:val="18"/>
                            <w:szCs w:val="18"/>
                          </w:rPr>
                        </w:pPr>
                        <w:r>
                          <w:rPr>
                            <w:rFonts w:ascii="宋体" w:hAnsi="宋体" w:cs="宋体" w:eastAsia="宋体" w:hint="default"/>
                            <w:sz w:val="18"/>
                            <w:szCs w:val="18"/>
                          </w:rPr>
                          <w:t>（股）</w:t>
                        </w:r>
                      </w:p>
                    </w:tc>
                  </w:tr>
                  <w:tr>
                    <w:trPr>
                      <w:trHeight w:val="401"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滕达</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49</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2,587,922</w:t>
                        </w: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646,981</w:t>
                        </w:r>
                      </w:p>
                    </w:tc>
                    <w:tc>
                      <w:tcPr>
                        <w:tcW w:w="691" w:type="dxa"/>
                        <w:gridSpan w:val="2"/>
                        <w:tcBorders>
                          <w:top w:val="single" w:sz="4" w:space="0" w:color="000000"/>
                          <w:left w:val="single" w:sz="4" w:space="0" w:color="000000"/>
                          <w:bottom w:val="single" w:sz="4" w:space="0" w:color="000000"/>
                          <w:right w:val="single" w:sz="4" w:space="0" w:color="000000"/>
                        </w:tcBorders>
                      </w:tcPr>
                      <w:p>
                        <w:pP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1,940,941</w:t>
                        </w:r>
                      </w:p>
                    </w:tc>
                  </w:tr>
                  <w:tr>
                    <w:trPr>
                      <w:trHeight w:val="403"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申强</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总经理</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50</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1,662,400</w:t>
                        </w: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
                    </w:tc>
                    <w:tc>
                      <w:tcPr>
                        <w:tcW w:w="6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5" w:right="0"/>
                          <w:jc w:val="left"/>
                          <w:rPr>
                            <w:rFonts w:ascii="Times New Roman" w:hAnsi="Times New Roman" w:cs="Times New Roman" w:eastAsia="Times New Roman" w:hint="default"/>
                            <w:sz w:val="18"/>
                            <w:szCs w:val="18"/>
                          </w:rPr>
                        </w:pPr>
                        <w:r>
                          <w:rPr>
                            <w:rFonts w:ascii="Times New Roman"/>
                            <w:sz w:val="18"/>
                          </w:rPr>
                          <w:t>95,000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1,757,400</w:t>
                        </w:r>
                      </w:p>
                    </w:tc>
                  </w:tr>
                  <w:tr>
                    <w:trPr>
                      <w:trHeight w:val="401"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涂峥</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36</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
                    </w:tc>
                    <w:tc>
                      <w:tcPr>
                        <w:tcW w:w="691" w:type="dxa"/>
                        <w:gridSpan w:val="2"/>
                        <w:tcBorders>
                          <w:top w:val="single" w:sz="4" w:space="0" w:color="000000"/>
                          <w:left w:val="single" w:sz="4" w:space="0" w:color="000000"/>
                          <w:bottom w:val="single" w:sz="4" w:space="0" w:color="000000"/>
                          <w:right w:val="single" w:sz="4" w:space="0" w:color="000000"/>
                        </w:tcBorders>
                      </w:tcPr>
                      <w:p>
                        <w:pP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蒋蕊</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47</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
                    </w:tc>
                    <w:tc>
                      <w:tcPr>
                        <w:tcW w:w="691" w:type="dxa"/>
                        <w:gridSpan w:val="2"/>
                        <w:tcBorders>
                          <w:top w:val="single" w:sz="4" w:space="0" w:color="000000"/>
                          <w:left w:val="single" w:sz="4" w:space="0" w:color="000000"/>
                          <w:bottom w:val="single" w:sz="4" w:space="0" w:color="000000"/>
                          <w:right w:val="single" w:sz="4" w:space="0" w:color="000000"/>
                        </w:tcBorders>
                      </w:tcPr>
                      <w:p>
                        <w:pP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徐从瑞</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44</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
                    </w:tc>
                    <w:tc>
                      <w:tcPr>
                        <w:tcW w:w="691" w:type="dxa"/>
                        <w:gridSpan w:val="2"/>
                        <w:tcBorders>
                          <w:top w:val="single" w:sz="4" w:space="0" w:color="000000"/>
                          <w:left w:val="single" w:sz="4" w:space="0" w:color="000000"/>
                          <w:bottom w:val="single" w:sz="4" w:space="0" w:color="000000"/>
                          <w:right w:val="single" w:sz="4" w:space="0" w:color="000000"/>
                        </w:tcBorders>
                      </w:tcPr>
                      <w:p>
                        <w:pP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丁文波</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34</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
                    </w:tc>
                    <w:tc>
                      <w:tcPr>
                        <w:tcW w:w="691" w:type="dxa"/>
                        <w:gridSpan w:val="2"/>
                        <w:tcBorders>
                          <w:top w:val="single" w:sz="4" w:space="0" w:color="000000"/>
                          <w:left w:val="single" w:sz="4" w:space="0" w:color="000000"/>
                          <w:bottom w:val="single" w:sz="4" w:space="0" w:color="000000"/>
                          <w:right w:val="single" w:sz="4" w:space="0" w:color="000000"/>
                        </w:tcBorders>
                      </w:tcPr>
                      <w:p>
                        <w:pP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蔡志平</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55</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
                    </w:tc>
                    <w:tc>
                      <w:tcPr>
                        <w:tcW w:w="691" w:type="dxa"/>
                        <w:gridSpan w:val="2"/>
                        <w:tcBorders>
                          <w:top w:val="single" w:sz="4" w:space="0" w:color="000000"/>
                          <w:left w:val="single" w:sz="4" w:space="0" w:color="000000"/>
                          <w:bottom w:val="single" w:sz="4" w:space="0" w:color="000000"/>
                          <w:right w:val="single" w:sz="4" w:space="0" w:color="000000"/>
                        </w:tcBorders>
                      </w:tcPr>
                      <w:p>
                        <w:pP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卢永华</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65</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
                    </w:tc>
                    <w:tc>
                      <w:tcPr>
                        <w:tcW w:w="691" w:type="dxa"/>
                        <w:gridSpan w:val="2"/>
                        <w:tcBorders>
                          <w:top w:val="single" w:sz="4" w:space="0" w:color="000000"/>
                          <w:left w:val="single" w:sz="4" w:space="0" w:color="000000"/>
                          <w:bottom w:val="single" w:sz="4" w:space="0" w:color="000000"/>
                          <w:right w:val="single" w:sz="4" w:space="0" w:color="000000"/>
                        </w:tcBorders>
                      </w:tcPr>
                      <w:p>
                        <w:pP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曲晓辉</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65</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
                    </w:tc>
                    <w:tc>
                      <w:tcPr>
                        <w:tcW w:w="691" w:type="dxa"/>
                        <w:gridSpan w:val="2"/>
                        <w:tcBorders>
                          <w:top w:val="single" w:sz="4" w:space="0" w:color="000000"/>
                          <w:left w:val="single" w:sz="4" w:space="0" w:color="000000"/>
                          <w:bottom w:val="single" w:sz="4" w:space="0" w:color="000000"/>
                          <w:right w:val="single" w:sz="4" w:space="0" w:color="000000"/>
                        </w:tcBorders>
                      </w:tcPr>
                      <w:p>
                        <w:pP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0</w:t>
                        </w:r>
                      </w:p>
                    </w:tc>
                  </w:tr>
                  <w:tr>
                    <w:trPr>
                      <w:trHeight w:val="715"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仲丽华</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319" w:right="43" w:hanging="269"/>
                          <w:jc w:val="left"/>
                          <w:rPr>
                            <w:rFonts w:ascii="宋体" w:hAnsi="宋体" w:cs="宋体" w:eastAsia="宋体" w:hint="default"/>
                            <w:sz w:val="18"/>
                            <w:szCs w:val="18"/>
                          </w:rPr>
                        </w:pPr>
                        <w:r>
                          <w:rPr>
                            <w:rFonts w:ascii="宋体" w:hAnsi="宋体" w:cs="宋体" w:eastAsia="宋体" w:hint="default"/>
                            <w:sz w:val="18"/>
                            <w:szCs w:val="18"/>
                          </w:rPr>
                          <w:t>监事会主 席</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6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43</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
                    </w:tc>
                    <w:tc>
                      <w:tcPr>
                        <w:tcW w:w="691" w:type="dxa"/>
                        <w:gridSpan w:val="2"/>
                        <w:tcBorders>
                          <w:top w:val="single" w:sz="4" w:space="0" w:color="000000"/>
                          <w:left w:val="single" w:sz="4" w:space="0" w:color="000000"/>
                          <w:bottom w:val="single" w:sz="4" w:space="0" w:color="000000"/>
                          <w:right w:val="single" w:sz="4" w:space="0" w:color="000000"/>
                        </w:tcBorders>
                      </w:tcPr>
                      <w:p>
                        <w:pP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李国林</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51</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94,923,360</w:t>
                        </w: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23,600,000</w:t>
                        </w:r>
                      </w:p>
                    </w:tc>
                    <w:tc>
                      <w:tcPr>
                        <w:tcW w:w="6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71,323,360</w:t>
                        </w:r>
                      </w:p>
                    </w:tc>
                  </w:tr>
                  <w:tr>
                    <w:trPr>
                      <w:trHeight w:val="403"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刘冬颖</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43</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40,960,000</w:t>
                        </w: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10,240,000</w:t>
                        </w:r>
                      </w:p>
                    </w:tc>
                    <w:tc>
                      <w:tcPr>
                        <w:tcW w:w="691" w:type="dxa"/>
                        <w:gridSpan w:val="2"/>
                        <w:tcBorders>
                          <w:top w:val="single" w:sz="4" w:space="0" w:color="000000"/>
                          <w:left w:val="single" w:sz="4" w:space="0" w:color="000000"/>
                          <w:bottom w:val="single" w:sz="4" w:space="0" w:color="000000"/>
                          <w:right w:val="single" w:sz="4" w:space="0" w:color="000000"/>
                        </w:tcBorders>
                      </w:tcPr>
                      <w:p>
                        <w:pP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30,720,000</w:t>
                        </w:r>
                      </w:p>
                    </w:tc>
                  </w:tr>
                  <w:tr>
                    <w:trPr>
                      <w:trHeight w:val="401"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吴鸿伟</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43</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1,689,280</w:t>
                        </w: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
                    </w:tc>
                    <w:tc>
                      <w:tcPr>
                        <w:tcW w:w="6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5" w:right="0"/>
                          <w:jc w:val="left"/>
                          <w:rPr>
                            <w:rFonts w:ascii="Times New Roman" w:hAnsi="Times New Roman" w:cs="Times New Roman" w:eastAsia="Times New Roman" w:hint="default"/>
                            <w:sz w:val="18"/>
                            <w:szCs w:val="18"/>
                          </w:rPr>
                        </w:pPr>
                        <w:r>
                          <w:rPr>
                            <w:rFonts w:ascii="Times New Roman"/>
                            <w:sz w:val="18"/>
                          </w:rPr>
                          <w:t>72,400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1,761,680</w:t>
                        </w:r>
                      </w:p>
                    </w:tc>
                  </w:tr>
                  <w:tr>
                    <w:trPr>
                      <w:trHeight w:val="403"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张雪峰</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46</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1,055,200</w:t>
                        </w: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
                    </w:tc>
                    <w:tc>
                      <w:tcPr>
                        <w:tcW w:w="6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5" w:right="0"/>
                          <w:jc w:val="left"/>
                          <w:rPr>
                            <w:rFonts w:ascii="Times New Roman" w:hAnsi="Times New Roman" w:cs="Times New Roman" w:eastAsia="Times New Roman" w:hint="default"/>
                            <w:sz w:val="18"/>
                            <w:szCs w:val="18"/>
                          </w:rPr>
                        </w:pPr>
                        <w:r>
                          <w:rPr>
                            <w:rFonts w:ascii="Times New Roman"/>
                            <w:sz w:val="18"/>
                          </w:rPr>
                          <w:t>36,900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1,092,100</w:t>
                        </w:r>
                      </w:p>
                    </w:tc>
                  </w:tr>
                  <w:tr>
                    <w:trPr>
                      <w:trHeight w:val="401"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栾江霞</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46</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854,400</w:t>
                        </w: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
                    </w:tc>
                    <w:tc>
                      <w:tcPr>
                        <w:tcW w:w="6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5" w:right="0"/>
                          <w:jc w:val="left"/>
                          <w:rPr>
                            <w:rFonts w:ascii="Times New Roman" w:hAnsi="Times New Roman" w:cs="Times New Roman" w:eastAsia="Times New Roman" w:hint="default"/>
                            <w:sz w:val="18"/>
                            <w:szCs w:val="18"/>
                          </w:rPr>
                        </w:pPr>
                        <w:r>
                          <w:rPr>
                            <w:rFonts w:ascii="Times New Roman"/>
                            <w:sz w:val="18"/>
                          </w:rPr>
                          <w:t>63,300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917,700</w:t>
                        </w:r>
                      </w:p>
                    </w:tc>
                  </w:tr>
                  <w:tr>
                    <w:trPr>
                      <w:trHeight w:val="403"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张乃军</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48</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1,200,000</w:t>
                        </w: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
                    </w:tc>
                    <w:tc>
                      <w:tcPr>
                        <w:tcW w:w="6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5" w:right="0"/>
                          <w:jc w:val="left"/>
                          <w:rPr>
                            <w:rFonts w:ascii="Times New Roman" w:hAnsi="Times New Roman" w:cs="Times New Roman" w:eastAsia="Times New Roman" w:hint="default"/>
                            <w:sz w:val="18"/>
                            <w:szCs w:val="18"/>
                          </w:rPr>
                        </w:pPr>
                        <w:r>
                          <w:rPr>
                            <w:rFonts w:ascii="Times New Roman"/>
                            <w:sz w:val="18"/>
                          </w:rPr>
                          <w:t>58,000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1,258,000</w:t>
                        </w:r>
                      </w:p>
                    </w:tc>
                  </w:tr>
                  <w:tr>
                    <w:trPr>
                      <w:trHeight w:val="401"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葛鹏</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51</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128,000</w:t>
                        </w: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
                    </w:tc>
                    <w:tc>
                      <w:tcPr>
                        <w:tcW w:w="6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5" w:right="0"/>
                          <w:jc w:val="left"/>
                          <w:rPr>
                            <w:rFonts w:ascii="Times New Roman" w:hAnsi="Times New Roman" w:cs="Times New Roman" w:eastAsia="Times New Roman" w:hint="default"/>
                            <w:sz w:val="18"/>
                            <w:szCs w:val="18"/>
                          </w:rPr>
                        </w:pPr>
                        <w:r>
                          <w:rPr>
                            <w:rFonts w:ascii="Times New Roman"/>
                            <w:sz w:val="18"/>
                          </w:rPr>
                          <w:t>58,000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186,000</w:t>
                        </w:r>
                      </w:p>
                    </w:tc>
                  </w:tr>
                  <w:tr>
                    <w:trPr>
                      <w:trHeight w:val="403"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周成祖</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36</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112,000</w:t>
                        </w: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3,000</w:t>
                        </w:r>
                      </w:p>
                    </w:tc>
                    <w:tc>
                      <w:tcPr>
                        <w:tcW w:w="6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5" w:right="0"/>
                          <w:jc w:val="left"/>
                          <w:rPr>
                            <w:rFonts w:ascii="Times New Roman" w:hAnsi="Times New Roman" w:cs="Times New Roman" w:eastAsia="Times New Roman" w:hint="default"/>
                            <w:sz w:val="18"/>
                            <w:szCs w:val="18"/>
                          </w:rPr>
                        </w:pPr>
                        <w:r>
                          <w:rPr>
                            <w:rFonts w:ascii="Times New Roman"/>
                            <w:sz w:val="18"/>
                          </w:rPr>
                          <w:t>72,400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181,400</w:t>
                        </w:r>
                      </w:p>
                    </w:tc>
                  </w:tr>
                  <w:tr>
                    <w:trPr>
                      <w:trHeight w:val="713"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蔡志评</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319" w:right="43" w:hanging="269"/>
                          <w:jc w:val="left"/>
                          <w:rPr>
                            <w:rFonts w:ascii="宋体" w:hAnsi="宋体" w:cs="宋体" w:eastAsia="宋体" w:hint="default"/>
                            <w:sz w:val="18"/>
                            <w:szCs w:val="18"/>
                          </w:rPr>
                        </w:pPr>
                        <w:r>
                          <w:rPr>
                            <w:rFonts w:ascii="宋体" w:hAnsi="宋体" w:cs="宋体" w:eastAsia="宋体" w:hint="default"/>
                            <w:sz w:val="18"/>
                            <w:szCs w:val="18"/>
                          </w:rPr>
                          <w:t>董事会秘 书</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6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45</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206,080</w:t>
                        </w: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
                    </w:tc>
                    <w:tc>
                      <w:tcPr>
                        <w:tcW w:w="6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5" w:right="0"/>
                          <w:jc w:val="left"/>
                          <w:rPr>
                            <w:rFonts w:ascii="Times New Roman" w:hAnsi="Times New Roman" w:cs="Times New Roman" w:eastAsia="Times New Roman" w:hint="default"/>
                            <w:sz w:val="18"/>
                            <w:szCs w:val="18"/>
                          </w:rPr>
                        </w:pPr>
                        <w:r>
                          <w:rPr>
                            <w:rFonts w:ascii="Times New Roman"/>
                            <w:sz w:val="18"/>
                          </w:rPr>
                          <w:t>58,000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264,080</w:t>
                        </w:r>
                      </w:p>
                    </w:tc>
                  </w:tr>
                  <w:tr>
                    <w:trPr>
                      <w:trHeight w:val="403"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韦玉荣</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47</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7,444,400</w:t>
                        </w: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 w:right="0"/>
                          <w:jc w:val="center"/>
                          <w:rPr>
                            <w:rFonts w:ascii="Times New Roman" w:hAnsi="Times New Roman" w:cs="Times New Roman" w:eastAsia="Times New Roman" w:hint="default"/>
                            <w:sz w:val="18"/>
                            <w:szCs w:val="18"/>
                          </w:rPr>
                        </w:pPr>
                        <w:r>
                          <w:rPr>
                            <w:rFonts w:ascii="Times New Roman"/>
                            <w:sz w:val="18"/>
                          </w:rPr>
                          <w:t>1,861,100</w:t>
                        </w:r>
                      </w:p>
                    </w:tc>
                    <w:tc>
                      <w:tcPr>
                        <w:tcW w:w="691" w:type="dxa"/>
                        <w:gridSpan w:val="2"/>
                        <w:tcBorders>
                          <w:top w:val="single" w:sz="4" w:space="0" w:color="000000"/>
                          <w:left w:val="single" w:sz="4" w:space="0" w:color="000000"/>
                          <w:bottom w:val="single" w:sz="4" w:space="0" w:color="000000"/>
                          <w:right w:val="single" w:sz="4" w:space="0" w:color="000000"/>
                        </w:tcBorders>
                      </w:tcPr>
                      <w:p>
                        <w:pP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5,583,300</w:t>
                        </w:r>
                      </w:p>
                    </w:tc>
                  </w:tr>
                  <w:tr>
                    <w:trPr>
                      <w:trHeight w:val="401"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苏学武</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49</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16,400,236</w:t>
                        </w: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 w:right="0"/>
                          <w:jc w:val="center"/>
                          <w:rPr>
                            <w:rFonts w:ascii="Times New Roman" w:hAnsi="Times New Roman" w:cs="Times New Roman" w:eastAsia="Times New Roman" w:hint="default"/>
                            <w:sz w:val="18"/>
                            <w:szCs w:val="18"/>
                          </w:rPr>
                        </w:pPr>
                        <w:r>
                          <w:rPr>
                            <w:rFonts w:ascii="Times New Roman"/>
                            <w:sz w:val="18"/>
                          </w:rPr>
                          <w:t>4,100,059</w:t>
                        </w:r>
                      </w:p>
                    </w:tc>
                    <w:tc>
                      <w:tcPr>
                        <w:tcW w:w="691" w:type="dxa"/>
                        <w:gridSpan w:val="2"/>
                        <w:tcBorders>
                          <w:top w:val="single" w:sz="4" w:space="0" w:color="000000"/>
                          <w:left w:val="single" w:sz="4" w:space="0" w:color="000000"/>
                          <w:bottom w:val="single" w:sz="4" w:space="0" w:color="000000"/>
                          <w:right w:val="single" w:sz="4" w:space="0" w:color="000000"/>
                        </w:tcBorders>
                      </w:tcPr>
                      <w:p>
                        <w:pP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12,300,177</w:t>
                        </w:r>
                      </w:p>
                    </w:tc>
                  </w:tr>
                  <w:tr>
                    <w:trPr>
                      <w:trHeight w:val="1027"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 w:right="0"/>
                          <w:jc w:val="center"/>
                          <w:rPr>
                            <w:rFonts w:ascii="宋体" w:hAnsi="宋体" w:cs="宋体" w:eastAsia="宋体" w:hint="default"/>
                            <w:sz w:val="18"/>
                            <w:szCs w:val="18"/>
                          </w:rPr>
                        </w:pPr>
                        <w:r>
                          <w:rPr>
                            <w:rFonts w:ascii="宋体" w:hAnsi="宋体" w:cs="宋体" w:eastAsia="宋体" w:hint="default"/>
                            <w:sz w:val="18"/>
                            <w:szCs w:val="18"/>
                          </w:rPr>
                          <w:t>郭永芳</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4" w:right="0"/>
                          <w:jc w:val="center"/>
                          <w:rPr>
                            <w:rFonts w:ascii="宋体" w:hAnsi="宋体" w:cs="宋体" w:eastAsia="宋体" w:hint="default"/>
                            <w:sz w:val="18"/>
                            <w:szCs w:val="18"/>
                          </w:rPr>
                        </w:pPr>
                        <w:r>
                          <w:rPr>
                            <w:rFonts w:ascii="宋体" w:hAnsi="宋体" w:cs="宋体" w:eastAsia="宋体" w:hint="default"/>
                            <w:sz w:val="18"/>
                            <w:szCs w:val="18"/>
                          </w:rPr>
                          <w:t>副董事长</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62"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4"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74</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02</w:t>
                        </w:r>
                      </w:p>
                      <w:p>
                        <w:pPr>
                          <w:pStyle w:val="TableParagraph"/>
                          <w:spacing w:line="240" w:lineRule="auto" w:before="63"/>
                          <w:ind w:left="2"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 w:right="0"/>
                          <w:jc w:val="center"/>
                          <w:rPr>
                            <w:rFonts w:ascii="Times New Roman" w:hAnsi="Times New Roman" w:cs="Times New Roman" w:eastAsia="Times New Roman" w:hint="default"/>
                            <w:sz w:val="18"/>
                            <w:szCs w:val="18"/>
                          </w:rPr>
                        </w:pPr>
                        <w:r>
                          <w:rPr>
                            <w:rFonts w:ascii="Times New Roman"/>
                            <w:sz w:val="18"/>
                          </w:rPr>
                          <w:t>178,859,133</w:t>
                        </w: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44,714,783</w:t>
                        </w:r>
                      </w:p>
                    </w:tc>
                    <w:tc>
                      <w:tcPr>
                        <w:tcW w:w="691" w:type="dxa"/>
                        <w:gridSpan w:val="2"/>
                        <w:tcBorders>
                          <w:top w:val="single" w:sz="4" w:space="0" w:color="000000"/>
                          <w:left w:val="single" w:sz="4" w:space="0" w:color="000000"/>
                          <w:bottom w:val="single" w:sz="4" w:space="0" w:color="000000"/>
                          <w:right w:val="single" w:sz="4" w:space="0" w:color="000000"/>
                        </w:tcBorders>
                      </w:tcPr>
                      <w:p>
                        <w:pP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134,144,350</w:t>
                        </w:r>
                      </w:p>
                    </w:tc>
                  </w:tr>
                </w:tbl>
                <w:p>
                  <w:pPr/>
                </w:p>
              </w:txbxContent>
            </v:textbox>
            <w10:wrap type="none"/>
          </v:shape>
        </w:pict>
      </w: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648"/>
        <w:gridCol w:w="826"/>
        <w:gridCol w:w="494"/>
        <w:gridCol w:w="526"/>
        <w:gridCol w:w="466"/>
        <w:gridCol w:w="1546"/>
        <w:gridCol w:w="763"/>
        <w:gridCol w:w="977"/>
        <w:gridCol w:w="643"/>
        <w:gridCol w:w="960"/>
        <w:gridCol w:w="691"/>
        <w:gridCol w:w="1032"/>
      </w:tblGrid>
      <w:tr>
        <w:trPr>
          <w:trHeight w:val="1025"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50" w:right="0"/>
              <w:jc w:val="left"/>
              <w:rPr>
                <w:rFonts w:ascii="宋体" w:hAnsi="宋体" w:cs="宋体" w:eastAsia="宋体" w:hint="default"/>
                <w:sz w:val="18"/>
                <w:szCs w:val="18"/>
              </w:rPr>
            </w:pPr>
            <w:r>
              <w:rPr>
                <w:rFonts w:ascii="宋体" w:hAnsi="宋体" w:cs="宋体" w:eastAsia="宋体" w:hint="default"/>
                <w:sz w:val="18"/>
                <w:szCs w:val="18"/>
              </w:rPr>
              <w:t>屈文洲</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4"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4"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47</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02</w:t>
            </w:r>
          </w:p>
          <w:p>
            <w:pPr>
              <w:pStyle w:val="TableParagraph"/>
              <w:spacing w:line="240" w:lineRule="auto" w:before="63"/>
              <w:ind w:left="2"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0</w:t>
            </w: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
        </w:tc>
        <w:tc>
          <w:tcPr>
            <w:tcW w:w="691" w:type="dxa"/>
            <w:tcBorders>
              <w:top w:val="single" w:sz="4" w:space="0" w:color="000000"/>
              <w:left w:val="single" w:sz="4" w:space="0" w:color="000000"/>
              <w:bottom w:val="single" w:sz="4" w:space="0" w:color="000000"/>
              <w:right w:val="single" w:sz="4" w:space="0" w:color="000000"/>
            </w:tcBorders>
          </w:tcPr>
          <w:p>
            <w:pPr/>
          </w:p>
        </w:tc>
        <w:tc>
          <w:tcPr>
            <w:tcW w:w="1032"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39" w:right="0"/>
              <w:jc w:val="left"/>
              <w:rPr>
                <w:rFonts w:ascii="宋体" w:hAnsi="宋体" w:cs="宋体" w:eastAsia="宋体" w:hint="default"/>
                <w:sz w:val="18"/>
                <w:szCs w:val="18"/>
              </w:rPr>
            </w:pPr>
            <w:r>
              <w:rPr>
                <w:rFonts w:ascii="宋体" w:hAnsi="宋体" w:cs="宋体" w:eastAsia="宋体" w:hint="default"/>
                <w:sz w:val="18"/>
                <w:szCs w:val="18"/>
              </w:rPr>
              <w:t>赵庸</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51</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0"/>
              <w:ind w:left="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1,507,200</w:t>
            </w:r>
          </w:p>
        </w:tc>
        <w:tc>
          <w:tcPr>
            <w:tcW w:w="643"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95" w:right="0"/>
              <w:jc w:val="left"/>
              <w:rPr>
                <w:rFonts w:ascii="Times New Roman" w:hAnsi="Times New Roman" w:cs="Times New Roman" w:eastAsia="Times New Roman" w:hint="default"/>
                <w:sz w:val="18"/>
                <w:szCs w:val="18"/>
              </w:rPr>
            </w:pPr>
            <w:r>
              <w:rPr>
                <w:rFonts w:ascii="Times New Roman"/>
                <w:sz w:val="18"/>
              </w:rPr>
              <w:t>36,200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1,543,400</w:t>
            </w:r>
          </w:p>
        </w:tc>
      </w:tr>
      <w:tr>
        <w:trPr>
          <w:trHeight w:val="403" w:hRule="exact"/>
        </w:trPr>
        <w:tc>
          <w:tcPr>
            <w:tcW w:w="64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w:t>
            </w:r>
          </w:p>
        </w:tc>
        <w:tc>
          <w:tcPr>
            <w:tcW w:w="4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5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4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4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6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977"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left="25" w:right="0"/>
              <w:jc w:val="center"/>
              <w:rPr>
                <w:rFonts w:ascii="Times New Roman" w:hAnsi="Times New Roman" w:cs="Times New Roman" w:eastAsia="Times New Roman" w:hint="default"/>
                <w:sz w:val="18"/>
                <w:szCs w:val="18"/>
              </w:rPr>
            </w:pPr>
            <w:r>
              <w:rPr>
                <w:rFonts w:ascii="Times New Roman"/>
                <w:sz w:val="18"/>
              </w:rPr>
              <w:t>349,589,611</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9" w:right="0"/>
              <w:jc w:val="left"/>
              <w:rPr>
                <w:rFonts w:ascii="Times New Roman" w:hAnsi="Times New Roman" w:cs="Times New Roman" w:eastAsia="Times New Roman" w:hint="default"/>
                <w:sz w:val="18"/>
                <w:szCs w:val="18"/>
              </w:rPr>
            </w:pPr>
            <w:r>
              <w:rPr>
                <w:rFonts w:ascii="Times New Roman"/>
                <w:sz w:val="18"/>
              </w:rPr>
              <w:t>85,165,923</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550,200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0" w:right="0"/>
              <w:jc w:val="center"/>
              <w:rPr>
                <w:rFonts w:ascii="Times New Roman" w:hAnsi="Times New Roman" w:cs="Times New Roman" w:eastAsia="Times New Roman" w:hint="default"/>
                <w:sz w:val="18"/>
                <w:szCs w:val="18"/>
              </w:rPr>
            </w:pPr>
            <w:r>
              <w:rPr>
                <w:rFonts w:ascii="Times New Roman"/>
                <w:sz w:val="18"/>
              </w:rPr>
              <w:t>264,973,888</w:t>
            </w:r>
          </w:p>
        </w:tc>
      </w:tr>
    </w:tbl>
    <w:p>
      <w:pPr>
        <w:spacing w:line="240" w:lineRule="auto" w:before="1"/>
        <w:rPr>
          <w:rFonts w:ascii="宋体" w:hAnsi="宋体" w:cs="宋体" w:eastAsia="宋体" w:hint="default"/>
          <w:sz w:val="18"/>
          <w:szCs w:val="18"/>
        </w:rPr>
      </w:pPr>
    </w:p>
    <w:p>
      <w:pPr>
        <w:pStyle w:val="Heading2"/>
        <w:spacing w:line="240" w:lineRule="auto" w:before="26"/>
        <w:ind w:right="986"/>
        <w:jc w:val="left"/>
        <w:rPr>
          <w:b w:val="0"/>
          <w:bCs w:val="0"/>
        </w:rPr>
      </w:pPr>
      <w:bookmarkStart w:name="二、公司董事、监事、高级管理人员变动情况" w:id="126"/>
      <w:bookmarkEnd w:id="126"/>
      <w:r>
        <w:rPr>
          <w:b w:val="0"/>
          <w:bCs w:val="0"/>
        </w:rPr>
      </w:r>
      <w:r>
        <w:rPr/>
        <w:t>二、公司董事、监事、高级管理人员变动情况</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785"/>
        <w:gridCol w:w="974"/>
        <w:gridCol w:w="734"/>
        <w:gridCol w:w="1606"/>
        <w:gridCol w:w="5467"/>
      </w:tblGrid>
      <w:tr>
        <w:trPr>
          <w:trHeight w:val="401" w:hRule="exact"/>
        </w:trPr>
        <w:tc>
          <w:tcPr>
            <w:tcW w:w="78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06"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97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7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82" w:right="0"/>
              <w:jc w:val="left"/>
              <w:rPr>
                <w:rFonts w:ascii="宋体" w:hAnsi="宋体" w:cs="宋体" w:eastAsia="宋体" w:hint="default"/>
                <w:sz w:val="18"/>
                <w:szCs w:val="18"/>
              </w:rPr>
            </w:pPr>
            <w:r>
              <w:rPr>
                <w:rFonts w:ascii="宋体" w:hAnsi="宋体" w:cs="宋体" w:eastAsia="宋体" w:hint="default"/>
                <w:sz w:val="18"/>
                <w:szCs w:val="18"/>
              </w:rPr>
              <w:t>类型</w:t>
            </w:r>
          </w:p>
        </w:tc>
        <w:tc>
          <w:tcPr>
            <w:tcW w:w="160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54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715" w:hRule="exact"/>
        </w:trPr>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郭永芳</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5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日</w:t>
            </w:r>
          </w:p>
        </w:tc>
        <w:tc>
          <w:tcPr>
            <w:tcW w:w="546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31"/>
              <w:jc w:val="left"/>
              <w:rPr>
                <w:rFonts w:ascii="宋体" w:hAnsi="宋体" w:cs="宋体" w:eastAsia="宋体" w:hint="default"/>
                <w:sz w:val="18"/>
                <w:szCs w:val="18"/>
              </w:rPr>
            </w:pPr>
            <w:r>
              <w:rPr>
                <w:rFonts w:ascii="宋体" w:hAnsi="宋体" w:cs="宋体" w:eastAsia="宋体" w:hint="default"/>
                <w:sz w:val="18"/>
                <w:szCs w:val="18"/>
              </w:rPr>
              <w:t>因控制权发生变更，为更好适应新形势下公司治理的需要，辞去副董 事长职务</w:t>
            </w:r>
          </w:p>
        </w:tc>
      </w:tr>
      <w:tr>
        <w:trPr>
          <w:trHeight w:val="713" w:hRule="exact"/>
        </w:trPr>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李国林</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任免</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5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日</w:t>
            </w:r>
          </w:p>
        </w:tc>
        <w:tc>
          <w:tcPr>
            <w:tcW w:w="54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31"/>
              <w:jc w:val="left"/>
              <w:rPr>
                <w:rFonts w:ascii="宋体" w:hAnsi="宋体" w:cs="宋体" w:eastAsia="宋体" w:hint="default"/>
                <w:sz w:val="18"/>
                <w:szCs w:val="18"/>
              </w:rPr>
            </w:pPr>
            <w:r>
              <w:rPr>
                <w:rFonts w:ascii="宋体" w:hAnsi="宋体" w:cs="宋体" w:eastAsia="宋体" w:hint="default"/>
                <w:sz w:val="18"/>
                <w:szCs w:val="18"/>
              </w:rPr>
              <w:t>因控制权发生变更，为更好适应新形势下公司治理的需要，辞去董事 职务，</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日聘任为公司监事会监事</w:t>
            </w:r>
          </w:p>
        </w:tc>
      </w:tr>
      <w:tr>
        <w:trPr>
          <w:trHeight w:val="715" w:hRule="exact"/>
        </w:trPr>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韦玉荣</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任免</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5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日</w:t>
            </w:r>
          </w:p>
        </w:tc>
        <w:tc>
          <w:tcPr>
            <w:tcW w:w="546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31"/>
              <w:jc w:val="left"/>
              <w:rPr>
                <w:rFonts w:ascii="宋体" w:hAnsi="宋体" w:cs="宋体" w:eastAsia="宋体" w:hint="default"/>
                <w:sz w:val="18"/>
                <w:szCs w:val="18"/>
              </w:rPr>
            </w:pPr>
            <w:r>
              <w:rPr>
                <w:rFonts w:ascii="宋体" w:hAnsi="宋体" w:cs="宋体" w:eastAsia="宋体" w:hint="default"/>
                <w:sz w:val="18"/>
                <w:szCs w:val="18"/>
              </w:rPr>
              <w:t>因控制权发生变更，为更好适应新形势下公司治理的需要，辞去董事 职务，</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日聘任为公司副总经理</w:t>
            </w:r>
          </w:p>
        </w:tc>
      </w:tr>
      <w:tr>
        <w:trPr>
          <w:trHeight w:val="713" w:hRule="exact"/>
        </w:trPr>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苏学武</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任免</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5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日</w:t>
            </w:r>
          </w:p>
        </w:tc>
        <w:tc>
          <w:tcPr>
            <w:tcW w:w="54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31"/>
              <w:jc w:val="left"/>
              <w:rPr>
                <w:rFonts w:ascii="宋体" w:hAnsi="宋体" w:cs="宋体" w:eastAsia="宋体" w:hint="default"/>
                <w:sz w:val="18"/>
                <w:szCs w:val="18"/>
              </w:rPr>
            </w:pPr>
            <w:r>
              <w:rPr>
                <w:rFonts w:ascii="宋体" w:hAnsi="宋体" w:cs="宋体" w:eastAsia="宋体" w:hint="default"/>
                <w:sz w:val="18"/>
                <w:szCs w:val="18"/>
              </w:rPr>
              <w:t>因控制权发生变更，为更好适应新形势下公司治理的需要，辞去董事 职务，</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日聘任为公司副总经理</w:t>
            </w:r>
          </w:p>
        </w:tc>
      </w:tr>
      <w:tr>
        <w:trPr>
          <w:trHeight w:val="403" w:hRule="exact"/>
        </w:trPr>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屈文洲</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日</w:t>
            </w:r>
          </w:p>
        </w:tc>
        <w:tc>
          <w:tcPr>
            <w:tcW w:w="5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个人原因</w:t>
            </w:r>
          </w:p>
        </w:tc>
      </w:tr>
      <w:tr>
        <w:trPr>
          <w:trHeight w:val="403" w:hRule="exact"/>
        </w:trPr>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赵庸</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c>
          <w:tcPr>
            <w:tcW w:w="5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个人原因</w:t>
            </w:r>
          </w:p>
        </w:tc>
      </w:tr>
    </w:tbl>
    <w:p>
      <w:pPr>
        <w:spacing w:line="240" w:lineRule="auto" w:before="1"/>
        <w:rPr>
          <w:rFonts w:ascii="宋体" w:hAnsi="宋体" w:cs="宋体" w:eastAsia="宋体" w:hint="default"/>
          <w:sz w:val="18"/>
          <w:szCs w:val="18"/>
        </w:rPr>
      </w:pPr>
    </w:p>
    <w:p>
      <w:pPr>
        <w:pStyle w:val="Heading2"/>
        <w:spacing w:line="240" w:lineRule="auto" w:before="26"/>
        <w:ind w:right="0"/>
        <w:jc w:val="both"/>
        <w:rPr>
          <w:b w:val="0"/>
          <w:bCs w:val="0"/>
        </w:rPr>
      </w:pPr>
      <w:bookmarkStart w:name="三、任职情况" w:id="127"/>
      <w:bookmarkEnd w:id="127"/>
      <w:r>
        <w:rPr>
          <w:b w:val="0"/>
          <w:bCs w:val="0"/>
        </w:rPr>
      </w:r>
      <w:r>
        <w:rPr/>
        <w:t>三、任职情况</w:t>
      </w:r>
      <w:r>
        <w:rPr>
          <w:b w:val="0"/>
          <w:bCs w:val="0"/>
        </w:rPr>
      </w:r>
    </w:p>
    <w:p>
      <w:pPr>
        <w:spacing w:line="240" w:lineRule="auto" w:before="4"/>
        <w:rPr>
          <w:rFonts w:ascii="宋体" w:hAnsi="宋体" w:cs="宋体" w:eastAsia="宋体" w:hint="default"/>
          <w:b/>
          <w:bCs/>
          <w:sz w:val="26"/>
          <w:szCs w:val="26"/>
        </w:rPr>
      </w:pPr>
    </w:p>
    <w:p>
      <w:pPr>
        <w:spacing w:before="0"/>
        <w:ind w:left="152" w:right="0" w:firstLine="0"/>
        <w:jc w:val="both"/>
        <w:rPr>
          <w:rFonts w:ascii="宋体" w:hAnsi="宋体" w:cs="宋体" w:eastAsia="宋体" w:hint="default"/>
          <w:sz w:val="18"/>
          <w:szCs w:val="18"/>
        </w:rPr>
      </w:pPr>
      <w:r>
        <w:rPr>
          <w:rFonts w:ascii="宋体" w:hAnsi="宋体" w:cs="宋体" w:eastAsia="宋体" w:hint="default"/>
          <w:sz w:val="18"/>
          <w:szCs w:val="18"/>
        </w:rPr>
        <w:t>公司现任董事、监事、高级管理人员专业背景、主要工作经历以及目前在公司的主要职责</w:t>
      </w:r>
    </w:p>
    <w:p>
      <w:pPr>
        <w:spacing w:line="240" w:lineRule="auto" w:before="3"/>
        <w:rPr>
          <w:rFonts w:ascii="宋体" w:hAnsi="宋体" w:cs="宋体" w:eastAsia="宋体" w:hint="default"/>
          <w:sz w:val="13"/>
          <w:szCs w:val="13"/>
        </w:rPr>
      </w:pPr>
    </w:p>
    <w:p>
      <w:pPr>
        <w:pStyle w:val="BodyText"/>
        <w:spacing w:line="408" w:lineRule="auto" w:before="0"/>
        <w:ind w:right="986" w:firstLine="419"/>
        <w:jc w:val="left"/>
      </w:pPr>
      <w:r>
        <w:rPr>
          <w:rFonts w:ascii="宋体" w:hAnsi="宋体" w:cs="宋体" w:eastAsia="宋体" w:hint="default"/>
        </w:rPr>
        <w:t>2019</w:t>
      </w:r>
      <w:r>
        <w:rPr/>
        <w:t>年</w:t>
      </w:r>
      <w:r>
        <w:rPr>
          <w:rFonts w:ascii="宋体" w:hAnsi="宋体" w:cs="宋体" w:eastAsia="宋体" w:hint="default"/>
        </w:rPr>
        <w:t>7</w:t>
      </w:r>
      <w:r>
        <w:rPr/>
        <w:t>月</w:t>
      </w:r>
      <w:r>
        <w:rPr>
          <w:rFonts w:ascii="宋体" w:hAnsi="宋体" w:cs="宋体" w:eastAsia="宋体" w:hint="default"/>
        </w:rPr>
        <w:t>17</w:t>
      </w:r>
      <w:r>
        <w:rPr/>
        <w:t>日，公司董事会完成了董事会和监事会改选，并经过公司</w:t>
      </w:r>
      <w:r>
        <w:rPr>
          <w:rFonts w:ascii="宋体" w:hAnsi="宋体" w:cs="宋体" w:eastAsia="宋体" w:hint="default"/>
        </w:rPr>
        <w:t>2019</w:t>
      </w:r>
      <w:r>
        <w:rPr/>
        <w:t>年</w:t>
      </w:r>
      <w:r>
        <w:rPr>
          <w:rFonts w:ascii="宋体" w:hAnsi="宋体" w:cs="宋体" w:eastAsia="宋体" w:hint="default"/>
        </w:rPr>
        <w:t>8</w:t>
      </w:r>
      <w:r>
        <w:rPr/>
        <w:t>月</w:t>
      </w:r>
      <w:r>
        <w:rPr>
          <w:rFonts w:ascii="宋体" w:hAnsi="宋体" w:cs="宋体" w:eastAsia="宋体" w:hint="default"/>
        </w:rPr>
        <w:t>2</w:t>
      </w:r>
      <w:r>
        <w:rPr/>
        <w:t>日召开的</w:t>
      </w:r>
      <w:r>
        <w:rPr>
          <w:rFonts w:ascii="宋体" w:hAnsi="宋体" w:cs="宋体" w:eastAsia="宋体" w:hint="default"/>
        </w:rPr>
        <w:t>2019</w:t>
      </w:r>
      <w:r>
        <w:rPr/>
        <w:t>年第</w:t>
      </w:r>
      <w:r>
        <w:rPr>
          <w:spacing w:val="-3"/>
          <w:w w:val="100"/>
        </w:rPr>
        <w:t> </w:t>
      </w:r>
      <w:r>
        <w:rPr/>
        <w:t>一次临时股东大会批准。第四届董事会仍由</w:t>
      </w:r>
      <w:r>
        <w:rPr>
          <w:rFonts w:ascii="宋体" w:hAnsi="宋体" w:cs="宋体" w:eastAsia="宋体" w:hint="default"/>
        </w:rPr>
        <w:t>9</w:t>
      </w:r>
      <w:r>
        <w:rPr/>
        <w:t>名董事组成，其中副董事长郭永芳离任、董事苏学武、韦玉</w:t>
      </w:r>
      <w:r>
        <w:rPr>
          <w:spacing w:val="-3"/>
          <w:w w:val="100"/>
        </w:rPr>
        <w:t> </w:t>
      </w:r>
      <w:r>
        <w:rPr/>
        <w:t>荣、李国林离任，新聘任涂峥、蒋蕊、徐从瑞和丁文波为第四届董事会董事，</w:t>
      </w:r>
      <w:r>
        <w:rPr>
          <w:rFonts w:ascii="宋体" w:hAnsi="宋体" w:cs="宋体" w:eastAsia="宋体" w:hint="default"/>
        </w:rPr>
        <w:t>3</w:t>
      </w:r>
      <w:r>
        <w:rPr/>
        <w:t>名独立董事保持不变。第</w:t>
      </w:r>
      <w:r>
        <w:rPr>
          <w:spacing w:val="-3"/>
          <w:w w:val="100"/>
        </w:rPr>
        <w:t> </w:t>
      </w:r>
      <w:r>
        <w:rPr>
          <w:spacing w:val="-2"/>
        </w:rPr>
        <w:t>四届监事会由</w:t>
      </w:r>
      <w:r>
        <w:rPr>
          <w:rFonts w:ascii="宋体" w:hAnsi="宋体" w:cs="宋体" w:eastAsia="宋体" w:hint="default"/>
          <w:spacing w:val="-2"/>
        </w:rPr>
        <w:t>3</w:t>
      </w:r>
      <w:r>
        <w:rPr>
          <w:spacing w:val="-2"/>
        </w:rPr>
        <w:t>名监事组成，其中监事屈文洲离任，新聘任李国林为监事。</w:t>
      </w:r>
      <w:r>
        <w:rPr>
          <w:rFonts w:ascii="宋体" w:hAnsi="宋体" w:cs="宋体" w:eastAsia="宋体" w:hint="default"/>
          <w:spacing w:val="-2"/>
        </w:rPr>
        <w:t>2019</w:t>
      </w:r>
      <w:r>
        <w:rPr>
          <w:spacing w:val="-2"/>
        </w:rPr>
        <w:t>年</w:t>
      </w:r>
      <w:r>
        <w:rPr>
          <w:rFonts w:ascii="宋体" w:hAnsi="宋体" w:cs="宋体" w:eastAsia="宋体" w:hint="default"/>
          <w:spacing w:val="-2"/>
        </w:rPr>
        <w:t>8</w:t>
      </w:r>
      <w:r>
        <w:rPr>
          <w:spacing w:val="-2"/>
        </w:rPr>
        <w:t>月，公司聘任苏学武和</w:t>
      </w:r>
      <w:r>
        <w:rPr>
          <w:spacing w:val="-49"/>
        </w:rPr>
        <w:t> </w:t>
      </w:r>
      <w:r>
        <w:rPr>
          <w:spacing w:val="-49"/>
        </w:rPr>
      </w:r>
      <w:r>
        <w:rPr/>
        <w:t>韦玉荣为公司副总经理。</w:t>
      </w:r>
    </w:p>
    <w:p>
      <w:pPr>
        <w:spacing w:line="408" w:lineRule="auto" w:before="46"/>
        <w:ind w:left="572" w:right="986" w:firstLine="2"/>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、第四届董事会成员</w:t>
      </w:r>
      <w:r>
        <w:rPr>
          <w:rFonts w:ascii="宋体" w:hAnsi="宋体" w:cs="宋体" w:eastAsia="宋体" w:hint="default"/>
          <w:b/>
          <w:bCs/>
          <w:w w:val="100"/>
          <w:sz w:val="21"/>
          <w:szCs w:val="21"/>
        </w:rPr>
        <w:t> </w:t>
      </w:r>
      <w:r>
        <w:rPr>
          <w:rFonts w:ascii="宋体" w:hAnsi="宋体" w:cs="宋体" w:eastAsia="宋体" w:hint="default"/>
          <w:b/>
          <w:bCs/>
          <w:spacing w:val="-2"/>
          <w:sz w:val="21"/>
          <w:szCs w:val="21"/>
        </w:rPr>
        <w:t>滕达，</w:t>
      </w:r>
      <w:r>
        <w:rPr>
          <w:rFonts w:ascii="宋体" w:hAnsi="宋体" w:cs="宋体" w:eastAsia="宋体" w:hint="default"/>
          <w:spacing w:val="-2"/>
          <w:sz w:val="21"/>
          <w:szCs w:val="21"/>
        </w:rPr>
        <w:t>男，</w:t>
      </w:r>
      <w:r>
        <w:rPr>
          <w:rFonts w:ascii="宋体" w:hAnsi="宋体" w:cs="宋体" w:eastAsia="宋体" w:hint="default"/>
          <w:spacing w:val="-2"/>
          <w:sz w:val="21"/>
          <w:szCs w:val="21"/>
        </w:rPr>
        <w:t>1970</w:t>
      </w:r>
      <w:r>
        <w:rPr>
          <w:rFonts w:ascii="宋体" w:hAnsi="宋体" w:cs="宋体" w:eastAsia="宋体" w:hint="default"/>
          <w:spacing w:val="-2"/>
          <w:sz w:val="21"/>
          <w:szCs w:val="21"/>
        </w:rPr>
        <w:t>年</w:t>
      </w:r>
      <w:r>
        <w:rPr>
          <w:rFonts w:ascii="宋体" w:hAnsi="宋体" w:cs="宋体" w:eastAsia="宋体" w:hint="default"/>
          <w:spacing w:val="-2"/>
          <w:sz w:val="21"/>
          <w:szCs w:val="21"/>
        </w:rPr>
        <w:t>10</w:t>
      </w:r>
      <w:r>
        <w:rPr>
          <w:rFonts w:ascii="宋体" w:hAnsi="宋体" w:cs="宋体" w:eastAsia="宋体" w:hint="default"/>
          <w:spacing w:val="-2"/>
          <w:sz w:val="21"/>
          <w:szCs w:val="21"/>
        </w:rPr>
        <w:t>月出生，中国国籍，硕士研究生学历，教授级高工，无永久境外居留权。厦门大</w:t>
      </w:r>
      <w:r>
        <w:rPr>
          <w:rFonts w:ascii="宋体" w:hAnsi="宋体" w:cs="宋体" w:eastAsia="宋体" w:hint="default"/>
          <w:sz w:val="21"/>
          <w:szCs w:val="21"/>
        </w:rPr>
      </w:r>
    </w:p>
    <w:p>
      <w:pPr>
        <w:pStyle w:val="BodyText"/>
        <w:spacing w:line="408" w:lineRule="auto"/>
        <w:ind w:right="1024"/>
        <w:jc w:val="both"/>
      </w:pPr>
      <w:r>
        <w:rPr/>
        <w:t>学信息科学与技术学院兼职教授，享受国务院特殊津贴的专业技术人才，公安部刑侦局信息化专家</w:t>
      </w:r>
      <w:r>
        <w:rPr>
          <w:rFonts w:ascii="宋体" w:hAnsi="宋体" w:cs="宋体" w:eastAsia="宋体" w:hint="default"/>
        </w:rPr>
        <w:t>,</w:t>
      </w:r>
      <w:r>
        <w:rPr>
          <w:rFonts w:ascii="宋体" w:hAnsi="宋体" w:cs="宋体" w:eastAsia="宋体" w:hint="default"/>
          <w:spacing w:val="-14"/>
        </w:rPr>
        <w:t> </w:t>
      </w:r>
      <w:r>
        <w:rPr/>
        <w:t>中国</w:t>
      </w:r>
      <w:r>
        <w:rPr>
          <w:w w:val="100"/>
        </w:rPr>
        <w:t> </w:t>
      </w:r>
      <w:r>
        <w:rPr/>
        <w:t>火炬创业导师，国家“万人计划”科技创业领军人才。担任致公党中央科技委员会委员</w:t>
      </w:r>
      <w:r>
        <w:rPr>
          <w:rFonts w:ascii="宋体" w:hAnsi="宋体" w:cs="宋体" w:eastAsia="宋体" w:hint="default"/>
        </w:rPr>
        <w:t>,</w:t>
      </w:r>
      <w:r>
        <w:rPr/>
        <w:t>第十二届福建省</w:t>
      </w:r>
      <w:r>
        <w:rPr>
          <w:spacing w:val="-25"/>
        </w:rPr>
        <w:t> </w:t>
      </w:r>
      <w:r>
        <w:rPr>
          <w:spacing w:val="-25"/>
        </w:rPr>
      </w:r>
      <w:r>
        <w:rPr>
          <w:spacing w:val="-2"/>
        </w:rPr>
        <w:t>政协委员（科技界别）、致公党福建省委经济和科技工作委员会主任、福建省青联常委</w:t>
      </w:r>
      <w:r>
        <w:rPr>
          <w:rFonts w:ascii="宋体" w:hAnsi="宋体" w:cs="宋体" w:eastAsia="宋体" w:hint="default"/>
          <w:spacing w:val="-2"/>
        </w:rPr>
        <w:t>,</w:t>
      </w:r>
      <w:r>
        <w:rPr>
          <w:spacing w:val="-2"/>
        </w:rPr>
        <w:t>厦门市政协常委、</w:t>
      </w:r>
    </w:p>
    <w:p>
      <w:pPr>
        <w:spacing w:after="0" w:line="408" w:lineRule="auto"/>
        <w:jc w:val="both"/>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1132"/>
        <w:jc w:val="both"/>
      </w:pPr>
      <w:r>
        <w:rPr>
          <w:spacing w:val="-2"/>
        </w:rPr>
        <w:t>致公党厦门市委副主委、厦门市青联副主席等职务。</w:t>
      </w:r>
      <w:r>
        <w:rPr>
          <w:rFonts w:ascii="宋体" w:hAnsi="宋体" w:cs="宋体" w:eastAsia="宋体" w:hint="default"/>
          <w:spacing w:val="-2"/>
        </w:rPr>
        <w:t>1992</w:t>
      </w:r>
      <w:r>
        <w:rPr>
          <w:spacing w:val="-2"/>
        </w:rPr>
        <w:t>年</w:t>
      </w:r>
      <w:r>
        <w:rPr>
          <w:rFonts w:ascii="宋体" w:hAnsi="宋体" w:cs="宋体" w:eastAsia="宋体" w:hint="default"/>
          <w:spacing w:val="-2"/>
        </w:rPr>
        <w:t>7</w:t>
      </w:r>
      <w:r>
        <w:rPr>
          <w:spacing w:val="-2"/>
        </w:rPr>
        <w:t>月毕业于厦门大学电子工程系，</w:t>
      </w:r>
      <w:r>
        <w:rPr>
          <w:rFonts w:ascii="宋体" w:hAnsi="宋体" w:cs="宋体" w:eastAsia="宋体" w:hint="default"/>
          <w:spacing w:val="-2"/>
        </w:rPr>
        <w:t>1992</w:t>
      </w:r>
      <w:r>
        <w:rPr>
          <w:spacing w:val="-2"/>
        </w:rPr>
        <w:t>年</w:t>
      </w:r>
      <w:r>
        <w:rPr>
          <w:rFonts w:ascii="宋体" w:hAnsi="宋体" w:cs="宋体" w:eastAsia="宋体" w:hint="default"/>
          <w:spacing w:val="-2"/>
        </w:rPr>
        <w:t>8</w:t>
      </w:r>
      <w:r>
        <w:rPr>
          <w:spacing w:val="-2"/>
        </w:rPr>
        <w:t>月至</w:t>
      </w:r>
      <w:r>
        <w:rPr>
          <w:spacing w:val="-41"/>
        </w:rPr>
        <w:t> </w:t>
      </w:r>
      <w:r>
        <w:rPr>
          <w:rFonts w:ascii="宋体" w:hAnsi="宋体" w:cs="宋体" w:eastAsia="宋体" w:hint="default"/>
        </w:rPr>
        <w:t>1999</w:t>
      </w:r>
      <w:r>
        <w:rPr/>
        <w:t>年</w:t>
      </w:r>
      <w:r>
        <w:rPr>
          <w:rFonts w:ascii="宋体" w:hAnsi="宋体" w:cs="宋体" w:eastAsia="宋体" w:hint="default"/>
        </w:rPr>
        <w:t>8</w:t>
      </w:r>
      <w:r>
        <w:rPr/>
        <w:t>月任厦门必可电子有限公司工程师；</w:t>
      </w:r>
      <w:r>
        <w:rPr>
          <w:rFonts w:ascii="宋体" w:hAnsi="宋体" w:cs="宋体" w:eastAsia="宋体" w:hint="default"/>
        </w:rPr>
        <w:t>1999</w:t>
      </w:r>
      <w:r>
        <w:rPr/>
        <w:t>年</w:t>
      </w:r>
      <w:r>
        <w:rPr>
          <w:rFonts w:ascii="宋体" w:hAnsi="宋体" w:cs="宋体" w:eastAsia="宋体" w:hint="default"/>
        </w:rPr>
        <w:t>9</w:t>
      </w:r>
      <w:r>
        <w:rPr/>
        <w:t>月至</w:t>
      </w:r>
      <w:r>
        <w:rPr>
          <w:rFonts w:ascii="宋体" w:hAnsi="宋体" w:cs="宋体" w:eastAsia="宋体" w:hint="default"/>
        </w:rPr>
        <w:t>2009</w:t>
      </w:r>
      <w:r>
        <w:rPr/>
        <w:t>年</w:t>
      </w:r>
      <w:r>
        <w:rPr>
          <w:rFonts w:ascii="宋体" w:hAnsi="宋体" w:cs="宋体" w:eastAsia="宋体" w:hint="default"/>
        </w:rPr>
        <w:t>9</w:t>
      </w:r>
      <w:r>
        <w:rPr/>
        <w:t>月任厦门市美亚柏科资讯科技有限公司</w:t>
      </w:r>
      <w:r>
        <w:rPr>
          <w:spacing w:val="-27"/>
        </w:rPr>
        <w:t> </w:t>
      </w:r>
      <w:r>
        <w:rPr>
          <w:spacing w:val="-27"/>
        </w:rPr>
      </w:r>
      <w:r>
        <w:rPr/>
        <w:t>总经理；</w:t>
      </w:r>
      <w:r>
        <w:rPr>
          <w:rFonts w:ascii="宋体" w:hAnsi="宋体" w:cs="宋体" w:eastAsia="宋体" w:hint="default"/>
        </w:rPr>
        <w:t>2009</w:t>
      </w:r>
      <w:r>
        <w:rPr/>
        <w:t>年</w:t>
      </w:r>
      <w:r>
        <w:rPr>
          <w:rFonts w:ascii="宋体" w:hAnsi="宋体" w:cs="宋体" w:eastAsia="宋体" w:hint="default"/>
        </w:rPr>
        <w:t>9</w:t>
      </w:r>
      <w:r>
        <w:rPr/>
        <w:t>月至</w:t>
      </w:r>
      <w:r>
        <w:rPr>
          <w:rFonts w:ascii="宋体" w:hAnsi="宋体" w:cs="宋体" w:eastAsia="宋体" w:hint="default"/>
        </w:rPr>
        <w:t>2015</w:t>
      </w:r>
      <w:r>
        <w:rPr/>
        <w:t>年</w:t>
      </w:r>
      <w:r>
        <w:rPr>
          <w:rFonts w:ascii="宋体" w:hAnsi="宋体" w:cs="宋体" w:eastAsia="宋体" w:hint="default"/>
        </w:rPr>
        <w:t>8</w:t>
      </w:r>
      <w:r>
        <w:rPr/>
        <w:t>月任公司董事、总经理；</w:t>
      </w:r>
      <w:r>
        <w:rPr>
          <w:rFonts w:ascii="宋体" w:hAnsi="宋体" w:cs="宋体" w:eastAsia="宋体" w:hint="default"/>
        </w:rPr>
        <w:t>2015</w:t>
      </w:r>
      <w:r>
        <w:rPr/>
        <w:t>年</w:t>
      </w:r>
      <w:r>
        <w:rPr>
          <w:rFonts w:ascii="宋体" w:hAnsi="宋体" w:cs="宋体" w:eastAsia="宋体" w:hint="default"/>
        </w:rPr>
        <w:t>8</w:t>
      </w:r>
      <w:r>
        <w:rPr/>
        <w:t>月至今任公司董事长。</w:t>
      </w:r>
    </w:p>
    <w:p>
      <w:pPr>
        <w:pStyle w:val="BodyText"/>
        <w:spacing w:line="408" w:lineRule="auto"/>
        <w:ind w:right="1128" w:firstLine="482"/>
        <w:jc w:val="both"/>
      </w:pPr>
      <w:r>
        <w:rPr>
          <w:rFonts w:ascii="宋体" w:hAnsi="宋体" w:cs="宋体" w:eastAsia="宋体" w:hint="default"/>
          <w:b/>
          <w:bCs/>
          <w:spacing w:val="-7"/>
        </w:rPr>
        <w:t>申强</w:t>
      </w:r>
      <w:r>
        <w:rPr>
          <w:spacing w:val="-7"/>
        </w:rPr>
        <w:t>，男，</w:t>
      </w:r>
      <w:r>
        <w:rPr>
          <w:rFonts w:ascii="宋体" w:hAnsi="宋体" w:cs="宋体" w:eastAsia="宋体" w:hint="default"/>
          <w:spacing w:val="-7"/>
        </w:rPr>
        <w:t>1969</w:t>
      </w:r>
      <w:r>
        <w:rPr>
          <w:spacing w:val="-7"/>
        </w:rPr>
        <w:t>年</w:t>
      </w:r>
      <w:r>
        <w:rPr>
          <w:rFonts w:ascii="宋体" w:hAnsi="宋体" w:cs="宋体" w:eastAsia="宋体" w:hint="default"/>
          <w:spacing w:val="-7"/>
        </w:rPr>
        <w:t>11</w:t>
      </w:r>
      <w:r>
        <w:rPr>
          <w:spacing w:val="-7"/>
        </w:rPr>
        <w:t>月出生，中国国籍，无永久境外居留权。</w:t>
      </w:r>
      <w:r>
        <w:rPr>
          <w:rFonts w:ascii="宋体" w:hAnsi="宋体" w:cs="宋体" w:eastAsia="宋体" w:hint="default"/>
          <w:spacing w:val="-7"/>
        </w:rPr>
        <w:t>1992</w:t>
      </w:r>
      <w:r>
        <w:rPr>
          <w:spacing w:val="-7"/>
        </w:rPr>
        <w:t>年毕业于西北师范大学外语系。</w:t>
      </w:r>
      <w:r>
        <w:rPr>
          <w:rFonts w:ascii="宋体" w:hAnsi="宋体" w:cs="宋体" w:eastAsia="宋体" w:hint="default"/>
          <w:spacing w:val="-7"/>
        </w:rPr>
        <w:t>1992</w:t>
      </w:r>
      <w:r>
        <w:rPr>
          <w:rFonts w:ascii="宋体" w:hAnsi="宋体" w:cs="宋体" w:eastAsia="宋体" w:hint="default"/>
          <w:w w:val="100"/>
        </w:rPr>
        <w:t> </w:t>
      </w:r>
      <w:r>
        <w:rPr/>
        <w:t>年</w:t>
      </w:r>
      <w:r>
        <w:rPr>
          <w:rFonts w:ascii="宋体" w:hAnsi="宋体" w:cs="宋体" w:eastAsia="宋体" w:hint="default"/>
        </w:rPr>
        <w:t>7</w:t>
      </w:r>
      <w:r>
        <w:rPr/>
        <w:t>月至</w:t>
      </w:r>
      <w:r>
        <w:rPr>
          <w:rFonts w:ascii="宋体" w:hAnsi="宋体" w:cs="宋体" w:eastAsia="宋体" w:hint="default"/>
        </w:rPr>
        <w:t>1994</w:t>
      </w:r>
      <w:r>
        <w:rPr/>
        <w:t>年</w:t>
      </w:r>
      <w:r>
        <w:rPr>
          <w:rFonts w:ascii="宋体" w:hAnsi="宋体" w:cs="宋体" w:eastAsia="宋体" w:hint="default"/>
        </w:rPr>
        <w:t>4</w:t>
      </w:r>
      <w:r>
        <w:rPr/>
        <w:t>月在西北师大外事办任助理翻译；</w:t>
      </w:r>
      <w:r>
        <w:rPr>
          <w:rFonts w:ascii="宋体" w:hAnsi="宋体" w:cs="宋体" w:eastAsia="宋体" w:hint="default"/>
        </w:rPr>
        <w:t>2001</w:t>
      </w:r>
      <w:r>
        <w:rPr/>
        <w:t>年</w:t>
      </w:r>
      <w:r>
        <w:rPr>
          <w:rFonts w:ascii="宋体" w:hAnsi="宋体" w:cs="宋体" w:eastAsia="宋体" w:hint="default"/>
        </w:rPr>
        <w:t>10</w:t>
      </w:r>
      <w:r>
        <w:rPr/>
        <w:t>月至</w:t>
      </w:r>
      <w:r>
        <w:rPr>
          <w:rFonts w:ascii="宋体" w:hAnsi="宋体" w:cs="宋体" w:eastAsia="宋体" w:hint="default"/>
        </w:rPr>
        <w:t>2006</w:t>
      </w:r>
      <w:r>
        <w:rPr/>
        <w:t>年</w:t>
      </w:r>
      <w:r>
        <w:rPr>
          <w:rFonts w:ascii="宋体" w:hAnsi="宋体" w:cs="宋体" w:eastAsia="宋体" w:hint="default"/>
        </w:rPr>
        <w:t>8</w:t>
      </w:r>
      <w:r>
        <w:rPr/>
        <w:t>月任厦门市佳思科技有限公司总</w:t>
      </w:r>
      <w:r>
        <w:rPr>
          <w:spacing w:val="-30"/>
        </w:rPr>
        <w:t> </w:t>
      </w:r>
      <w:r>
        <w:rPr>
          <w:spacing w:val="-30"/>
        </w:rPr>
      </w:r>
      <w:r>
        <w:rPr/>
        <w:t>经理；</w:t>
      </w:r>
      <w:r>
        <w:rPr>
          <w:rFonts w:ascii="宋体" w:hAnsi="宋体" w:cs="宋体" w:eastAsia="宋体" w:hint="default"/>
        </w:rPr>
        <w:t>2006</w:t>
      </w:r>
      <w:r>
        <w:rPr/>
        <w:t>年</w:t>
      </w:r>
      <w:r>
        <w:rPr>
          <w:rFonts w:ascii="宋体" w:hAnsi="宋体" w:cs="宋体" w:eastAsia="宋体" w:hint="default"/>
        </w:rPr>
        <w:t>9</w:t>
      </w:r>
      <w:r>
        <w:rPr/>
        <w:t>月至</w:t>
      </w:r>
      <w:r>
        <w:rPr>
          <w:rFonts w:ascii="宋体" w:hAnsi="宋体" w:cs="宋体" w:eastAsia="宋体" w:hint="default"/>
        </w:rPr>
        <w:t>2015</w:t>
      </w:r>
      <w:r>
        <w:rPr/>
        <w:t>年</w:t>
      </w:r>
      <w:r>
        <w:rPr>
          <w:rFonts w:ascii="宋体" w:hAnsi="宋体" w:cs="宋体" w:eastAsia="宋体" w:hint="default"/>
        </w:rPr>
        <w:t>8</w:t>
      </w:r>
      <w:r>
        <w:rPr/>
        <w:t>月历任公司营销中心总监、副总经理、常务副总经理；</w:t>
      </w:r>
      <w:r>
        <w:rPr>
          <w:rFonts w:ascii="宋体" w:hAnsi="宋体" w:cs="宋体" w:eastAsia="宋体" w:hint="default"/>
        </w:rPr>
        <w:t>2015</w:t>
      </w:r>
      <w:r>
        <w:rPr/>
        <w:t>年</w:t>
      </w:r>
      <w:r>
        <w:rPr>
          <w:rFonts w:ascii="宋体" w:hAnsi="宋体" w:cs="宋体" w:eastAsia="宋体" w:hint="default"/>
        </w:rPr>
        <w:t>8</w:t>
      </w:r>
      <w:r>
        <w:rPr/>
        <w:t>月至今任公司</w:t>
      </w:r>
      <w:r>
        <w:rPr>
          <w:spacing w:val="-30"/>
        </w:rPr>
        <w:t> </w:t>
      </w:r>
      <w:r>
        <w:rPr>
          <w:spacing w:val="-30"/>
        </w:rPr>
      </w:r>
      <w:r>
        <w:rPr/>
        <w:t>董事、总经理。</w:t>
      </w:r>
    </w:p>
    <w:p>
      <w:pPr>
        <w:pStyle w:val="BodyText"/>
        <w:spacing w:line="408" w:lineRule="auto"/>
        <w:ind w:right="1107" w:firstLine="482"/>
        <w:jc w:val="both"/>
      </w:pPr>
      <w:r>
        <w:rPr>
          <w:rFonts w:ascii="宋体" w:hAnsi="宋体" w:cs="宋体" w:eastAsia="宋体" w:hint="default"/>
          <w:b/>
          <w:bCs/>
          <w:spacing w:val="-1"/>
        </w:rPr>
        <w:t>涂峥，</w:t>
      </w:r>
      <w:r>
        <w:rPr>
          <w:spacing w:val="-1"/>
        </w:rPr>
        <w:t>男，</w:t>
      </w:r>
      <w:r>
        <w:rPr>
          <w:rFonts w:ascii="宋体" w:hAnsi="宋体" w:cs="宋体" w:eastAsia="宋体" w:hint="default"/>
          <w:spacing w:val="-1"/>
        </w:rPr>
        <w:t>1983</w:t>
      </w:r>
      <w:r>
        <w:rPr>
          <w:spacing w:val="-1"/>
        </w:rPr>
        <w:t>年</w:t>
      </w:r>
      <w:r>
        <w:rPr>
          <w:rFonts w:ascii="宋体" w:hAnsi="宋体" w:cs="宋体" w:eastAsia="宋体" w:hint="default"/>
          <w:spacing w:val="-1"/>
        </w:rPr>
        <w:t>9</w:t>
      </w:r>
      <w:r>
        <w:rPr>
          <w:spacing w:val="-1"/>
        </w:rPr>
        <w:t>月出生，中国国籍，无永久境外居留权，硕士研究生学历，</w:t>
      </w:r>
      <w:r>
        <w:rPr>
          <w:rFonts w:ascii="宋体" w:hAnsi="宋体" w:cs="宋体" w:eastAsia="宋体" w:hint="default"/>
          <w:spacing w:val="-1"/>
        </w:rPr>
        <w:t>2008</w:t>
      </w:r>
      <w:r>
        <w:rPr>
          <w:spacing w:val="-1"/>
        </w:rPr>
        <w:t>年毕业于北京航</w:t>
      </w:r>
      <w:r>
        <w:rPr>
          <w:w w:val="100"/>
        </w:rPr>
        <w:t> </w:t>
      </w:r>
      <w:r>
        <w:rPr/>
        <w:t>空航天大学经济管理学院。</w:t>
      </w:r>
      <w:r>
        <w:rPr>
          <w:rFonts w:ascii="宋体" w:hAnsi="宋体" w:cs="宋体" w:eastAsia="宋体" w:hint="default"/>
        </w:rPr>
        <w:t>2008</w:t>
      </w:r>
      <w:r>
        <w:rPr/>
        <w:t>年</w:t>
      </w:r>
      <w:r>
        <w:rPr>
          <w:rFonts w:ascii="宋体" w:hAnsi="宋体" w:cs="宋体" w:eastAsia="宋体" w:hint="default"/>
        </w:rPr>
        <w:t>8</w:t>
      </w:r>
      <w:r>
        <w:rPr/>
        <w:t>月至</w:t>
      </w:r>
      <w:r>
        <w:rPr>
          <w:rFonts w:ascii="宋体" w:hAnsi="宋体" w:cs="宋体" w:eastAsia="宋体" w:hint="default"/>
        </w:rPr>
        <w:t>2010</w:t>
      </w:r>
      <w:r>
        <w:rPr/>
        <w:t>年</w:t>
      </w:r>
      <w:r>
        <w:rPr>
          <w:rFonts w:ascii="宋体" w:hAnsi="宋体" w:cs="宋体" w:eastAsia="宋体" w:hint="default"/>
        </w:rPr>
        <w:t>2</w:t>
      </w:r>
      <w:r>
        <w:rPr/>
        <w:t>月任</w:t>
      </w:r>
      <w:r>
        <w:rPr>
          <w:rFonts w:ascii="宋体" w:hAnsi="宋体" w:cs="宋体" w:eastAsia="宋体" w:hint="default"/>
        </w:rPr>
        <w:t>IBM</w:t>
      </w:r>
      <w:r>
        <w:rPr/>
        <w:t>公司企业咨询部咨询顾问；</w:t>
      </w:r>
      <w:r>
        <w:rPr>
          <w:rFonts w:ascii="宋体" w:hAnsi="宋体" w:cs="宋体" w:eastAsia="宋体" w:hint="default"/>
        </w:rPr>
        <w:t>2010</w:t>
      </w:r>
      <w:r>
        <w:rPr/>
        <w:t>年</w:t>
      </w:r>
      <w:r>
        <w:rPr>
          <w:rFonts w:ascii="宋体" w:hAnsi="宋体" w:cs="宋体" w:eastAsia="宋体" w:hint="default"/>
        </w:rPr>
        <w:t>2</w:t>
      </w:r>
      <w:r>
        <w:rPr/>
        <w:t>月至</w:t>
      </w:r>
      <w:r>
        <w:rPr>
          <w:rFonts w:ascii="宋体" w:hAnsi="宋体" w:cs="宋体" w:eastAsia="宋体" w:hint="default"/>
        </w:rPr>
        <w:t>2018</w:t>
      </w:r>
      <w:r>
        <w:rPr/>
        <w:t>年</w:t>
      </w:r>
      <w:r>
        <w:rPr>
          <w:rFonts w:ascii="宋体" w:hAnsi="宋体" w:cs="宋体" w:eastAsia="宋体" w:hint="default"/>
        </w:rPr>
        <w:t>5</w:t>
      </w:r>
      <w:r>
        <w:rPr>
          <w:rFonts w:ascii="宋体" w:hAnsi="宋体" w:cs="宋体" w:eastAsia="宋体" w:hint="default"/>
          <w:spacing w:val="-29"/>
        </w:rPr>
        <w:t> </w:t>
      </w:r>
      <w:r>
        <w:rPr>
          <w:spacing w:val="-2"/>
        </w:rPr>
        <w:t>月历任国家开发投资集团有限公司信息化管理部规划建设处副处长、战略发展部产业发展处副处长等职；</w:t>
      </w:r>
      <w:r>
        <w:rPr>
          <w:spacing w:val="-21"/>
        </w:rPr>
        <w:t> </w:t>
      </w:r>
      <w:r>
        <w:rPr>
          <w:spacing w:val="-21"/>
        </w:rPr>
      </w:r>
      <w:r>
        <w:rPr>
          <w:rFonts w:ascii="宋体" w:hAnsi="宋体" w:cs="宋体" w:eastAsia="宋体" w:hint="default"/>
          <w:spacing w:val="-2"/>
        </w:rPr>
        <w:t>2018</w:t>
      </w:r>
      <w:r>
        <w:rPr>
          <w:spacing w:val="-2"/>
        </w:rPr>
        <w:t>年</w:t>
      </w:r>
      <w:r>
        <w:rPr>
          <w:rFonts w:ascii="宋体" w:hAnsi="宋体" w:cs="宋体" w:eastAsia="宋体" w:hint="default"/>
          <w:spacing w:val="-2"/>
        </w:rPr>
        <w:t>5</w:t>
      </w:r>
      <w:r>
        <w:rPr>
          <w:spacing w:val="-2"/>
        </w:rPr>
        <w:t>月至今任国投智能科技有限公司投资团队高级投资总监、中电数据服务有限公司董事；</w:t>
      </w:r>
      <w:r>
        <w:rPr>
          <w:rFonts w:ascii="宋体" w:hAnsi="宋体" w:cs="宋体" w:eastAsia="宋体" w:hint="default"/>
          <w:spacing w:val="-2"/>
        </w:rPr>
        <w:t>2019</w:t>
      </w:r>
      <w:r>
        <w:rPr>
          <w:spacing w:val="-2"/>
        </w:rPr>
        <w:t>年</w:t>
      </w:r>
      <w:r>
        <w:rPr>
          <w:rFonts w:ascii="宋体" w:hAnsi="宋体" w:cs="宋体" w:eastAsia="宋体" w:hint="default"/>
          <w:spacing w:val="-2"/>
        </w:rPr>
        <w:t>8</w:t>
      </w:r>
      <w:r>
        <w:rPr>
          <w:spacing w:val="-2"/>
        </w:rPr>
        <w:t>月</w:t>
      </w:r>
      <w:r>
        <w:rPr>
          <w:spacing w:val="-37"/>
        </w:rPr>
        <w:t> </w:t>
      </w:r>
      <w:r>
        <w:rPr/>
        <w:t>至今任公司董事。</w:t>
      </w:r>
    </w:p>
    <w:p>
      <w:pPr>
        <w:pStyle w:val="BodyText"/>
        <w:spacing w:line="408" w:lineRule="auto"/>
        <w:ind w:right="1128" w:firstLine="482"/>
        <w:jc w:val="both"/>
      </w:pPr>
      <w:r>
        <w:rPr>
          <w:rFonts w:ascii="宋体" w:hAnsi="宋体" w:cs="宋体" w:eastAsia="宋体" w:hint="default"/>
          <w:b/>
          <w:bCs/>
          <w:spacing w:val="-1"/>
        </w:rPr>
        <w:t>蒋蕊，</w:t>
      </w:r>
      <w:r>
        <w:rPr>
          <w:spacing w:val="-1"/>
        </w:rPr>
        <w:t>女，</w:t>
      </w:r>
      <w:r>
        <w:rPr>
          <w:rFonts w:ascii="宋体" w:hAnsi="宋体" w:cs="宋体" w:eastAsia="宋体" w:hint="default"/>
          <w:spacing w:val="-1"/>
        </w:rPr>
        <w:t>1972</w:t>
      </w:r>
      <w:r>
        <w:rPr>
          <w:spacing w:val="-1"/>
        </w:rPr>
        <w:t>年</w:t>
      </w:r>
      <w:r>
        <w:rPr>
          <w:rFonts w:ascii="宋体" w:hAnsi="宋体" w:cs="宋体" w:eastAsia="宋体" w:hint="default"/>
          <w:spacing w:val="-1"/>
        </w:rPr>
        <w:t>5</w:t>
      </w:r>
      <w:r>
        <w:rPr>
          <w:spacing w:val="-1"/>
        </w:rPr>
        <w:t>月出生，中国国籍，无永久境外居留权，博士研究生学历，教授级高级工程师，</w:t>
      </w:r>
      <w:r>
        <w:rPr>
          <w:w w:val="100"/>
        </w:rPr>
        <w:t> </w:t>
      </w:r>
      <w:r>
        <w:rPr/>
        <w:t>国家开发投资集团有限公司工程系列评审委员会委员，</w:t>
      </w:r>
      <w:r>
        <w:rPr>
          <w:rFonts w:ascii="宋体" w:hAnsi="宋体" w:cs="宋体" w:eastAsia="宋体" w:hint="default"/>
        </w:rPr>
        <w:t>1993</w:t>
      </w:r>
      <w:r>
        <w:rPr/>
        <w:t>年毕业于空军政治学院图书档案系，</w:t>
      </w:r>
      <w:r>
        <w:rPr>
          <w:rFonts w:ascii="宋体" w:hAnsi="宋体" w:cs="宋体" w:eastAsia="宋体" w:hint="default"/>
        </w:rPr>
        <w:t>2010</w:t>
      </w:r>
      <w:r>
        <w:rPr/>
        <w:t>年</w:t>
      </w:r>
      <w:r>
        <w:rPr>
          <w:rFonts w:ascii="宋体" w:hAnsi="宋体" w:cs="宋体" w:eastAsia="宋体" w:hint="default"/>
        </w:rPr>
        <w:t>7</w:t>
      </w:r>
      <w:r>
        <w:rPr>
          <w:rFonts w:ascii="宋体" w:hAnsi="宋体" w:cs="宋体" w:eastAsia="宋体" w:hint="default"/>
          <w:spacing w:val="-27"/>
        </w:rPr>
        <w:t> </w:t>
      </w:r>
      <w:r>
        <w:rPr>
          <w:spacing w:val="-2"/>
        </w:rPr>
        <w:t>月获得北京交通大学系统工程专业博士研究生学历和工学博士学位。</w:t>
      </w:r>
      <w:r>
        <w:rPr>
          <w:rFonts w:ascii="宋体" w:hAnsi="宋体" w:cs="宋体" w:eastAsia="宋体" w:hint="default"/>
          <w:spacing w:val="-2"/>
        </w:rPr>
        <w:t>1993</w:t>
      </w:r>
      <w:r>
        <w:rPr>
          <w:spacing w:val="-2"/>
        </w:rPr>
        <w:t>年</w:t>
      </w:r>
      <w:r>
        <w:rPr>
          <w:rFonts w:ascii="宋体" w:hAnsi="宋体" w:cs="宋体" w:eastAsia="宋体" w:hint="default"/>
          <w:spacing w:val="-2"/>
        </w:rPr>
        <w:t>7</w:t>
      </w:r>
      <w:r>
        <w:rPr>
          <w:spacing w:val="-2"/>
        </w:rPr>
        <w:t>月至</w:t>
      </w:r>
      <w:r>
        <w:rPr>
          <w:rFonts w:ascii="宋体" w:hAnsi="宋体" w:cs="宋体" w:eastAsia="宋体" w:hint="default"/>
          <w:spacing w:val="-2"/>
        </w:rPr>
        <w:t>2006</w:t>
      </w:r>
      <w:r>
        <w:rPr>
          <w:spacing w:val="-2"/>
        </w:rPr>
        <w:t>年</w:t>
      </w:r>
      <w:r>
        <w:rPr>
          <w:rFonts w:ascii="宋体" w:hAnsi="宋体" w:cs="宋体" w:eastAsia="宋体" w:hint="default"/>
          <w:spacing w:val="-2"/>
        </w:rPr>
        <w:t>9</w:t>
      </w:r>
      <w:r>
        <w:rPr>
          <w:spacing w:val="-2"/>
        </w:rPr>
        <w:t>月在空军装备研</w:t>
      </w:r>
      <w:r>
        <w:rPr>
          <w:spacing w:val="-39"/>
        </w:rPr>
        <w:t> </w:t>
      </w:r>
      <w:r>
        <w:rPr>
          <w:spacing w:val="-39"/>
        </w:rPr>
      </w:r>
      <w:r>
        <w:rPr>
          <w:spacing w:val="-2"/>
        </w:rPr>
        <w:t>究院任助理工程师、工程师、高级工程师；</w:t>
      </w:r>
      <w:r>
        <w:rPr>
          <w:rFonts w:ascii="宋体" w:hAnsi="宋体" w:cs="宋体" w:eastAsia="宋体" w:hint="default"/>
          <w:spacing w:val="-2"/>
        </w:rPr>
        <w:t>2006</w:t>
      </w:r>
      <w:r>
        <w:rPr>
          <w:spacing w:val="-2"/>
        </w:rPr>
        <w:t>年</w:t>
      </w:r>
      <w:r>
        <w:rPr>
          <w:rFonts w:ascii="宋体" w:hAnsi="宋体" w:cs="宋体" w:eastAsia="宋体" w:hint="default"/>
          <w:spacing w:val="-2"/>
        </w:rPr>
        <w:t>9</w:t>
      </w:r>
      <w:r>
        <w:rPr>
          <w:spacing w:val="-2"/>
        </w:rPr>
        <w:t>月至</w:t>
      </w:r>
      <w:r>
        <w:rPr>
          <w:rFonts w:ascii="宋体" w:hAnsi="宋体" w:cs="宋体" w:eastAsia="宋体" w:hint="default"/>
          <w:spacing w:val="-2"/>
        </w:rPr>
        <w:t>2018</w:t>
      </w:r>
      <w:r>
        <w:rPr>
          <w:spacing w:val="-2"/>
        </w:rPr>
        <w:t>年</w:t>
      </w:r>
      <w:r>
        <w:rPr>
          <w:rFonts w:ascii="宋体" w:hAnsi="宋体" w:cs="宋体" w:eastAsia="宋体" w:hint="default"/>
          <w:spacing w:val="-2"/>
        </w:rPr>
        <w:t>1</w:t>
      </w:r>
      <w:r>
        <w:rPr>
          <w:spacing w:val="-2"/>
        </w:rPr>
        <w:t>月历任国家开发投资集团有限公司总裁办</w:t>
      </w:r>
      <w:r>
        <w:rPr>
          <w:spacing w:val="-40"/>
        </w:rPr>
        <w:t> </w:t>
      </w:r>
      <w:r>
        <w:rPr>
          <w:spacing w:val="-40"/>
        </w:rPr>
      </w:r>
      <w:r>
        <w:rPr/>
        <w:t>公室网络中心副主任、信息化管理部运行管理处副处长和处长等职；</w:t>
      </w:r>
      <w:r>
        <w:rPr>
          <w:rFonts w:ascii="宋体" w:hAnsi="宋体" w:cs="宋体" w:eastAsia="宋体" w:hint="default"/>
        </w:rPr>
        <w:t>2018</w:t>
      </w:r>
      <w:r>
        <w:rPr/>
        <w:t>年</w:t>
      </w:r>
      <w:r>
        <w:rPr>
          <w:rFonts w:ascii="宋体" w:hAnsi="宋体" w:cs="宋体" w:eastAsia="宋体" w:hint="default"/>
        </w:rPr>
        <w:t>1</w:t>
      </w:r>
      <w:r>
        <w:rPr/>
        <w:t>月至</w:t>
      </w:r>
      <w:r>
        <w:rPr>
          <w:rFonts w:ascii="宋体" w:hAnsi="宋体" w:cs="宋体" w:eastAsia="宋体" w:hint="default"/>
        </w:rPr>
        <w:t>2018</w:t>
      </w:r>
      <w:r>
        <w:rPr/>
        <w:t>年</w:t>
      </w:r>
      <w:r>
        <w:rPr>
          <w:rFonts w:ascii="宋体" w:hAnsi="宋体" w:cs="宋体" w:eastAsia="宋体" w:hint="default"/>
        </w:rPr>
        <w:t>12</w:t>
      </w:r>
      <w:r>
        <w:rPr/>
        <w:t>月任国投智能</w:t>
      </w:r>
      <w:r>
        <w:rPr>
          <w:spacing w:val="-30"/>
        </w:rPr>
        <w:t> </w:t>
      </w:r>
      <w:r>
        <w:rPr>
          <w:spacing w:val="-30"/>
        </w:rPr>
      </w:r>
      <w:r>
        <w:rPr/>
        <w:t>科技有限公司信息技术中心总经理；</w:t>
      </w:r>
      <w:r>
        <w:rPr>
          <w:rFonts w:ascii="宋体" w:hAnsi="宋体" w:cs="宋体" w:eastAsia="宋体" w:hint="default"/>
        </w:rPr>
        <w:t>2019</w:t>
      </w:r>
      <w:r>
        <w:rPr/>
        <w:t>年</w:t>
      </w:r>
      <w:r>
        <w:rPr>
          <w:rFonts w:ascii="宋体" w:hAnsi="宋体" w:cs="宋体" w:eastAsia="宋体" w:hint="default"/>
        </w:rPr>
        <w:t>1</w:t>
      </w:r>
      <w:r>
        <w:rPr/>
        <w:t>月至今任国投智能科技有限公司总经理助理兼信息技术中心</w:t>
      </w:r>
      <w:r>
        <w:rPr>
          <w:spacing w:val="-28"/>
        </w:rPr>
        <w:t> </w:t>
      </w:r>
      <w:r>
        <w:rPr>
          <w:spacing w:val="-28"/>
        </w:rPr>
      </w:r>
      <w:r>
        <w:rPr/>
        <w:t>总经理。曾获得国家科技进步二等奖一项，省部级科技进步奖四项。</w:t>
      </w:r>
      <w:r>
        <w:rPr>
          <w:rFonts w:ascii="宋体" w:hAnsi="宋体" w:cs="宋体" w:eastAsia="宋体" w:hint="default"/>
        </w:rPr>
        <w:t>2019</w:t>
      </w:r>
      <w:r>
        <w:rPr/>
        <w:t>年</w:t>
      </w:r>
      <w:r>
        <w:rPr>
          <w:rFonts w:ascii="宋体" w:hAnsi="宋体" w:cs="宋体" w:eastAsia="宋体" w:hint="default"/>
        </w:rPr>
        <w:t>8</w:t>
      </w:r>
      <w:r>
        <w:rPr/>
        <w:t>月至今任公司董事。</w:t>
      </w:r>
    </w:p>
    <w:p>
      <w:pPr>
        <w:pStyle w:val="BodyText"/>
        <w:spacing w:line="408" w:lineRule="auto"/>
        <w:ind w:left="151" w:right="1128" w:firstLine="483"/>
        <w:jc w:val="both"/>
      </w:pPr>
      <w:r>
        <w:rPr>
          <w:rFonts w:ascii="宋体" w:hAnsi="宋体" w:cs="宋体" w:eastAsia="宋体" w:hint="default"/>
          <w:b/>
          <w:bCs/>
        </w:rPr>
        <w:t>徐从瑞，</w:t>
      </w:r>
      <w:r>
        <w:rPr/>
        <w:t>男，</w:t>
      </w:r>
      <w:r>
        <w:rPr>
          <w:rFonts w:ascii="宋体" w:hAnsi="宋体" w:cs="宋体" w:eastAsia="宋体" w:hint="default"/>
        </w:rPr>
        <w:t>1975</w:t>
      </w:r>
      <w:r>
        <w:rPr/>
        <w:t>年</w:t>
      </w:r>
      <w:r>
        <w:rPr>
          <w:rFonts w:ascii="宋体" w:hAnsi="宋体" w:cs="宋体" w:eastAsia="宋体" w:hint="default"/>
        </w:rPr>
        <w:t>10</w:t>
      </w:r>
      <w:r>
        <w:rPr/>
        <w:t>月出生，本科学历，高级会计师，无永久境外居留权。</w:t>
      </w:r>
      <w:r>
        <w:rPr>
          <w:rFonts w:ascii="宋体" w:hAnsi="宋体" w:cs="宋体" w:eastAsia="宋体" w:hint="default"/>
        </w:rPr>
        <w:t>1996</w:t>
      </w:r>
      <w:r>
        <w:rPr/>
        <w:t>年</w:t>
      </w:r>
      <w:r>
        <w:rPr>
          <w:rFonts w:ascii="宋体" w:hAnsi="宋体" w:cs="宋体" w:eastAsia="宋体" w:hint="default"/>
        </w:rPr>
        <w:t>7</w:t>
      </w:r>
      <w:r>
        <w:rPr/>
        <w:t>月至</w:t>
      </w:r>
      <w:r>
        <w:rPr>
          <w:rFonts w:ascii="宋体" w:hAnsi="宋体" w:cs="宋体" w:eastAsia="宋体" w:hint="default"/>
        </w:rPr>
        <w:t>2016</w:t>
      </w:r>
      <w:r>
        <w:rPr/>
        <w:t>年</w:t>
      </w:r>
      <w:r>
        <w:rPr>
          <w:rFonts w:ascii="宋体" w:hAnsi="宋体" w:cs="宋体" w:eastAsia="宋体" w:hint="default"/>
        </w:rPr>
        <w:t>8</w:t>
      </w:r>
      <w:r>
        <w:rPr>
          <w:rFonts w:ascii="宋体" w:hAnsi="宋体" w:cs="宋体" w:eastAsia="宋体" w:hint="default"/>
          <w:w w:val="100"/>
        </w:rPr>
        <w:t> </w:t>
      </w:r>
      <w:r>
        <w:rPr>
          <w:spacing w:val="-2"/>
        </w:rPr>
        <w:t>月历任国投新集能源股份有限公司工新集三矿财务科长、财务中心财税科科长、财务部副部长等职，其中</w:t>
      </w:r>
      <w:r>
        <w:rPr>
          <w:spacing w:val="-43"/>
        </w:rPr>
        <w:t> </w:t>
      </w:r>
      <w:r>
        <w:rPr>
          <w:spacing w:val="-43"/>
        </w:rPr>
      </w:r>
      <w:r>
        <w:rPr>
          <w:rFonts w:ascii="宋体" w:hAnsi="宋体" w:cs="宋体" w:eastAsia="宋体" w:hint="default"/>
        </w:rPr>
        <w:t>2012</w:t>
      </w:r>
      <w:r>
        <w:rPr/>
        <w:t>年</w:t>
      </w:r>
      <w:r>
        <w:rPr>
          <w:rFonts w:ascii="宋体" w:hAnsi="宋体" w:cs="宋体" w:eastAsia="宋体" w:hint="default"/>
        </w:rPr>
        <w:t>6</w:t>
      </w:r>
      <w:r>
        <w:rPr/>
        <w:t>月至</w:t>
      </w:r>
      <w:r>
        <w:rPr>
          <w:rFonts w:ascii="宋体" w:hAnsi="宋体" w:cs="宋体" w:eastAsia="宋体" w:hint="default"/>
        </w:rPr>
        <w:t>2014</w:t>
      </w:r>
      <w:r>
        <w:rPr/>
        <w:t>年</w:t>
      </w:r>
      <w:r>
        <w:rPr>
          <w:rFonts w:ascii="宋体" w:hAnsi="宋体" w:cs="宋体" w:eastAsia="宋体" w:hint="default"/>
        </w:rPr>
        <w:t>10</w:t>
      </w:r>
      <w:r>
        <w:rPr/>
        <w:t>月任国投哈密能源有限公司党委委员、财务总监；</w:t>
      </w:r>
      <w:r>
        <w:rPr>
          <w:rFonts w:ascii="宋体" w:hAnsi="宋体" w:cs="宋体" w:eastAsia="宋体" w:hint="default"/>
        </w:rPr>
        <w:t>2016</w:t>
      </w:r>
      <w:r>
        <w:rPr/>
        <w:t>年</w:t>
      </w:r>
      <w:r>
        <w:rPr>
          <w:rFonts w:ascii="宋体" w:hAnsi="宋体" w:cs="宋体" w:eastAsia="宋体" w:hint="default"/>
        </w:rPr>
        <w:t>8</w:t>
      </w:r>
      <w:r>
        <w:rPr/>
        <w:t>月至</w:t>
      </w:r>
      <w:r>
        <w:rPr>
          <w:rFonts w:ascii="宋体" w:hAnsi="宋体" w:cs="宋体" w:eastAsia="宋体" w:hint="default"/>
        </w:rPr>
        <w:t>2018</w:t>
      </w:r>
      <w:r>
        <w:rPr/>
        <w:t>年</w:t>
      </w:r>
      <w:r>
        <w:rPr>
          <w:rFonts w:ascii="宋体" w:hAnsi="宋体" w:cs="宋体" w:eastAsia="宋体" w:hint="default"/>
        </w:rPr>
        <w:t>1</w:t>
      </w:r>
      <w:r>
        <w:rPr/>
        <w:t>月历任国家</w:t>
      </w:r>
      <w:r>
        <w:rPr>
          <w:spacing w:val="-28"/>
        </w:rPr>
        <w:t> </w:t>
      </w:r>
      <w:r>
        <w:rPr/>
        <w:t>开发投资集团有限公司审计部高级业务经理、战略发展部大数据与“互联网+”专项工作小组高级业务经</w:t>
      </w:r>
      <w:r>
        <w:rPr>
          <w:spacing w:val="-28"/>
        </w:rPr>
        <w:t> </w:t>
      </w:r>
      <w:r>
        <w:rPr>
          <w:spacing w:val="-28"/>
        </w:rPr>
      </w:r>
      <w:r>
        <w:rPr/>
        <w:t>理；</w:t>
      </w:r>
      <w:r>
        <w:rPr>
          <w:rFonts w:ascii="宋体" w:hAnsi="宋体" w:cs="宋体" w:eastAsia="宋体" w:hint="default"/>
        </w:rPr>
        <w:t>2018</w:t>
      </w:r>
      <w:r>
        <w:rPr/>
        <w:t>年</w:t>
      </w:r>
      <w:r>
        <w:rPr>
          <w:rFonts w:ascii="宋体" w:hAnsi="宋体" w:cs="宋体" w:eastAsia="宋体" w:hint="default"/>
        </w:rPr>
        <w:t>1</w:t>
      </w:r>
      <w:r>
        <w:rPr/>
        <w:t>月至今任国投智能科技有限公司计划财务部总经理。</w:t>
      </w:r>
      <w:r>
        <w:rPr>
          <w:rFonts w:ascii="宋体" w:hAnsi="宋体" w:cs="宋体" w:eastAsia="宋体" w:hint="default"/>
        </w:rPr>
        <w:t>2019</w:t>
      </w:r>
      <w:r>
        <w:rPr/>
        <w:t>年</w:t>
      </w:r>
      <w:r>
        <w:rPr>
          <w:rFonts w:ascii="宋体" w:hAnsi="宋体" w:cs="宋体" w:eastAsia="宋体" w:hint="default"/>
        </w:rPr>
        <w:t>8</w:t>
      </w:r>
      <w:r>
        <w:rPr/>
        <w:t>月至今任公司董事。</w:t>
      </w:r>
    </w:p>
    <w:p>
      <w:pPr>
        <w:pStyle w:val="BodyText"/>
        <w:spacing w:line="408" w:lineRule="auto"/>
        <w:ind w:right="1128" w:firstLine="482"/>
        <w:jc w:val="both"/>
      </w:pPr>
      <w:r>
        <w:rPr>
          <w:rFonts w:ascii="宋体" w:hAnsi="宋体" w:cs="宋体" w:eastAsia="宋体" w:hint="default"/>
          <w:b/>
          <w:bCs/>
          <w:spacing w:val="-1"/>
        </w:rPr>
        <w:t>丁文波，</w:t>
      </w:r>
      <w:r>
        <w:rPr>
          <w:spacing w:val="-1"/>
        </w:rPr>
        <w:t>男，</w:t>
      </w:r>
      <w:r>
        <w:rPr>
          <w:rFonts w:ascii="宋体" w:hAnsi="宋体" w:cs="宋体" w:eastAsia="宋体" w:hint="default"/>
          <w:spacing w:val="-1"/>
        </w:rPr>
        <w:t>1986</w:t>
      </w:r>
      <w:r>
        <w:rPr>
          <w:spacing w:val="-1"/>
        </w:rPr>
        <w:t>年</w:t>
      </w:r>
      <w:r>
        <w:rPr>
          <w:rFonts w:ascii="宋体" w:hAnsi="宋体" w:cs="宋体" w:eastAsia="宋体" w:hint="default"/>
          <w:spacing w:val="-1"/>
        </w:rPr>
        <w:t>2</w:t>
      </w:r>
      <w:r>
        <w:rPr>
          <w:spacing w:val="-1"/>
        </w:rPr>
        <w:t>月出生，中国国籍，无永久境外居留权，本科学历，</w:t>
      </w:r>
      <w:r>
        <w:rPr>
          <w:rFonts w:ascii="宋体" w:hAnsi="宋体" w:cs="宋体" w:eastAsia="宋体" w:hint="default"/>
          <w:spacing w:val="-1"/>
        </w:rPr>
        <w:t>2008</w:t>
      </w:r>
      <w:r>
        <w:rPr>
          <w:spacing w:val="-1"/>
        </w:rPr>
        <w:t>年毕业于北京交通大</w:t>
      </w:r>
      <w:r>
        <w:rPr>
          <w:w w:val="100"/>
        </w:rPr>
        <w:t> </w:t>
      </w:r>
      <w:r>
        <w:rPr>
          <w:spacing w:val="-6"/>
        </w:rPr>
        <w:t>学经济管理学院。</w:t>
      </w:r>
      <w:r>
        <w:rPr>
          <w:rFonts w:ascii="宋体" w:hAnsi="宋体" w:cs="宋体" w:eastAsia="宋体" w:hint="default"/>
          <w:spacing w:val="-6"/>
        </w:rPr>
        <w:t>2008</w:t>
      </w:r>
      <w:r>
        <w:rPr>
          <w:spacing w:val="-6"/>
        </w:rPr>
        <w:t>年</w:t>
      </w:r>
      <w:r>
        <w:rPr>
          <w:rFonts w:ascii="宋体" w:hAnsi="宋体" w:cs="宋体" w:eastAsia="宋体" w:hint="default"/>
          <w:spacing w:val="-6"/>
        </w:rPr>
        <w:t>7</w:t>
      </w:r>
      <w:r>
        <w:rPr>
          <w:spacing w:val="-6"/>
        </w:rPr>
        <w:t>月至</w:t>
      </w:r>
      <w:r>
        <w:rPr>
          <w:rFonts w:ascii="宋体" w:hAnsi="宋体" w:cs="宋体" w:eastAsia="宋体" w:hint="default"/>
          <w:spacing w:val="-6"/>
        </w:rPr>
        <w:t>2014</w:t>
      </w:r>
      <w:r>
        <w:rPr>
          <w:spacing w:val="-6"/>
        </w:rPr>
        <w:t>年</w:t>
      </w:r>
      <w:r>
        <w:rPr>
          <w:rFonts w:ascii="宋体" w:hAnsi="宋体" w:cs="宋体" w:eastAsia="宋体" w:hint="default"/>
          <w:spacing w:val="-6"/>
        </w:rPr>
        <w:t>8</w:t>
      </w:r>
      <w:r>
        <w:rPr>
          <w:spacing w:val="-6"/>
        </w:rPr>
        <w:t>月任景华天创（北京）咨询有限责任公司实施部部门经理等职；</w:t>
      </w:r>
      <w:r>
        <w:rPr>
          <w:rFonts w:ascii="宋体" w:hAnsi="宋体" w:cs="宋体" w:eastAsia="宋体" w:hint="default"/>
          <w:spacing w:val="-6"/>
        </w:rPr>
        <w:t>2014</w:t>
      </w:r>
      <w:r>
        <w:rPr>
          <w:rFonts w:ascii="宋体" w:hAnsi="宋体" w:cs="宋体" w:eastAsia="宋体" w:hint="default"/>
          <w:spacing w:val="-31"/>
        </w:rPr>
        <w:t> </w:t>
      </w:r>
      <w:r>
        <w:rPr>
          <w:rFonts w:ascii="宋体" w:hAnsi="宋体" w:cs="宋体" w:eastAsia="宋体" w:hint="default"/>
          <w:spacing w:val="-31"/>
        </w:rPr>
      </w:r>
      <w:r>
        <w:rPr>
          <w:spacing w:val="-2"/>
        </w:rPr>
        <w:t>年</w:t>
      </w:r>
      <w:r>
        <w:rPr>
          <w:rFonts w:ascii="宋体" w:hAnsi="宋体" w:cs="宋体" w:eastAsia="宋体" w:hint="default"/>
          <w:spacing w:val="-2"/>
        </w:rPr>
        <w:t>8</w:t>
      </w:r>
      <w:r>
        <w:rPr>
          <w:spacing w:val="-2"/>
        </w:rPr>
        <w:t>月至</w:t>
      </w:r>
      <w:r>
        <w:rPr>
          <w:rFonts w:ascii="宋体" w:hAnsi="宋体" w:cs="宋体" w:eastAsia="宋体" w:hint="default"/>
          <w:spacing w:val="-2"/>
        </w:rPr>
        <w:t>2018</w:t>
      </w:r>
      <w:r>
        <w:rPr>
          <w:spacing w:val="-2"/>
        </w:rPr>
        <w:t>年</w:t>
      </w:r>
      <w:r>
        <w:rPr>
          <w:rFonts w:ascii="宋体" w:hAnsi="宋体" w:cs="宋体" w:eastAsia="宋体" w:hint="default"/>
          <w:spacing w:val="-2"/>
        </w:rPr>
        <w:t>1</w:t>
      </w:r>
      <w:r>
        <w:rPr>
          <w:spacing w:val="-2"/>
        </w:rPr>
        <w:t>月历任国家开发投资集团有限公司信息化管理部规划建设处业务经理、国投培训与保障中</w:t>
      </w:r>
      <w:r>
        <w:rPr>
          <w:spacing w:val="-37"/>
        </w:rPr>
        <w:t> </w:t>
      </w:r>
      <w:r>
        <w:rPr>
          <w:spacing w:val="-37"/>
        </w:rPr>
      </w:r>
      <w:r>
        <w:rPr>
          <w:spacing w:val="-2"/>
        </w:rPr>
        <w:t>心信息化一部高级业务经理；</w:t>
      </w:r>
      <w:r>
        <w:rPr>
          <w:rFonts w:ascii="宋体" w:hAnsi="宋体" w:cs="宋体" w:eastAsia="宋体" w:hint="default"/>
          <w:spacing w:val="-2"/>
        </w:rPr>
        <w:t>2018</w:t>
      </w:r>
      <w:r>
        <w:rPr>
          <w:spacing w:val="-2"/>
        </w:rPr>
        <w:t>年</w:t>
      </w:r>
      <w:r>
        <w:rPr>
          <w:rFonts w:ascii="宋体" w:hAnsi="宋体" w:cs="宋体" w:eastAsia="宋体" w:hint="default"/>
          <w:spacing w:val="-2"/>
        </w:rPr>
        <w:t>1</w:t>
      </w:r>
      <w:r>
        <w:rPr>
          <w:spacing w:val="-2"/>
        </w:rPr>
        <w:t>月至今任国投智能科技有限公司高级投资经理</w:t>
      </w:r>
      <w:r>
        <w:rPr>
          <w:rFonts w:ascii="宋体" w:hAnsi="宋体" w:cs="宋体" w:eastAsia="宋体" w:hint="default"/>
          <w:spacing w:val="-2"/>
        </w:rPr>
        <w:t>,</w:t>
      </w:r>
      <w:r>
        <w:rPr>
          <w:spacing w:val="-2"/>
        </w:rPr>
        <w:t>兼任中央财经大学会</w:t>
      </w:r>
      <w:r>
        <w:rPr>
          <w:spacing w:val="-43"/>
        </w:rPr>
        <w:t> </w:t>
      </w:r>
      <w:r>
        <w:rPr>
          <w:spacing w:val="-43"/>
        </w:rPr>
      </w:r>
      <w:r>
        <w:rPr/>
        <w:t>计学院客座讲师。</w:t>
      </w:r>
      <w:r>
        <w:rPr>
          <w:rFonts w:ascii="宋体" w:hAnsi="宋体" w:cs="宋体" w:eastAsia="宋体" w:hint="default"/>
        </w:rPr>
        <w:t>2019</w:t>
      </w:r>
      <w:r>
        <w:rPr/>
        <w:t>年</w:t>
      </w:r>
      <w:r>
        <w:rPr>
          <w:rFonts w:ascii="宋体" w:hAnsi="宋体" w:cs="宋体" w:eastAsia="宋体" w:hint="default"/>
        </w:rPr>
        <w:t>8</w:t>
      </w:r>
      <w:r>
        <w:rPr/>
        <w:t>月至今任公司董事。</w:t>
      </w:r>
    </w:p>
    <w:p>
      <w:pPr>
        <w:pStyle w:val="BodyText"/>
        <w:spacing w:line="240" w:lineRule="auto"/>
        <w:ind w:left="635" w:right="986"/>
        <w:jc w:val="left"/>
      </w:pPr>
      <w:r>
        <w:rPr>
          <w:rFonts w:ascii="宋体" w:hAnsi="宋体" w:cs="宋体" w:eastAsia="宋体" w:hint="default"/>
          <w:b/>
          <w:bCs/>
          <w:spacing w:val="-4"/>
        </w:rPr>
        <w:t>曲晓辉，</w:t>
      </w:r>
      <w:r>
        <w:rPr>
          <w:spacing w:val="-4"/>
        </w:rPr>
        <w:t>女，</w:t>
      </w:r>
      <w:r>
        <w:rPr>
          <w:rFonts w:ascii="宋体" w:hAnsi="宋体" w:cs="宋体" w:eastAsia="宋体" w:hint="default"/>
          <w:spacing w:val="-4"/>
        </w:rPr>
        <w:t>1954</w:t>
      </w:r>
      <w:r>
        <w:rPr>
          <w:spacing w:val="-4"/>
        </w:rPr>
        <w:t>年</w:t>
      </w:r>
      <w:r>
        <w:rPr>
          <w:rFonts w:ascii="宋体" w:hAnsi="宋体" w:cs="宋体" w:eastAsia="宋体" w:hint="default"/>
          <w:spacing w:val="-4"/>
        </w:rPr>
        <w:t>11</w:t>
      </w:r>
      <w:r>
        <w:rPr>
          <w:spacing w:val="-4"/>
        </w:rPr>
        <w:t>月出生，中国国籍，经济学博士，会计学教授，博士生导师，无永久境外居留</w:t>
      </w:r>
      <w:r>
        <w:rPr/>
      </w:r>
    </w:p>
    <w:p>
      <w:pPr>
        <w:spacing w:after="0" w:line="240"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1127"/>
        <w:jc w:val="both"/>
      </w:pPr>
      <w:r>
        <w:rPr/>
        <w:t>权。中国第一位会计学女博士和第一位会计学博士生女导师，全国会计硕士专业学位（</w:t>
      </w:r>
      <w:r>
        <w:rPr>
          <w:rFonts w:ascii="宋体" w:hAnsi="宋体" w:cs="宋体" w:eastAsia="宋体" w:hint="default"/>
        </w:rPr>
        <w:t>MPAcc</w:t>
      </w:r>
      <w:r>
        <w:rPr/>
        <w:t>）论证发起</w:t>
      </w:r>
      <w:r>
        <w:rPr>
          <w:spacing w:val="-30"/>
        </w:rPr>
        <w:t> </w:t>
      </w:r>
      <w:r>
        <w:rPr>
          <w:spacing w:val="-30"/>
        </w:rPr>
      </w:r>
      <w:r>
        <w:rPr>
          <w:spacing w:val="-2"/>
        </w:rPr>
        <w:t>人。厦门大学社会科学学部委员、教授、博导；全国会计专业学位教育指导委员会顾问、教育部社会科学</w:t>
      </w:r>
      <w:r>
        <w:rPr>
          <w:spacing w:val="-43"/>
        </w:rPr>
        <w:t> </w:t>
      </w:r>
      <w:r>
        <w:rPr>
          <w:spacing w:val="-43"/>
        </w:rPr>
      </w:r>
      <w:r>
        <w:rPr>
          <w:spacing w:val="-2"/>
        </w:rPr>
        <w:t>委员会委员；国家社科基金项目评委。曾任厦门大学会计发展研究中心主任、厦门大学财务管理与会计研</w:t>
      </w:r>
      <w:r>
        <w:rPr>
          <w:spacing w:val="-43"/>
        </w:rPr>
        <w:t> </w:t>
      </w:r>
      <w:r>
        <w:rPr>
          <w:spacing w:val="-43"/>
        </w:rPr>
      </w:r>
      <w:r>
        <w:rPr>
          <w:spacing w:val="-2"/>
        </w:rPr>
        <w:t>究院院长、中兴通讯股份有限公司、泰康人寿保险股份有限公司、民太安保险公估股份有限公司、云南白</w:t>
      </w:r>
      <w:r>
        <w:rPr>
          <w:spacing w:val="-50"/>
        </w:rPr>
        <w:t> </w:t>
      </w:r>
      <w:r>
        <w:rPr>
          <w:spacing w:val="-50"/>
        </w:rPr>
      </w:r>
      <w:r>
        <w:rPr>
          <w:spacing w:val="-2"/>
        </w:rPr>
        <w:t>药集团股份有限公司、广州白云电器设备股份有限公司独立董事。现任哈尔滨工业大学（深圳）经济管理</w:t>
      </w:r>
      <w:r>
        <w:rPr>
          <w:spacing w:val="-47"/>
        </w:rPr>
        <w:t> </w:t>
      </w:r>
      <w:r>
        <w:rPr>
          <w:spacing w:val="-47"/>
        </w:rPr>
      </w:r>
      <w:r>
        <w:rPr>
          <w:spacing w:val="-2"/>
        </w:rPr>
        <w:t>学院会计学科带头人、教授、博导，兼任三棵树涂料股份有限公司、中国人民财产保险股份有限公司独立</w:t>
      </w:r>
      <w:r>
        <w:rPr>
          <w:spacing w:val="-47"/>
        </w:rPr>
        <w:t> </w:t>
      </w:r>
      <w:r>
        <w:rPr>
          <w:spacing w:val="-47"/>
        </w:rPr>
      </w:r>
      <w:r>
        <w:rPr/>
        <w:t>董事。</w:t>
      </w:r>
      <w:r>
        <w:rPr>
          <w:rFonts w:ascii="宋体" w:hAnsi="宋体" w:cs="宋体" w:eastAsia="宋体" w:hint="default"/>
        </w:rPr>
        <w:t>2015</w:t>
      </w:r>
      <w:r>
        <w:rPr/>
        <w:t>年</w:t>
      </w:r>
      <w:r>
        <w:rPr>
          <w:rFonts w:ascii="宋体" w:hAnsi="宋体" w:cs="宋体" w:eastAsia="宋体" w:hint="default"/>
        </w:rPr>
        <w:t>8</w:t>
      </w:r>
      <w:r>
        <w:rPr/>
        <w:t>月至今任公司独立董事。</w:t>
      </w:r>
    </w:p>
    <w:p>
      <w:pPr>
        <w:pStyle w:val="BodyText"/>
        <w:spacing w:line="408" w:lineRule="auto"/>
        <w:ind w:right="1128" w:firstLine="482"/>
        <w:jc w:val="both"/>
      </w:pPr>
      <w:r>
        <w:rPr>
          <w:rFonts w:ascii="宋体" w:hAnsi="宋体" w:cs="宋体" w:eastAsia="宋体" w:hint="default"/>
          <w:b/>
          <w:bCs/>
          <w:spacing w:val="-1"/>
        </w:rPr>
        <w:t>卢永华，</w:t>
      </w:r>
      <w:r>
        <w:rPr>
          <w:spacing w:val="-1"/>
        </w:rPr>
        <w:t>男，</w:t>
      </w:r>
      <w:r>
        <w:rPr>
          <w:rFonts w:ascii="宋体" w:hAnsi="宋体" w:cs="宋体" w:eastAsia="宋体" w:hint="default"/>
          <w:spacing w:val="-1"/>
        </w:rPr>
        <w:t>1954</w:t>
      </w:r>
      <w:r>
        <w:rPr>
          <w:spacing w:val="-1"/>
        </w:rPr>
        <w:t>年</w:t>
      </w:r>
      <w:r>
        <w:rPr>
          <w:rFonts w:ascii="宋体" w:hAnsi="宋体" w:cs="宋体" w:eastAsia="宋体" w:hint="default"/>
          <w:spacing w:val="-1"/>
        </w:rPr>
        <w:t>12</w:t>
      </w:r>
      <w:r>
        <w:rPr>
          <w:spacing w:val="-1"/>
        </w:rPr>
        <w:t>月出生，中国国籍，会计学博士，会计学教授，无永久境外居留权。</w:t>
      </w:r>
      <w:r>
        <w:rPr>
          <w:rFonts w:ascii="宋体" w:hAnsi="宋体" w:cs="宋体" w:eastAsia="宋体" w:hint="default"/>
          <w:spacing w:val="-1"/>
        </w:rPr>
        <w:t>1980</w:t>
      </w:r>
      <w:r>
        <w:rPr>
          <w:spacing w:val="-1"/>
        </w:rPr>
        <w:t>年</w:t>
      </w:r>
      <w:r>
        <w:rPr>
          <w:rFonts w:ascii="宋体" w:hAnsi="宋体" w:cs="宋体" w:eastAsia="宋体" w:hint="default"/>
          <w:spacing w:val="-1"/>
        </w:rPr>
        <w:t>9</w:t>
      </w:r>
      <w:r>
        <w:rPr>
          <w:rFonts w:ascii="宋体" w:hAnsi="宋体" w:cs="宋体" w:eastAsia="宋体" w:hint="default"/>
          <w:w w:val="100"/>
        </w:rPr>
        <w:t> </w:t>
      </w:r>
      <w:r>
        <w:rPr>
          <w:spacing w:val="-2"/>
        </w:rPr>
        <w:t>月至</w:t>
      </w:r>
      <w:r>
        <w:rPr>
          <w:rFonts w:ascii="宋体" w:hAnsi="宋体" w:cs="宋体" w:eastAsia="宋体" w:hint="default"/>
          <w:spacing w:val="-2"/>
        </w:rPr>
        <w:t>1984</w:t>
      </w:r>
      <w:r>
        <w:rPr>
          <w:spacing w:val="-2"/>
        </w:rPr>
        <w:t>年</w:t>
      </w:r>
      <w:r>
        <w:rPr>
          <w:rFonts w:ascii="宋体" w:hAnsi="宋体" w:cs="宋体" w:eastAsia="宋体" w:hint="default"/>
          <w:spacing w:val="-2"/>
        </w:rPr>
        <w:t>7</w:t>
      </w:r>
      <w:r>
        <w:rPr>
          <w:spacing w:val="-2"/>
        </w:rPr>
        <w:t>月，在厦门大学会计学专业就读，获学士学位；</w:t>
      </w:r>
      <w:r>
        <w:rPr>
          <w:rFonts w:ascii="宋体" w:hAnsi="宋体" w:cs="宋体" w:eastAsia="宋体" w:hint="default"/>
          <w:spacing w:val="-2"/>
        </w:rPr>
        <w:t>1984</w:t>
      </w:r>
      <w:r>
        <w:rPr>
          <w:spacing w:val="-2"/>
        </w:rPr>
        <w:t>年</w:t>
      </w:r>
      <w:r>
        <w:rPr>
          <w:rFonts w:ascii="宋体" w:hAnsi="宋体" w:cs="宋体" w:eastAsia="宋体" w:hint="default"/>
          <w:spacing w:val="-2"/>
        </w:rPr>
        <w:t>7</w:t>
      </w:r>
      <w:r>
        <w:rPr>
          <w:spacing w:val="-2"/>
        </w:rPr>
        <w:t>月厦门大学会计系毕业留校后一直从</w:t>
      </w:r>
      <w:r>
        <w:rPr>
          <w:spacing w:val="-40"/>
        </w:rPr>
        <w:t> </w:t>
      </w:r>
      <w:r>
        <w:rPr>
          <w:spacing w:val="-40"/>
        </w:rPr>
      </w:r>
      <w:r>
        <w:rPr>
          <w:spacing w:val="-6"/>
        </w:rPr>
        <w:t>事会计教学、科研工作；期间于</w:t>
      </w:r>
      <w:r>
        <w:rPr>
          <w:rFonts w:ascii="宋体" w:hAnsi="宋体" w:cs="宋体" w:eastAsia="宋体" w:hint="default"/>
          <w:spacing w:val="-6"/>
        </w:rPr>
        <w:t>1992</w:t>
      </w:r>
      <w:r>
        <w:rPr>
          <w:spacing w:val="-6"/>
        </w:rPr>
        <w:t>年</w:t>
      </w:r>
      <w:r>
        <w:rPr>
          <w:rFonts w:ascii="宋体" w:hAnsi="宋体" w:cs="宋体" w:eastAsia="宋体" w:hint="default"/>
          <w:spacing w:val="-6"/>
        </w:rPr>
        <w:t>7</w:t>
      </w:r>
      <w:r>
        <w:rPr>
          <w:spacing w:val="-6"/>
        </w:rPr>
        <w:t>月获得厦门大学会计系硕士学位；</w:t>
      </w:r>
      <w:r>
        <w:rPr>
          <w:rFonts w:ascii="宋体" w:hAnsi="宋体" w:cs="宋体" w:eastAsia="宋体" w:hint="default"/>
          <w:spacing w:val="-6"/>
        </w:rPr>
        <w:t>2002</w:t>
      </w:r>
      <w:r>
        <w:rPr>
          <w:spacing w:val="-6"/>
        </w:rPr>
        <w:t>年</w:t>
      </w:r>
      <w:r>
        <w:rPr>
          <w:rFonts w:ascii="宋体" w:hAnsi="宋体" w:cs="宋体" w:eastAsia="宋体" w:hint="default"/>
          <w:spacing w:val="-6"/>
        </w:rPr>
        <w:t>6</w:t>
      </w:r>
      <w:r>
        <w:rPr>
          <w:spacing w:val="-6"/>
        </w:rPr>
        <w:t>月获厦门大学管理学（会</w:t>
      </w:r>
      <w:r>
        <w:rPr>
          <w:spacing w:val="-43"/>
        </w:rPr>
        <w:t> </w:t>
      </w:r>
      <w:r>
        <w:rPr>
          <w:spacing w:val="-43"/>
        </w:rPr>
      </w:r>
      <w:r>
        <w:rPr>
          <w:spacing w:val="-2"/>
        </w:rPr>
        <w:t>计学）博士学位。历任厦门大学会计系助教、厦门大学会计系讲师、厦门大学会计系副教授、厦门大学会</w:t>
      </w:r>
      <w:r>
        <w:rPr>
          <w:spacing w:val="-43"/>
        </w:rPr>
        <w:t> </w:t>
      </w:r>
      <w:r>
        <w:rPr>
          <w:spacing w:val="-43"/>
        </w:rPr>
      </w:r>
      <w:r>
        <w:rPr>
          <w:spacing w:val="-2"/>
        </w:rPr>
        <w:t>计系党总支副书记、厦门大学会计系副主任。卢永华先生现兼任厦门东昂光电科技股份有限公司、福建龙</w:t>
      </w:r>
      <w:r>
        <w:rPr>
          <w:spacing w:val="-43"/>
        </w:rPr>
        <w:t> </w:t>
      </w:r>
      <w:r>
        <w:rPr>
          <w:spacing w:val="-43"/>
        </w:rPr>
      </w:r>
      <w:r>
        <w:rPr/>
        <w:t>溪轴承</w:t>
      </w:r>
      <w:r>
        <w:rPr>
          <w:rFonts w:ascii="宋体" w:hAnsi="宋体" w:cs="宋体" w:eastAsia="宋体" w:hint="default"/>
        </w:rPr>
        <w:t>(</w:t>
      </w:r>
      <w:r>
        <w:rPr/>
        <w:t>集团</w:t>
      </w:r>
      <w:r>
        <w:rPr>
          <w:rFonts w:ascii="宋体" w:hAnsi="宋体" w:cs="宋体" w:eastAsia="宋体" w:hint="default"/>
        </w:rPr>
        <w:t>)</w:t>
      </w:r>
      <w:r>
        <w:rPr/>
        <w:t>股份有限公司、舒华股份有限公司、吉比特网络技术股份有限公司的独立董事。</w:t>
      </w:r>
      <w:r>
        <w:rPr>
          <w:rFonts w:ascii="宋体" w:hAnsi="宋体" w:cs="宋体" w:eastAsia="宋体" w:hint="default"/>
        </w:rPr>
        <w:t>2015</w:t>
      </w:r>
      <w:r>
        <w:rPr/>
        <w:t>年</w:t>
      </w:r>
      <w:r>
        <w:rPr>
          <w:rFonts w:ascii="宋体" w:hAnsi="宋体" w:cs="宋体" w:eastAsia="宋体" w:hint="default"/>
        </w:rPr>
        <w:t>8</w:t>
      </w:r>
      <w:r>
        <w:rPr/>
        <w:t>月</w:t>
      </w:r>
      <w:r>
        <w:rPr>
          <w:spacing w:val="-26"/>
        </w:rPr>
        <w:t> </w:t>
      </w:r>
      <w:r>
        <w:rPr/>
        <w:t>起至今任公司独立董事。</w:t>
      </w:r>
    </w:p>
    <w:p>
      <w:pPr>
        <w:pStyle w:val="BodyText"/>
        <w:spacing w:line="408" w:lineRule="auto"/>
        <w:ind w:right="986" w:firstLine="482"/>
        <w:jc w:val="left"/>
      </w:pPr>
      <w:r>
        <w:rPr>
          <w:rFonts w:ascii="宋体" w:hAnsi="宋体" w:cs="宋体" w:eastAsia="宋体" w:hint="default"/>
          <w:b/>
          <w:bCs/>
        </w:rPr>
        <w:t>蔡志平，</w:t>
      </w:r>
      <w:r>
        <w:rPr/>
        <w:t>男，</w:t>
      </w:r>
      <w:r>
        <w:rPr>
          <w:rFonts w:ascii="宋体" w:hAnsi="宋体" w:cs="宋体" w:eastAsia="宋体" w:hint="default"/>
        </w:rPr>
        <w:t>1965 </w:t>
      </w:r>
      <w:r>
        <w:rPr/>
        <w:t>年</w:t>
      </w:r>
      <w:r>
        <w:rPr>
          <w:rFonts w:ascii="宋体" w:hAnsi="宋体" w:cs="宋体" w:eastAsia="宋体" w:hint="default"/>
        </w:rPr>
        <w:t>2</w:t>
      </w:r>
      <w:r>
        <w:rPr/>
        <w:t>月出生，中国国籍，博士，教授，无永久境外居留权。</w:t>
      </w:r>
      <w:r>
        <w:rPr>
          <w:rFonts w:ascii="宋体" w:hAnsi="宋体" w:cs="宋体" w:eastAsia="宋体" w:hint="default"/>
        </w:rPr>
        <w:t>1985</w:t>
      </w:r>
      <w:r>
        <w:rPr>
          <w:rFonts w:ascii="宋体" w:hAnsi="宋体" w:cs="宋体" w:eastAsia="宋体" w:hint="default"/>
          <w:spacing w:val="-5"/>
        </w:rPr>
        <w:t> </w:t>
      </w:r>
      <w:r>
        <w:rPr/>
        <w:t>年毕业于厦门大</w:t>
      </w:r>
      <w:r>
        <w:rPr>
          <w:w w:val="100"/>
        </w:rPr>
        <w:t> </w:t>
      </w:r>
      <w:r>
        <w:rPr>
          <w:spacing w:val="-2"/>
        </w:rPr>
        <w:t>学物理系半导体物理与器件专业，先后于</w:t>
      </w:r>
      <w:r>
        <w:rPr>
          <w:rFonts w:ascii="宋体" w:hAnsi="宋体" w:cs="宋体" w:eastAsia="宋体" w:hint="default"/>
          <w:spacing w:val="-2"/>
        </w:rPr>
        <w:t>1987</w:t>
      </w:r>
      <w:r>
        <w:rPr>
          <w:spacing w:val="-2"/>
        </w:rPr>
        <w:t>年和</w:t>
      </w:r>
      <w:r>
        <w:rPr>
          <w:rFonts w:ascii="宋体" w:hAnsi="宋体" w:cs="宋体" w:eastAsia="宋体" w:hint="default"/>
          <w:spacing w:val="-2"/>
        </w:rPr>
        <w:t>1989</w:t>
      </w:r>
      <w:r>
        <w:rPr>
          <w:spacing w:val="-2"/>
        </w:rPr>
        <w:t>年在法国尼斯大学物理系获硕士、博士学位，从事</w:t>
      </w:r>
      <w:r>
        <w:rPr>
          <w:spacing w:val="-44"/>
        </w:rPr>
        <w:t> </w:t>
      </w:r>
      <w:r>
        <w:rPr>
          <w:spacing w:val="-44"/>
        </w:rPr>
      </w:r>
      <w:r>
        <w:rPr/>
        <w:t>稀土掺杂光纤线性与非线性光学性质研究。</w:t>
      </w:r>
      <w:r>
        <w:rPr>
          <w:rFonts w:ascii="宋体" w:hAnsi="宋体" w:cs="宋体" w:eastAsia="宋体" w:hint="default"/>
        </w:rPr>
        <w:t>1989</w:t>
      </w:r>
      <w:r>
        <w:rPr/>
        <w:t>年回厦门大学物理系任教，</w:t>
      </w:r>
      <w:r>
        <w:rPr>
          <w:rFonts w:ascii="宋体" w:hAnsi="宋体" w:cs="宋体" w:eastAsia="宋体" w:hint="default"/>
        </w:rPr>
        <w:t>2004</w:t>
      </w:r>
      <w:r>
        <w:rPr/>
        <w:t>年</w:t>
      </w:r>
      <w:r>
        <w:rPr>
          <w:rFonts w:ascii="宋体" w:hAnsi="宋体" w:cs="宋体" w:eastAsia="宋体" w:hint="default"/>
        </w:rPr>
        <w:t>5</w:t>
      </w:r>
      <w:r>
        <w:rPr/>
        <w:t>月起至今任厦门大学</w:t>
      </w:r>
      <w:r>
        <w:rPr>
          <w:spacing w:val="-3"/>
          <w:w w:val="100"/>
        </w:rPr>
        <w:t> </w:t>
      </w:r>
      <w:r>
        <w:rPr>
          <w:spacing w:val="-2"/>
        </w:rPr>
        <w:t>计算机与信息工程学院电子工程系主任、学院教授委员会副主任、电子工程系教授委员会主任。现兼任中</w:t>
      </w:r>
      <w:r>
        <w:rPr>
          <w:spacing w:val="-44"/>
        </w:rPr>
        <w:t> </w:t>
      </w:r>
      <w:r>
        <w:rPr>
          <w:spacing w:val="-44"/>
        </w:rPr>
      </w:r>
      <w:r>
        <w:rPr/>
        <w:t>国光学学会纤维光学与集成光学专业委员会委员，教育部电子科学与技术教学指导分委会委员。</w:t>
      </w:r>
      <w:r>
        <w:rPr>
          <w:rFonts w:ascii="宋体" w:hAnsi="宋体" w:cs="宋体" w:eastAsia="宋体" w:hint="default"/>
        </w:rPr>
        <w:t>2016</w:t>
      </w:r>
      <w:r>
        <w:rPr/>
        <w:t>年</w:t>
      </w:r>
      <w:r>
        <w:rPr>
          <w:rFonts w:ascii="宋体" w:hAnsi="宋体" w:cs="宋体" w:eastAsia="宋体" w:hint="default"/>
        </w:rPr>
        <w:t>3</w:t>
      </w:r>
      <w:r>
        <w:rPr>
          <w:rFonts w:ascii="宋体" w:hAnsi="宋体" w:cs="宋体" w:eastAsia="宋体" w:hint="default"/>
          <w:w w:val="100"/>
        </w:rPr>
        <w:t> </w:t>
      </w:r>
      <w:r>
        <w:rPr/>
        <w:t>月至今任公司独立董事。</w:t>
      </w:r>
    </w:p>
    <w:p>
      <w:pPr>
        <w:pStyle w:val="BodyText"/>
        <w:spacing w:line="408" w:lineRule="auto"/>
        <w:ind w:left="575" w:right="986"/>
        <w:jc w:val="left"/>
      </w:pPr>
      <w:r>
        <w:rPr>
          <w:rFonts w:ascii="宋体" w:hAnsi="宋体" w:cs="宋体" w:eastAsia="宋体" w:hint="default"/>
          <w:b/>
          <w:bCs/>
        </w:rPr>
        <w:t>2</w:t>
      </w:r>
      <w:r>
        <w:rPr>
          <w:rFonts w:ascii="宋体" w:hAnsi="宋体" w:cs="宋体" w:eastAsia="宋体" w:hint="default"/>
          <w:b/>
          <w:bCs/>
        </w:rPr>
        <w:t>、监事</w:t>
      </w:r>
      <w:r>
        <w:rPr>
          <w:rFonts w:ascii="宋体" w:hAnsi="宋体" w:cs="宋体" w:eastAsia="宋体" w:hint="default"/>
          <w:b/>
          <w:bCs/>
          <w:w w:val="100"/>
        </w:rPr>
        <w:t> </w:t>
      </w:r>
      <w:r>
        <w:rPr>
          <w:rFonts w:ascii="宋体" w:hAnsi="宋体" w:cs="宋体" w:eastAsia="宋体" w:hint="default"/>
          <w:b/>
          <w:bCs/>
          <w:spacing w:val="-2"/>
        </w:rPr>
        <w:t>仲丽华，</w:t>
      </w:r>
      <w:r>
        <w:rPr>
          <w:spacing w:val="-2"/>
        </w:rPr>
        <w:t>女，</w:t>
      </w:r>
      <w:r>
        <w:rPr>
          <w:rFonts w:ascii="宋体" w:hAnsi="宋体" w:cs="宋体" w:eastAsia="宋体" w:hint="default"/>
          <w:spacing w:val="-2"/>
        </w:rPr>
        <w:t>1976</w:t>
      </w:r>
      <w:r>
        <w:rPr>
          <w:spacing w:val="-2"/>
        </w:rPr>
        <w:t>年</w:t>
      </w:r>
      <w:r>
        <w:rPr>
          <w:rFonts w:ascii="宋体" w:hAnsi="宋体" w:cs="宋体" w:eastAsia="宋体" w:hint="default"/>
          <w:spacing w:val="-2"/>
        </w:rPr>
        <w:t>5</w:t>
      </w:r>
      <w:r>
        <w:rPr>
          <w:spacing w:val="-2"/>
        </w:rPr>
        <w:t>月出生，中国国籍，硕士研究生学历，毕业于厦门大学，无永久境外居留权。</w:t>
      </w:r>
    </w:p>
    <w:p>
      <w:pPr>
        <w:pStyle w:val="BodyText"/>
        <w:spacing w:line="240" w:lineRule="auto"/>
        <w:ind w:right="986"/>
        <w:jc w:val="left"/>
        <w:rPr>
          <w:rFonts w:ascii="宋体" w:hAnsi="宋体" w:cs="宋体" w:eastAsia="宋体" w:hint="default"/>
        </w:rPr>
      </w:pPr>
      <w:r>
        <w:rPr>
          <w:rFonts w:ascii="宋体" w:hAnsi="宋体" w:cs="宋体" w:eastAsia="宋体" w:hint="default"/>
        </w:rPr>
        <w:t>2007</w:t>
      </w:r>
      <w:r>
        <w:rPr/>
        <w:t>年</w:t>
      </w:r>
      <w:r>
        <w:rPr>
          <w:rFonts w:ascii="宋体" w:hAnsi="宋体" w:cs="宋体" w:eastAsia="宋体" w:hint="default"/>
        </w:rPr>
        <w:t>4</w:t>
      </w:r>
      <w:r>
        <w:rPr/>
        <w:t>月至今，历任公司中证研究所网络维权部副经理、经理、数字法律服务中心副总监，总监。</w:t>
      </w:r>
      <w:r>
        <w:rPr>
          <w:rFonts w:ascii="宋体" w:hAnsi="宋体" w:cs="宋体" w:eastAsia="宋体" w:hint="default"/>
        </w:rPr>
        <w:t>2011</w:t>
      </w:r>
    </w:p>
    <w:p>
      <w:pPr>
        <w:spacing w:line="240" w:lineRule="auto" w:before="10"/>
        <w:rPr>
          <w:rFonts w:ascii="宋体" w:hAnsi="宋体" w:cs="宋体" w:eastAsia="宋体" w:hint="default"/>
          <w:sz w:val="14"/>
          <w:szCs w:val="14"/>
        </w:rPr>
      </w:pPr>
    </w:p>
    <w:p>
      <w:pPr>
        <w:pStyle w:val="BodyText"/>
        <w:spacing w:line="408" w:lineRule="auto" w:before="0"/>
        <w:ind w:left="575" w:right="986" w:hanging="423"/>
        <w:jc w:val="left"/>
      </w:pPr>
      <w:r>
        <w:rPr/>
        <w:t>年</w:t>
      </w:r>
      <w:r>
        <w:rPr>
          <w:rFonts w:ascii="宋体" w:hAnsi="宋体" w:cs="宋体" w:eastAsia="宋体" w:hint="default"/>
        </w:rPr>
        <w:t>4</w:t>
      </w:r>
      <w:r>
        <w:rPr/>
        <w:t>月至今任公司监事会职工代表监事、监事会主席。</w:t>
      </w:r>
      <w:r>
        <w:rPr>
          <w:spacing w:val="-3"/>
          <w:w w:val="100"/>
        </w:rPr>
        <w:t> </w:t>
      </w:r>
      <w:r>
        <w:rPr>
          <w:rFonts w:ascii="宋体" w:hAnsi="宋体" w:cs="宋体" w:eastAsia="宋体" w:hint="default"/>
          <w:b/>
          <w:bCs/>
          <w:spacing w:val="-2"/>
        </w:rPr>
        <w:t>李国林，</w:t>
      </w:r>
      <w:r>
        <w:rPr>
          <w:spacing w:val="-2"/>
        </w:rPr>
        <w:t>男，</w:t>
      </w:r>
      <w:r>
        <w:rPr>
          <w:rFonts w:ascii="宋体" w:hAnsi="宋体" w:cs="宋体" w:eastAsia="宋体" w:hint="default"/>
          <w:spacing w:val="-2"/>
        </w:rPr>
        <w:t>1968</w:t>
      </w:r>
      <w:r>
        <w:rPr>
          <w:spacing w:val="-2"/>
        </w:rPr>
        <w:t>年</w:t>
      </w:r>
      <w:r>
        <w:rPr>
          <w:rFonts w:ascii="宋体" w:hAnsi="宋体" w:cs="宋体" w:eastAsia="宋体" w:hint="default"/>
          <w:spacing w:val="-2"/>
        </w:rPr>
        <w:t>7</w:t>
      </w:r>
      <w:r>
        <w:rPr>
          <w:spacing w:val="-2"/>
        </w:rPr>
        <w:t>月出生，中国国籍，无永久境外居留权。</w:t>
      </w:r>
      <w:r>
        <w:rPr>
          <w:rFonts w:ascii="宋体" w:hAnsi="宋体" w:cs="宋体" w:eastAsia="宋体" w:hint="default"/>
          <w:spacing w:val="-2"/>
        </w:rPr>
        <w:t>2000</w:t>
      </w:r>
      <w:r>
        <w:rPr>
          <w:spacing w:val="-2"/>
        </w:rPr>
        <w:t>年至今任美亚长城传媒（北京）</w:t>
      </w:r>
    </w:p>
    <w:p>
      <w:pPr>
        <w:pStyle w:val="BodyText"/>
        <w:spacing w:line="408" w:lineRule="auto"/>
        <w:ind w:left="575" w:right="986" w:hanging="423"/>
        <w:jc w:val="left"/>
      </w:pPr>
      <w:r>
        <w:rPr/>
        <w:t>有限公司执行董事；</w:t>
      </w:r>
      <w:r>
        <w:rPr>
          <w:rFonts w:ascii="宋体" w:hAnsi="宋体" w:cs="宋体" w:eastAsia="宋体" w:hint="default"/>
        </w:rPr>
        <w:t>2009</w:t>
      </w:r>
      <w:r>
        <w:rPr/>
        <w:t>年</w:t>
      </w:r>
      <w:r>
        <w:rPr>
          <w:rFonts w:ascii="宋体" w:hAnsi="宋体" w:cs="宋体" w:eastAsia="宋体" w:hint="default"/>
        </w:rPr>
        <w:t>9</w:t>
      </w:r>
      <w:r>
        <w:rPr/>
        <w:t>月至</w:t>
      </w:r>
      <w:r>
        <w:rPr>
          <w:rFonts w:ascii="宋体" w:hAnsi="宋体" w:cs="宋体" w:eastAsia="宋体" w:hint="default"/>
        </w:rPr>
        <w:t>2019</w:t>
      </w:r>
      <w:r>
        <w:rPr/>
        <w:t>年</w:t>
      </w:r>
      <w:r>
        <w:rPr>
          <w:rFonts w:ascii="宋体" w:hAnsi="宋体" w:cs="宋体" w:eastAsia="宋体" w:hint="default"/>
        </w:rPr>
        <w:t>8</w:t>
      </w:r>
      <w:r>
        <w:rPr/>
        <w:t>月任公司董事，</w:t>
      </w:r>
      <w:r>
        <w:rPr>
          <w:rFonts w:ascii="宋体" w:hAnsi="宋体" w:cs="宋体" w:eastAsia="宋体" w:hint="default"/>
        </w:rPr>
        <w:t>2019</w:t>
      </w:r>
      <w:r>
        <w:rPr/>
        <w:t>年</w:t>
      </w:r>
      <w:r>
        <w:rPr>
          <w:rFonts w:ascii="宋体" w:hAnsi="宋体" w:cs="宋体" w:eastAsia="宋体" w:hint="default"/>
        </w:rPr>
        <w:t>8</w:t>
      </w:r>
      <w:r>
        <w:rPr/>
        <w:t>月至今任公司监事会非职工代表监事。</w:t>
      </w:r>
      <w:r>
        <w:rPr>
          <w:spacing w:val="-3"/>
          <w:w w:val="100"/>
        </w:rPr>
        <w:t> </w:t>
      </w:r>
      <w:r>
        <w:rPr>
          <w:rFonts w:ascii="宋体" w:hAnsi="宋体" w:cs="宋体" w:eastAsia="宋体" w:hint="default"/>
          <w:b/>
          <w:bCs/>
          <w:spacing w:val="-2"/>
        </w:rPr>
        <w:t>刘冬颖，</w:t>
      </w:r>
      <w:r>
        <w:rPr>
          <w:spacing w:val="-2"/>
        </w:rPr>
        <w:t>女，</w:t>
      </w:r>
      <w:r>
        <w:rPr>
          <w:rFonts w:ascii="宋体" w:hAnsi="宋体" w:cs="宋体" w:eastAsia="宋体" w:hint="default"/>
          <w:spacing w:val="-2"/>
        </w:rPr>
        <w:t>1976</w:t>
      </w:r>
      <w:r>
        <w:rPr>
          <w:spacing w:val="-2"/>
        </w:rPr>
        <w:t>年</w:t>
      </w:r>
      <w:r>
        <w:rPr>
          <w:rFonts w:ascii="宋体" w:hAnsi="宋体" w:cs="宋体" w:eastAsia="宋体" w:hint="default"/>
          <w:spacing w:val="-2"/>
        </w:rPr>
        <w:t>11</w:t>
      </w:r>
      <w:r>
        <w:rPr>
          <w:spacing w:val="-2"/>
        </w:rPr>
        <w:t>出生，中国国籍，硕士学历，无永久境外居留权。</w:t>
      </w:r>
      <w:r>
        <w:rPr>
          <w:rFonts w:ascii="宋体" w:hAnsi="宋体" w:cs="宋体" w:eastAsia="宋体" w:hint="default"/>
          <w:spacing w:val="-2"/>
        </w:rPr>
        <w:t>2000</w:t>
      </w:r>
      <w:r>
        <w:rPr>
          <w:spacing w:val="-2"/>
        </w:rPr>
        <w:t>年至</w:t>
      </w:r>
      <w:r>
        <w:rPr>
          <w:rFonts w:ascii="宋体" w:hAnsi="宋体" w:cs="宋体" w:eastAsia="宋体" w:hint="default"/>
          <w:spacing w:val="-2"/>
        </w:rPr>
        <w:t>2001</w:t>
      </w:r>
      <w:r>
        <w:rPr>
          <w:spacing w:val="-2"/>
        </w:rPr>
        <w:t>年就职于厦门</w:t>
      </w:r>
    </w:p>
    <w:p>
      <w:pPr>
        <w:pStyle w:val="BodyText"/>
        <w:spacing w:line="408" w:lineRule="auto"/>
        <w:ind w:right="986"/>
        <w:jc w:val="left"/>
      </w:pPr>
      <w:r>
        <w:rPr/>
        <w:t>天健会计师事务所有限公司从事审计工作；</w:t>
      </w:r>
      <w:r>
        <w:rPr>
          <w:rFonts w:ascii="宋体" w:hAnsi="宋体" w:cs="宋体" w:eastAsia="宋体" w:hint="default"/>
        </w:rPr>
        <w:t>2001</w:t>
      </w:r>
      <w:r>
        <w:rPr/>
        <w:t>年至</w:t>
      </w:r>
      <w:r>
        <w:rPr>
          <w:rFonts w:ascii="宋体" w:hAnsi="宋体" w:cs="宋体" w:eastAsia="宋体" w:hint="default"/>
        </w:rPr>
        <w:t>2007</w:t>
      </w:r>
      <w:r>
        <w:rPr/>
        <w:t>年就职于厦门</w:t>
      </w:r>
      <w:r>
        <w:rPr>
          <w:rFonts w:ascii="宋体" w:hAnsi="宋体" w:cs="宋体" w:eastAsia="宋体" w:hint="default"/>
        </w:rPr>
        <w:t>ABB</w:t>
      </w:r>
      <w:r>
        <w:rPr/>
        <w:t>低压电器设备有限公司财务部</w:t>
      </w:r>
      <w:r>
        <w:rPr>
          <w:spacing w:val="-3"/>
          <w:w w:val="100"/>
        </w:rPr>
        <w:t> </w:t>
      </w:r>
      <w:r>
        <w:rPr>
          <w:spacing w:val="-2"/>
        </w:rPr>
        <w:t>从事财务管理工作；</w:t>
      </w:r>
      <w:r>
        <w:rPr>
          <w:rFonts w:ascii="宋体" w:hAnsi="宋体" w:cs="宋体" w:eastAsia="宋体" w:hint="default"/>
          <w:spacing w:val="-2"/>
        </w:rPr>
        <w:t>2007</w:t>
      </w:r>
      <w:r>
        <w:rPr>
          <w:spacing w:val="-2"/>
        </w:rPr>
        <w:t>年至</w:t>
      </w:r>
      <w:r>
        <w:rPr>
          <w:rFonts w:ascii="宋体" w:hAnsi="宋体" w:cs="宋体" w:eastAsia="宋体" w:hint="default"/>
          <w:spacing w:val="-2"/>
        </w:rPr>
        <w:t>2010</w:t>
      </w:r>
      <w:r>
        <w:rPr>
          <w:spacing w:val="-2"/>
        </w:rPr>
        <w:t>年就职于厦门稻香村贸易有限公司任职财务总监；</w:t>
      </w:r>
      <w:r>
        <w:rPr>
          <w:rFonts w:ascii="宋体" w:hAnsi="宋体" w:cs="宋体" w:eastAsia="宋体" w:hint="default"/>
          <w:spacing w:val="-2"/>
        </w:rPr>
        <w:t>2010</w:t>
      </w:r>
      <w:r>
        <w:rPr>
          <w:spacing w:val="-2"/>
        </w:rPr>
        <w:t>年至</w:t>
      </w:r>
      <w:r>
        <w:rPr>
          <w:rFonts w:ascii="宋体" w:hAnsi="宋体" w:cs="宋体" w:eastAsia="宋体" w:hint="default"/>
          <w:spacing w:val="-2"/>
        </w:rPr>
        <w:t>2015</w:t>
      </w:r>
      <w:r>
        <w:rPr>
          <w:spacing w:val="-2"/>
        </w:rPr>
        <w:t>年就职</w:t>
      </w:r>
      <w:r>
        <w:rPr>
          <w:spacing w:val="-28"/>
        </w:rPr>
        <w:t> </w:t>
      </w:r>
      <w:r>
        <w:rPr>
          <w:spacing w:val="-28"/>
        </w:rPr>
      </w:r>
      <w:r>
        <w:rPr>
          <w:spacing w:val="-2"/>
        </w:rPr>
        <w:t>于厦门美亚绿化研究所任职财务总监；</w:t>
      </w:r>
      <w:r>
        <w:rPr>
          <w:rFonts w:ascii="宋体" w:hAnsi="宋体" w:cs="宋体" w:eastAsia="宋体" w:hint="default"/>
          <w:spacing w:val="-2"/>
        </w:rPr>
        <w:t>2013</w:t>
      </w:r>
      <w:r>
        <w:rPr>
          <w:spacing w:val="-2"/>
        </w:rPr>
        <w:t>年至</w:t>
      </w:r>
      <w:r>
        <w:rPr>
          <w:rFonts w:ascii="宋体" w:hAnsi="宋体" w:cs="宋体" w:eastAsia="宋体" w:hint="default"/>
          <w:spacing w:val="-2"/>
        </w:rPr>
        <w:t>2015</w:t>
      </w:r>
      <w:r>
        <w:rPr>
          <w:spacing w:val="-2"/>
        </w:rPr>
        <w:t>年就职于厦门刘老师空中花果园有限公司任职财务总</w:t>
      </w:r>
      <w:r>
        <w:rPr/>
      </w:r>
    </w:p>
    <w:p>
      <w:pPr>
        <w:spacing w:after="0" w:line="408"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spacing w:line="408" w:lineRule="auto" w:before="175"/>
        <w:ind w:left="575" w:right="5940" w:hanging="423"/>
        <w:jc w:val="left"/>
        <w:rPr>
          <w:rFonts w:ascii="宋体" w:hAnsi="宋体" w:cs="宋体" w:eastAsia="宋体" w:hint="default"/>
          <w:sz w:val="21"/>
          <w:szCs w:val="21"/>
        </w:rPr>
      </w:pPr>
      <w:r>
        <w:rPr>
          <w:rFonts w:ascii="宋体" w:hAnsi="宋体" w:cs="宋体" w:eastAsia="宋体" w:hint="default"/>
          <w:spacing w:val="-2"/>
          <w:sz w:val="21"/>
          <w:szCs w:val="21"/>
        </w:rPr>
        <w:t>监。</w:t>
      </w:r>
      <w:r>
        <w:rPr>
          <w:rFonts w:ascii="宋体" w:hAnsi="宋体" w:cs="宋体" w:eastAsia="宋体" w:hint="default"/>
          <w:spacing w:val="-2"/>
          <w:sz w:val="21"/>
          <w:szCs w:val="21"/>
        </w:rPr>
        <w:t>2015</w:t>
      </w:r>
      <w:r>
        <w:rPr>
          <w:rFonts w:ascii="宋体" w:hAnsi="宋体" w:cs="宋体" w:eastAsia="宋体" w:hint="default"/>
          <w:spacing w:val="-2"/>
          <w:sz w:val="21"/>
          <w:szCs w:val="21"/>
        </w:rPr>
        <w:t>年</w:t>
      </w:r>
      <w:r>
        <w:rPr>
          <w:rFonts w:ascii="宋体" w:hAnsi="宋体" w:cs="宋体" w:eastAsia="宋体" w:hint="default"/>
          <w:spacing w:val="-2"/>
          <w:sz w:val="21"/>
          <w:szCs w:val="21"/>
        </w:rPr>
        <w:t>8</w:t>
      </w:r>
      <w:r>
        <w:rPr>
          <w:rFonts w:ascii="宋体" w:hAnsi="宋体" w:cs="宋体" w:eastAsia="宋体" w:hint="default"/>
          <w:spacing w:val="-2"/>
          <w:sz w:val="21"/>
          <w:szCs w:val="21"/>
        </w:rPr>
        <w:t>月至今任公司监事会非职工代表监事。</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b/>
          <w:bCs/>
          <w:sz w:val="21"/>
          <w:szCs w:val="21"/>
        </w:rPr>
        <w:t>3</w:t>
      </w:r>
      <w:r>
        <w:rPr>
          <w:rFonts w:ascii="宋体" w:hAnsi="宋体" w:cs="宋体" w:eastAsia="宋体" w:hint="default"/>
          <w:b/>
          <w:bCs/>
          <w:sz w:val="21"/>
          <w:szCs w:val="21"/>
        </w:rPr>
        <w:t>、高级管理人员</w:t>
      </w:r>
      <w:r>
        <w:rPr>
          <w:rFonts w:ascii="宋体" w:hAnsi="宋体" w:cs="宋体" w:eastAsia="宋体" w:hint="default"/>
          <w:b/>
          <w:bCs/>
          <w:w w:val="100"/>
          <w:sz w:val="21"/>
          <w:szCs w:val="21"/>
        </w:rPr>
        <w:t> </w:t>
      </w:r>
      <w:r>
        <w:rPr>
          <w:rFonts w:ascii="宋体" w:hAnsi="宋体" w:cs="宋体" w:eastAsia="宋体" w:hint="default"/>
          <w:b/>
          <w:bCs/>
          <w:sz w:val="21"/>
          <w:szCs w:val="21"/>
        </w:rPr>
        <w:t>申强</w:t>
      </w:r>
      <w:r>
        <w:rPr>
          <w:rFonts w:ascii="宋体" w:hAnsi="宋体" w:cs="宋体" w:eastAsia="宋体" w:hint="default"/>
          <w:sz w:val="21"/>
          <w:szCs w:val="21"/>
        </w:rPr>
        <w:t>，详见“董事任职情况”。</w:t>
      </w:r>
    </w:p>
    <w:p>
      <w:pPr>
        <w:pStyle w:val="BodyText"/>
        <w:spacing w:line="408" w:lineRule="auto"/>
        <w:ind w:left="153" w:right="986" w:firstLine="422"/>
        <w:jc w:val="left"/>
      </w:pPr>
      <w:r>
        <w:rPr>
          <w:rFonts w:ascii="宋体" w:hAnsi="宋体" w:cs="宋体" w:eastAsia="宋体" w:hint="default"/>
          <w:b/>
          <w:bCs/>
          <w:spacing w:val="-2"/>
        </w:rPr>
        <w:t>吴鸿伟</w:t>
      </w:r>
      <w:r>
        <w:rPr>
          <w:spacing w:val="-2"/>
        </w:rPr>
        <w:t>，男，</w:t>
      </w:r>
      <w:r>
        <w:rPr>
          <w:rFonts w:ascii="宋体" w:hAnsi="宋体" w:cs="宋体" w:eastAsia="宋体" w:hint="default"/>
          <w:spacing w:val="-2"/>
        </w:rPr>
        <w:t>1976</w:t>
      </w:r>
      <w:r>
        <w:rPr>
          <w:spacing w:val="-2"/>
        </w:rPr>
        <w:t>年</w:t>
      </w:r>
      <w:r>
        <w:rPr>
          <w:rFonts w:ascii="宋体" w:hAnsi="宋体" w:cs="宋体" w:eastAsia="宋体" w:hint="default"/>
          <w:spacing w:val="-2"/>
        </w:rPr>
        <w:t>11</w:t>
      </w:r>
      <w:r>
        <w:rPr>
          <w:spacing w:val="-2"/>
        </w:rPr>
        <w:t>月出生，中国国籍，研究生学历、系统分析员，无永久境外居留权。</w:t>
      </w:r>
      <w:r>
        <w:rPr>
          <w:rFonts w:ascii="宋体" w:hAnsi="宋体" w:cs="宋体" w:eastAsia="宋体" w:hint="default"/>
          <w:spacing w:val="-2"/>
        </w:rPr>
        <w:t>2004</w:t>
      </w:r>
      <w:r>
        <w:rPr>
          <w:spacing w:val="-2"/>
        </w:rPr>
        <w:t>年毕</w:t>
      </w:r>
      <w:r>
        <w:rPr>
          <w:w w:val="100"/>
        </w:rPr>
        <w:t> </w:t>
      </w:r>
      <w:r>
        <w:rPr>
          <w:spacing w:val="-2"/>
        </w:rPr>
        <w:t>业于厦门大学系统工程专业。</w:t>
      </w:r>
      <w:r>
        <w:rPr>
          <w:rFonts w:ascii="宋体" w:hAnsi="宋体" w:cs="宋体" w:eastAsia="宋体" w:hint="default"/>
          <w:spacing w:val="-2"/>
        </w:rPr>
        <w:t>2004</w:t>
      </w:r>
      <w:r>
        <w:rPr>
          <w:spacing w:val="-2"/>
        </w:rPr>
        <w:t>至今，历任公司技术总监、副总经理。</w:t>
      </w:r>
      <w:r>
        <w:rPr>
          <w:rFonts w:ascii="宋体" w:hAnsi="宋体" w:cs="宋体" w:eastAsia="宋体" w:hint="default"/>
          <w:spacing w:val="-2"/>
        </w:rPr>
        <w:t>2009</w:t>
      </w:r>
      <w:r>
        <w:rPr>
          <w:spacing w:val="-2"/>
        </w:rPr>
        <w:t>年</w:t>
      </w:r>
      <w:r>
        <w:rPr>
          <w:rFonts w:ascii="宋体" w:hAnsi="宋体" w:cs="宋体" w:eastAsia="宋体" w:hint="default"/>
          <w:spacing w:val="-2"/>
        </w:rPr>
        <w:t>9</w:t>
      </w:r>
      <w:r>
        <w:rPr>
          <w:spacing w:val="-2"/>
        </w:rPr>
        <w:t>月至今任公司副总经理。</w:t>
      </w:r>
      <w:r>
        <w:rPr/>
      </w:r>
    </w:p>
    <w:p>
      <w:pPr>
        <w:pStyle w:val="BodyText"/>
        <w:spacing w:line="408" w:lineRule="auto"/>
        <w:ind w:right="986" w:firstLine="420"/>
        <w:jc w:val="left"/>
      </w:pPr>
      <w:r>
        <w:rPr>
          <w:rFonts w:ascii="宋体" w:hAnsi="宋体" w:cs="宋体" w:eastAsia="宋体" w:hint="default"/>
          <w:b/>
          <w:bCs/>
        </w:rPr>
        <w:t>张雪峰</w:t>
      </w:r>
      <w:r>
        <w:rPr/>
        <w:t>，男，</w:t>
      </w:r>
      <w:r>
        <w:rPr>
          <w:rFonts w:ascii="宋体" w:hAnsi="宋体" w:cs="宋体" w:eastAsia="宋体" w:hint="default"/>
        </w:rPr>
        <w:t>1974</w:t>
      </w:r>
      <w:r>
        <w:rPr/>
        <w:t>年</w:t>
      </w:r>
      <w:r>
        <w:rPr>
          <w:rFonts w:ascii="宋体" w:hAnsi="宋体" w:cs="宋体" w:eastAsia="宋体" w:hint="default"/>
        </w:rPr>
        <w:t>3</w:t>
      </w:r>
      <w:r>
        <w:rPr/>
        <w:t>月出生，中国国籍，本科学历，无永久境外居留权。</w:t>
      </w:r>
      <w:r>
        <w:rPr>
          <w:rFonts w:ascii="宋体" w:hAnsi="宋体" w:cs="宋体" w:eastAsia="宋体" w:hint="default"/>
        </w:rPr>
        <w:t>1997</w:t>
      </w:r>
      <w:r>
        <w:rPr/>
        <w:t>年至</w:t>
      </w:r>
      <w:r>
        <w:rPr>
          <w:rFonts w:ascii="宋体" w:hAnsi="宋体" w:cs="宋体" w:eastAsia="宋体" w:hint="default"/>
        </w:rPr>
        <w:t>2002</w:t>
      </w:r>
      <w:r>
        <w:rPr/>
        <w:t>年，历任厦</w:t>
      </w:r>
      <w:r>
        <w:rPr>
          <w:spacing w:val="-3"/>
          <w:w w:val="100"/>
        </w:rPr>
        <w:t> </w:t>
      </w:r>
      <w:r>
        <w:rPr>
          <w:spacing w:val="-2"/>
        </w:rPr>
        <w:t>门智业软件公司项目经理与销售副总经理；</w:t>
      </w:r>
      <w:r>
        <w:rPr>
          <w:rFonts w:ascii="宋体" w:hAnsi="宋体" w:cs="宋体" w:eastAsia="宋体" w:hint="default"/>
          <w:spacing w:val="-2"/>
        </w:rPr>
        <w:t>2002</w:t>
      </w:r>
      <w:r>
        <w:rPr>
          <w:spacing w:val="-2"/>
        </w:rPr>
        <w:t>年至今，历任公司硬件研制中心总监、副总经理。</w:t>
      </w:r>
      <w:r>
        <w:rPr>
          <w:rFonts w:ascii="宋体" w:hAnsi="宋体" w:cs="宋体" w:eastAsia="宋体" w:hint="default"/>
          <w:spacing w:val="-2"/>
        </w:rPr>
        <w:t>2009</w:t>
      </w:r>
      <w:r>
        <w:rPr>
          <w:spacing w:val="-2"/>
        </w:rPr>
        <w:t>年</w:t>
      </w:r>
      <w:r>
        <w:rPr>
          <w:spacing w:val="-40"/>
        </w:rPr>
        <w:t> </w:t>
      </w:r>
      <w:r>
        <w:rPr>
          <w:rFonts w:ascii="宋体" w:hAnsi="宋体" w:cs="宋体" w:eastAsia="宋体" w:hint="default"/>
        </w:rPr>
        <w:t>9</w:t>
      </w:r>
      <w:r>
        <w:rPr/>
        <w:t>月至今任公司副总经理。</w:t>
      </w:r>
    </w:p>
    <w:p>
      <w:pPr>
        <w:pStyle w:val="BodyText"/>
        <w:spacing w:line="408" w:lineRule="auto"/>
        <w:ind w:right="986" w:firstLine="420"/>
        <w:jc w:val="left"/>
      </w:pPr>
      <w:r>
        <w:rPr>
          <w:rFonts w:ascii="宋体" w:hAnsi="宋体" w:cs="宋体" w:eastAsia="宋体" w:hint="default"/>
          <w:b/>
          <w:bCs/>
        </w:rPr>
        <w:t>栾江霞</w:t>
      </w:r>
      <w:r>
        <w:rPr/>
        <w:t>，女，</w:t>
      </w:r>
      <w:r>
        <w:rPr>
          <w:rFonts w:ascii="宋体" w:hAnsi="宋体" w:cs="宋体" w:eastAsia="宋体" w:hint="default"/>
        </w:rPr>
        <w:t>1974</w:t>
      </w:r>
      <w:r>
        <w:rPr/>
        <w:t>年</w:t>
      </w:r>
      <w:r>
        <w:rPr>
          <w:rFonts w:ascii="宋体" w:hAnsi="宋体" w:cs="宋体" w:eastAsia="宋体" w:hint="default"/>
        </w:rPr>
        <w:t>1</w:t>
      </w:r>
      <w:r>
        <w:rPr/>
        <w:t>月出生，中国国籍、工程师、研究生学历、毕业于浙江大学，无永久境外居留</w:t>
      </w:r>
      <w:r>
        <w:rPr>
          <w:w w:val="100"/>
        </w:rPr>
        <w:t> </w:t>
      </w:r>
      <w:r>
        <w:rPr>
          <w:spacing w:val="-2"/>
        </w:rPr>
        <w:t>权。</w:t>
      </w:r>
      <w:r>
        <w:rPr>
          <w:rFonts w:ascii="宋体" w:hAnsi="宋体" w:cs="宋体" w:eastAsia="宋体" w:hint="default"/>
          <w:spacing w:val="-2"/>
        </w:rPr>
        <w:t>2000</w:t>
      </w:r>
      <w:r>
        <w:rPr>
          <w:spacing w:val="-2"/>
        </w:rPr>
        <w:t>年</w:t>
      </w:r>
      <w:r>
        <w:rPr>
          <w:rFonts w:ascii="宋体" w:hAnsi="宋体" w:cs="宋体" w:eastAsia="宋体" w:hint="default"/>
          <w:spacing w:val="-2"/>
        </w:rPr>
        <w:t>4</w:t>
      </w:r>
      <w:r>
        <w:rPr>
          <w:spacing w:val="-2"/>
        </w:rPr>
        <w:t>月至</w:t>
      </w:r>
      <w:r>
        <w:rPr>
          <w:rFonts w:ascii="宋体" w:hAnsi="宋体" w:cs="宋体" w:eastAsia="宋体" w:hint="default"/>
          <w:spacing w:val="-2"/>
        </w:rPr>
        <w:t>2008</w:t>
      </w:r>
      <w:r>
        <w:rPr>
          <w:spacing w:val="-2"/>
        </w:rPr>
        <w:t>年</w:t>
      </w:r>
      <w:r>
        <w:rPr>
          <w:rFonts w:ascii="宋体" w:hAnsi="宋体" w:cs="宋体" w:eastAsia="宋体" w:hint="default"/>
          <w:spacing w:val="-2"/>
        </w:rPr>
        <w:t>10</w:t>
      </w:r>
      <w:r>
        <w:rPr>
          <w:spacing w:val="-2"/>
        </w:rPr>
        <w:t>月，任厦门雅迅网络股份有限公司技管办主任；</w:t>
      </w:r>
      <w:r>
        <w:rPr>
          <w:rFonts w:ascii="宋体" w:hAnsi="宋体" w:cs="宋体" w:eastAsia="宋体" w:hint="default"/>
          <w:spacing w:val="-2"/>
        </w:rPr>
        <w:t>2008</w:t>
      </w:r>
      <w:r>
        <w:rPr>
          <w:spacing w:val="-2"/>
        </w:rPr>
        <w:t>年</w:t>
      </w:r>
      <w:r>
        <w:rPr>
          <w:rFonts w:ascii="宋体" w:hAnsi="宋体" w:cs="宋体" w:eastAsia="宋体" w:hint="default"/>
          <w:spacing w:val="-2"/>
        </w:rPr>
        <w:t>11</w:t>
      </w:r>
      <w:r>
        <w:rPr>
          <w:spacing w:val="-2"/>
        </w:rPr>
        <w:t>月至</w:t>
      </w:r>
      <w:r>
        <w:rPr>
          <w:rFonts w:ascii="宋体" w:hAnsi="宋体" w:cs="宋体" w:eastAsia="宋体" w:hint="default"/>
          <w:spacing w:val="-2"/>
        </w:rPr>
        <w:t>2011</w:t>
      </w:r>
      <w:r>
        <w:rPr>
          <w:spacing w:val="-2"/>
        </w:rPr>
        <w:t>年</w:t>
      </w:r>
      <w:r>
        <w:rPr>
          <w:rFonts w:ascii="宋体" w:hAnsi="宋体" w:cs="宋体" w:eastAsia="宋体" w:hint="default"/>
          <w:spacing w:val="-2"/>
        </w:rPr>
        <w:t>4</w:t>
      </w:r>
      <w:r>
        <w:rPr>
          <w:spacing w:val="-2"/>
        </w:rPr>
        <w:t>月，任公</w:t>
      </w:r>
      <w:r>
        <w:rPr>
          <w:spacing w:val="-32"/>
        </w:rPr>
        <w:t> </w:t>
      </w:r>
      <w:r>
        <w:rPr>
          <w:spacing w:val="-32"/>
        </w:rPr>
      </w:r>
      <w:r>
        <w:rPr/>
        <w:t>司拓展中心总监。</w:t>
      </w:r>
      <w:r>
        <w:rPr>
          <w:rFonts w:ascii="宋体" w:hAnsi="宋体" w:cs="宋体" w:eastAsia="宋体" w:hint="default"/>
        </w:rPr>
        <w:t>2011</w:t>
      </w:r>
      <w:r>
        <w:rPr/>
        <w:t>年</w:t>
      </w:r>
      <w:r>
        <w:rPr>
          <w:rFonts w:ascii="宋体" w:hAnsi="宋体" w:cs="宋体" w:eastAsia="宋体" w:hint="default"/>
        </w:rPr>
        <w:t>4</w:t>
      </w:r>
      <w:r>
        <w:rPr/>
        <w:t>月至今任公司副总经理。</w:t>
      </w:r>
    </w:p>
    <w:p>
      <w:pPr>
        <w:pStyle w:val="BodyText"/>
        <w:spacing w:line="408" w:lineRule="auto"/>
        <w:ind w:right="986" w:firstLine="419"/>
        <w:jc w:val="left"/>
      </w:pPr>
      <w:r>
        <w:rPr>
          <w:rFonts w:ascii="宋体" w:hAnsi="宋体" w:cs="宋体" w:eastAsia="宋体" w:hint="default"/>
          <w:b/>
          <w:bCs/>
        </w:rPr>
        <w:t>葛鹏</w:t>
      </w:r>
      <w:r>
        <w:rPr/>
        <w:t>，男，</w:t>
      </w:r>
      <w:r>
        <w:rPr>
          <w:rFonts w:ascii="宋体" w:hAnsi="宋体" w:cs="宋体" w:eastAsia="宋体" w:hint="default"/>
        </w:rPr>
        <w:t>1968</w:t>
      </w:r>
      <w:r>
        <w:rPr/>
        <w:t>年</w:t>
      </w:r>
      <w:r>
        <w:rPr>
          <w:rFonts w:ascii="宋体" w:hAnsi="宋体" w:cs="宋体" w:eastAsia="宋体" w:hint="default"/>
        </w:rPr>
        <w:t>7</w:t>
      </w:r>
      <w:r>
        <w:rPr/>
        <w:t>月出生，中国国籍，大专学历，无永久境外居留权。</w:t>
      </w:r>
      <w:r>
        <w:rPr>
          <w:rFonts w:ascii="宋体" w:hAnsi="宋体" w:cs="宋体" w:eastAsia="宋体" w:hint="default"/>
        </w:rPr>
        <w:t>1991</w:t>
      </w:r>
      <w:r>
        <w:rPr/>
        <w:t>年毕业于北京邮电大学</w:t>
      </w:r>
      <w:r>
        <w:rPr>
          <w:w w:val="100"/>
        </w:rPr>
        <w:t> </w:t>
      </w:r>
      <w:r>
        <w:rPr>
          <w:spacing w:val="-2"/>
        </w:rPr>
        <w:t>无线电工程系；</w:t>
      </w:r>
      <w:r>
        <w:rPr>
          <w:rFonts w:ascii="宋体" w:hAnsi="宋体" w:cs="宋体" w:eastAsia="宋体" w:hint="default"/>
          <w:spacing w:val="-2"/>
        </w:rPr>
        <w:t>1991</w:t>
      </w:r>
      <w:r>
        <w:rPr>
          <w:spacing w:val="-2"/>
        </w:rPr>
        <w:t>年</w:t>
      </w:r>
      <w:r>
        <w:rPr>
          <w:rFonts w:ascii="宋体" w:hAnsi="宋体" w:cs="宋体" w:eastAsia="宋体" w:hint="default"/>
          <w:spacing w:val="-2"/>
        </w:rPr>
        <w:t>7</w:t>
      </w:r>
      <w:r>
        <w:rPr>
          <w:spacing w:val="-2"/>
        </w:rPr>
        <w:t>月至</w:t>
      </w:r>
      <w:r>
        <w:rPr>
          <w:rFonts w:ascii="宋体" w:hAnsi="宋体" w:cs="宋体" w:eastAsia="宋体" w:hint="default"/>
          <w:spacing w:val="-2"/>
        </w:rPr>
        <w:t>1998</w:t>
      </w:r>
      <w:r>
        <w:rPr>
          <w:spacing w:val="-2"/>
        </w:rPr>
        <w:t>年</w:t>
      </w:r>
      <w:r>
        <w:rPr>
          <w:rFonts w:ascii="宋体" w:hAnsi="宋体" w:cs="宋体" w:eastAsia="宋体" w:hint="default"/>
          <w:spacing w:val="-2"/>
        </w:rPr>
        <w:t>7</w:t>
      </w:r>
      <w:r>
        <w:rPr>
          <w:spacing w:val="-2"/>
        </w:rPr>
        <w:t>月任中国民用航空局工程师；</w:t>
      </w:r>
      <w:r>
        <w:rPr>
          <w:rFonts w:ascii="宋体" w:hAnsi="宋体" w:cs="宋体" w:eastAsia="宋体" w:hint="default"/>
          <w:spacing w:val="-2"/>
        </w:rPr>
        <w:t>1998</w:t>
      </w:r>
      <w:r>
        <w:rPr>
          <w:spacing w:val="-2"/>
        </w:rPr>
        <w:t>年</w:t>
      </w:r>
      <w:r>
        <w:rPr>
          <w:rFonts w:ascii="宋体" w:hAnsi="宋体" w:cs="宋体" w:eastAsia="宋体" w:hint="default"/>
          <w:spacing w:val="-2"/>
        </w:rPr>
        <w:t>8</w:t>
      </w:r>
      <w:r>
        <w:rPr>
          <w:spacing w:val="-2"/>
        </w:rPr>
        <w:t>月至</w:t>
      </w:r>
      <w:r>
        <w:rPr>
          <w:rFonts w:ascii="宋体" w:hAnsi="宋体" w:cs="宋体" w:eastAsia="宋体" w:hint="default"/>
          <w:spacing w:val="-2"/>
        </w:rPr>
        <w:t>2013</w:t>
      </w:r>
      <w:r>
        <w:rPr>
          <w:spacing w:val="-2"/>
        </w:rPr>
        <w:t>年</w:t>
      </w:r>
      <w:r>
        <w:rPr>
          <w:rFonts w:ascii="宋体" w:hAnsi="宋体" w:cs="宋体" w:eastAsia="宋体" w:hint="default"/>
          <w:spacing w:val="-2"/>
        </w:rPr>
        <w:t>6</w:t>
      </w:r>
      <w:r>
        <w:rPr>
          <w:spacing w:val="-2"/>
        </w:rPr>
        <w:t>月，任北京鼎永泰</w:t>
      </w:r>
      <w:r>
        <w:rPr>
          <w:spacing w:val="-34"/>
        </w:rPr>
        <w:t> </w:t>
      </w:r>
      <w:r>
        <w:rPr>
          <w:spacing w:val="-34"/>
        </w:rPr>
      </w:r>
      <w:r>
        <w:rPr/>
        <w:t>克科技有限公司总经理；</w:t>
      </w:r>
      <w:r>
        <w:rPr>
          <w:rFonts w:ascii="宋体" w:hAnsi="宋体" w:cs="宋体" w:eastAsia="宋体" w:hint="default"/>
        </w:rPr>
        <w:t>2013</w:t>
      </w:r>
      <w:r>
        <w:rPr/>
        <w:t>年</w:t>
      </w:r>
      <w:r>
        <w:rPr>
          <w:rFonts w:ascii="宋体" w:hAnsi="宋体" w:cs="宋体" w:eastAsia="宋体" w:hint="default"/>
        </w:rPr>
        <w:t>6</w:t>
      </w:r>
      <w:r>
        <w:rPr/>
        <w:t>月至今任香港鼎永泰克科技有限公司总经理；</w:t>
      </w:r>
      <w:r>
        <w:rPr>
          <w:rFonts w:ascii="宋体" w:hAnsi="宋体" w:cs="宋体" w:eastAsia="宋体" w:hint="default"/>
        </w:rPr>
        <w:t>2013</w:t>
      </w:r>
      <w:r>
        <w:rPr/>
        <w:t>年</w:t>
      </w:r>
      <w:r>
        <w:rPr>
          <w:rFonts w:ascii="宋体" w:hAnsi="宋体" w:cs="宋体" w:eastAsia="宋体" w:hint="default"/>
        </w:rPr>
        <w:t>6</w:t>
      </w:r>
      <w:r>
        <w:rPr/>
        <w:t>月至</w:t>
      </w:r>
      <w:r>
        <w:rPr>
          <w:rFonts w:ascii="宋体" w:hAnsi="宋体" w:cs="宋体" w:eastAsia="宋体" w:hint="default"/>
        </w:rPr>
        <w:t>2015</w:t>
      </w:r>
      <w:r>
        <w:rPr/>
        <w:t>年</w:t>
      </w:r>
      <w:r>
        <w:rPr>
          <w:rFonts w:ascii="宋体" w:hAnsi="宋体" w:cs="宋体" w:eastAsia="宋体" w:hint="default"/>
        </w:rPr>
        <w:t>8</w:t>
      </w:r>
      <w:r>
        <w:rPr/>
        <w:t>月任</w:t>
      </w:r>
      <w:r>
        <w:rPr>
          <w:spacing w:val="-3"/>
          <w:w w:val="100"/>
        </w:rPr>
        <w:t> </w:t>
      </w:r>
      <w:r>
        <w:rPr/>
        <w:t>公司刑检事业部总经理；</w:t>
      </w:r>
      <w:r>
        <w:rPr>
          <w:rFonts w:ascii="宋体" w:hAnsi="宋体" w:cs="宋体" w:eastAsia="宋体" w:hint="default"/>
        </w:rPr>
        <w:t>2015</w:t>
      </w:r>
      <w:r>
        <w:rPr/>
        <w:t>年</w:t>
      </w:r>
      <w:r>
        <w:rPr>
          <w:rFonts w:ascii="宋体" w:hAnsi="宋体" w:cs="宋体" w:eastAsia="宋体" w:hint="default"/>
        </w:rPr>
        <w:t>8</w:t>
      </w:r>
      <w:r>
        <w:rPr/>
        <w:t>月至今任公司副总经理。</w:t>
      </w:r>
    </w:p>
    <w:p>
      <w:pPr>
        <w:pStyle w:val="BodyText"/>
        <w:spacing w:line="408" w:lineRule="auto"/>
        <w:ind w:right="1130" w:firstLine="419"/>
        <w:jc w:val="left"/>
      </w:pPr>
      <w:r>
        <w:rPr>
          <w:rFonts w:ascii="宋体" w:hAnsi="宋体" w:cs="宋体" w:eastAsia="宋体" w:hint="default"/>
          <w:b/>
          <w:bCs/>
          <w:spacing w:val="-2"/>
        </w:rPr>
        <w:t>周成祖</w:t>
      </w:r>
      <w:r>
        <w:rPr>
          <w:spacing w:val="-2"/>
        </w:rPr>
        <w:t>，男，</w:t>
      </w:r>
      <w:r>
        <w:rPr>
          <w:rFonts w:ascii="宋体" w:hAnsi="宋体" w:cs="宋体" w:eastAsia="宋体" w:hint="default"/>
          <w:spacing w:val="-2"/>
        </w:rPr>
        <w:t>1983</w:t>
      </w:r>
      <w:r>
        <w:rPr>
          <w:spacing w:val="-2"/>
        </w:rPr>
        <w:t>年</w:t>
      </w:r>
      <w:r>
        <w:rPr>
          <w:rFonts w:ascii="宋体" w:hAnsi="宋体" w:cs="宋体" w:eastAsia="宋体" w:hint="default"/>
          <w:spacing w:val="-2"/>
        </w:rPr>
        <w:t>11</w:t>
      </w:r>
      <w:r>
        <w:rPr>
          <w:spacing w:val="-2"/>
        </w:rPr>
        <w:t>月出生，中国国籍，研究生学历，无永久境外居留权。</w:t>
      </w:r>
      <w:r>
        <w:rPr>
          <w:rFonts w:ascii="宋体" w:hAnsi="宋体" w:cs="宋体" w:eastAsia="宋体" w:hint="default"/>
          <w:spacing w:val="-2"/>
        </w:rPr>
        <w:t>2008</w:t>
      </w:r>
      <w:r>
        <w:rPr>
          <w:spacing w:val="-2"/>
        </w:rPr>
        <w:t>年毕业于比利时鲁</w:t>
      </w:r>
      <w:r>
        <w:rPr>
          <w:w w:val="100"/>
        </w:rPr>
        <w:t> </w:t>
      </w:r>
      <w:r>
        <w:rPr/>
        <w:t>汶理工学院（现比利时鲁汶大学</w:t>
      </w:r>
      <w:r>
        <w:rPr>
          <w:rFonts w:ascii="宋体" w:hAnsi="宋体" w:cs="宋体" w:eastAsia="宋体" w:hint="default"/>
        </w:rPr>
        <w:t>GroupT</w:t>
      </w:r>
      <w:r>
        <w:rPr/>
        <w:t>学院）</w:t>
      </w:r>
      <w:r>
        <w:rPr>
          <w:rFonts w:ascii="宋体" w:hAnsi="宋体" w:cs="宋体" w:eastAsia="宋体" w:hint="default"/>
        </w:rPr>
        <w:t>E-Media</w:t>
      </w:r>
      <w:r>
        <w:rPr/>
        <w:t>专业和北京交通大学软件工程专业。</w:t>
      </w:r>
      <w:r>
        <w:rPr>
          <w:rFonts w:ascii="宋体" w:hAnsi="宋体" w:cs="宋体" w:eastAsia="宋体" w:hint="default"/>
        </w:rPr>
        <w:t>2010</w:t>
      </w:r>
      <w:r>
        <w:rPr/>
        <w:t>年至今，</w:t>
      </w:r>
      <w:r>
        <w:rPr>
          <w:spacing w:val="-3"/>
          <w:w w:val="100"/>
        </w:rPr>
        <w:t> </w:t>
      </w:r>
      <w:r>
        <w:rPr/>
        <w:t>历任公司项目管理部经理、总监、第一研究院副院长；</w:t>
      </w:r>
      <w:r>
        <w:rPr>
          <w:rFonts w:ascii="宋体" w:hAnsi="宋体" w:cs="宋体" w:eastAsia="宋体" w:hint="default"/>
        </w:rPr>
        <w:t>2017</w:t>
      </w:r>
      <w:r>
        <w:rPr/>
        <w:t>年</w:t>
      </w:r>
      <w:r>
        <w:rPr>
          <w:rFonts w:ascii="宋体" w:hAnsi="宋体" w:cs="宋体" w:eastAsia="宋体" w:hint="default"/>
        </w:rPr>
        <w:t>3</w:t>
      </w:r>
      <w:r>
        <w:rPr/>
        <w:t>月至今任公司副总经理。</w:t>
      </w:r>
    </w:p>
    <w:p>
      <w:pPr>
        <w:pStyle w:val="BodyText"/>
        <w:spacing w:line="408" w:lineRule="auto"/>
        <w:ind w:right="986" w:firstLine="420"/>
        <w:jc w:val="left"/>
      </w:pPr>
      <w:r>
        <w:rPr>
          <w:rFonts w:ascii="宋体" w:hAnsi="宋体" w:cs="宋体" w:eastAsia="宋体" w:hint="default"/>
          <w:b/>
          <w:bCs/>
          <w:spacing w:val="-2"/>
        </w:rPr>
        <w:t>蔡志评</w:t>
      </w:r>
      <w:r>
        <w:rPr>
          <w:spacing w:val="-2"/>
        </w:rPr>
        <w:t>，男，</w:t>
      </w:r>
      <w:r>
        <w:rPr>
          <w:rFonts w:ascii="宋体" w:hAnsi="宋体" w:cs="宋体" w:eastAsia="宋体" w:hint="default"/>
          <w:spacing w:val="-2"/>
        </w:rPr>
        <w:t>1974</w:t>
      </w:r>
      <w:r>
        <w:rPr>
          <w:spacing w:val="-2"/>
        </w:rPr>
        <w:t>年</w:t>
      </w:r>
      <w:r>
        <w:rPr>
          <w:rFonts w:ascii="宋体" w:hAnsi="宋体" w:cs="宋体" w:eastAsia="宋体" w:hint="default"/>
          <w:spacing w:val="-2"/>
        </w:rPr>
        <w:t>4</w:t>
      </w:r>
      <w:r>
        <w:rPr>
          <w:spacing w:val="-2"/>
        </w:rPr>
        <w:t>月出生，中国国籍，毕业于武汉大学电子学与信息系统专业，为厦门大学</w:t>
      </w:r>
      <w:r>
        <w:rPr>
          <w:rFonts w:ascii="宋体" w:hAnsi="宋体" w:cs="宋体" w:eastAsia="宋体" w:hint="default"/>
          <w:spacing w:val="-2"/>
        </w:rPr>
        <w:t>MBA</w:t>
      </w:r>
      <w:r>
        <w:rPr>
          <w:spacing w:val="-2"/>
        </w:rPr>
        <w:t>和</w:t>
      </w:r>
      <w:r>
        <w:rPr>
          <w:w w:val="100"/>
        </w:rPr>
        <w:t> </w:t>
      </w:r>
      <w:r>
        <w:rPr>
          <w:spacing w:val="-2"/>
        </w:rPr>
        <w:t>资本运营总裁班学员，无永久境外居留权。</w:t>
      </w:r>
      <w:r>
        <w:rPr>
          <w:rFonts w:ascii="宋体" w:hAnsi="宋体" w:cs="宋体" w:eastAsia="宋体" w:hint="default"/>
          <w:spacing w:val="-2"/>
        </w:rPr>
        <w:t>1997</w:t>
      </w:r>
      <w:r>
        <w:rPr>
          <w:spacing w:val="-2"/>
        </w:rPr>
        <w:t>年</w:t>
      </w:r>
      <w:r>
        <w:rPr>
          <w:rFonts w:ascii="宋体" w:hAnsi="宋体" w:cs="宋体" w:eastAsia="宋体" w:hint="default"/>
          <w:spacing w:val="-2"/>
        </w:rPr>
        <w:t>7</w:t>
      </w:r>
      <w:r>
        <w:rPr>
          <w:spacing w:val="-2"/>
        </w:rPr>
        <w:t>月至</w:t>
      </w:r>
      <w:r>
        <w:rPr>
          <w:rFonts w:ascii="宋体" w:hAnsi="宋体" w:cs="宋体" w:eastAsia="宋体" w:hint="default"/>
          <w:spacing w:val="-2"/>
        </w:rPr>
        <w:t>1999</w:t>
      </w:r>
      <w:r>
        <w:rPr>
          <w:spacing w:val="-2"/>
        </w:rPr>
        <w:t>年</w:t>
      </w:r>
      <w:r>
        <w:rPr>
          <w:rFonts w:ascii="宋体" w:hAnsi="宋体" w:cs="宋体" w:eastAsia="宋体" w:hint="default"/>
          <w:spacing w:val="-2"/>
        </w:rPr>
        <w:t>5</w:t>
      </w:r>
      <w:r>
        <w:rPr>
          <w:spacing w:val="-2"/>
        </w:rPr>
        <w:t>月在厦门邮电纵横和移动分公司担任工程</w:t>
      </w:r>
      <w:r>
        <w:rPr>
          <w:spacing w:val="-39"/>
        </w:rPr>
        <w:t> </w:t>
      </w:r>
      <w:r>
        <w:rPr>
          <w:spacing w:val="-39"/>
        </w:rPr>
      </w:r>
      <w:r>
        <w:rPr>
          <w:spacing w:val="-2"/>
        </w:rPr>
        <w:t>师；</w:t>
      </w:r>
      <w:r>
        <w:rPr>
          <w:rFonts w:ascii="宋体" w:hAnsi="宋体" w:cs="宋体" w:eastAsia="宋体" w:hint="default"/>
          <w:spacing w:val="-2"/>
        </w:rPr>
        <w:t>1999</w:t>
      </w:r>
      <w:r>
        <w:rPr>
          <w:spacing w:val="-2"/>
        </w:rPr>
        <w:t>年</w:t>
      </w:r>
      <w:r>
        <w:rPr>
          <w:rFonts w:ascii="宋体" w:hAnsi="宋体" w:cs="宋体" w:eastAsia="宋体" w:hint="default"/>
          <w:spacing w:val="-2"/>
        </w:rPr>
        <w:t>5</w:t>
      </w:r>
      <w:r>
        <w:rPr>
          <w:spacing w:val="-2"/>
        </w:rPr>
        <w:t>月至</w:t>
      </w:r>
      <w:r>
        <w:rPr>
          <w:rFonts w:ascii="宋体" w:hAnsi="宋体" w:cs="宋体" w:eastAsia="宋体" w:hint="default"/>
          <w:spacing w:val="-2"/>
        </w:rPr>
        <w:t>2003</w:t>
      </w:r>
      <w:r>
        <w:rPr>
          <w:spacing w:val="-2"/>
        </w:rPr>
        <w:t>年</w:t>
      </w:r>
      <w:r>
        <w:rPr>
          <w:rFonts w:ascii="宋体" w:hAnsi="宋体" w:cs="宋体" w:eastAsia="宋体" w:hint="default"/>
          <w:spacing w:val="-2"/>
        </w:rPr>
        <w:t>3</w:t>
      </w:r>
      <w:r>
        <w:rPr>
          <w:spacing w:val="-2"/>
        </w:rPr>
        <w:t>月在华为技术有限公司担任高级工程师；</w:t>
      </w:r>
      <w:r>
        <w:rPr>
          <w:rFonts w:ascii="宋体" w:hAnsi="宋体" w:cs="宋体" w:eastAsia="宋体" w:hint="default"/>
          <w:spacing w:val="-2"/>
        </w:rPr>
        <w:t>2003</w:t>
      </w:r>
      <w:r>
        <w:rPr>
          <w:spacing w:val="-2"/>
        </w:rPr>
        <w:t>年</w:t>
      </w:r>
      <w:r>
        <w:rPr>
          <w:rFonts w:ascii="宋体" w:hAnsi="宋体" w:cs="宋体" w:eastAsia="宋体" w:hint="default"/>
          <w:spacing w:val="-2"/>
        </w:rPr>
        <w:t>3</w:t>
      </w:r>
      <w:r>
        <w:rPr>
          <w:spacing w:val="-2"/>
        </w:rPr>
        <w:t>月至</w:t>
      </w:r>
      <w:r>
        <w:rPr>
          <w:rFonts w:ascii="宋体" w:hAnsi="宋体" w:cs="宋体" w:eastAsia="宋体" w:hint="default"/>
          <w:spacing w:val="-2"/>
        </w:rPr>
        <w:t>2011</w:t>
      </w:r>
      <w:r>
        <w:rPr>
          <w:spacing w:val="-2"/>
        </w:rPr>
        <w:t>年</w:t>
      </w:r>
      <w:r>
        <w:rPr>
          <w:rFonts w:ascii="宋体" w:hAnsi="宋体" w:cs="宋体" w:eastAsia="宋体" w:hint="default"/>
          <w:spacing w:val="-2"/>
        </w:rPr>
        <w:t>9</w:t>
      </w:r>
      <w:r>
        <w:rPr>
          <w:spacing w:val="-2"/>
        </w:rPr>
        <w:t>月在东南融通（中</w:t>
      </w:r>
      <w:r>
        <w:rPr>
          <w:spacing w:val="-30"/>
        </w:rPr>
        <w:t> </w:t>
      </w:r>
      <w:r>
        <w:rPr>
          <w:spacing w:val="-30"/>
        </w:rPr>
      </w:r>
      <w:r>
        <w:rPr>
          <w:spacing w:val="-2"/>
        </w:rPr>
        <w:t>国）系统工程有限公司先后担任质量管理部经理和并购整合高级经理等职务；</w:t>
      </w:r>
      <w:r>
        <w:rPr>
          <w:rFonts w:ascii="宋体" w:hAnsi="宋体" w:cs="宋体" w:eastAsia="宋体" w:hint="default"/>
          <w:spacing w:val="-2"/>
        </w:rPr>
        <w:t>2011</w:t>
      </w:r>
      <w:r>
        <w:rPr>
          <w:spacing w:val="-2"/>
        </w:rPr>
        <w:t>年</w:t>
      </w:r>
      <w:r>
        <w:rPr>
          <w:rFonts w:ascii="宋体" w:hAnsi="宋体" w:cs="宋体" w:eastAsia="宋体" w:hint="default"/>
          <w:spacing w:val="-2"/>
        </w:rPr>
        <w:t>9</w:t>
      </w:r>
      <w:r>
        <w:rPr>
          <w:spacing w:val="-2"/>
        </w:rPr>
        <w:t>月至</w:t>
      </w:r>
      <w:r>
        <w:rPr>
          <w:rFonts w:ascii="宋体" w:hAnsi="宋体" w:cs="宋体" w:eastAsia="宋体" w:hint="default"/>
          <w:spacing w:val="-2"/>
        </w:rPr>
        <w:t>2017</w:t>
      </w:r>
      <w:r>
        <w:rPr>
          <w:spacing w:val="-2"/>
        </w:rPr>
        <w:t>年</w:t>
      </w:r>
      <w:r>
        <w:rPr>
          <w:rFonts w:ascii="宋体" w:hAnsi="宋体" w:cs="宋体" w:eastAsia="宋体" w:hint="default"/>
          <w:spacing w:val="-2"/>
        </w:rPr>
        <w:t>6</w:t>
      </w:r>
      <w:r>
        <w:rPr>
          <w:spacing w:val="-2"/>
        </w:rPr>
        <w:t>月历任</w:t>
      </w:r>
      <w:r>
        <w:rPr>
          <w:spacing w:val="-32"/>
        </w:rPr>
        <w:t> </w:t>
      </w:r>
      <w:r>
        <w:rPr>
          <w:spacing w:val="-32"/>
        </w:rPr>
      </w:r>
      <w:r>
        <w:rPr/>
        <w:t>公司投资部经理、投资中心总监；</w:t>
      </w:r>
      <w:r>
        <w:rPr>
          <w:rFonts w:ascii="宋体" w:hAnsi="宋体" w:cs="宋体" w:eastAsia="宋体" w:hint="default"/>
        </w:rPr>
        <w:t>2017</w:t>
      </w:r>
      <w:r>
        <w:rPr/>
        <w:t>年</w:t>
      </w:r>
      <w:r>
        <w:rPr>
          <w:rFonts w:ascii="宋体" w:hAnsi="宋体" w:cs="宋体" w:eastAsia="宋体" w:hint="default"/>
        </w:rPr>
        <w:t>6</w:t>
      </w:r>
      <w:r>
        <w:rPr/>
        <w:t>月至今任公司副总经理、董事会秘书，兼任人力中心、行政中</w:t>
      </w:r>
      <w:r>
        <w:rPr>
          <w:spacing w:val="-3"/>
          <w:w w:val="100"/>
        </w:rPr>
        <w:t> </w:t>
      </w:r>
      <w:r>
        <w:rPr/>
        <w:t>心总监。已于</w:t>
      </w:r>
      <w:r>
        <w:rPr>
          <w:rFonts w:ascii="宋体" w:hAnsi="宋体" w:cs="宋体" w:eastAsia="宋体" w:hint="default"/>
        </w:rPr>
        <w:t>2017</w:t>
      </w:r>
      <w:r>
        <w:rPr/>
        <w:t>年</w:t>
      </w:r>
      <w:r>
        <w:rPr>
          <w:rFonts w:ascii="宋体" w:hAnsi="宋体" w:cs="宋体" w:eastAsia="宋体" w:hint="default"/>
        </w:rPr>
        <w:t>6</w:t>
      </w:r>
      <w:r>
        <w:rPr/>
        <w:t>月取得深交所颁发的董事会秘书资格证。</w:t>
      </w:r>
    </w:p>
    <w:p>
      <w:pPr>
        <w:pStyle w:val="BodyText"/>
        <w:spacing w:line="408" w:lineRule="auto"/>
        <w:ind w:right="986" w:firstLine="420"/>
        <w:jc w:val="left"/>
      </w:pPr>
      <w:r>
        <w:rPr>
          <w:rFonts w:ascii="宋体" w:hAnsi="宋体" w:cs="宋体" w:eastAsia="宋体" w:hint="default"/>
          <w:b/>
          <w:bCs/>
        </w:rPr>
        <w:t>张乃军</w:t>
      </w:r>
      <w:r>
        <w:rPr/>
        <w:t>，男，</w:t>
      </w:r>
      <w:r>
        <w:rPr>
          <w:rFonts w:ascii="宋体" w:hAnsi="宋体" w:cs="宋体" w:eastAsia="宋体" w:hint="default"/>
        </w:rPr>
        <w:t>1971</w:t>
      </w:r>
      <w:r>
        <w:rPr/>
        <w:t>年</w:t>
      </w:r>
      <w:r>
        <w:rPr>
          <w:rFonts w:ascii="宋体" w:hAnsi="宋体" w:cs="宋体" w:eastAsia="宋体" w:hint="default"/>
        </w:rPr>
        <w:t>4</w:t>
      </w:r>
      <w:r>
        <w:rPr/>
        <w:t>月出生，中国国籍，研究生学历，高级会计师，无永久境外居留权。</w:t>
      </w:r>
      <w:r>
        <w:rPr>
          <w:rFonts w:ascii="宋体" w:hAnsi="宋体" w:cs="宋体" w:eastAsia="宋体" w:hint="default"/>
        </w:rPr>
        <w:t>1993</w:t>
      </w:r>
      <w:r>
        <w:rPr/>
        <w:t>年至</w:t>
      </w:r>
      <w:r>
        <w:rPr>
          <w:spacing w:val="-3"/>
          <w:w w:val="100"/>
        </w:rPr>
        <w:t> </w:t>
      </w:r>
      <w:r>
        <w:rPr>
          <w:rFonts w:ascii="宋体" w:hAnsi="宋体" w:cs="宋体" w:eastAsia="宋体" w:hint="default"/>
          <w:spacing w:val="-2"/>
        </w:rPr>
        <w:t>2000</w:t>
      </w:r>
      <w:r>
        <w:rPr>
          <w:spacing w:val="-2"/>
        </w:rPr>
        <w:t>年任厦门物资集团公司出纳、会计、主办会计；</w:t>
      </w:r>
      <w:r>
        <w:rPr>
          <w:rFonts w:ascii="宋体" w:hAnsi="宋体" w:cs="宋体" w:eastAsia="宋体" w:hint="default"/>
          <w:spacing w:val="-2"/>
        </w:rPr>
        <w:t>2000</w:t>
      </w:r>
      <w:r>
        <w:rPr>
          <w:spacing w:val="-2"/>
        </w:rPr>
        <w:t>年至</w:t>
      </w:r>
      <w:r>
        <w:rPr>
          <w:rFonts w:ascii="宋体" w:hAnsi="宋体" w:cs="宋体" w:eastAsia="宋体" w:hint="default"/>
          <w:spacing w:val="-2"/>
        </w:rPr>
        <w:t>2003</w:t>
      </w:r>
      <w:r>
        <w:rPr>
          <w:spacing w:val="-2"/>
        </w:rPr>
        <w:t>年任厦门外商投资企业物资公司财务经</w:t>
      </w:r>
      <w:r>
        <w:rPr>
          <w:spacing w:val="-32"/>
        </w:rPr>
        <w:t> </w:t>
      </w:r>
      <w:r>
        <w:rPr>
          <w:spacing w:val="-32"/>
        </w:rPr>
      </w:r>
      <w:r>
        <w:rPr>
          <w:spacing w:val="-4"/>
        </w:rPr>
        <w:t>理；</w:t>
      </w:r>
      <w:r>
        <w:rPr>
          <w:rFonts w:ascii="宋体" w:hAnsi="宋体" w:cs="宋体" w:eastAsia="宋体" w:hint="default"/>
          <w:spacing w:val="-4"/>
        </w:rPr>
        <w:t>2003</w:t>
      </w:r>
      <w:r>
        <w:rPr>
          <w:spacing w:val="-4"/>
        </w:rPr>
        <w:t>年至</w:t>
      </w:r>
      <w:r>
        <w:rPr>
          <w:rFonts w:ascii="宋体" w:hAnsi="宋体" w:cs="宋体" w:eastAsia="宋体" w:hint="default"/>
          <w:spacing w:val="-4"/>
        </w:rPr>
        <w:t>2005</w:t>
      </w:r>
      <w:r>
        <w:rPr>
          <w:spacing w:val="-4"/>
        </w:rPr>
        <w:t>年任厦门银池资产管理有限公司财务经理；</w:t>
      </w:r>
      <w:r>
        <w:rPr>
          <w:rFonts w:ascii="宋体" w:hAnsi="宋体" w:cs="宋体" w:eastAsia="宋体" w:hint="default"/>
          <w:spacing w:val="-4"/>
        </w:rPr>
        <w:t>2005</w:t>
      </w:r>
      <w:r>
        <w:rPr>
          <w:spacing w:val="-4"/>
        </w:rPr>
        <w:t>年至</w:t>
      </w:r>
      <w:r>
        <w:rPr>
          <w:rFonts w:ascii="宋体" w:hAnsi="宋体" w:cs="宋体" w:eastAsia="宋体" w:hint="default"/>
          <w:spacing w:val="-4"/>
        </w:rPr>
        <w:t>2007</w:t>
      </w:r>
      <w:r>
        <w:rPr>
          <w:spacing w:val="-4"/>
        </w:rPr>
        <w:t>年任厦门新世基集团财务经理；</w:t>
      </w:r>
      <w:r>
        <w:rPr>
          <w:spacing w:val="-22"/>
        </w:rPr>
        <w:t> </w:t>
      </w:r>
      <w:r>
        <w:rPr>
          <w:spacing w:val="-22"/>
        </w:rPr>
      </w:r>
      <w:r>
        <w:rPr>
          <w:rFonts w:ascii="宋体" w:hAnsi="宋体" w:cs="宋体" w:eastAsia="宋体" w:hint="default"/>
        </w:rPr>
        <w:t>2009</w:t>
      </w:r>
      <w:r>
        <w:rPr/>
        <w:t>年</w:t>
      </w:r>
      <w:r>
        <w:rPr>
          <w:rFonts w:ascii="宋体" w:hAnsi="宋体" w:cs="宋体" w:eastAsia="宋体" w:hint="default"/>
        </w:rPr>
        <w:t>9</w:t>
      </w:r>
      <w:r>
        <w:rPr/>
        <w:t>月至今任公司财务总监。</w:t>
      </w:r>
    </w:p>
    <w:p>
      <w:pPr>
        <w:pStyle w:val="BodyText"/>
        <w:spacing w:line="408" w:lineRule="auto"/>
        <w:ind w:right="986" w:firstLine="419"/>
        <w:jc w:val="left"/>
      </w:pPr>
      <w:r>
        <w:rPr>
          <w:rFonts w:ascii="宋体" w:hAnsi="宋体" w:cs="宋体" w:eastAsia="宋体" w:hint="default"/>
          <w:b/>
          <w:bCs/>
        </w:rPr>
        <w:t>苏学武</w:t>
      </w:r>
      <w:r>
        <w:rPr/>
        <w:t>，男，</w:t>
      </w:r>
      <w:r>
        <w:rPr>
          <w:rFonts w:ascii="宋体" w:hAnsi="宋体" w:cs="宋体" w:eastAsia="宋体" w:hint="default"/>
        </w:rPr>
        <w:t>1970</w:t>
      </w:r>
      <w:r>
        <w:rPr/>
        <w:t>年</w:t>
      </w:r>
      <w:r>
        <w:rPr>
          <w:rFonts w:ascii="宋体" w:hAnsi="宋体" w:cs="宋体" w:eastAsia="宋体" w:hint="default"/>
        </w:rPr>
        <w:t>4</w:t>
      </w:r>
      <w:r>
        <w:rPr/>
        <w:t>月出生，中国国籍，无永久境外居留权。</w:t>
      </w:r>
      <w:r>
        <w:rPr>
          <w:rFonts w:ascii="宋体" w:hAnsi="宋体" w:cs="宋体" w:eastAsia="宋体" w:hint="default"/>
        </w:rPr>
        <w:t>1992</w:t>
      </w:r>
      <w:r>
        <w:rPr/>
        <w:t>年毕业于贵州大学数学系；</w:t>
      </w:r>
      <w:r>
        <w:rPr>
          <w:rFonts w:ascii="宋体" w:hAnsi="宋体" w:cs="宋体" w:eastAsia="宋体" w:hint="default"/>
        </w:rPr>
        <w:t>1992</w:t>
      </w:r>
      <w:r>
        <w:rPr>
          <w:rFonts w:ascii="宋体" w:hAnsi="宋体" w:cs="宋体" w:eastAsia="宋体" w:hint="default"/>
          <w:w w:val="100"/>
        </w:rPr>
        <w:t> </w:t>
      </w:r>
      <w:r>
        <w:rPr>
          <w:spacing w:val="-2"/>
        </w:rPr>
        <w:t>年至</w:t>
      </w:r>
      <w:r>
        <w:rPr>
          <w:rFonts w:ascii="宋体" w:hAnsi="宋体" w:cs="宋体" w:eastAsia="宋体" w:hint="default"/>
          <w:spacing w:val="-2"/>
        </w:rPr>
        <w:t>1995</w:t>
      </w:r>
      <w:r>
        <w:rPr>
          <w:spacing w:val="-2"/>
        </w:rPr>
        <w:t>年任中国建筑第四工程局公司工程师；</w:t>
      </w:r>
      <w:r>
        <w:rPr>
          <w:rFonts w:ascii="宋体" w:hAnsi="宋体" w:cs="宋体" w:eastAsia="宋体" w:hint="default"/>
          <w:spacing w:val="-2"/>
        </w:rPr>
        <w:t>1995</w:t>
      </w:r>
      <w:r>
        <w:rPr>
          <w:spacing w:val="-2"/>
        </w:rPr>
        <w:t>年</w:t>
      </w:r>
      <w:r>
        <w:rPr>
          <w:rFonts w:ascii="宋体" w:hAnsi="宋体" w:cs="宋体" w:eastAsia="宋体" w:hint="default"/>
          <w:spacing w:val="-2"/>
        </w:rPr>
        <w:t>5</w:t>
      </w:r>
      <w:r>
        <w:rPr>
          <w:spacing w:val="-2"/>
        </w:rPr>
        <w:t>月至</w:t>
      </w:r>
      <w:r>
        <w:rPr>
          <w:rFonts w:ascii="宋体" w:hAnsi="宋体" w:cs="宋体" w:eastAsia="宋体" w:hint="default"/>
          <w:spacing w:val="-2"/>
        </w:rPr>
        <w:t>1995</w:t>
      </w:r>
      <w:r>
        <w:rPr>
          <w:spacing w:val="-2"/>
        </w:rPr>
        <w:t>年</w:t>
      </w:r>
      <w:r>
        <w:rPr>
          <w:rFonts w:ascii="宋体" w:hAnsi="宋体" w:cs="宋体" w:eastAsia="宋体" w:hint="default"/>
          <w:spacing w:val="-2"/>
        </w:rPr>
        <w:t>9</w:t>
      </w:r>
      <w:r>
        <w:rPr>
          <w:spacing w:val="-2"/>
        </w:rPr>
        <w:t>月任珠海市经济特区新德汇企业有限</w:t>
      </w:r>
      <w:r>
        <w:rPr/>
      </w:r>
    </w:p>
    <w:p>
      <w:pPr>
        <w:spacing w:after="0" w:line="408"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left="153" w:right="986" w:hanging="1"/>
        <w:jc w:val="left"/>
      </w:pPr>
      <w:r>
        <w:rPr/>
        <w:t>公司市场经理；</w:t>
      </w:r>
      <w:r>
        <w:rPr>
          <w:rFonts w:ascii="宋体" w:hAnsi="宋体" w:cs="宋体" w:eastAsia="宋体" w:hint="default"/>
        </w:rPr>
        <w:t>1995</w:t>
      </w:r>
      <w:r>
        <w:rPr/>
        <w:t>年</w:t>
      </w:r>
      <w:r>
        <w:rPr>
          <w:rFonts w:ascii="宋体" w:hAnsi="宋体" w:cs="宋体" w:eastAsia="宋体" w:hint="default"/>
        </w:rPr>
        <w:t>9</w:t>
      </w:r>
      <w:r>
        <w:rPr/>
        <w:t>月至</w:t>
      </w:r>
      <w:r>
        <w:rPr>
          <w:rFonts w:ascii="宋体" w:hAnsi="宋体" w:cs="宋体" w:eastAsia="宋体" w:hint="default"/>
        </w:rPr>
        <w:t>2013</w:t>
      </w:r>
      <w:r>
        <w:rPr/>
        <w:t>年</w:t>
      </w:r>
      <w:r>
        <w:rPr>
          <w:rFonts w:ascii="宋体" w:hAnsi="宋体" w:cs="宋体" w:eastAsia="宋体" w:hint="default"/>
        </w:rPr>
        <w:t>8</w:t>
      </w:r>
      <w:r>
        <w:rPr/>
        <w:t>月，任珠海市新德汇信息技术有限公司董事长兼总经理；</w:t>
      </w:r>
      <w:r>
        <w:rPr>
          <w:rFonts w:ascii="宋体" w:hAnsi="宋体" w:cs="宋体" w:eastAsia="宋体" w:hint="default"/>
        </w:rPr>
        <w:t>2013</w:t>
      </w:r>
      <w:r>
        <w:rPr/>
        <w:t>年</w:t>
      </w:r>
      <w:r>
        <w:rPr>
          <w:rFonts w:ascii="宋体" w:hAnsi="宋体" w:cs="宋体" w:eastAsia="宋体" w:hint="default"/>
        </w:rPr>
        <w:t>8</w:t>
      </w:r>
      <w:r>
        <w:rPr/>
        <w:t>月</w:t>
      </w:r>
      <w:r>
        <w:rPr>
          <w:w w:val="100"/>
        </w:rPr>
        <w:t> </w:t>
      </w:r>
      <w:r>
        <w:rPr>
          <w:spacing w:val="-6"/>
        </w:rPr>
        <w:t>至今，任公司全资子公司珠海市新德汇信息技术有限公司董事长。</w:t>
      </w:r>
      <w:r>
        <w:rPr>
          <w:rFonts w:ascii="宋体" w:hAnsi="宋体" w:cs="宋体" w:eastAsia="宋体" w:hint="default"/>
          <w:spacing w:val="-6"/>
        </w:rPr>
        <w:t>2016</w:t>
      </w:r>
      <w:r>
        <w:rPr>
          <w:spacing w:val="-6"/>
        </w:rPr>
        <w:t>年</w:t>
      </w:r>
      <w:r>
        <w:rPr>
          <w:rFonts w:ascii="宋体" w:hAnsi="宋体" w:cs="宋体" w:eastAsia="宋体" w:hint="default"/>
          <w:spacing w:val="-6"/>
        </w:rPr>
        <w:t>5</w:t>
      </w:r>
      <w:r>
        <w:rPr>
          <w:spacing w:val="-6"/>
        </w:rPr>
        <w:t>月至</w:t>
      </w:r>
      <w:r>
        <w:rPr>
          <w:rFonts w:ascii="宋体" w:hAnsi="宋体" w:cs="宋体" w:eastAsia="宋体" w:hint="default"/>
          <w:spacing w:val="-6"/>
        </w:rPr>
        <w:t>2019</w:t>
      </w:r>
      <w:r>
        <w:rPr>
          <w:spacing w:val="-6"/>
        </w:rPr>
        <w:t>年</w:t>
      </w:r>
      <w:r>
        <w:rPr>
          <w:rFonts w:ascii="宋体" w:hAnsi="宋体" w:cs="宋体" w:eastAsia="宋体" w:hint="default"/>
          <w:spacing w:val="-6"/>
        </w:rPr>
        <w:t>8</w:t>
      </w:r>
      <w:r>
        <w:rPr>
          <w:spacing w:val="-6"/>
        </w:rPr>
        <w:t>月任公司董事。</w:t>
      </w:r>
      <w:r>
        <w:rPr>
          <w:rFonts w:ascii="宋体" w:hAnsi="宋体" w:cs="宋体" w:eastAsia="宋体" w:hint="default"/>
          <w:spacing w:val="-6"/>
        </w:rPr>
        <w:t>2019</w:t>
      </w:r>
      <w:r>
        <w:rPr>
          <w:rFonts w:ascii="宋体" w:hAnsi="宋体" w:cs="宋体" w:eastAsia="宋体" w:hint="default"/>
          <w:spacing w:val="-24"/>
        </w:rPr>
        <w:t> </w:t>
      </w:r>
      <w:r>
        <w:rPr>
          <w:rFonts w:ascii="宋体" w:hAnsi="宋体" w:cs="宋体" w:eastAsia="宋体" w:hint="default"/>
          <w:spacing w:val="-24"/>
        </w:rPr>
      </w:r>
      <w:r>
        <w:rPr/>
        <w:t>年</w:t>
      </w:r>
      <w:r>
        <w:rPr>
          <w:rFonts w:ascii="宋体" w:hAnsi="宋体" w:cs="宋体" w:eastAsia="宋体" w:hint="default"/>
        </w:rPr>
        <w:t>8</w:t>
      </w:r>
      <w:r>
        <w:rPr/>
        <w:t>月至今任公司副总经理。</w:t>
      </w:r>
    </w:p>
    <w:p>
      <w:pPr>
        <w:pStyle w:val="BodyText"/>
        <w:spacing w:line="408" w:lineRule="auto"/>
        <w:ind w:right="986" w:firstLine="419"/>
        <w:jc w:val="left"/>
      </w:pPr>
      <w:r>
        <w:rPr>
          <w:rFonts w:ascii="宋体" w:hAnsi="宋体" w:cs="宋体" w:eastAsia="宋体" w:hint="default"/>
          <w:b/>
          <w:bCs/>
        </w:rPr>
        <w:t>韦玉荣</w:t>
      </w:r>
      <w:r>
        <w:rPr/>
        <w:t>，男，</w:t>
      </w:r>
      <w:r>
        <w:rPr>
          <w:rFonts w:ascii="宋体" w:hAnsi="宋体" w:cs="宋体" w:eastAsia="宋体" w:hint="default"/>
        </w:rPr>
        <w:t>1972</w:t>
      </w:r>
      <w:r>
        <w:rPr/>
        <w:t>年</w:t>
      </w:r>
      <w:r>
        <w:rPr>
          <w:rFonts w:ascii="宋体" w:hAnsi="宋体" w:cs="宋体" w:eastAsia="宋体" w:hint="default"/>
        </w:rPr>
        <w:t>6</w:t>
      </w:r>
      <w:r>
        <w:rPr/>
        <w:t>月出生，中国国籍，无永久境外居留权。</w:t>
      </w:r>
      <w:r>
        <w:rPr>
          <w:rFonts w:ascii="宋体" w:hAnsi="宋体" w:cs="宋体" w:eastAsia="宋体" w:hint="default"/>
        </w:rPr>
        <w:t>1994</w:t>
      </w:r>
      <w:r>
        <w:rPr/>
        <w:t>年毕业于哈尔滨理工大学电算化</w:t>
      </w:r>
      <w:r>
        <w:rPr>
          <w:w w:val="100"/>
        </w:rPr>
        <w:t> </w:t>
      </w:r>
      <w:r>
        <w:rPr>
          <w:spacing w:val="-2"/>
        </w:rPr>
        <w:t>专业。</w:t>
      </w:r>
      <w:r>
        <w:rPr>
          <w:rFonts w:ascii="宋体" w:hAnsi="宋体" w:cs="宋体" w:eastAsia="宋体" w:hint="default"/>
          <w:spacing w:val="-2"/>
        </w:rPr>
        <w:t>1994</w:t>
      </w:r>
      <w:r>
        <w:rPr>
          <w:spacing w:val="-2"/>
        </w:rPr>
        <w:t>年</w:t>
      </w:r>
      <w:r>
        <w:rPr>
          <w:rFonts w:ascii="宋体" w:hAnsi="宋体" w:cs="宋体" w:eastAsia="宋体" w:hint="default"/>
          <w:spacing w:val="-2"/>
        </w:rPr>
        <w:t>9</w:t>
      </w:r>
      <w:r>
        <w:rPr>
          <w:spacing w:val="-2"/>
        </w:rPr>
        <w:t>月至</w:t>
      </w:r>
      <w:r>
        <w:rPr>
          <w:rFonts w:ascii="宋体" w:hAnsi="宋体" w:cs="宋体" w:eastAsia="宋体" w:hint="default"/>
          <w:spacing w:val="-2"/>
        </w:rPr>
        <w:t>1996</w:t>
      </w:r>
      <w:r>
        <w:rPr>
          <w:spacing w:val="-2"/>
        </w:rPr>
        <w:t>年</w:t>
      </w:r>
      <w:r>
        <w:rPr>
          <w:rFonts w:ascii="宋体" w:hAnsi="宋体" w:cs="宋体" w:eastAsia="宋体" w:hint="default"/>
          <w:spacing w:val="-2"/>
        </w:rPr>
        <w:t>10</w:t>
      </w:r>
      <w:r>
        <w:rPr>
          <w:spacing w:val="-2"/>
        </w:rPr>
        <w:t>月任无锡二橡胶股份有限公司会计；</w:t>
      </w:r>
      <w:r>
        <w:rPr>
          <w:rFonts w:ascii="宋体" w:hAnsi="宋体" w:cs="宋体" w:eastAsia="宋体" w:hint="default"/>
          <w:spacing w:val="-2"/>
        </w:rPr>
        <w:t>1996</w:t>
      </w:r>
      <w:r>
        <w:rPr>
          <w:spacing w:val="-2"/>
        </w:rPr>
        <w:t>年</w:t>
      </w:r>
      <w:r>
        <w:rPr>
          <w:rFonts w:ascii="宋体" w:hAnsi="宋体" w:cs="宋体" w:eastAsia="宋体" w:hint="default"/>
          <w:spacing w:val="-2"/>
        </w:rPr>
        <w:t>11</w:t>
      </w:r>
      <w:r>
        <w:rPr>
          <w:spacing w:val="-2"/>
        </w:rPr>
        <w:t>月至</w:t>
      </w:r>
      <w:r>
        <w:rPr>
          <w:rFonts w:ascii="宋体" w:hAnsi="宋体" w:cs="宋体" w:eastAsia="宋体" w:hint="default"/>
          <w:spacing w:val="-2"/>
        </w:rPr>
        <w:t>1999</w:t>
      </w:r>
      <w:r>
        <w:rPr>
          <w:spacing w:val="-2"/>
        </w:rPr>
        <w:t>年</w:t>
      </w:r>
      <w:r>
        <w:rPr>
          <w:rFonts w:ascii="宋体" w:hAnsi="宋体" w:cs="宋体" w:eastAsia="宋体" w:hint="default"/>
          <w:spacing w:val="-2"/>
        </w:rPr>
        <w:t>4</w:t>
      </w:r>
      <w:r>
        <w:rPr>
          <w:spacing w:val="-2"/>
        </w:rPr>
        <w:t>月任无锡市旭日科</w:t>
      </w:r>
      <w:r>
        <w:rPr>
          <w:spacing w:val="-28"/>
        </w:rPr>
        <w:t> </w:t>
      </w:r>
      <w:r>
        <w:rPr>
          <w:spacing w:val="-28"/>
        </w:rPr>
      </w:r>
      <w:r>
        <w:rPr>
          <w:spacing w:val="-2"/>
        </w:rPr>
        <w:t>技有限公司总经理；</w:t>
      </w:r>
      <w:r>
        <w:rPr>
          <w:rFonts w:ascii="宋体" w:hAnsi="宋体" w:cs="宋体" w:eastAsia="宋体" w:hint="default"/>
          <w:spacing w:val="-2"/>
        </w:rPr>
        <w:t>1999</w:t>
      </w:r>
      <w:r>
        <w:rPr>
          <w:spacing w:val="-2"/>
        </w:rPr>
        <w:t>年</w:t>
      </w:r>
      <w:r>
        <w:rPr>
          <w:rFonts w:ascii="宋体" w:hAnsi="宋体" w:cs="宋体" w:eastAsia="宋体" w:hint="default"/>
          <w:spacing w:val="-2"/>
        </w:rPr>
        <w:t>7</w:t>
      </w:r>
      <w:r>
        <w:rPr>
          <w:spacing w:val="-2"/>
        </w:rPr>
        <w:t>月至</w:t>
      </w:r>
      <w:r>
        <w:rPr>
          <w:rFonts w:ascii="宋体" w:hAnsi="宋体" w:cs="宋体" w:eastAsia="宋体" w:hint="default"/>
          <w:spacing w:val="-2"/>
        </w:rPr>
        <w:t>2000</w:t>
      </w:r>
      <w:r>
        <w:rPr>
          <w:spacing w:val="-2"/>
        </w:rPr>
        <w:t>年</w:t>
      </w:r>
      <w:r>
        <w:rPr>
          <w:rFonts w:ascii="宋体" w:hAnsi="宋体" w:cs="宋体" w:eastAsia="宋体" w:hint="default"/>
          <w:spacing w:val="-2"/>
        </w:rPr>
        <w:t>10</w:t>
      </w:r>
      <w:r>
        <w:rPr>
          <w:spacing w:val="-2"/>
        </w:rPr>
        <w:t>月任金蝶国际软件集团有限公司无锡分公司市场经理；</w:t>
      </w:r>
      <w:r>
        <w:rPr>
          <w:rFonts w:ascii="宋体" w:hAnsi="宋体" w:cs="宋体" w:eastAsia="宋体" w:hint="default"/>
          <w:spacing w:val="-2"/>
        </w:rPr>
        <w:t>2001</w:t>
      </w:r>
      <w:r>
        <w:rPr>
          <w:spacing w:val="-2"/>
        </w:rPr>
        <w:t>年</w:t>
      </w:r>
      <w:r>
        <w:rPr>
          <w:rFonts w:ascii="宋体" w:hAnsi="宋体" w:cs="宋体" w:eastAsia="宋体" w:hint="default"/>
          <w:spacing w:val="-2"/>
        </w:rPr>
        <w:t>1</w:t>
      </w:r>
      <w:r>
        <w:rPr>
          <w:rFonts w:ascii="宋体" w:hAnsi="宋体" w:cs="宋体" w:eastAsia="宋体" w:hint="default"/>
          <w:spacing w:val="-31"/>
        </w:rPr>
        <w:t> </w:t>
      </w:r>
      <w:r>
        <w:rPr>
          <w:spacing w:val="-2"/>
        </w:rPr>
        <w:t>月至</w:t>
      </w:r>
      <w:r>
        <w:rPr>
          <w:rFonts w:ascii="宋体" w:hAnsi="宋体" w:cs="宋体" w:eastAsia="宋体" w:hint="default"/>
          <w:spacing w:val="-2"/>
        </w:rPr>
        <w:t>2002</w:t>
      </w:r>
      <w:r>
        <w:rPr>
          <w:spacing w:val="-2"/>
        </w:rPr>
        <w:t>年</w:t>
      </w:r>
      <w:r>
        <w:rPr>
          <w:rFonts w:ascii="宋体" w:hAnsi="宋体" w:cs="宋体" w:eastAsia="宋体" w:hint="default"/>
          <w:spacing w:val="-2"/>
        </w:rPr>
        <w:t>2</w:t>
      </w:r>
      <w:r>
        <w:rPr>
          <w:spacing w:val="-2"/>
        </w:rPr>
        <w:t>月任无锡市启元科技有限公司市场经理；</w:t>
      </w:r>
      <w:r>
        <w:rPr>
          <w:rFonts w:ascii="宋体" w:hAnsi="宋体" w:cs="宋体" w:eastAsia="宋体" w:hint="default"/>
          <w:spacing w:val="-2"/>
        </w:rPr>
        <w:t>2002</w:t>
      </w:r>
      <w:r>
        <w:rPr>
          <w:spacing w:val="-2"/>
        </w:rPr>
        <w:t>年</w:t>
      </w:r>
      <w:r>
        <w:rPr>
          <w:rFonts w:ascii="宋体" w:hAnsi="宋体" w:cs="宋体" w:eastAsia="宋体" w:hint="default"/>
          <w:spacing w:val="-2"/>
        </w:rPr>
        <w:t>4</w:t>
      </w:r>
      <w:r>
        <w:rPr>
          <w:spacing w:val="-2"/>
        </w:rPr>
        <w:t>月至</w:t>
      </w:r>
      <w:r>
        <w:rPr>
          <w:rFonts w:ascii="宋体" w:hAnsi="宋体" w:cs="宋体" w:eastAsia="宋体" w:hint="default"/>
          <w:spacing w:val="-2"/>
        </w:rPr>
        <w:t>2011</w:t>
      </w:r>
      <w:r>
        <w:rPr>
          <w:spacing w:val="-2"/>
        </w:rPr>
        <w:t>年</w:t>
      </w:r>
      <w:r>
        <w:rPr>
          <w:rFonts w:ascii="宋体" w:hAnsi="宋体" w:cs="宋体" w:eastAsia="宋体" w:hint="default"/>
          <w:spacing w:val="-2"/>
        </w:rPr>
        <w:t>12</w:t>
      </w:r>
      <w:r>
        <w:rPr>
          <w:spacing w:val="-2"/>
        </w:rPr>
        <w:t>月任无锡市奇星软件科技有限</w:t>
      </w:r>
      <w:r>
        <w:rPr>
          <w:spacing w:val="-35"/>
        </w:rPr>
        <w:t> </w:t>
      </w:r>
      <w:r>
        <w:rPr>
          <w:spacing w:val="-35"/>
        </w:rPr>
      </w:r>
      <w:r>
        <w:rPr/>
        <w:t>公司总经理；</w:t>
      </w:r>
      <w:r>
        <w:rPr>
          <w:rFonts w:ascii="宋体" w:hAnsi="宋体" w:cs="宋体" w:eastAsia="宋体" w:hint="default"/>
        </w:rPr>
        <w:t>2011</w:t>
      </w:r>
      <w:r>
        <w:rPr/>
        <w:t>年</w:t>
      </w:r>
      <w:r>
        <w:rPr>
          <w:rFonts w:ascii="宋体" w:hAnsi="宋体" w:cs="宋体" w:eastAsia="宋体" w:hint="default"/>
        </w:rPr>
        <w:t>11</w:t>
      </w:r>
      <w:r>
        <w:rPr/>
        <w:t>月至今任公司全资子公司江苏税软软件科技有限公司董事、总经理。</w:t>
      </w:r>
      <w:r>
        <w:rPr>
          <w:rFonts w:ascii="宋体" w:hAnsi="宋体" w:cs="宋体" w:eastAsia="宋体" w:hint="default"/>
        </w:rPr>
        <w:t>2016</w:t>
      </w:r>
      <w:r>
        <w:rPr/>
        <w:t>年</w:t>
      </w:r>
      <w:r>
        <w:rPr>
          <w:rFonts w:ascii="宋体" w:hAnsi="宋体" w:cs="宋体" w:eastAsia="宋体" w:hint="default"/>
        </w:rPr>
        <w:t>5</w:t>
      </w:r>
      <w:r>
        <w:rPr/>
        <w:t>月至</w:t>
      </w:r>
      <w:r>
        <w:rPr>
          <w:spacing w:val="-3"/>
          <w:w w:val="100"/>
        </w:rPr>
        <w:t> </w:t>
      </w:r>
      <w:r>
        <w:rPr>
          <w:rFonts w:ascii="宋体" w:hAnsi="宋体" w:cs="宋体" w:eastAsia="宋体" w:hint="default"/>
        </w:rPr>
        <w:t>2019</w:t>
      </w:r>
      <w:r>
        <w:rPr/>
        <w:t>年</w:t>
      </w:r>
      <w:r>
        <w:rPr>
          <w:rFonts w:ascii="宋体" w:hAnsi="宋体" w:cs="宋体" w:eastAsia="宋体" w:hint="default"/>
        </w:rPr>
        <w:t>8</w:t>
      </w:r>
      <w:r>
        <w:rPr/>
        <w:t>月任公司董事。</w:t>
      </w:r>
      <w:r>
        <w:rPr>
          <w:rFonts w:ascii="宋体" w:hAnsi="宋体" w:cs="宋体" w:eastAsia="宋体" w:hint="default"/>
        </w:rPr>
        <w:t>2019</w:t>
      </w:r>
      <w:r>
        <w:rPr/>
        <w:t>年</w:t>
      </w:r>
      <w:r>
        <w:rPr>
          <w:rFonts w:ascii="宋体" w:hAnsi="宋体" w:cs="宋体" w:eastAsia="宋体" w:hint="default"/>
        </w:rPr>
        <w:t>8</w:t>
      </w:r>
      <w:r>
        <w:rPr/>
        <w:t>月至今任公司副总经理。</w:t>
      </w:r>
    </w:p>
    <w:p>
      <w:pPr>
        <w:spacing w:before="30"/>
        <w:ind w:left="152" w:right="986" w:firstLine="0"/>
        <w:jc w:val="left"/>
        <w:rPr>
          <w:rFonts w:ascii="宋体" w:hAnsi="宋体" w:cs="宋体" w:eastAsia="宋体" w:hint="default"/>
          <w:sz w:val="18"/>
          <w:szCs w:val="18"/>
        </w:rPr>
      </w:pPr>
      <w:r>
        <w:rPr>
          <w:rFonts w:ascii="宋体" w:hAnsi="宋体" w:cs="宋体" w:eastAsia="宋体" w:hint="default"/>
          <w:sz w:val="18"/>
          <w:szCs w:val="18"/>
        </w:rPr>
        <w:t>在股东单位任职情况</w:t>
      </w:r>
    </w:p>
    <w:p>
      <w:pPr>
        <w:spacing w:before="115"/>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8"/>
          <w:szCs w:val="8"/>
        </w:rPr>
      </w:pPr>
    </w:p>
    <w:tbl>
      <w:tblPr>
        <w:tblW w:w="0" w:type="auto"/>
        <w:jc w:val="left"/>
        <w:tblInd w:w="121" w:type="dxa"/>
        <w:tblLayout w:type="fixed"/>
        <w:tblCellMar>
          <w:top w:w="0" w:type="dxa"/>
          <w:left w:w="0" w:type="dxa"/>
          <w:bottom w:w="0" w:type="dxa"/>
          <w:right w:w="0" w:type="dxa"/>
        </w:tblCellMar>
        <w:tblLook w:val="01E0"/>
      </w:tblPr>
      <w:tblGrid>
        <w:gridCol w:w="1241"/>
        <w:gridCol w:w="2045"/>
        <w:gridCol w:w="2129"/>
        <w:gridCol w:w="1865"/>
        <w:gridCol w:w="850"/>
        <w:gridCol w:w="1560"/>
      </w:tblGrid>
      <w:tr>
        <w:trPr>
          <w:trHeight w:val="713" w:hRule="exact"/>
        </w:trPr>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528" w:right="161" w:hanging="360"/>
              <w:jc w:val="left"/>
              <w:rPr>
                <w:rFonts w:ascii="宋体" w:hAnsi="宋体" w:cs="宋体" w:eastAsia="宋体" w:hint="default"/>
                <w:sz w:val="18"/>
                <w:szCs w:val="18"/>
              </w:rPr>
            </w:pPr>
            <w:r>
              <w:rPr>
                <w:rFonts w:ascii="宋体" w:hAnsi="宋体" w:cs="宋体" w:eastAsia="宋体" w:hint="default"/>
                <w:sz w:val="18"/>
                <w:szCs w:val="18"/>
              </w:rPr>
              <w:t>任职人员姓 名</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股东单位名称</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在股东单位担任的职务</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88"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51" w:right="146"/>
              <w:jc w:val="left"/>
              <w:rPr>
                <w:rFonts w:ascii="宋体" w:hAnsi="宋体" w:cs="宋体" w:eastAsia="宋体" w:hint="default"/>
                <w:sz w:val="18"/>
                <w:szCs w:val="18"/>
              </w:rPr>
            </w:pPr>
            <w:r>
              <w:rPr>
                <w:rFonts w:ascii="宋体" w:hAnsi="宋体" w:cs="宋体" w:eastAsia="宋体" w:hint="default"/>
                <w:sz w:val="18"/>
                <w:szCs w:val="18"/>
              </w:rPr>
              <w:t>任期终 止日期</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7" w:right="142" w:hanging="92"/>
              <w:jc w:val="left"/>
              <w:rPr>
                <w:rFonts w:ascii="宋体" w:hAnsi="宋体" w:cs="宋体" w:eastAsia="宋体" w:hint="default"/>
                <w:sz w:val="18"/>
                <w:szCs w:val="18"/>
              </w:rPr>
            </w:pPr>
            <w:r>
              <w:rPr>
                <w:rFonts w:ascii="宋体" w:hAnsi="宋体" w:cs="宋体" w:eastAsia="宋体" w:hint="default"/>
                <w:sz w:val="18"/>
                <w:szCs w:val="18"/>
              </w:rPr>
              <w:t>在股东单位是否 领取报酬津贴</w:t>
            </w:r>
          </w:p>
        </w:tc>
      </w:tr>
      <w:tr>
        <w:trPr>
          <w:trHeight w:val="403" w:hRule="exact"/>
        </w:trPr>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涂峥</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6"/>
              <w:jc w:val="center"/>
              <w:rPr>
                <w:rFonts w:ascii="宋体" w:hAnsi="宋体" w:cs="宋体" w:eastAsia="宋体" w:hint="default"/>
                <w:sz w:val="18"/>
                <w:szCs w:val="18"/>
              </w:rPr>
            </w:pPr>
            <w:r>
              <w:rPr>
                <w:rFonts w:ascii="宋体" w:hAnsi="宋体" w:cs="宋体" w:eastAsia="宋体" w:hint="default"/>
                <w:sz w:val="18"/>
                <w:szCs w:val="18"/>
              </w:rPr>
              <w:t>国投智能科技有限公司</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战略投资部总经理</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713" w:hRule="exact"/>
        </w:trPr>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蒋蕊</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6"/>
              <w:jc w:val="center"/>
              <w:rPr>
                <w:rFonts w:ascii="宋体" w:hAnsi="宋体" w:cs="宋体" w:eastAsia="宋体" w:hint="default"/>
                <w:sz w:val="18"/>
                <w:szCs w:val="18"/>
              </w:rPr>
            </w:pPr>
            <w:r>
              <w:rPr>
                <w:rFonts w:ascii="宋体" w:hAnsi="宋体" w:cs="宋体" w:eastAsia="宋体" w:hint="default"/>
                <w:sz w:val="18"/>
                <w:szCs w:val="18"/>
              </w:rPr>
              <w:t>国投智能科技有限公司</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520" w:right="156" w:hanging="360"/>
              <w:jc w:val="left"/>
              <w:rPr>
                <w:rFonts w:ascii="宋体" w:hAnsi="宋体" w:cs="宋体" w:eastAsia="宋体" w:hint="default"/>
                <w:sz w:val="18"/>
                <w:szCs w:val="18"/>
              </w:rPr>
            </w:pPr>
            <w:r>
              <w:rPr>
                <w:rFonts w:ascii="宋体" w:hAnsi="宋体" w:cs="宋体" w:eastAsia="宋体" w:hint="default"/>
                <w:sz w:val="18"/>
                <w:szCs w:val="18"/>
              </w:rPr>
              <w:t>总经理助理兼数字国投 事业部总经理</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徐从瑞</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6"/>
              <w:jc w:val="center"/>
              <w:rPr>
                <w:rFonts w:ascii="宋体" w:hAnsi="宋体" w:cs="宋体" w:eastAsia="宋体" w:hint="default"/>
                <w:sz w:val="18"/>
                <w:szCs w:val="18"/>
              </w:rPr>
            </w:pPr>
            <w:r>
              <w:rPr>
                <w:rFonts w:ascii="宋体" w:hAnsi="宋体" w:cs="宋体" w:eastAsia="宋体" w:hint="default"/>
                <w:sz w:val="18"/>
                <w:szCs w:val="18"/>
              </w:rPr>
              <w:t>国投智能科技有限公司</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计划财务部总经理</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丁文波</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6"/>
              <w:jc w:val="center"/>
              <w:rPr>
                <w:rFonts w:ascii="宋体" w:hAnsi="宋体" w:cs="宋体" w:eastAsia="宋体" w:hint="default"/>
                <w:sz w:val="18"/>
                <w:szCs w:val="18"/>
              </w:rPr>
            </w:pPr>
            <w:r>
              <w:rPr>
                <w:rFonts w:ascii="宋体" w:hAnsi="宋体" w:cs="宋体" w:eastAsia="宋体" w:hint="default"/>
                <w:sz w:val="18"/>
                <w:szCs w:val="18"/>
              </w:rPr>
              <w:t>国投智能科技有限公司</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高级投资经理</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124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1"/>
              <w:ind w:left="24" w:right="125"/>
              <w:jc w:val="left"/>
              <w:rPr>
                <w:rFonts w:ascii="宋体" w:hAnsi="宋体" w:cs="宋体" w:eastAsia="宋体" w:hint="default"/>
                <w:sz w:val="18"/>
                <w:szCs w:val="18"/>
              </w:rPr>
            </w:pPr>
            <w:r>
              <w:rPr>
                <w:rFonts w:ascii="宋体" w:hAnsi="宋体" w:cs="宋体" w:eastAsia="宋体" w:hint="default"/>
                <w:sz w:val="18"/>
                <w:szCs w:val="18"/>
              </w:rPr>
              <w:t>在股东单位任 职情况的说明</w:t>
            </w:r>
          </w:p>
        </w:tc>
        <w:tc>
          <w:tcPr>
            <w:tcW w:w="8448" w:type="dxa"/>
            <w:gridSpan w:val="5"/>
            <w:tcBorders>
              <w:top w:val="single" w:sz="4" w:space="0" w:color="000000"/>
              <w:left w:val="single" w:sz="12" w:space="0" w:color="D4D4D4"/>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 w:right="0"/>
              <w:jc w:val="left"/>
              <w:rPr>
                <w:rFonts w:ascii="宋体" w:hAnsi="宋体" w:cs="宋体" w:eastAsia="宋体" w:hint="default"/>
                <w:sz w:val="18"/>
                <w:szCs w:val="18"/>
              </w:rPr>
            </w:pPr>
            <w:r>
              <w:rPr>
                <w:rFonts w:ascii="宋体" w:hAnsi="宋体" w:cs="宋体" w:eastAsia="宋体" w:hint="default"/>
                <w:sz w:val="18"/>
                <w:szCs w:val="18"/>
              </w:rPr>
              <w:t>国投智能科技有限公司为公司控股股东</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在其他单位任职情况</w:t>
      </w:r>
    </w:p>
    <w:p>
      <w:pPr>
        <w:spacing w:before="115"/>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665"/>
        <w:gridCol w:w="3163"/>
        <w:gridCol w:w="1560"/>
        <w:gridCol w:w="1558"/>
        <w:gridCol w:w="1579"/>
        <w:gridCol w:w="1044"/>
      </w:tblGrid>
      <w:tr>
        <w:trPr>
          <w:trHeight w:val="1027" w:hRule="exact"/>
        </w:trPr>
        <w:tc>
          <w:tcPr>
            <w:tcW w:w="66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57" w:right="55"/>
              <w:jc w:val="left"/>
              <w:rPr>
                <w:rFonts w:ascii="宋体" w:hAnsi="宋体" w:cs="宋体" w:eastAsia="宋体" w:hint="default"/>
                <w:sz w:val="18"/>
                <w:szCs w:val="18"/>
              </w:rPr>
            </w:pPr>
            <w:r>
              <w:rPr>
                <w:rFonts w:ascii="宋体" w:hAnsi="宋体" w:cs="宋体" w:eastAsia="宋体" w:hint="default"/>
                <w:sz w:val="18"/>
                <w:szCs w:val="18"/>
              </w:rPr>
              <w:t>任职人 员姓名</w:t>
            </w:r>
          </w:p>
        </w:tc>
        <w:tc>
          <w:tcPr>
            <w:tcW w:w="316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6" w:right="0"/>
              <w:jc w:val="left"/>
              <w:rPr>
                <w:rFonts w:ascii="宋体" w:hAnsi="宋体" w:cs="宋体" w:eastAsia="宋体" w:hint="default"/>
                <w:sz w:val="18"/>
                <w:szCs w:val="18"/>
              </w:rPr>
            </w:pPr>
            <w:r>
              <w:rPr>
                <w:rFonts w:ascii="宋体" w:hAnsi="宋体" w:cs="宋体" w:eastAsia="宋体" w:hint="default"/>
                <w:sz w:val="18"/>
                <w:szCs w:val="18"/>
              </w:rPr>
              <w:t>其他单位名称</w:t>
            </w:r>
          </w:p>
        </w:tc>
        <w:tc>
          <w:tcPr>
            <w:tcW w:w="15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595" w:right="53" w:hanging="540"/>
              <w:jc w:val="left"/>
              <w:rPr>
                <w:rFonts w:ascii="宋体" w:hAnsi="宋体" w:cs="宋体" w:eastAsia="宋体" w:hint="default"/>
                <w:sz w:val="18"/>
                <w:szCs w:val="18"/>
              </w:rPr>
            </w:pPr>
            <w:r>
              <w:rPr>
                <w:rFonts w:ascii="宋体" w:hAnsi="宋体" w:cs="宋体" w:eastAsia="宋体" w:hint="default"/>
                <w:sz w:val="18"/>
                <w:szCs w:val="18"/>
              </w:rPr>
              <w:t>在其他单位担任的 职务</w:t>
            </w:r>
          </w:p>
        </w:tc>
        <w:tc>
          <w:tcPr>
            <w:tcW w:w="15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 w:right="0"/>
              <w:jc w:val="center"/>
              <w:rPr>
                <w:rFonts w:ascii="宋体" w:hAnsi="宋体" w:cs="宋体" w:eastAsia="宋体" w:hint="default"/>
                <w:sz w:val="18"/>
                <w:szCs w:val="18"/>
              </w:rPr>
            </w:pPr>
            <w:r>
              <w:rPr>
                <w:rFonts w:ascii="宋体" w:hAnsi="宋体" w:cs="宋体" w:eastAsia="宋体" w:hint="default"/>
                <w:sz w:val="18"/>
                <w:szCs w:val="18"/>
              </w:rPr>
              <w:t>任期起始日期</w:t>
            </w:r>
          </w:p>
        </w:tc>
        <w:tc>
          <w:tcPr>
            <w:tcW w:w="15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4"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10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67" w:right="65"/>
              <w:jc w:val="center"/>
              <w:rPr>
                <w:rFonts w:ascii="宋体" w:hAnsi="宋体" w:cs="宋体" w:eastAsia="宋体" w:hint="default"/>
                <w:sz w:val="18"/>
                <w:szCs w:val="18"/>
              </w:rPr>
            </w:pPr>
            <w:r>
              <w:rPr>
                <w:rFonts w:ascii="宋体" w:hAnsi="宋体" w:cs="宋体" w:eastAsia="宋体" w:hint="default"/>
                <w:sz w:val="18"/>
                <w:szCs w:val="18"/>
              </w:rPr>
              <w:t>在其他单位 是否领取报 酬津贴</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6"/>
              <w:jc w:val="right"/>
              <w:rPr>
                <w:rFonts w:ascii="宋体" w:hAnsi="宋体" w:cs="宋体" w:eastAsia="宋体" w:hint="default"/>
                <w:sz w:val="18"/>
                <w:szCs w:val="18"/>
              </w:rPr>
            </w:pPr>
            <w:r>
              <w:rPr>
                <w:rFonts w:ascii="宋体" w:hAnsi="宋体" w:cs="宋体" w:eastAsia="宋体" w:hint="default"/>
                <w:sz w:val="18"/>
                <w:szCs w:val="18"/>
              </w:rPr>
              <w:t>滕达</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北京柏科汇银信息技术有限公司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执行董事兼总经理</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6"/>
              <w:jc w:val="right"/>
              <w:rPr>
                <w:rFonts w:ascii="宋体" w:hAnsi="宋体" w:cs="宋体" w:eastAsia="宋体" w:hint="default"/>
                <w:sz w:val="18"/>
                <w:szCs w:val="18"/>
              </w:rPr>
            </w:pPr>
            <w:r>
              <w:rPr>
                <w:rFonts w:ascii="宋体" w:hAnsi="宋体" w:cs="宋体" w:eastAsia="宋体" w:hint="default"/>
                <w:sz w:val="18"/>
                <w:szCs w:val="18"/>
              </w:rPr>
              <w:t>滕达</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厦门市柏科汇银信息技术有限公司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执行董事兼总经理</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6"/>
              <w:jc w:val="right"/>
              <w:rPr>
                <w:rFonts w:ascii="宋体" w:hAnsi="宋体" w:cs="宋体" w:eastAsia="宋体" w:hint="default"/>
                <w:sz w:val="18"/>
                <w:szCs w:val="18"/>
              </w:rPr>
            </w:pPr>
            <w:r>
              <w:rPr>
                <w:rFonts w:ascii="宋体" w:hAnsi="宋体" w:cs="宋体" w:eastAsia="宋体" w:hint="default"/>
                <w:sz w:val="18"/>
                <w:szCs w:val="18"/>
              </w:rPr>
              <w:t>滕达</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厦门美亚国科信息技术有限公司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董事长</w:t>
            </w:r>
            <w:r>
              <w:rPr>
                <w:rFonts w:ascii="Times New Roman" w:hAnsi="Times New Roman" w:cs="Times New Roman" w:eastAsia="Times New Roman" w:hint="default"/>
                <w:sz w:val="18"/>
                <w:szCs w:val="18"/>
              </w:rPr>
              <w:t>,</w:t>
            </w:r>
            <w:r>
              <w:rPr>
                <w:rFonts w:ascii="宋体" w:hAnsi="宋体" w:cs="宋体" w:eastAsia="宋体" w:hint="default"/>
                <w:sz w:val="18"/>
                <w:szCs w:val="18"/>
              </w:rPr>
              <w:t>总经理</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6"/>
              <w:jc w:val="right"/>
              <w:rPr>
                <w:rFonts w:ascii="宋体" w:hAnsi="宋体" w:cs="宋体" w:eastAsia="宋体" w:hint="default"/>
                <w:sz w:val="18"/>
                <w:szCs w:val="18"/>
              </w:rPr>
            </w:pPr>
            <w:r>
              <w:rPr>
                <w:rFonts w:ascii="宋体" w:hAnsi="宋体" w:cs="宋体" w:eastAsia="宋体" w:hint="default"/>
                <w:sz w:val="18"/>
                <w:szCs w:val="18"/>
              </w:rPr>
              <w:t>滕达</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厦门市网游网络科技开发有限公司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6"/>
              <w:jc w:val="right"/>
              <w:rPr>
                <w:rFonts w:ascii="宋体" w:hAnsi="宋体" w:cs="宋体" w:eastAsia="宋体" w:hint="default"/>
                <w:sz w:val="18"/>
                <w:szCs w:val="18"/>
              </w:rPr>
            </w:pPr>
            <w:r>
              <w:rPr>
                <w:rFonts w:ascii="宋体" w:hAnsi="宋体" w:cs="宋体" w:eastAsia="宋体" w:hint="default"/>
                <w:sz w:val="18"/>
                <w:szCs w:val="18"/>
              </w:rPr>
              <w:t>滕达</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易康投资管理有限公司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6"/>
              <w:jc w:val="right"/>
              <w:rPr>
                <w:rFonts w:ascii="宋体" w:hAnsi="宋体" w:cs="宋体" w:eastAsia="宋体" w:hint="default"/>
                <w:sz w:val="18"/>
                <w:szCs w:val="18"/>
              </w:rPr>
            </w:pPr>
            <w:r>
              <w:rPr>
                <w:rFonts w:ascii="宋体" w:hAnsi="宋体" w:cs="宋体" w:eastAsia="宋体" w:hint="default"/>
                <w:sz w:val="18"/>
                <w:szCs w:val="18"/>
              </w:rPr>
              <w:t>滕达</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厦门美亚中敏科技有限公司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6"/>
              <w:jc w:val="right"/>
              <w:rPr>
                <w:rFonts w:ascii="宋体" w:hAnsi="宋体" w:cs="宋体" w:eastAsia="宋体" w:hint="default"/>
                <w:sz w:val="18"/>
                <w:szCs w:val="18"/>
              </w:rPr>
            </w:pPr>
            <w:r>
              <w:rPr>
                <w:rFonts w:ascii="宋体" w:hAnsi="宋体" w:cs="宋体" w:eastAsia="宋体" w:hint="default"/>
                <w:sz w:val="18"/>
                <w:szCs w:val="18"/>
              </w:rPr>
              <w:t>滕达</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北京美亚京安科技有限公司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6"/>
              <w:jc w:val="right"/>
              <w:rPr>
                <w:rFonts w:ascii="宋体" w:hAnsi="宋体" w:cs="宋体" w:eastAsia="宋体" w:hint="default"/>
                <w:sz w:val="18"/>
                <w:szCs w:val="18"/>
              </w:rPr>
            </w:pPr>
            <w:r>
              <w:rPr>
                <w:rFonts w:ascii="宋体" w:hAnsi="宋体" w:cs="宋体" w:eastAsia="宋体" w:hint="default"/>
                <w:sz w:val="18"/>
                <w:szCs w:val="18"/>
              </w:rPr>
              <w:t>滕达</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北京美亚智讯信息技术有限公司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6"/>
              <w:jc w:val="right"/>
              <w:rPr>
                <w:rFonts w:ascii="宋体" w:hAnsi="宋体" w:cs="宋体" w:eastAsia="宋体" w:hint="default"/>
                <w:sz w:val="18"/>
                <w:szCs w:val="18"/>
              </w:rPr>
            </w:pPr>
            <w:r>
              <w:rPr>
                <w:rFonts w:ascii="宋体" w:hAnsi="宋体" w:cs="宋体" w:eastAsia="宋体" w:hint="default"/>
                <w:sz w:val="18"/>
                <w:szCs w:val="18"/>
              </w:rPr>
              <w:t>滕达</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北京万方智讯信息技术有限公司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665"/>
        <w:gridCol w:w="3163"/>
        <w:gridCol w:w="1560"/>
        <w:gridCol w:w="1558"/>
        <w:gridCol w:w="1579"/>
        <w:gridCol w:w="1044"/>
      </w:tblGrid>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滕达</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厦门市美亚梧桐投资管理有限公司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滕达</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厦门美亚亿安信息科技有限公司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滕达</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厦门服云信息科技有限公司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滕达</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珠海市新德汇信息技术有限公司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 </w:t>
            </w:r>
            <w:r>
              <w:rPr>
                <w:rFonts w:ascii="宋体" w:hAnsi="宋体" w:cs="宋体" w:eastAsia="宋体" w:hint="default"/>
                <w:sz w:val="18"/>
                <w:szCs w:val="18"/>
              </w:rPr>
              <w:t>日</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滕达</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北京国信宏数科技有限责任公司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日</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申强</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中检美亚（北京）科技有限公司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申强</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中检美亚（北京）科技有限公司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日</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申强</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67"/>
              <w:jc w:val="left"/>
              <w:rPr>
                <w:rFonts w:ascii="宋体" w:hAnsi="宋体" w:cs="宋体" w:eastAsia="宋体" w:hint="default"/>
                <w:sz w:val="18"/>
                <w:szCs w:val="18"/>
              </w:rPr>
            </w:pPr>
            <w:r>
              <w:rPr>
                <w:rFonts w:ascii="宋体" w:hAnsi="宋体" w:cs="宋体" w:eastAsia="宋体" w:hint="default"/>
                <w:sz w:val="18"/>
                <w:szCs w:val="18"/>
              </w:rPr>
              <w:t>厦门市美亚柏科信息安全研究所有限公 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申强</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福建美亚榕安科技有限公司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总经理、执行董事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申强</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北京美亚京安科技有限公司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申强</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江苏税软软件科技有限公司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申强</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厦门服云信息科技有限公司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申强</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北京美亚智讯信息技术有限公司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申强</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北京万方智讯信息技术有限公司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申强</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厦门市巨龙信息科技有限公司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申强</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厦门美亚商鼎信息科技有限公司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申强</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香港鼎永泰克科技有限公司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申强</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珠海市新德汇信息技术有限公司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涂峥</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中电数据服务有限公司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蔡志平</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厦门大学电子工程系</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教授</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1998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卢永华</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厦门大学会计系</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教授</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2000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卢永华</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厦门合兴包装印刷股份有限公司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卢永华</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福建龙溪轴承（集团）股份有限公司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卢永华</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舒华股份有限公司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卢永华</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吉比特网络技术股份有限公司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卢永华</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厦门东昂光电科技股份有限公司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曲晓辉</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厦门大学会计系</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教授</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1993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曲晓辉</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国投资本股份有限公司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曲晓辉</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中国人民财产保险股份有限公司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曲晓辉</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三棵树涂料股份有限公司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仲丽华</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海峡国家版权交易中心有限公司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李国林</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美亚长城传媒（北京）有限公司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2000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李国林</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广州东岸影业发展有限公司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after="0" w:line="240"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665"/>
        <w:gridCol w:w="3163"/>
        <w:gridCol w:w="1560"/>
        <w:gridCol w:w="1558"/>
        <w:gridCol w:w="1579"/>
        <w:gridCol w:w="1044"/>
      </w:tblGrid>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李国林</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德银（厦门）网络科技股份有限公司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李国林</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美亚文娱影院（上海）有限公司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李国林</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美亚影城（天津）有限公司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经理</w:t>
            </w:r>
            <w:r>
              <w:rPr>
                <w:rFonts w:ascii="Times New Roman" w:hAnsi="Times New Roman" w:cs="Times New Roman" w:eastAsia="Times New Roman" w:hint="default"/>
                <w:sz w:val="18"/>
                <w:szCs w:val="18"/>
              </w:rPr>
              <w:t>,</w:t>
            </w:r>
            <w:r>
              <w:rPr>
                <w:rFonts w:ascii="宋体" w:hAnsi="宋体" w:cs="宋体" w:eastAsia="宋体" w:hint="default"/>
                <w:sz w:val="18"/>
                <w:szCs w:val="18"/>
              </w:rPr>
              <w:t>执行董事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李国林</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北京美亚华天下电影发行有限公司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李国林</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大连北方保利建筑工程管理有限公司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李国林</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福建省华为能源科技有限公司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李国林</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福建天德湖投资有限公司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执行董事兼总经理</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苏学武</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珠海市汇智德辰数据科技有限公司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执行董事兼经理</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苏学武</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常熟柏科特种车辆有限公司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苏学武</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珠海众寻科技信息交流中心</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法定代表人</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苏学武</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珠海市新德汇信息技术有限公司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苏学武</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67"/>
              <w:jc w:val="left"/>
              <w:rPr>
                <w:rFonts w:ascii="宋体" w:hAnsi="宋体" w:cs="宋体" w:eastAsia="宋体" w:hint="default"/>
                <w:sz w:val="18"/>
                <w:szCs w:val="18"/>
              </w:rPr>
            </w:pPr>
            <w:r>
              <w:rPr>
                <w:rFonts w:ascii="宋体" w:hAnsi="宋体" w:cs="宋体" w:eastAsia="宋体" w:hint="default"/>
                <w:sz w:val="18"/>
                <w:szCs w:val="18"/>
              </w:rPr>
              <w:t>珠海市新德汇信息技术有限公司广州分 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负责人</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苏学武</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珠海市卡博海特化工有限公司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苏学武</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武汉大千信息技术有限公司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韦玉荣</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无锡奇星资产管理有限公司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韦玉荣</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江苏税软软件科技有限公司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总经理</w:t>
            </w:r>
            <w:r>
              <w:rPr>
                <w:rFonts w:ascii="Times New Roman" w:hAnsi="Times New Roman" w:cs="Times New Roman" w:eastAsia="Times New Roman" w:hint="default"/>
                <w:sz w:val="18"/>
                <w:szCs w:val="18"/>
              </w:rPr>
              <w:t>,</w:t>
            </w: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葛鹏</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武汉大千信息技术有限公司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葛鹏</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香港鼎永泰克科技有限公司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总经理</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葛鹏</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厦门美亚商鼎信息科技有限公司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葛鹏</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常熟柏科特种车辆有限公司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葛鹏</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云南美亚信安信息技术有限公司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执行董事兼总经理</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葛鹏</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云南美亚信安信息技术有限公司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葛鹏</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中检美亚（北京）科技有限公司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栾江霞</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厦门服云信息科技有限公司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栾江霞</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北京国信宏数科技有限责任公司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栾江霞</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厦门本思信息服务有限公司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吴鸿伟</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厦门安胜网络科技有限公司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吴鸿伟</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珠海市新德汇信息技术有限公司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张雪峰</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福建宏创科技信息有限公司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蔡志评</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厦门美亚天信会议服务有限公司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蔡志评</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中检美亚（北京）科技有限公司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蔡志评</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厦门正信世纪信息科技有限公司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日</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周成祖</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沈阳城市公共安全科技有限公司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副董事长</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w:t>
            </w:r>
          </w:p>
        </w:tc>
        <w:tc>
          <w:tcPr>
            <w:tcW w:w="1579"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公司现任及报告期内离任董事、监事和高级管理人员近三年证券监管机构处罚的情况</w:t>
      </w:r>
    </w:p>
    <w:p>
      <w:pPr>
        <w:spacing w:after="0"/>
        <w:jc w:val="left"/>
        <w:rPr>
          <w:rFonts w:ascii="宋体" w:hAnsi="宋体" w:cs="宋体" w:eastAsia="宋体" w:hint="default"/>
          <w:sz w:val="18"/>
          <w:szCs w:val="18"/>
        </w:rPr>
        <w:sectPr>
          <w:footerReference w:type="default" r:id="rId24"/>
          <w:pgSz w:w="11910" w:h="16840"/>
          <w:pgMar w:footer="982" w:header="745" w:top="1060" w:bottom="1180" w:left="980" w:right="0"/>
          <w:pgNumType w:start="100"/>
        </w:sectPr>
      </w:pPr>
    </w:p>
    <w:p>
      <w:pPr>
        <w:spacing w:line="240" w:lineRule="auto" w:before="9"/>
        <w:rPr>
          <w:rFonts w:ascii="宋体" w:hAnsi="宋体" w:cs="宋体" w:eastAsia="宋体" w:hint="default"/>
          <w:sz w:val="25"/>
          <w:szCs w:val="25"/>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5"/>
          <w:szCs w:val="25"/>
        </w:rPr>
      </w:pPr>
    </w:p>
    <w:p>
      <w:pPr>
        <w:pStyle w:val="Heading2"/>
        <w:spacing w:line="240" w:lineRule="auto"/>
        <w:ind w:right="986"/>
        <w:jc w:val="left"/>
        <w:rPr>
          <w:b w:val="0"/>
          <w:bCs w:val="0"/>
        </w:rPr>
      </w:pPr>
      <w:bookmarkStart w:name="四、董事、监事、高级管理人员报酬情况" w:id="128"/>
      <w:bookmarkEnd w:id="128"/>
      <w:r>
        <w:rPr>
          <w:b w:val="0"/>
          <w:bCs w:val="0"/>
        </w:rPr>
      </w:r>
      <w:r>
        <w:rPr/>
        <w:t>四、董事、监事、高级管理人员报酬情况</w:t>
      </w:r>
      <w:r>
        <w:rPr>
          <w:b w:val="0"/>
          <w:bCs w:val="0"/>
        </w:rPr>
      </w:r>
    </w:p>
    <w:p>
      <w:pPr>
        <w:spacing w:line="240" w:lineRule="auto" w:before="7"/>
        <w:rPr>
          <w:rFonts w:ascii="宋体" w:hAnsi="宋体" w:cs="宋体" w:eastAsia="宋体" w:hint="default"/>
          <w:b/>
          <w:bCs/>
          <w:sz w:val="32"/>
          <w:szCs w:val="32"/>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董事、监事、高级管理人员报酬的决策程序、确定依据、实际支付情况</w:t>
      </w:r>
    </w:p>
    <w:p>
      <w:pPr>
        <w:spacing w:line="240" w:lineRule="auto" w:before="12"/>
        <w:rPr>
          <w:rFonts w:ascii="宋体" w:hAnsi="宋体" w:cs="宋体" w:eastAsia="宋体" w:hint="default"/>
          <w:sz w:val="18"/>
          <w:szCs w:val="18"/>
        </w:rPr>
      </w:pPr>
    </w:p>
    <w:p>
      <w:pPr>
        <w:pStyle w:val="BodyText"/>
        <w:spacing w:line="408" w:lineRule="auto" w:before="0"/>
        <w:ind w:right="986" w:firstLine="420"/>
        <w:jc w:val="left"/>
      </w:pPr>
      <w:r>
        <w:rPr>
          <w:spacing w:val="-5"/>
        </w:rPr>
        <w:t>董事、监事、高级管理人员报酬的决策程序：公司独立董事、外部董事和非职工监事依据公司《董事、</w:t>
      </w:r>
      <w:r>
        <w:rPr>
          <w:w w:val="100"/>
        </w:rPr>
        <w:t> </w:t>
      </w:r>
      <w:r>
        <w:rPr>
          <w:spacing w:val="-2"/>
        </w:rPr>
        <w:t>监事津贴制度》领取津贴，津贴额度由股东大会审批决定；公司内部董事和职工监事依据公司《董事、监</w:t>
      </w:r>
      <w:r>
        <w:rPr>
          <w:spacing w:val="-43"/>
        </w:rPr>
        <w:t> </w:t>
      </w:r>
      <w:r>
        <w:rPr>
          <w:spacing w:val="-43"/>
        </w:rPr>
      </w:r>
      <w:r>
        <w:rPr>
          <w:spacing w:val="-2"/>
        </w:rPr>
        <w:t>事薪酬管理制度》领取薪酬，该制度由股东大会审批决定；公司高级管理人员依据公司《高管薪酬管理制</w:t>
      </w:r>
      <w:r>
        <w:rPr>
          <w:spacing w:val="-50"/>
        </w:rPr>
        <w:t> </w:t>
      </w:r>
      <w:r>
        <w:rPr>
          <w:spacing w:val="-50"/>
        </w:rPr>
      </w:r>
      <w:r>
        <w:rPr/>
        <w:t>度》领取薪酬，该制度由董事会审批决定。</w:t>
      </w:r>
    </w:p>
    <w:p>
      <w:pPr>
        <w:pStyle w:val="BodyText"/>
        <w:spacing w:line="408" w:lineRule="auto"/>
        <w:ind w:right="1128" w:firstLine="420"/>
        <w:jc w:val="both"/>
      </w:pPr>
      <w:r>
        <w:rPr>
          <w:spacing w:val="-2"/>
        </w:rPr>
        <w:t>董事、监事、高级管理人员报酬确定依据：公司独立董事、外部董事和非职工监事领取津贴额度由股</w:t>
      </w:r>
      <w:r>
        <w:rPr>
          <w:w w:val="100"/>
        </w:rPr>
        <w:t> </w:t>
      </w:r>
      <w:r>
        <w:rPr>
          <w:spacing w:val="-2"/>
        </w:rPr>
        <w:t>东大会审批决定；公司内部董事、职工监事和高级管理人员薪酬包含基本薪酬和绩效薪酬两部分，基本薪</w:t>
      </w:r>
      <w:r>
        <w:rPr>
          <w:spacing w:val="-44"/>
        </w:rPr>
        <w:t> </w:t>
      </w:r>
      <w:r>
        <w:rPr>
          <w:spacing w:val="-44"/>
        </w:rPr>
      </w:r>
      <w:r>
        <w:rPr/>
        <w:t>酬依据岗位级别按月发放，绩效薪酬依据年度目标完成情况由董事会薪酬与考核委员会进行考核评定。</w:t>
      </w:r>
    </w:p>
    <w:p>
      <w:pPr>
        <w:pStyle w:val="BodyText"/>
        <w:spacing w:line="408" w:lineRule="auto"/>
        <w:ind w:right="986" w:firstLine="420"/>
        <w:jc w:val="left"/>
      </w:pPr>
      <w:r>
        <w:rPr>
          <w:spacing w:val="-2"/>
        </w:rPr>
        <w:t>董事、监事和高级管理人员报酬的实际支付情况：报告期内在公司领取报酬的董事、监事、高级管理</w:t>
      </w:r>
      <w:r>
        <w:rPr>
          <w:w w:val="100"/>
        </w:rPr>
        <w:t> </w:t>
      </w:r>
      <w:r>
        <w:rPr/>
        <w:t>人员共</w:t>
      </w:r>
      <w:r>
        <w:rPr>
          <w:rFonts w:ascii="宋体" w:hAnsi="宋体" w:cs="宋体" w:eastAsia="宋体" w:hint="default"/>
        </w:rPr>
        <w:t>24</w:t>
      </w:r>
      <w:r>
        <w:rPr/>
        <w:t>人，</w:t>
      </w:r>
      <w:r>
        <w:rPr>
          <w:rFonts w:ascii="宋体" w:hAnsi="宋体" w:cs="宋体" w:eastAsia="宋体" w:hint="default"/>
        </w:rPr>
        <w:t>2019</w:t>
      </w:r>
      <w:r>
        <w:rPr/>
        <w:t>年度实际支付</w:t>
      </w:r>
      <w:r>
        <w:rPr>
          <w:rFonts w:ascii="宋体" w:hAnsi="宋体" w:cs="宋体" w:eastAsia="宋体" w:hint="default"/>
        </w:rPr>
        <w:t>886.77</w:t>
      </w:r>
      <w:r>
        <w:rPr/>
        <w:t>万元。</w:t>
      </w:r>
    </w:p>
    <w:p>
      <w:pPr>
        <w:spacing w:before="30"/>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公司报告期内董事、监事和高级管理人员报酬情况</w:t>
      </w:r>
    </w:p>
    <w:p>
      <w:pPr>
        <w:spacing w:before="117"/>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763"/>
        <w:gridCol w:w="826"/>
        <w:gridCol w:w="1183"/>
        <w:gridCol w:w="2237"/>
        <w:gridCol w:w="1826"/>
      </w:tblGrid>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76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8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11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任职状态</w:t>
            </w:r>
          </w:p>
        </w:tc>
        <w:tc>
          <w:tcPr>
            <w:tcW w:w="22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从公司获得的税前报酬总额</w:t>
            </w:r>
          </w:p>
        </w:tc>
        <w:tc>
          <w:tcPr>
            <w:tcW w:w="18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638" w:right="96" w:hanging="540"/>
              <w:jc w:val="left"/>
              <w:rPr>
                <w:rFonts w:ascii="宋体" w:hAnsi="宋体" w:cs="宋体" w:eastAsia="宋体" w:hint="default"/>
                <w:sz w:val="18"/>
                <w:szCs w:val="18"/>
              </w:rPr>
            </w:pPr>
            <w:r>
              <w:rPr>
                <w:rFonts w:ascii="宋体" w:hAnsi="宋体" w:cs="宋体" w:eastAsia="宋体" w:hint="default"/>
                <w:sz w:val="18"/>
                <w:szCs w:val="18"/>
              </w:rPr>
              <w:t>是否在公司关联方获 取报酬</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滕达</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49</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56.66</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申强</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董事、总经理</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50</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90.59</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涂峥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36</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0</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蒋蕊</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47</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0</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徐从瑞</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44</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0</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丁文波</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34</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0</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蔡志平</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55</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10</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卢永华</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65</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10</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曲晓辉</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65</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10</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仲丽华</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43</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64.6</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李国林</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51</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5.33</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刘冬颖</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43</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5.33</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吴鸿伟</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43</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84.93</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张雪峰</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46</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54.67</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栾江霞</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46</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77.66</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张乃军</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48</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74.66</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center"/>
        <w:rPr>
          <w:rFonts w:ascii="宋体" w:hAnsi="宋体" w:cs="宋体" w:eastAsia="宋体"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763"/>
        <w:gridCol w:w="826"/>
        <w:gridCol w:w="1183"/>
        <w:gridCol w:w="2237"/>
        <w:gridCol w:w="1826"/>
      </w:tblGrid>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葛鹏</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51</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70.76</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1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周成祖</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36</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 w:right="0"/>
              <w:jc w:val="center"/>
              <w:rPr>
                <w:rFonts w:ascii="Times New Roman" w:hAnsi="Times New Roman" w:cs="Times New Roman" w:eastAsia="Times New Roman" w:hint="default"/>
                <w:sz w:val="18"/>
                <w:szCs w:val="18"/>
              </w:rPr>
            </w:pPr>
            <w:r>
              <w:rPr>
                <w:rFonts w:ascii="Times New Roman"/>
                <w:sz w:val="18"/>
              </w:rPr>
              <w:t>77.93</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1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蔡志评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45</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74.52</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1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韦玉荣</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47</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 w:right="0"/>
              <w:jc w:val="center"/>
              <w:rPr>
                <w:rFonts w:ascii="Times New Roman" w:hAnsi="Times New Roman" w:cs="Times New Roman" w:eastAsia="Times New Roman" w:hint="default"/>
                <w:sz w:val="18"/>
                <w:szCs w:val="18"/>
              </w:rPr>
            </w:pPr>
            <w:r>
              <w:rPr>
                <w:rFonts w:ascii="Times New Roman"/>
                <w:sz w:val="18"/>
              </w:rPr>
              <w:t>40.77</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1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苏学武</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49</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60</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1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郭永芳</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副董事长</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75</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 w:right="0"/>
              <w:jc w:val="center"/>
              <w:rPr>
                <w:rFonts w:ascii="Times New Roman" w:hAnsi="Times New Roman" w:cs="Times New Roman" w:eastAsia="Times New Roman" w:hint="default"/>
                <w:sz w:val="18"/>
                <w:szCs w:val="18"/>
              </w:rPr>
            </w:pPr>
            <w:r>
              <w:rPr>
                <w:rFonts w:ascii="Times New Roman"/>
                <w:sz w:val="18"/>
              </w:rPr>
              <w:t>3.2</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1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屈文洲</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47</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5.33</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1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赵庸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51</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9.83</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1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w:t>
            </w:r>
          </w:p>
        </w:tc>
        <w:tc>
          <w:tcPr>
            <w:tcW w:w="76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1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2237"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886.77</w:t>
            </w:r>
          </w:p>
        </w:tc>
        <w:tc>
          <w:tcPr>
            <w:tcW w:w="18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849" w:right="0"/>
              <w:jc w:val="left"/>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82" w:top="1060" w:bottom="1180" w:left="980" w:right="0"/>
        </w:sectPr>
      </w:pPr>
    </w:p>
    <w:p>
      <w:pPr>
        <w:spacing w:before="49"/>
        <w:ind w:left="152" w:right="-20" w:firstLine="0"/>
        <w:jc w:val="left"/>
        <w:rPr>
          <w:rFonts w:ascii="宋体" w:hAnsi="宋体" w:cs="宋体" w:eastAsia="宋体" w:hint="default"/>
          <w:sz w:val="18"/>
          <w:szCs w:val="18"/>
        </w:rPr>
      </w:pPr>
      <w:r>
        <w:rPr>
          <w:rFonts w:ascii="宋体" w:hAnsi="宋体" w:cs="宋体" w:eastAsia="宋体" w:hint="default"/>
          <w:sz w:val="18"/>
          <w:szCs w:val="18"/>
        </w:rPr>
        <w:t>公司董事、高级管理人员报告期内被授予的股权激励情况</w:t>
      </w:r>
    </w:p>
    <w:p>
      <w:pPr>
        <w:spacing w:before="115"/>
        <w:ind w:left="152" w:right="-20"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单位：股</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4653" w:space="4265"/>
            <w:col w:w="2012"/>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2"/>
          <w:szCs w:val="22"/>
        </w:rPr>
      </w:pPr>
    </w:p>
    <w:p>
      <w:pPr>
        <w:spacing w:before="44"/>
        <w:ind w:left="0" w:right="1138" w:firstLine="0"/>
        <w:jc w:val="right"/>
        <w:rPr>
          <w:rFonts w:ascii="宋体" w:hAnsi="宋体" w:cs="宋体" w:eastAsia="宋体" w:hint="default"/>
          <w:sz w:val="18"/>
          <w:szCs w:val="18"/>
        </w:rPr>
      </w:pPr>
      <w:r>
        <w:rPr/>
        <w:pict>
          <v:shape style="position:absolute;margin-left:56.400002pt;margin-top:-284.289276pt;width:478.95pt;height:319.7pt;mso-position-horizontal-relative:page;mso-position-vertical-relative:paragraph;z-index:20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864"/>
                    <w:gridCol w:w="1061"/>
                    <w:gridCol w:w="679"/>
                    <w:gridCol w:w="869"/>
                    <w:gridCol w:w="871"/>
                    <w:gridCol w:w="869"/>
                    <w:gridCol w:w="871"/>
                    <w:gridCol w:w="869"/>
                    <w:gridCol w:w="871"/>
                    <w:gridCol w:w="869"/>
                    <w:gridCol w:w="871"/>
                  </w:tblGrid>
                  <w:tr>
                    <w:trPr>
                      <w:trHeight w:val="1339" w:hRule="exact"/>
                    </w:trPr>
                    <w:tc>
                      <w:tcPr>
                        <w:tcW w:w="8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06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6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64" w:right="62"/>
                          <w:jc w:val="both"/>
                          <w:rPr>
                            <w:rFonts w:ascii="宋体" w:hAnsi="宋体" w:cs="宋体" w:eastAsia="宋体" w:hint="default"/>
                            <w:sz w:val="18"/>
                            <w:szCs w:val="18"/>
                          </w:rPr>
                        </w:pPr>
                        <w:r>
                          <w:rPr>
                            <w:rFonts w:ascii="宋体" w:hAnsi="宋体" w:cs="宋体" w:eastAsia="宋体" w:hint="default"/>
                            <w:sz w:val="18"/>
                            <w:szCs w:val="18"/>
                          </w:rPr>
                          <w:t>报告期 内可行 权股数</w:t>
                        </w:r>
                      </w:p>
                    </w:tc>
                    <w:tc>
                      <w:tcPr>
                        <w:tcW w:w="8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69" w:right="67"/>
                          <w:jc w:val="center"/>
                          <w:rPr>
                            <w:rFonts w:ascii="宋体" w:hAnsi="宋体" w:cs="宋体" w:eastAsia="宋体" w:hint="default"/>
                            <w:sz w:val="18"/>
                            <w:szCs w:val="18"/>
                          </w:rPr>
                        </w:pPr>
                        <w:r>
                          <w:rPr>
                            <w:rFonts w:ascii="宋体" w:hAnsi="宋体" w:cs="宋体" w:eastAsia="宋体" w:hint="default"/>
                            <w:sz w:val="18"/>
                            <w:szCs w:val="18"/>
                          </w:rPr>
                          <w:t>报告期内 已行权股 数</w:t>
                        </w:r>
                      </w:p>
                    </w:tc>
                    <w:tc>
                      <w:tcPr>
                        <w:tcW w:w="8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4" w:right="71" w:firstLine="45"/>
                          <w:jc w:val="both"/>
                          <w:rPr>
                            <w:rFonts w:ascii="宋体" w:hAnsi="宋体" w:cs="宋体" w:eastAsia="宋体" w:hint="default"/>
                            <w:sz w:val="18"/>
                            <w:szCs w:val="18"/>
                          </w:rPr>
                        </w:pPr>
                        <w:r>
                          <w:rPr>
                            <w:rFonts w:ascii="宋体" w:hAnsi="宋体" w:cs="宋体" w:eastAsia="宋体" w:hint="default"/>
                            <w:sz w:val="18"/>
                            <w:szCs w:val="18"/>
                          </w:rPr>
                          <w:t>报告期内 已行权股 数行权价 </w:t>
                        </w:r>
                        <w:r>
                          <w:rPr>
                            <w:rFonts w:ascii="宋体" w:hAnsi="宋体" w:cs="宋体" w:eastAsia="宋体" w:hint="default"/>
                            <w:spacing w:val="-10"/>
                            <w:sz w:val="18"/>
                            <w:szCs w:val="18"/>
                          </w:rPr>
                          <w:t>格（元</w:t>
                        </w:r>
                        <w:r>
                          <w:rPr>
                            <w:rFonts w:ascii="Times New Roman" w:hAnsi="Times New Roman" w:cs="Times New Roman" w:eastAsia="Times New Roman" w:hint="default"/>
                            <w:spacing w:val="-10"/>
                            <w:sz w:val="18"/>
                            <w:szCs w:val="18"/>
                          </w:rPr>
                          <w:t>/</w:t>
                        </w:r>
                        <w:r>
                          <w:rPr>
                            <w:rFonts w:ascii="宋体" w:hAnsi="宋体" w:cs="宋体" w:eastAsia="宋体" w:hint="default"/>
                            <w:spacing w:val="-10"/>
                            <w:sz w:val="18"/>
                            <w:szCs w:val="18"/>
                          </w:rPr>
                          <w:t>股</w:t>
                        </w:r>
                      </w:p>
                    </w:tc>
                    <w:tc>
                      <w:tcPr>
                        <w:tcW w:w="8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312" w:lineRule="exact"/>
                          <w:ind w:left="45" w:right="41" w:hanging="2"/>
                          <w:jc w:val="center"/>
                          <w:rPr>
                            <w:rFonts w:ascii="宋体" w:hAnsi="宋体" w:cs="宋体" w:eastAsia="宋体" w:hint="default"/>
                            <w:sz w:val="18"/>
                            <w:szCs w:val="18"/>
                          </w:rPr>
                        </w:pPr>
                        <w:r>
                          <w:rPr>
                            <w:rFonts w:ascii="宋体" w:hAnsi="宋体" w:cs="宋体" w:eastAsia="宋体" w:hint="default"/>
                            <w:sz w:val="18"/>
                            <w:szCs w:val="18"/>
                          </w:rPr>
                          <w:t>报告期末 市价（元</w:t>
                        </w:r>
                        <w:r>
                          <w:rPr>
                            <w:rFonts w:ascii="Times New Roman" w:hAnsi="Times New Roman" w:cs="Times New Roman" w:eastAsia="Times New Roman" w:hint="default"/>
                            <w:sz w:val="18"/>
                            <w:szCs w:val="18"/>
                          </w:rPr>
                          <w:t>/ </w:t>
                        </w:r>
                        <w:r>
                          <w:rPr>
                            <w:rFonts w:ascii="宋体" w:hAnsi="宋体" w:cs="宋体" w:eastAsia="宋体" w:hint="default"/>
                            <w:sz w:val="18"/>
                            <w:szCs w:val="18"/>
                          </w:rPr>
                          <w:t>股）</w:t>
                        </w:r>
                      </w:p>
                      <w:p>
                        <w:pPr>
                          <w:pStyle w:val="TableParagraph"/>
                          <w:spacing w:line="119" w:lineRule="exact"/>
                          <w:ind w:left="-123" w:right="0"/>
                          <w:jc w:val="left"/>
                          <w:rPr>
                            <w:rFonts w:ascii="宋体" w:hAnsi="宋体" w:cs="宋体" w:eastAsia="宋体" w:hint="default"/>
                            <w:sz w:val="18"/>
                            <w:szCs w:val="18"/>
                          </w:rPr>
                        </w:pPr>
                        <w:r>
                          <w:rPr>
                            <w:rFonts w:ascii="宋体" w:hAnsi="宋体" w:cs="宋体" w:eastAsia="宋体" w:hint="default"/>
                            <w:sz w:val="18"/>
                            <w:szCs w:val="18"/>
                          </w:rPr>
                          <w:t>）</w:t>
                        </w:r>
                      </w:p>
                    </w:tc>
                    <w:tc>
                      <w:tcPr>
                        <w:tcW w:w="8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69" w:right="71"/>
                          <w:jc w:val="both"/>
                          <w:rPr>
                            <w:rFonts w:ascii="宋体" w:hAnsi="宋体" w:cs="宋体" w:eastAsia="宋体" w:hint="default"/>
                            <w:sz w:val="18"/>
                            <w:szCs w:val="18"/>
                          </w:rPr>
                        </w:pPr>
                        <w:r>
                          <w:rPr>
                            <w:rFonts w:ascii="宋体" w:hAnsi="宋体" w:cs="宋体" w:eastAsia="宋体" w:hint="default"/>
                            <w:sz w:val="18"/>
                            <w:szCs w:val="18"/>
                          </w:rPr>
                          <w:t>期初持有 限制性股 票数量</w:t>
                        </w:r>
                      </w:p>
                    </w:tc>
                    <w:tc>
                      <w:tcPr>
                        <w:tcW w:w="8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69" w:right="67"/>
                          <w:jc w:val="center"/>
                          <w:rPr>
                            <w:rFonts w:ascii="宋体" w:hAnsi="宋体" w:cs="宋体" w:eastAsia="宋体" w:hint="default"/>
                            <w:sz w:val="18"/>
                            <w:szCs w:val="18"/>
                          </w:rPr>
                        </w:pPr>
                        <w:r>
                          <w:rPr>
                            <w:rFonts w:ascii="宋体" w:hAnsi="宋体" w:cs="宋体" w:eastAsia="宋体" w:hint="default"/>
                            <w:sz w:val="18"/>
                            <w:szCs w:val="18"/>
                          </w:rPr>
                          <w:t>本期已解 锁股份数 量</w:t>
                        </w:r>
                      </w:p>
                    </w:tc>
                    <w:tc>
                      <w:tcPr>
                        <w:tcW w:w="8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69" w:right="71"/>
                          <w:jc w:val="center"/>
                          <w:rPr>
                            <w:rFonts w:ascii="宋体" w:hAnsi="宋体" w:cs="宋体" w:eastAsia="宋体" w:hint="default"/>
                            <w:sz w:val="18"/>
                            <w:szCs w:val="18"/>
                          </w:rPr>
                        </w:pPr>
                        <w:r>
                          <w:rPr>
                            <w:rFonts w:ascii="宋体" w:hAnsi="宋体" w:cs="宋体" w:eastAsia="宋体" w:hint="default"/>
                            <w:sz w:val="18"/>
                            <w:szCs w:val="18"/>
                          </w:rPr>
                          <w:t>报告期新 授予限制 性股票数 量</w:t>
                        </w:r>
                      </w:p>
                    </w:tc>
                    <w:tc>
                      <w:tcPr>
                        <w:tcW w:w="8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2" w:lineRule="auto" w:before="49"/>
                          <w:ind w:left="45" w:right="41" w:hanging="2"/>
                          <w:jc w:val="center"/>
                          <w:rPr>
                            <w:rFonts w:ascii="宋体" w:hAnsi="宋体" w:cs="宋体" w:eastAsia="宋体" w:hint="default"/>
                            <w:sz w:val="18"/>
                            <w:szCs w:val="18"/>
                          </w:rPr>
                        </w:pPr>
                        <w:r>
                          <w:rPr>
                            <w:rFonts w:ascii="宋体" w:hAnsi="宋体" w:cs="宋体" w:eastAsia="宋体" w:hint="default"/>
                            <w:sz w:val="18"/>
                            <w:szCs w:val="18"/>
                          </w:rPr>
                          <w:t>限制性股 票的授予 价格（元</w:t>
                        </w:r>
                        <w:r>
                          <w:rPr>
                            <w:rFonts w:ascii="Times New Roman" w:hAnsi="Times New Roman" w:cs="Times New Roman" w:eastAsia="Times New Roman" w:hint="default"/>
                            <w:sz w:val="18"/>
                            <w:szCs w:val="18"/>
                          </w:rPr>
                          <w:t>/ </w:t>
                        </w:r>
                        <w:r>
                          <w:rPr>
                            <w:rFonts w:ascii="宋体" w:hAnsi="宋体" w:cs="宋体" w:eastAsia="宋体" w:hint="default"/>
                            <w:sz w:val="18"/>
                            <w:szCs w:val="18"/>
                          </w:rPr>
                          <w:t>股）</w:t>
                        </w:r>
                      </w:p>
                    </w:tc>
                    <w:tc>
                      <w:tcPr>
                        <w:tcW w:w="8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69" w:right="71"/>
                          <w:jc w:val="both"/>
                          <w:rPr>
                            <w:rFonts w:ascii="宋体" w:hAnsi="宋体" w:cs="宋体" w:eastAsia="宋体" w:hint="default"/>
                            <w:sz w:val="18"/>
                            <w:szCs w:val="18"/>
                          </w:rPr>
                        </w:pPr>
                        <w:r>
                          <w:rPr>
                            <w:rFonts w:ascii="宋体" w:hAnsi="宋体" w:cs="宋体" w:eastAsia="宋体" w:hint="default"/>
                            <w:sz w:val="18"/>
                            <w:szCs w:val="18"/>
                          </w:rPr>
                          <w:t>期末持有 限制性股 票数量</w:t>
                        </w:r>
                      </w:p>
                    </w:tc>
                  </w:tr>
                  <w:tr>
                    <w:trPr>
                      <w:trHeight w:val="401"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申强</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总经理</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95,000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8.55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95,000</w:t>
                        </w:r>
                      </w:p>
                    </w:tc>
                  </w:tr>
                  <w:tr>
                    <w:trPr>
                      <w:trHeight w:val="403"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苏学武</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41,280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41,280</w:t>
                        </w: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8.55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葛鹏</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76,800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76,800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58,000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8.55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58,000</w:t>
                        </w:r>
                      </w:p>
                    </w:tc>
                  </w:tr>
                  <w:tr>
                    <w:trPr>
                      <w:trHeight w:val="403"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周成祖</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6,720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6,720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72,400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8.55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72,400</w:t>
                        </w:r>
                      </w:p>
                    </w:tc>
                  </w:tr>
                  <w:tr>
                    <w:trPr>
                      <w:trHeight w:val="401"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蔡志评</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48,000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48,000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58,000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8.55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58,000</w:t>
                        </w:r>
                      </w:p>
                    </w:tc>
                  </w:tr>
                  <w:tr>
                    <w:trPr>
                      <w:trHeight w:val="403"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吴鸿伟</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28,800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28,800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72,400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8.55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72,400</w:t>
                        </w:r>
                      </w:p>
                    </w:tc>
                  </w:tr>
                  <w:tr>
                    <w:trPr>
                      <w:trHeight w:val="401"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张雪峰</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28,800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28,800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36,900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8.55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36,900</w:t>
                        </w:r>
                      </w:p>
                    </w:tc>
                  </w:tr>
                  <w:tr>
                    <w:trPr>
                      <w:trHeight w:val="403"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栾江霞</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28,800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28,800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63,300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8.55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63,300</w:t>
                        </w:r>
                      </w:p>
                    </w:tc>
                  </w:tr>
                  <w:tr>
                    <w:trPr>
                      <w:trHeight w:val="401"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张乃军</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28,800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28,800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58,000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8.55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58,000</w:t>
                        </w:r>
                      </w:p>
                    </w:tc>
                  </w:tr>
                  <w:tr>
                    <w:trPr>
                      <w:trHeight w:val="403" w:hRule="exact"/>
                    </w:trPr>
                    <w:tc>
                      <w:tcPr>
                        <w:tcW w:w="8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06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6"/>
                          <w:ind w:left="4" w:right="0"/>
                          <w:jc w:val="center"/>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6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6"/>
                          <w:ind w:right="8"/>
                          <w:jc w:val="center"/>
                          <w:rPr>
                            <w:rFonts w:ascii="Times New Roman" w:hAnsi="Times New Roman" w:cs="Times New Roman" w:eastAsia="Times New Roman" w:hint="default"/>
                            <w:sz w:val="18"/>
                            <w:szCs w:val="18"/>
                          </w:rPr>
                        </w:pPr>
                        <w:r>
                          <w:rPr>
                            <w:rFonts w:ascii="Times New Roman"/>
                            <w:b/>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b/>
                            <w:sz w:val="18"/>
                          </w:rPr>
                          <w:t>0</w:t>
                        </w:r>
                        <w:r>
                          <w:rPr>
                            <w:rFonts w:ascii="Times New Roman"/>
                            <w:sz w:val="18"/>
                          </w:rPr>
                        </w:r>
                      </w:p>
                    </w:tc>
                    <w:tc>
                      <w:tcPr>
                        <w:tcW w:w="8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87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6"/>
                          <w:ind w:right="8"/>
                          <w:jc w:val="center"/>
                          <w:rPr>
                            <w:rFonts w:ascii="Times New Roman" w:hAnsi="Times New Roman" w:cs="Times New Roman" w:eastAsia="Times New Roman" w:hint="default"/>
                            <w:sz w:val="18"/>
                            <w:szCs w:val="18"/>
                          </w:rPr>
                        </w:pPr>
                        <w:r>
                          <w:rPr>
                            <w:rFonts w:ascii="Times New Roman"/>
                            <w:b/>
                            <w:sz w:val="18"/>
                          </w:rPr>
                          <w:t>288,000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 w:right="0"/>
                          <w:jc w:val="center"/>
                          <w:rPr>
                            <w:rFonts w:ascii="Times New Roman" w:hAnsi="Times New Roman" w:cs="Times New Roman" w:eastAsia="Times New Roman" w:hint="default"/>
                            <w:sz w:val="18"/>
                            <w:szCs w:val="18"/>
                          </w:rPr>
                        </w:pPr>
                        <w:r>
                          <w:rPr>
                            <w:rFonts w:ascii="Times New Roman"/>
                            <w:b/>
                            <w:sz w:val="18"/>
                          </w:rPr>
                          <w:t>288,000</w:t>
                        </w:r>
                        <w:r>
                          <w:rPr>
                            <w:rFonts w:ascii="Times New Roman"/>
                            <w:sz w:val="18"/>
                          </w:rPr>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b/>
                            <w:sz w:val="18"/>
                          </w:rPr>
                          <w:t>514,000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87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6"/>
                          <w:ind w:right="8"/>
                          <w:jc w:val="center"/>
                          <w:rPr>
                            <w:rFonts w:ascii="Times New Roman" w:hAnsi="Times New Roman" w:cs="Times New Roman" w:eastAsia="Times New Roman" w:hint="default"/>
                            <w:sz w:val="18"/>
                            <w:szCs w:val="18"/>
                          </w:rPr>
                        </w:pPr>
                        <w:r>
                          <w:rPr>
                            <w:rFonts w:ascii="Times New Roman"/>
                            <w:b/>
                            <w:sz w:val="18"/>
                          </w:rPr>
                          <w:t>514,000</w:t>
                        </w:r>
                        <w:r>
                          <w:rPr>
                            <w:rFonts w:ascii="Times New Roman"/>
                            <w:sz w:val="18"/>
                          </w:rPr>
                        </w:r>
                      </w:p>
                    </w:tc>
                  </w:tr>
                  <w:tr>
                    <w:trPr>
                      <w:trHeight w:val="161" w:hRule="exact"/>
                    </w:trPr>
                    <w:tc>
                      <w:tcPr>
                        <w:tcW w:w="864" w:type="dxa"/>
                        <w:tcBorders>
                          <w:top w:val="single" w:sz="4" w:space="0" w:color="000000"/>
                          <w:left w:val="single" w:sz="4" w:space="0" w:color="000000"/>
                          <w:bottom w:val="nil" w:sz="6" w:space="0" w:color="auto"/>
                          <w:right w:val="single" w:sz="4" w:space="0" w:color="000000"/>
                        </w:tcBorders>
                        <w:shd w:val="clear" w:color="auto" w:fill="D4D4D4"/>
                      </w:tcPr>
                      <w:p>
                        <w:pPr/>
                      </w:p>
                    </w:tc>
                    <w:tc>
                      <w:tcPr>
                        <w:tcW w:w="8700" w:type="dxa"/>
                        <w:gridSpan w:val="10"/>
                        <w:vMerge w:val="restart"/>
                        <w:tcBorders>
                          <w:top w:val="single" w:sz="4" w:space="0" w:color="000000"/>
                          <w:left w:val="single" w:sz="10" w:space="0" w:color="D4D4D4"/>
                          <w:right w:val="single" w:sz="4" w:space="0" w:color="000000"/>
                        </w:tcBorders>
                      </w:tcPr>
                      <w:p>
                        <w:pPr>
                          <w:pStyle w:val="TableParagraph"/>
                          <w:spacing w:line="316" w:lineRule="auto" w:before="49"/>
                          <w:ind w:left="19" w:right="23"/>
                          <w:jc w:val="left"/>
                          <w:rPr>
                            <w:rFonts w:ascii="宋体" w:hAnsi="宋体" w:cs="宋体" w:eastAsia="宋体" w:hint="default"/>
                            <w:sz w:val="18"/>
                            <w:szCs w:val="18"/>
                          </w:rPr>
                        </w:pPr>
                        <w:r>
                          <w:rPr>
                            <w:rFonts w:ascii="宋体" w:hAnsi="宋体" w:cs="宋体" w:eastAsia="宋体" w:hint="default"/>
                            <w:sz w:val="18"/>
                            <w:szCs w:val="18"/>
                          </w:rPr>
                          <w:t>第二期限制性股票激励计划首次授予部分第二个解锁期、第三个解锁期及预留部分第一个解锁期、第二期解锁 期均已达到解除限售条件，股份上市流通日分别为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日和</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pacing w:val="-4"/>
                            <w:sz w:val="18"/>
                            <w:szCs w:val="18"/>
                          </w:rPr>
                          <w:t>日。</w:t>
                        </w:r>
                        <w:r>
                          <w:rPr>
                            <w:rFonts w:ascii="Times New Roman" w:hAnsi="Times New Roman" w:cs="Times New Roman" w:eastAsia="Times New Roman" w:hint="default"/>
                            <w:spacing w:val="-4"/>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pStyle w:val="TableParagraph"/>
                          <w:spacing w:line="248" w:lineRule="exact"/>
                          <w:ind w:left="19" w:right="0"/>
                          <w:jc w:val="left"/>
                          <w:rPr>
                            <w:rFonts w:ascii="宋体" w:hAnsi="宋体" w:cs="宋体" w:eastAsia="宋体" w:hint="default"/>
                            <w:sz w:val="18"/>
                            <w:szCs w:val="18"/>
                          </w:rPr>
                        </w:pPr>
                        <w:r>
                          <w:rPr>
                            <w:rFonts w:ascii="宋体" w:hAnsi="宋体" w:cs="宋体" w:eastAsia="宋体" w:hint="default"/>
                            <w:sz w:val="18"/>
                            <w:szCs w:val="18"/>
                          </w:rPr>
                          <w:t>公司完成了</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年股票期权与限制性股票激励计划首次授予登记。</w:t>
                        </w:r>
                      </w:p>
                    </w:tc>
                  </w:tr>
                  <w:tr>
                    <w:trPr>
                      <w:trHeight w:val="703" w:hRule="exact"/>
                    </w:trPr>
                    <w:tc>
                      <w:tcPr>
                        <w:tcW w:w="864"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316" w:lineRule="auto" w:before="49"/>
                          <w:ind w:left="24" w:right="108"/>
                          <w:jc w:val="left"/>
                          <w:rPr>
                            <w:rFonts w:ascii="宋体" w:hAnsi="宋体" w:cs="宋体" w:eastAsia="宋体" w:hint="default"/>
                            <w:sz w:val="18"/>
                            <w:szCs w:val="18"/>
                          </w:rPr>
                        </w:pPr>
                        <w:r>
                          <w:rPr>
                            <w:rFonts w:ascii="宋体" w:hAnsi="宋体" w:cs="宋体" w:eastAsia="宋体" w:hint="default"/>
                            <w:sz w:val="18"/>
                            <w:szCs w:val="18"/>
                          </w:rPr>
                          <w:t>备注（如 有）</w:t>
                        </w:r>
                      </w:p>
                    </w:tc>
                    <w:tc>
                      <w:tcPr>
                        <w:tcW w:w="8700" w:type="dxa"/>
                        <w:gridSpan w:val="10"/>
                        <w:vMerge/>
                        <w:tcBorders>
                          <w:left w:val="single" w:sz="10" w:space="0" w:color="D4D4D4"/>
                          <w:right w:val="single" w:sz="4" w:space="0" w:color="000000"/>
                        </w:tcBorders>
                      </w:tcPr>
                      <w:p>
                        <w:pPr/>
                      </w:p>
                    </w:tc>
                  </w:tr>
                  <w:tr>
                    <w:trPr>
                      <w:trHeight w:val="161" w:hRule="exact"/>
                    </w:trPr>
                    <w:tc>
                      <w:tcPr>
                        <w:tcW w:w="864" w:type="dxa"/>
                        <w:tcBorders>
                          <w:top w:val="nil" w:sz="6" w:space="0" w:color="auto"/>
                          <w:left w:val="single" w:sz="4" w:space="0" w:color="000000"/>
                          <w:bottom w:val="single" w:sz="4" w:space="0" w:color="000000"/>
                          <w:right w:val="single" w:sz="4" w:space="0" w:color="000000"/>
                        </w:tcBorders>
                        <w:shd w:val="clear" w:color="auto" w:fill="D4D4D4"/>
                      </w:tcPr>
                      <w:p>
                        <w:pPr/>
                      </w:p>
                    </w:tc>
                    <w:tc>
                      <w:tcPr>
                        <w:tcW w:w="8700" w:type="dxa"/>
                        <w:gridSpan w:val="10"/>
                        <w:vMerge/>
                        <w:tcBorders>
                          <w:left w:val="single" w:sz="10" w:space="0" w:color="D4D4D4"/>
                          <w:bottom w:val="single" w:sz="4" w:space="0" w:color="000000"/>
                          <w:right w:val="single" w:sz="4" w:space="0" w:color="000000"/>
                        </w:tcBorders>
                      </w:tcPr>
                      <w:p>
                        <w:pP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2"/>
        <w:spacing w:line="240" w:lineRule="auto" w:before="167"/>
        <w:ind w:right="986"/>
        <w:jc w:val="left"/>
        <w:rPr>
          <w:b w:val="0"/>
          <w:bCs w:val="0"/>
        </w:rPr>
      </w:pPr>
      <w:bookmarkStart w:name="五、公司员工情况" w:id="129"/>
      <w:bookmarkEnd w:id="129"/>
      <w:r>
        <w:rPr>
          <w:b w:val="0"/>
          <w:bCs w:val="0"/>
        </w:rPr>
      </w:r>
      <w:r>
        <w:rPr/>
        <w:t>五、公司员工情况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6"/>
        <w:jc w:val="left"/>
        <w:rPr>
          <w:b w:val="0"/>
          <w:bCs w:val="0"/>
        </w:rPr>
      </w:pPr>
      <w:bookmarkStart w:name="1、员工数量、专业构成及教育程度" w:id="130"/>
      <w:bookmarkEnd w:id="130"/>
      <w:r>
        <w:rPr>
          <w:b w:val="0"/>
          <w:bCs w:val="0"/>
        </w:rPr>
      </w:r>
      <w:r>
        <w:rPr>
          <w:rFonts w:ascii="Times New Roman" w:hAnsi="Times New Roman" w:cs="Times New Roman" w:eastAsia="Times New Roman" w:hint="default"/>
        </w:rPr>
        <w:t>1</w:t>
      </w:r>
      <w:r>
        <w:rPr/>
        <w:t>、员工数量、专业构成及教育程度</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2"/>
        <w:gridCol w:w="4786"/>
      </w:tblGrid>
      <w:tr>
        <w:trPr>
          <w:trHeight w:val="401" w:hRule="exact"/>
        </w:trPr>
        <w:tc>
          <w:tcPr>
            <w:tcW w:w="478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1,917</w:t>
            </w:r>
          </w:p>
        </w:tc>
      </w:tr>
      <w:tr>
        <w:trPr>
          <w:trHeight w:val="403" w:hRule="exact"/>
        </w:trPr>
        <w:tc>
          <w:tcPr>
            <w:tcW w:w="478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1,401</w:t>
            </w:r>
          </w:p>
        </w:tc>
      </w:tr>
      <w:tr>
        <w:trPr>
          <w:trHeight w:val="401" w:hRule="exact"/>
        </w:trPr>
        <w:tc>
          <w:tcPr>
            <w:tcW w:w="478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3,318</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80" w:left="980" w:right="0"/>
        </w:sectPr>
      </w:pPr>
    </w:p>
    <w:p>
      <w:pPr>
        <w:spacing w:line="240" w:lineRule="auto" w:before="6"/>
        <w:rPr>
          <w:rFonts w:ascii="宋体" w:hAnsi="宋体" w:cs="宋体" w:eastAsia="宋体" w:hint="default"/>
          <w:b/>
          <w:bCs/>
          <w:sz w:val="28"/>
          <w:szCs w:val="28"/>
        </w:rPr>
      </w:pPr>
    </w:p>
    <w:tbl>
      <w:tblPr>
        <w:tblW w:w="0" w:type="auto"/>
        <w:jc w:val="left"/>
        <w:tblInd w:w="148" w:type="dxa"/>
        <w:tblLayout w:type="fixed"/>
        <w:tblCellMar>
          <w:top w:w="0" w:type="dxa"/>
          <w:left w:w="0" w:type="dxa"/>
          <w:bottom w:w="0" w:type="dxa"/>
          <w:right w:w="0" w:type="dxa"/>
        </w:tblCellMar>
        <w:tblLook w:val="01E0"/>
      </w:tblPr>
      <w:tblGrid>
        <w:gridCol w:w="4776"/>
        <w:gridCol w:w="4793"/>
      </w:tblGrid>
      <w:tr>
        <w:trPr>
          <w:trHeight w:val="402" w:hRule="exact"/>
        </w:trPr>
        <w:tc>
          <w:tcPr>
            <w:tcW w:w="47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93"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3,318</w:t>
            </w:r>
          </w:p>
        </w:tc>
      </w:tr>
      <w:tr>
        <w:trPr>
          <w:trHeight w:val="407" w:hRule="exact"/>
        </w:trPr>
        <w:tc>
          <w:tcPr>
            <w:tcW w:w="47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93"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3</w:t>
            </w:r>
          </w:p>
        </w:tc>
      </w:tr>
      <w:tr>
        <w:trPr>
          <w:trHeight w:val="391"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408" w:hRule="exact"/>
        </w:trPr>
        <w:tc>
          <w:tcPr>
            <w:tcW w:w="47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6"/>
              <w:ind w:left="1583"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2" w:hRule="exact"/>
        </w:trPr>
        <w:tc>
          <w:tcPr>
            <w:tcW w:w="47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93"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39</w:t>
            </w:r>
          </w:p>
        </w:tc>
      </w:tr>
      <w:tr>
        <w:trPr>
          <w:trHeight w:val="402" w:hRule="exact"/>
        </w:trPr>
        <w:tc>
          <w:tcPr>
            <w:tcW w:w="47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93"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213</w:t>
            </w:r>
          </w:p>
        </w:tc>
      </w:tr>
      <w:tr>
        <w:trPr>
          <w:trHeight w:val="402" w:hRule="exact"/>
        </w:trPr>
        <w:tc>
          <w:tcPr>
            <w:tcW w:w="47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93"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2,292</w:t>
            </w:r>
          </w:p>
        </w:tc>
      </w:tr>
      <w:tr>
        <w:trPr>
          <w:trHeight w:val="402" w:hRule="exact"/>
        </w:trPr>
        <w:tc>
          <w:tcPr>
            <w:tcW w:w="47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93"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40</w:t>
            </w:r>
          </w:p>
        </w:tc>
      </w:tr>
      <w:tr>
        <w:trPr>
          <w:trHeight w:val="401" w:hRule="exact"/>
        </w:trPr>
        <w:tc>
          <w:tcPr>
            <w:tcW w:w="47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93"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429</w:t>
            </w:r>
          </w:p>
        </w:tc>
      </w:tr>
      <w:tr>
        <w:trPr>
          <w:trHeight w:val="403" w:hRule="exact"/>
        </w:trPr>
        <w:tc>
          <w:tcPr>
            <w:tcW w:w="4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管理人员</w:t>
            </w:r>
          </w:p>
        </w:tc>
        <w:tc>
          <w:tcPr>
            <w:tcW w:w="4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305</w:t>
            </w:r>
          </w:p>
        </w:tc>
      </w:tr>
      <w:tr>
        <w:trPr>
          <w:trHeight w:val="408" w:hRule="exact"/>
        </w:trPr>
        <w:tc>
          <w:tcPr>
            <w:tcW w:w="47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3"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3,318</w:t>
            </w:r>
          </w:p>
        </w:tc>
      </w:tr>
      <w:tr>
        <w:trPr>
          <w:trHeight w:val="391"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6" w:hRule="exact"/>
        </w:trPr>
        <w:tc>
          <w:tcPr>
            <w:tcW w:w="47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3"/>
              <w:ind w:left="31"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403" w:hRule="exact"/>
        </w:trPr>
        <w:tc>
          <w:tcPr>
            <w:tcW w:w="4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硕士及以上学历</w:t>
            </w:r>
          </w:p>
        </w:tc>
        <w:tc>
          <w:tcPr>
            <w:tcW w:w="4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224</w:t>
            </w:r>
          </w:p>
        </w:tc>
      </w:tr>
      <w:tr>
        <w:trPr>
          <w:trHeight w:val="401" w:hRule="exact"/>
        </w:trPr>
        <w:tc>
          <w:tcPr>
            <w:tcW w:w="4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本科</w:t>
            </w:r>
          </w:p>
        </w:tc>
        <w:tc>
          <w:tcPr>
            <w:tcW w:w="4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2,253</w:t>
            </w:r>
          </w:p>
        </w:tc>
      </w:tr>
      <w:tr>
        <w:trPr>
          <w:trHeight w:val="403" w:hRule="exact"/>
        </w:trPr>
        <w:tc>
          <w:tcPr>
            <w:tcW w:w="4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大专</w:t>
            </w:r>
          </w:p>
        </w:tc>
        <w:tc>
          <w:tcPr>
            <w:tcW w:w="4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731</w:t>
            </w:r>
          </w:p>
        </w:tc>
      </w:tr>
      <w:tr>
        <w:trPr>
          <w:trHeight w:val="401" w:hRule="exact"/>
        </w:trPr>
        <w:tc>
          <w:tcPr>
            <w:tcW w:w="4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大专以下</w:t>
            </w:r>
          </w:p>
        </w:tc>
        <w:tc>
          <w:tcPr>
            <w:tcW w:w="4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110</w:t>
            </w:r>
          </w:p>
        </w:tc>
      </w:tr>
      <w:tr>
        <w:trPr>
          <w:trHeight w:val="403" w:hRule="exact"/>
        </w:trPr>
        <w:tc>
          <w:tcPr>
            <w:tcW w:w="47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3,318</w:t>
            </w:r>
          </w:p>
        </w:tc>
      </w:tr>
    </w:tbl>
    <w:p>
      <w:pPr>
        <w:spacing w:line="240" w:lineRule="auto" w:before="3"/>
        <w:rPr>
          <w:rFonts w:ascii="宋体" w:hAnsi="宋体" w:cs="宋体" w:eastAsia="宋体" w:hint="default"/>
          <w:b/>
          <w:bCs/>
          <w:sz w:val="19"/>
          <w:szCs w:val="19"/>
        </w:rPr>
      </w:pPr>
    </w:p>
    <w:p>
      <w:pPr>
        <w:pStyle w:val="Heading4"/>
        <w:spacing w:line="240" w:lineRule="auto" w:before="36"/>
        <w:ind w:right="986"/>
        <w:jc w:val="left"/>
        <w:rPr>
          <w:b w:val="0"/>
          <w:bCs w:val="0"/>
        </w:rPr>
      </w:pPr>
      <w:bookmarkStart w:name="2、薪酬政策" w:id="131"/>
      <w:bookmarkEnd w:id="131"/>
      <w:r>
        <w:rPr>
          <w:b w:val="0"/>
          <w:bCs w:val="0"/>
        </w:rPr>
      </w:r>
      <w:r>
        <w:rPr>
          <w:rFonts w:ascii="Times New Roman" w:hAnsi="Times New Roman" w:cs="Times New Roman" w:eastAsia="Times New Roman" w:hint="default"/>
        </w:rPr>
        <w:t>2</w:t>
      </w:r>
      <w:r>
        <w:rPr/>
        <w:t>、薪酬政策</w:t>
      </w:r>
      <w:r>
        <w:rPr>
          <w:b w:val="0"/>
          <w:bCs w:val="0"/>
        </w:rPr>
      </w:r>
    </w:p>
    <w:p>
      <w:pPr>
        <w:spacing w:line="240" w:lineRule="auto" w:before="8"/>
        <w:rPr>
          <w:rFonts w:ascii="宋体" w:hAnsi="宋体" w:cs="宋体" w:eastAsia="宋体" w:hint="default"/>
          <w:b/>
          <w:bCs/>
          <w:sz w:val="30"/>
          <w:szCs w:val="30"/>
        </w:rPr>
      </w:pPr>
    </w:p>
    <w:p>
      <w:pPr>
        <w:pStyle w:val="BodyText"/>
        <w:spacing w:line="408" w:lineRule="auto" w:before="0"/>
        <w:ind w:right="1128" w:firstLine="420"/>
        <w:jc w:val="both"/>
      </w:pPr>
      <w:r>
        <w:rPr>
          <w:spacing w:val="-3"/>
        </w:rPr>
        <w:t>公司按照《中华人民共和国劳动合同法》和国家及地方其他有关劳动法律、法规的规定，与员工签订</w:t>
      </w:r>
      <w:r>
        <w:rPr>
          <w:spacing w:val="-3"/>
          <w:w w:val="100"/>
        </w:rPr>
        <w:t> </w:t>
      </w:r>
      <w:r>
        <w:rPr>
          <w:spacing w:val="-2"/>
        </w:rPr>
        <w:t>劳动合同，公司严格执行国家相关劳动用工和社会保障规章制度，按照国家规定为员工缴纳社会保险和公</w:t>
      </w:r>
      <w:r>
        <w:rPr>
          <w:spacing w:val="-42"/>
        </w:rPr>
        <w:t> </w:t>
      </w:r>
      <w:r>
        <w:rPr>
          <w:spacing w:val="-42"/>
        </w:rPr>
      </w:r>
      <w:r>
        <w:rPr>
          <w:spacing w:val="-2"/>
        </w:rPr>
        <w:t>积金，缴交企业年金、补偿商业保险。公司为有效稳定及激励有成长和有突出价值贡献的员工，实施“全</w:t>
      </w:r>
      <w:r>
        <w:rPr>
          <w:spacing w:val="-43"/>
        </w:rPr>
        <w:t> </w:t>
      </w:r>
      <w:r>
        <w:rPr>
          <w:spacing w:val="-43"/>
        </w:rPr>
      </w:r>
      <w:r>
        <w:rPr>
          <w:spacing w:val="-2"/>
        </w:rPr>
        <w:t>面薪酬包”，保持良好的薪酬环境。为保持员工全面薪酬收入高于市场的平均水平，公司参照市场行业水</w:t>
      </w:r>
      <w:r>
        <w:rPr>
          <w:spacing w:val="-48"/>
        </w:rPr>
        <w:t> </w:t>
      </w:r>
      <w:r>
        <w:rPr>
          <w:spacing w:val="-48"/>
        </w:rPr>
      </w:r>
      <w:r>
        <w:rPr/>
        <w:t>平，实施公平的绩效考核机制，每年调整员工薪资幅度，为员工提供有竞争力的薪资报酬。</w:t>
      </w:r>
    </w:p>
    <w:p>
      <w:pPr>
        <w:pStyle w:val="BodyText"/>
        <w:tabs>
          <w:tab w:pos="2043" w:val="left" w:leader="none"/>
        </w:tabs>
        <w:spacing w:line="408" w:lineRule="auto"/>
        <w:ind w:right="1129" w:firstLine="420"/>
        <w:jc w:val="left"/>
      </w:pPr>
      <w:r>
        <w:rPr>
          <w:spacing w:val="-2"/>
        </w:rPr>
        <w:t>报告期内，公司职工薪酬总额为</w:t>
      </w:r>
      <w:r>
        <w:rPr>
          <w:rFonts w:ascii="宋体" w:hAnsi="宋体" w:cs="宋体" w:eastAsia="宋体" w:hint="default"/>
          <w:spacing w:val="-2"/>
        </w:rPr>
        <w:t>65,289.56</w:t>
      </w:r>
      <w:r>
        <w:rPr>
          <w:spacing w:val="-2"/>
        </w:rPr>
        <w:t>万元，其中计入营业总成本的金额为</w:t>
      </w:r>
      <w:r>
        <w:rPr>
          <w:rFonts w:ascii="宋体" w:hAnsi="宋体" w:cs="宋体" w:eastAsia="宋体" w:hint="default"/>
          <w:spacing w:val="-2"/>
        </w:rPr>
        <w:t>50,641.79</w:t>
      </w:r>
      <w:r>
        <w:rPr>
          <w:spacing w:val="-2"/>
        </w:rPr>
        <w:t>万元，占公</w:t>
      </w:r>
      <w:r>
        <w:rPr>
          <w:w w:val="100"/>
        </w:rPr>
        <w:t> </w:t>
      </w:r>
      <w:r>
        <w:rPr/>
        <w:t>司成本总额的</w:t>
      </w:r>
      <w:r>
        <w:rPr>
          <w:rFonts w:ascii="宋体" w:hAnsi="宋体" w:cs="宋体" w:eastAsia="宋体" w:hint="default"/>
        </w:rPr>
        <w:t>28.49%</w:t>
      </w:r>
      <w:r>
        <w:rPr/>
        <w:t>。公司核心技术人员共计</w:t>
      </w:r>
      <w:r>
        <w:rPr>
          <w:rFonts w:ascii="宋体" w:hAnsi="宋体" w:cs="宋体" w:eastAsia="宋体" w:hint="default"/>
        </w:rPr>
        <w:t>1,137</w:t>
      </w:r>
      <w:r>
        <w:rPr/>
        <w:t>人，总公司员工人数的</w:t>
      </w:r>
      <w:r>
        <w:rPr>
          <w:rFonts w:ascii="宋体" w:hAnsi="宋体" w:cs="宋体" w:eastAsia="宋体" w:hint="default"/>
        </w:rPr>
        <w:t>34.27%</w:t>
      </w:r>
      <w:r>
        <w:rPr/>
        <w:t>，核心技术人员薪酬占</w:t>
      </w:r>
      <w:r>
        <w:rPr>
          <w:spacing w:val="-3"/>
          <w:w w:val="100"/>
        </w:rPr>
        <w:t> </w:t>
      </w:r>
      <w:r>
        <w:rPr>
          <w:spacing w:val="-1"/>
        </w:rPr>
        <w:t>比总人数的</w:t>
      </w:r>
      <w:r>
        <w:rPr>
          <w:rFonts w:ascii="宋体" w:hAnsi="宋体" w:cs="宋体" w:eastAsia="宋体" w:hint="default"/>
          <w:spacing w:val="-1"/>
        </w:rPr>
        <w:t>34.26%</w:t>
        <w:tab/>
      </w:r>
      <w:r>
        <w:rPr>
          <w:spacing w:val="-1"/>
        </w:rPr>
        <w:t>薪酬占比</w:t>
      </w:r>
      <w:r>
        <w:rPr>
          <w:rFonts w:ascii="宋体" w:hAnsi="宋体" w:cs="宋体" w:eastAsia="宋体" w:hint="default"/>
          <w:spacing w:val="-1"/>
        </w:rPr>
        <w:t>44.64%</w:t>
      </w:r>
      <w:r>
        <w:rPr>
          <w:spacing w:val="-1"/>
        </w:rPr>
        <w:t>。</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8"/>
          <w:szCs w:val="18"/>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上市公司从事软件与信息技术服务业务》的披露要求</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3、培训计划" w:id="132"/>
      <w:bookmarkEnd w:id="132"/>
      <w:r>
        <w:rPr>
          <w:b w:val="0"/>
          <w:bCs w:val="0"/>
        </w:rPr>
      </w:r>
      <w:r>
        <w:rPr>
          <w:rFonts w:ascii="Times New Roman" w:hAnsi="Times New Roman" w:cs="Times New Roman" w:eastAsia="Times New Roman" w:hint="default"/>
        </w:rPr>
        <w:t>3</w:t>
      </w:r>
      <w:r>
        <w:rPr/>
        <w:t>、培训计划</w:t>
      </w:r>
      <w:r>
        <w:rPr>
          <w:b w:val="0"/>
          <w:bCs w:val="0"/>
        </w:rPr>
      </w:r>
    </w:p>
    <w:p>
      <w:pPr>
        <w:spacing w:line="240" w:lineRule="auto" w:before="8"/>
        <w:rPr>
          <w:rFonts w:ascii="宋体" w:hAnsi="宋体" w:cs="宋体" w:eastAsia="宋体" w:hint="default"/>
          <w:b/>
          <w:bCs/>
          <w:sz w:val="30"/>
          <w:szCs w:val="30"/>
        </w:rPr>
      </w:pPr>
    </w:p>
    <w:p>
      <w:pPr>
        <w:pStyle w:val="BodyText"/>
        <w:spacing w:line="408" w:lineRule="auto" w:before="0"/>
        <w:ind w:right="1128" w:firstLine="419"/>
        <w:jc w:val="both"/>
      </w:pPr>
      <w:r>
        <w:rPr>
          <w:spacing w:val="-2"/>
        </w:rPr>
        <w:t>公司十分注重员工培训和职业规划，促进公司“学习型组织”的文化建设，公司成立了美亚干校。美</w:t>
      </w:r>
      <w:r>
        <w:rPr>
          <w:w w:val="100"/>
        </w:rPr>
        <w:t> </w:t>
      </w:r>
      <w:r>
        <w:rPr>
          <w:spacing w:val="-2"/>
        </w:rPr>
        <w:t>亚干校通过组织培训，加强员工对于企业文化、价值观的认同感，增强企业凝聚力。每年美亚干校针对不</w:t>
      </w:r>
      <w:r>
        <w:rPr>
          <w:spacing w:val="-50"/>
        </w:rPr>
        <w:t> </w:t>
      </w:r>
      <w:r>
        <w:rPr>
          <w:spacing w:val="-50"/>
        </w:rPr>
      </w:r>
      <w:r>
        <w:rPr>
          <w:spacing w:val="-3"/>
        </w:rPr>
        <w:t>同的岗位、职能需求制定年度培训计划。针对入职新人，开展“科班生”集训营，集训内容包括企业文化</w:t>
      </w:r>
      <w:r>
        <w:rPr>
          <w:spacing w:val="-6"/>
        </w:rPr>
        <w:t> </w:t>
      </w:r>
      <w:r>
        <w:rPr>
          <w:spacing w:val="-6"/>
        </w:rPr>
      </w:r>
      <w:r>
        <w:rPr>
          <w:spacing w:val="-2"/>
        </w:rPr>
        <w:t>培训、保密培训及公司产品讲解和工作环境参观等一系列全方位培训课程。针对应届毕业生，公司推出了</w:t>
      </w:r>
      <w:r>
        <w:rPr>
          <w:spacing w:val="-44"/>
        </w:rPr>
        <w:t> </w:t>
      </w:r>
      <w:r>
        <w:rPr>
          <w:spacing w:val="-44"/>
        </w:rPr>
      </w:r>
      <w:r>
        <w:rPr>
          <w:spacing w:val="-2"/>
        </w:rPr>
        <w:t>“金种子培训班”计划，表现优秀的学员可以留在公司任职。针对员工技能提升，公司通过美亚美课、聘</w:t>
      </w:r>
      <w:r>
        <w:rPr>
          <w:spacing w:val="-47"/>
        </w:rPr>
        <w:t> </w:t>
      </w:r>
      <w:r>
        <w:rPr>
          <w:spacing w:val="-47"/>
        </w:rPr>
      </w:r>
      <w:r>
        <w:rPr>
          <w:spacing w:val="-2"/>
        </w:rPr>
        <w:t>请外部专家讲师等方式，快速提升员工工作技能，帮助员工成长。针对公司中高层干部，公司举办经理培</w:t>
      </w:r>
      <w:r>
        <w:rPr>
          <w:spacing w:val="-50"/>
        </w:rPr>
        <w:t> </w:t>
      </w:r>
      <w:r>
        <w:rPr>
          <w:spacing w:val="-50"/>
        </w:rPr>
      </w:r>
      <w:r>
        <w:rPr>
          <w:spacing w:val="-2"/>
        </w:rPr>
        <w:t>训班、翔鹰计划培养中高层人员的战略思维和战略执行能力，学习战略设计及执行的流程方法，更好地规</w:t>
      </w:r>
      <w:r>
        <w:rPr>
          <w:spacing w:val="-44"/>
        </w:rPr>
        <w:t> </w:t>
      </w:r>
      <w:r>
        <w:rPr>
          <w:spacing w:val="-44"/>
        </w:rPr>
      </w:r>
      <w:r>
        <w:rPr>
          <w:spacing w:val="-2"/>
        </w:rPr>
        <w:t>划公司战略落地。公司会不定期开展美亚柏科智慧大讲堂，邀请公司副总级领导担任每期主讲人，跟员工</w:t>
      </w:r>
      <w:r>
        <w:rPr>
          <w:spacing w:val="-47"/>
        </w:rPr>
        <w:t> </w:t>
      </w:r>
      <w:r>
        <w:rPr>
          <w:spacing w:val="-47"/>
        </w:rPr>
      </w:r>
      <w:r>
        <w:rPr>
          <w:spacing w:val="-2"/>
        </w:rPr>
        <w:t>一起分享工作、生活，以及学习方面的经验和感悟，加强管理层与员工之间的沟通交流。培训方式包括线</w:t>
      </w:r>
      <w:r>
        <w:rPr>
          <w:spacing w:val="-47"/>
        </w:rPr>
        <w:t> </w:t>
      </w:r>
      <w:r>
        <w:rPr>
          <w:spacing w:val="-47"/>
        </w:rPr>
      </w:r>
      <w:r>
        <w:rPr/>
        <w:t>上学习平台“美亚美课”和线下实战实操培训方式等。</w:t>
      </w:r>
    </w:p>
    <w:p>
      <w:pPr>
        <w:spacing w:line="240" w:lineRule="auto" w:before="7"/>
        <w:rPr>
          <w:rFonts w:ascii="宋体" w:hAnsi="宋体" w:cs="宋体" w:eastAsia="宋体" w:hint="default"/>
          <w:sz w:val="20"/>
          <w:szCs w:val="20"/>
        </w:rPr>
      </w:pPr>
    </w:p>
    <w:p>
      <w:pPr>
        <w:pStyle w:val="Heading4"/>
        <w:spacing w:line="240" w:lineRule="auto"/>
        <w:ind w:right="986"/>
        <w:jc w:val="left"/>
        <w:rPr>
          <w:b w:val="0"/>
          <w:bCs w:val="0"/>
        </w:rPr>
      </w:pPr>
      <w:bookmarkStart w:name="4、劳务外包情况" w:id="133"/>
      <w:bookmarkEnd w:id="133"/>
      <w:r>
        <w:rPr>
          <w:b w:val="0"/>
          <w:bCs w:val="0"/>
        </w:rPr>
      </w:r>
      <w:r>
        <w:rPr>
          <w:rFonts w:ascii="Times New Roman" w:hAnsi="Times New Roman" w:cs="Times New Roman" w:eastAsia="Times New Roman" w:hint="default"/>
        </w:rPr>
        <w:t>4</w:t>
      </w:r>
      <w:r>
        <w:rPr/>
        <w:t>、劳务外包情况</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887" w:right="4809"/>
        <w:jc w:val="center"/>
        <w:rPr>
          <w:b w:val="0"/>
          <w:bCs w:val="0"/>
        </w:rPr>
      </w:pPr>
      <w:bookmarkStart w:name="第十节公司治理" w:id="134"/>
      <w:bookmarkEnd w:id="134"/>
      <w:r>
        <w:rPr>
          <w:b w:val="0"/>
          <w:bCs w:val="0"/>
        </w:rPr>
      </w:r>
      <w:bookmarkStart w:name="_bookmark8" w:id="135"/>
      <w:bookmarkEnd w:id="135"/>
      <w:r>
        <w:rPr>
          <w:b w:val="0"/>
          <w:bCs w:val="0"/>
        </w:rPr>
      </w:r>
      <w:r>
        <w:rPr/>
        <w:t>第十节公司治理</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left="212" w:right="1029"/>
        <w:jc w:val="left"/>
        <w:rPr>
          <w:b w:val="0"/>
          <w:bCs w:val="0"/>
        </w:rPr>
      </w:pPr>
      <w:bookmarkStart w:name="一、公司治理的基本状况" w:id="136"/>
      <w:bookmarkEnd w:id="136"/>
      <w:r>
        <w:rPr>
          <w:b w:val="0"/>
          <w:bCs w:val="0"/>
        </w:rPr>
      </w:r>
      <w:r>
        <w:rPr/>
        <w:t>一、公司治理的基本状况</w:t>
      </w:r>
      <w:r>
        <w:rPr>
          <w:b w:val="0"/>
          <w:bCs w:val="0"/>
        </w:rPr>
      </w:r>
    </w:p>
    <w:p>
      <w:pPr>
        <w:spacing w:line="240" w:lineRule="auto" w:before="8"/>
        <w:rPr>
          <w:rFonts w:ascii="宋体" w:hAnsi="宋体" w:cs="宋体" w:eastAsia="宋体" w:hint="default"/>
          <w:b/>
          <w:bCs/>
          <w:sz w:val="30"/>
          <w:szCs w:val="30"/>
        </w:rPr>
      </w:pPr>
    </w:p>
    <w:p>
      <w:pPr>
        <w:pStyle w:val="BodyText"/>
        <w:spacing w:line="408" w:lineRule="auto" w:before="0"/>
        <w:ind w:left="212" w:right="1128" w:firstLine="420"/>
        <w:jc w:val="both"/>
      </w:pPr>
      <w:r>
        <w:rPr>
          <w:spacing w:val="-2"/>
        </w:rPr>
        <w:t>报告期内，公司严格按照《公司法》、《证券法》、《上市公司治理准则》、《深圳证券交易所创业</w:t>
      </w:r>
      <w:r>
        <w:rPr>
          <w:w w:val="100"/>
        </w:rPr>
        <w:t> </w:t>
      </w:r>
      <w:r>
        <w:rPr>
          <w:spacing w:val="-7"/>
        </w:rPr>
        <w:t>板股票上市规则》、《深圳证券交易所创业板上市公司规范运作指引》等相关法律法规、规范性文件和《公</w:t>
      </w:r>
      <w:r>
        <w:rPr>
          <w:spacing w:val="-23"/>
        </w:rPr>
        <w:t> </w:t>
      </w:r>
      <w:r>
        <w:rPr>
          <w:spacing w:val="-23"/>
        </w:rPr>
      </w:r>
      <w:r>
        <w:rPr>
          <w:spacing w:val="-2"/>
        </w:rPr>
        <w:t>司章程》的要求，不断完善公司法人治理结构，建立健全公司内部管理和内控制度，持续深入开展公司治</w:t>
      </w:r>
      <w:r>
        <w:rPr>
          <w:spacing w:val="-47"/>
        </w:rPr>
        <w:t> </w:t>
      </w:r>
      <w:r>
        <w:rPr>
          <w:spacing w:val="-47"/>
        </w:rPr>
      </w:r>
      <w:r>
        <w:rPr>
          <w:spacing w:val="-2"/>
        </w:rPr>
        <w:t>理活动，进一步提升公司治理水平。截至报告期末，公司治理状况符合《公司法》和中国证监会、深圳证</w:t>
      </w:r>
      <w:r>
        <w:rPr>
          <w:spacing w:val="-42"/>
        </w:rPr>
        <w:t> </w:t>
      </w:r>
      <w:r>
        <w:rPr>
          <w:spacing w:val="-42"/>
        </w:rPr>
      </w:r>
      <w:r>
        <w:rPr/>
        <w:t>券交易所等发布的法律法规和规范性文件的要求。</w:t>
      </w:r>
    </w:p>
    <w:p>
      <w:pPr>
        <w:pStyle w:val="BodyText"/>
        <w:spacing w:line="408" w:lineRule="auto"/>
        <w:ind w:left="632" w:right="1029"/>
        <w:jc w:val="left"/>
      </w:pPr>
      <w:r>
        <w:rPr>
          <w:rFonts w:ascii="宋体" w:hAnsi="宋体" w:cs="宋体" w:eastAsia="宋体" w:hint="default"/>
        </w:rPr>
        <w:t>1</w:t>
      </w:r>
      <w:r>
        <w:rPr/>
        <w:t>、关于股东与股东大会</w:t>
      </w:r>
      <w:r>
        <w:rPr>
          <w:w w:val="100"/>
        </w:rPr>
        <w:t> </w:t>
      </w:r>
      <w:r>
        <w:rPr>
          <w:spacing w:val="-3"/>
        </w:rPr>
        <w:t>报告期内，公司共召开三次股东大会，其中一次年度股东大会，两次临时股东大会。各次会议公司均</w:t>
      </w:r>
      <w:r>
        <w:rPr/>
      </w:r>
    </w:p>
    <w:p>
      <w:pPr>
        <w:pStyle w:val="BodyText"/>
        <w:spacing w:line="408" w:lineRule="auto"/>
        <w:ind w:left="212" w:right="1029"/>
        <w:jc w:val="left"/>
      </w:pPr>
      <w:r>
        <w:rPr>
          <w:spacing w:val="-5"/>
        </w:rPr>
        <w:t>严格按照《公司法》、《上市公司股东大会规则》、《公司章程》、《股东大会议事规则》等规定和要求，</w:t>
      </w:r>
      <w:r>
        <w:rPr>
          <w:spacing w:val="-3"/>
        </w:rPr>
        <w:t> </w:t>
      </w:r>
      <w:r>
        <w:rPr>
          <w:spacing w:val="-3"/>
        </w:rPr>
      </w:r>
      <w:r>
        <w:rPr>
          <w:spacing w:val="-2"/>
        </w:rPr>
        <w:t>规范地召集、召开，平等对待所有股东，为股东参加股东大会提供便利，使其充分行使股东权利，不存在</w:t>
      </w:r>
      <w:r>
        <w:rPr>
          <w:spacing w:val="-43"/>
        </w:rPr>
        <w:t> </w:t>
      </w:r>
      <w:r>
        <w:rPr>
          <w:spacing w:val="-43"/>
        </w:rPr>
      </w:r>
      <w:r>
        <w:rPr/>
        <w:t>损害股东利益的情形。</w:t>
      </w:r>
    </w:p>
    <w:p>
      <w:pPr>
        <w:pStyle w:val="BodyText"/>
        <w:spacing w:line="240" w:lineRule="auto"/>
        <w:ind w:left="632" w:right="1029"/>
        <w:jc w:val="left"/>
      </w:pPr>
      <w:r>
        <w:rPr>
          <w:rFonts w:ascii="宋体" w:hAnsi="宋体" w:cs="宋体" w:eastAsia="宋体" w:hint="default"/>
        </w:rPr>
        <w:t>2</w:t>
      </w:r>
      <w:r>
        <w:rPr/>
        <w:t>、关于公司与控股股东</w:t>
      </w:r>
    </w:p>
    <w:p>
      <w:pPr>
        <w:spacing w:line="240" w:lineRule="auto" w:before="10"/>
        <w:rPr>
          <w:rFonts w:ascii="宋体" w:hAnsi="宋体" w:cs="宋体" w:eastAsia="宋体" w:hint="default"/>
          <w:sz w:val="14"/>
          <w:szCs w:val="14"/>
        </w:rPr>
      </w:pPr>
    </w:p>
    <w:p>
      <w:pPr>
        <w:pStyle w:val="BodyText"/>
        <w:spacing w:line="408" w:lineRule="auto" w:before="0"/>
        <w:ind w:left="212" w:right="1029" w:firstLine="420"/>
        <w:jc w:val="left"/>
      </w:pPr>
      <w:r>
        <w:rPr>
          <w:rFonts w:ascii="宋体" w:hAnsi="宋体" w:cs="宋体" w:eastAsia="宋体" w:hint="default"/>
          <w:spacing w:val="-2"/>
        </w:rPr>
        <w:t>2019</w:t>
      </w:r>
      <w:r>
        <w:rPr>
          <w:spacing w:val="-2"/>
        </w:rPr>
        <w:t>年度，公司控股股东、实际控制人发生了变更。公司原控股股东、实际控制人郭永芳、滕达，股</w:t>
      </w:r>
      <w:r>
        <w:rPr>
          <w:w w:val="100"/>
        </w:rPr>
        <w:t> </w:t>
      </w:r>
      <w:r>
        <w:rPr/>
        <w:t>东李国林、刘冬颖、卓桂英、苏学武、韦玉荣通过协议转让的方式转让其合计持有的公司</w:t>
      </w:r>
      <w:r>
        <w:rPr>
          <w:rFonts w:ascii="宋体" w:hAnsi="宋体" w:cs="宋体" w:eastAsia="宋体" w:hint="default"/>
        </w:rPr>
        <w:t>125,475,942</w:t>
      </w:r>
      <w:r>
        <w:rPr/>
        <w:t>股</w:t>
      </w:r>
      <w:r>
        <w:rPr>
          <w:w w:val="100"/>
        </w:rPr>
        <w:t> </w:t>
      </w:r>
      <w:r>
        <w:rPr>
          <w:spacing w:val="-2"/>
        </w:rPr>
        <w:t>股份给国投智能科技有限公司（以下简称“国投智能”），公司股东李国林、刘冬颖将其合计持有的公司</w:t>
      </w:r>
      <w:r>
        <w:rPr>
          <w:spacing w:val="-48"/>
        </w:rPr>
        <w:t> </w:t>
      </w:r>
      <w:r>
        <w:rPr>
          <w:spacing w:val="-48"/>
        </w:rPr>
      </w:r>
      <w:r>
        <w:rPr/>
        <w:t>股份</w:t>
      </w:r>
      <w:r>
        <w:rPr>
          <w:rFonts w:ascii="宋体" w:hAnsi="宋体" w:cs="宋体" w:eastAsia="宋体" w:hint="default"/>
        </w:rPr>
        <w:t>54,048,632</w:t>
      </w:r>
      <w:r>
        <w:rPr/>
        <w:t>股所对应的表决权授权给国投智能行使。本次所涉标的股份于</w:t>
      </w:r>
      <w:r>
        <w:rPr>
          <w:rFonts w:ascii="宋体" w:hAnsi="宋体" w:cs="宋体" w:eastAsia="宋体" w:hint="default"/>
        </w:rPr>
        <w:t>2019</w:t>
      </w:r>
      <w:r>
        <w:rPr/>
        <w:t>年</w:t>
      </w:r>
      <w:r>
        <w:rPr>
          <w:rFonts w:ascii="宋体" w:hAnsi="宋体" w:cs="宋体" w:eastAsia="宋体" w:hint="default"/>
        </w:rPr>
        <w:t>7</w:t>
      </w:r>
      <w:r>
        <w:rPr/>
        <w:t>月</w:t>
      </w:r>
      <w:r>
        <w:rPr>
          <w:rFonts w:ascii="宋体" w:hAnsi="宋体" w:cs="宋体" w:eastAsia="宋体" w:hint="default"/>
        </w:rPr>
        <w:t>17</w:t>
      </w:r>
      <w:r>
        <w:rPr/>
        <w:t>日在中国证券</w:t>
      </w:r>
      <w:r>
        <w:rPr>
          <w:spacing w:val="-3"/>
          <w:w w:val="100"/>
        </w:rPr>
        <w:t> </w:t>
      </w:r>
      <w:r>
        <w:rPr>
          <w:spacing w:val="-2"/>
        </w:rPr>
        <w:t>登记结算有限责任公司深圳分公司完成过户登记手续。完成股份过户后，国投智能持有股份占公司当时总</w:t>
      </w:r>
      <w:r>
        <w:rPr>
          <w:spacing w:val="-42"/>
        </w:rPr>
        <w:t> </w:t>
      </w:r>
      <w:r>
        <w:rPr>
          <w:spacing w:val="-42"/>
        </w:rPr>
      </w:r>
      <w:r>
        <w:rPr>
          <w:spacing w:val="-2"/>
        </w:rPr>
        <w:t>股本</w:t>
      </w:r>
      <w:r>
        <w:rPr>
          <w:rFonts w:ascii="宋体" w:hAnsi="宋体" w:cs="宋体" w:eastAsia="宋体" w:hint="default"/>
          <w:spacing w:val="-2"/>
        </w:rPr>
        <w:t>804,410,709</w:t>
      </w:r>
      <w:r>
        <w:rPr>
          <w:spacing w:val="-2"/>
        </w:rPr>
        <w:t>股的</w:t>
      </w:r>
      <w:r>
        <w:rPr>
          <w:rFonts w:ascii="宋体" w:hAnsi="宋体" w:cs="宋体" w:eastAsia="宋体" w:hint="default"/>
          <w:spacing w:val="-2"/>
        </w:rPr>
        <w:t>15.60%</w:t>
      </w:r>
      <w:r>
        <w:rPr>
          <w:spacing w:val="-2"/>
        </w:rPr>
        <w:t>；国投智能在公司拥有表决权的股份数量合计为</w:t>
      </w:r>
      <w:r>
        <w:rPr>
          <w:rFonts w:ascii="宋体" w:hAnsi="宋体" w:cs="宋体" w:eastAsia="宋体" w:hint="default"/>
          <w:spacing w:val="-2"/>
        </w:rPr>
        <w:t>179,524,574</w:t>
      </w:r>
      <w:r>
        <w:rPr>
          <w:spacing w:val="-2"/>
        </w:rPr>
        <w:t>股，占公司当时</w:t>
      </w:r>
      <w:r>
        <w:rPr>
          <w:spacing w:val="-21"/>
        </w:rPr>
        <w:t> </w:t>
      </w:r>
      <w:r>
        <w:rPr>
          <w:spacing w:val="-21"/>
        </w:rPr>
      </w:r>
      <w:r>
        <w:rPr/>
        <w:t>总股本</w:t>
      </w:r>
      <w:r>
        <w:rPr>
          <w:rFonts w:ascii="宋体" w:hAnsi="宋体" w:cs="宋体" w:eastAsia="宋体" w:hint="default"/>
        </w:rPr>
        <w:t>804,410,709</w:t>
      </w:r>
      <w:r>
        <w:rPr/>
        <w:t>股的</w:t>
      </w:r>
      <w:r>
        <w:rPr>
          <w:rFonts w:ascii="宋体" w:hAnsi="宋体" w:cs="宋体" w:eastAsia="宋体" w:hint="default"/>
        </w:rPr>
        <w:t>22.32%</w:t>
      </w:r>
      <w:r>
        <w:rPr/>
        <w:t>。国投智能成为公司控股股东，国务院国有资产监督管理委员会成为公司</w:t>
      </w:r>
      <w:r>
        <w:rPr>
          <w:w w:val="100"/>
        </w:rPr>
        <w:t> </w:t>
      </w:r>
      <w:r>
        <w:rPr>
          <w:spacing w:val="-2"/>
        </w:rPr>
        <w:t>的实际控制人。公司于</w:t>
      </w:r>
      <w:r>
        <w:rPr>
          <w:rFonts w:ascii="宋体" w:hAnsi="宋体" w:cs="宋体" w:eastAsia="宋体" w:hint="default"/>
          <w:spacing w:val="-2"/>
        </w:rPr>
        <w:t>2019</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2</w:t>
      </w:r>
      <w:r>
        <w:rPr>
          <w:spacing w:val="-2"/>
        </w:rPr>
        <w:t>日披露了《关于公司股东签署股份转让协议、表决权委托协议暨公司控</w:t>
      </w:r>
      <w:r>
        <w:rPr>
          <w:spacing w:val="-47"/>
        </w:rPr>
        <w:t> </w:t>
      </w:r>
      <w:r>
        <w:rPr>
          <w:spacing w:val="-47"/>
        </w:rPr>
      </w:r>
      <w:r>
        <w:rPr/>
        <w:t>制权变更及复牌的提示性公告》，于</w:t>
      </w:r>
      <w:r>
        <w:rPr>
          <w:rFonts w:ascii="宋体" w:hAnsi="宋体" w:cs="宋体" w:eastAsia="宋体" w:hint="default"/>
        </w:rPr>
        <w:t>2019</w:t>
      </w:r>
      <w:r>
        <w:rPr/>
        <w:t>年</w:t>
      </w:r>
      <w:r>
        <w:rPr>
          <w:rFonts w:ascii="宋体" w:hAnsi="宋体" w:cs="宋体" w:eastAsia="宋体" w:hint="default"/>
        </w:rPr>
        <w:t>7</w:t>
      </w:r>
      <w:r>
        <w:rPr/>
        <w:t>月</w:t>
      </w:r>
      <w:r>
        <w:rPr>
          <w:rFonts w:ascii="宋体" w:hAnsi="宋体" w:cs="宋体" w:eastAsia="宋体" w:hint="default"/>
        </w:rPr>
        <w:t>17</w:t>
      </w:r>
      <w:r>
        <w:rPr/>
        <w:t>日披露了《关于股东协议转让股份完成过户登记暨公司</w:t>
      </w:r>
      <w:r>
        <w:rPr>
          <w:w w:val="100"/>
        </w:rPr>
        <w:t> </w:t>
      </w:r>
      <w:r>
        <w:rPr/>
        <w:t>控股股东、实际控制人完成变更的公告》。</w:t>
      </w:r>
    </w:p>
    <w:p>
      <w:pPr>
        <w:pStyle w:val="BodyText"/>
        <w:spacing w:line="240" w:lineRule="auto"/>
        <w:ind w:left="633" w:right="1029"/>
        <w:jc w:val="left"/>
      </w:pPr>
      <w:r>
        <w:rPr>
          <w:spacing w:val="-5"/>
        </w:rPr>
        <w:t>报告期内，公司控股股东严格按照《上市公司治理准则》、《深圳证券交易所创业板股票上市规则》、</w:t>
      </w:r>
    </w:p>
    <w:p>
      <w:pPr>
        <w:spacing w:line="240" w:lineRule="auto" w:before="10"/>
        <w:rPr>
          <w:rFonts w:ascii="宋体" w:hAnsi="宋体" w:cs="宋体" w:eastAsia="宋体" w:hint="default"/>
          <w:sz w:val="14"/>
          <w:szCs w:val="14"/>
        </w:rPr>
      </w:pPr>
    </w:p>
    <w:p>
      <w:pPr>
        <w:pStyle w:val="BodyText"/>
        <w:spacing w:line="408" w:lineRule="auto" w:before="0"/>
        <w:ind w:left="212" w:right="1029" w:hanging="106"/>
        <w:jc w:val="left"/>
      </w:pPr>
      <w:r>
        <w:rPr/>
        <w:t>《深圳证券交易所创业板上市公司规范运指引》、《公司章程》等规定和要求，依法行使其权利并承担相</w:t>
      </w:r>
      <w:r>
        <w:rPr>
          <w:w w:val="100"/>
        </w:rPr>
        <w:t> </w:t>
      </w:r>
      <w:r>
        <w:rPr>
          <w:spacing w:val="-2"/>
        </w:rPr>
        <w:t>应义务，不存在超越股东大会直接或间接干预公司决策和经营活动的行为。公司拥有独立完整的业务和自</w:t>
      </w:r>
      <w:r>
        <w:rPr>
          <w:w w:val="100"/>
        </w:rPr>
        <w:t> </w:t>
      </w:r>
      <w:r>
        <w:rPr>
          <w:spacing w:val="-2"/>
        </w:rPr>
        <w:t>主经营能力，在业务、人员、资产、机构、财务上独立于控股股东，公司董事会、监事会和内部机构独立</w:t>
      </w:r>
    </w:p>
    <w:p>
      <w:pPr>
        <w:spacing w:after="0" w:line="408" w:lineRule="auto"/>
        <w:jc w:val="left"/>
        <w:sectPr>
          <w:pgSz w:w="11910" w:h="16840"/>
          <w:pgMar w:header="745" w:footer="982" w:top="1060" w:bottom="1180" w:left="920" w:right="0"/>
        </w:sectPr>
      </w:pPr>
    </w:p>
    <w:p>
      <w:pPr>
        <w:spacing w:line="240" w:lineRule="auto" w:before="0"/>
        <w:rPr>
          <w:rFonts w:ascii="宋体" w:hAnsi="宋体" w:cs="宋体" w:eastAsia="宋体" w:hint="default"/>
          <w:sz w:val="20"/>
          <w:szCs w:val="20"/>
        </w:rPr>
      </w:pPr>
    </w:p>
    <w:p>
      <w:pPr>
        <w:pStyle w:val="BodyText"/>
        <w:spacing w:line="240" w:lineRule="auto" w:before="175"/>
        <w:ind w:left="212" w:right="0"/>
        <w:jc w:val="both"/>
      </w:pPr>
      <w:r>
        <w:rPr/>
        <w:t>运作。</w:t>
      </w:r>
    </w:p>
    <w:p>
      <w:pPr>
        <w:spacing w:line="240" w:lineRule="auto" w:before="10"/>
        <w:rPr>
          <w:rFonts w:ascii="宋体" w:hAnsi="宋体" w:cs="宋体" w:eastAsia="宋体" w:hint="default"/>
          <w:sz w:val="14"/>
          <w:szCs w:val="14"/>
        </w:rPr>
      </w:pPr>
    </w:p>
    <w:p>
      <w:pPr>
        <w:pStyle w:val="BodyText"/>
        <w:spacing w:line="408" w:lineRule="auto" w:before="0"/>
        <w:ind w:left="632" w:right="1029"/>
        <w:jc w:val="left"/>
      </w:pPr>
      <w:r>
        <w:rPr>
          <w:rFonts w:ascii="宋体" w:hAnsi="宋体" w:cs="宋体" w:eastAsia="宋体" w:hint="default"/>
        </w:rPr>
        <w:t>3</w:t>
      </w:r>
      <w:r>
        <w:rPr/>
        <w:t>、关于董事和董事会</w:t>
      </w:r>
      <w:r>
        <w:rPr>
          <w:spacing w:val="-3"/>
          <w:w w:val="100"/>
        </w:rPr>
        <w:t> </w:t>
      </w:r>
      <w:r>
        <w:rPr>
          <w:spacing w:val="-2"/>
        </w:rPr>
        <w:t>公司董事会设董事</w:t>
      </w:r>
      <w:r>
        <w:rPr>
          <w:rFonts w:ascii="宋体" w:hAnsi="宋体" w:cs="宋体" w:eastAsia="宋体" w:hint="default"/>
          <w:spacing w:val="-2"/>
        </w:rPr>
        <w:t>9</w:t>
      </w:r>
      <w:r>
        <w:rPr>
          <w:spacing w:val="-2"/>
        </w:rPr>
        <w:t>名，其中独立董事</w:t>
      </w:r>
      <w:r>
        <w:rPr>
          <w:rFonts w:ascii="宋体" w:hAnsi="宋体" w:cs="宋体" w:eastAsia="宋体" w:hint="default"/>
          <w:spacing w:val="-2"/>
        </w:rPr>
        <w:t>3</w:t>
      </w:r>
      <w:r>
        <w:rPr>
          <w:spacing w:val="-2"/>
        </w:rPr>
        <w:t>名，董事会的人数及人员构成符合法律、法规和《公司章程》</w:t>
      </w:r>
      <w:r>
        <w:rPr/>
      </w:r>
    </w:p>
    <w:p>
      <w:pPr>
        <w:pStyle w:val="BodyText"/>
        <w:spacing w:line="408" w:lineRule="auto"/>
        <w:ind w:left="213" w:right="1026"/>
        <w:jc w:val="both"/>
      </w:pPr>
      <w:r>
        <w:rPr>
          <w:spacing w:val="-2"/>
        </w:rPr>
        <w:t>的要求。报告期内，因公司控制权发生了变更，为更好适应新形势下公司治理的需要，公司部分董事申请</w:t>
      </w:r>
      <w:r>
        <w:rPr>
          <w:spacing w:val="-47"/>
        </w:rPr>
        <w:t> </w:t>
      </w:r>
      <w:r>
        <w:rPr>
          <w:spacing w:val="-47"/>
        </w:rPr>
      </w:r>
      <w:r>
        <w:rPr>
          <w:spacing w:val="-2"/>
        </w:rPr>
        <w:t>辞去了在董事会的职务。对此，公司及时按照相关规定完成了对董事的补选，补选后公司董事会人数未发</w:t>
      </w:r>
      <w:r>
        <w:rPr>
          <w:spacing w:val="-47"/>
        </w:rPr>
        <w:t> </w:t>
      </w:r>
      <w:r>
        <w:rPr>
          <w:spacing w:val="-47"/>
        </w:rPr>
      </w:r>
      <w:r>
        <w:rPr/>
        <w:t>生变动。报告期内，公司共召开</w:t>
      </w:r>
      <w:r>
        <w:rPr>
          <w:rFonts w:ascii="宋体" w:hAnsi="宋体" w:cs="宋体" w:eastAsia="宋体" w:hint="default"/>
        </w:rPr>
        <w:t>10</w:t>
      </w:r>
      <w:r>
        <w:rPr/>
        <w:t>次董事会，会议的召集、召开、决议内容及会议文件签署合法、合规、</w:t>
      </w:r>
      <w:r>
        <w:rPr>
          <w:spacing w:val="-3"/>
          <w:w w:val="100"/>
        </w:rPr>
        <w:t> </w:t>
      </w:r>
      <w:r>
        <w:rPr>
          <w:spacing w:val="-5"/>
        </w:rPr>
        <w:t>真实、有效。各位董事能够依据《深圳证券交易所创业板上市公司规范运作指引》、《董事会议事规则》、</w:t>
      </w:r>
    </w:p>
    <w:p>
      <w:pPr>
        <w:pStyle w:val="BodyText"/>
        <w:spacing w:line="408" w:lineRule="auto"/>
        <w:ind w:left="213" w:right="1029" w:hanging="106"/>
        <w:jc w:val="left"/>
      </w:pPr>
      <w:r>
        <w:rPr/>
        <w:t>《独立董事制度》等规定开展工作，出席董事会和股东大会，勤勉尽责地履行职责和义务，同时积极参加</w:t>
      </w:r>
      <w:r>
        <w:rPr>
          <w:w w:val="100"/>
        </w:rPr>
        <w:t> </w:t>
      </w:r>
      <w:r>
        <w:rPr>
          <w:spacing w:val="-2"/>
        </w:rPr>
        <w:t>相关培训，熟悉相关法律法规。公司董事会下设战略委员会、审计委员会、提名委员会及薪酬与考核委员</w:t>
      </w:r>
      <w:r>
        <w:rPr>
          <w:w w:val="100"/>
        </w:rPr>
        <w:t> </w:t>
      </w:r>
      <w:r>
        <w:rPr>
          <w:spacing w:val="-2"/>
        </w:rPr>
        <w:t>会</w:t>
      </w:r>
      <w:r>
        <w:rPr>
          <w:rFonts w:ascii="宋体" w:hAnsi="宋体" w:cs="宋体" w:eastAsia="宋体" w:hint="default"/>
          <w:spacing w:val="-2"/>
        </w:rPr>
        <w:t>4</w:t>
      </w:r>
      <w:r>
        <w:rPr>
          <w:spacing w:val="-2"/>
        </w:rPr>
        <w:t>个专门委员会，除战略委员会外，其他委员会中独立董事占比均超过</w:t>
      </w:r>
      <w:r>
        <w:rPr>
          <w:rFonts w:ascii="宋体" w:hAnsi="宋体" w:cs="宋体" w:eastAsia="宋体" w:hint="default"/>
          <w:spacing w:val="-2"/>
        </w:rPr>
        <w:t>1/2</w:t>
      </w:r>
      <w:r>
        <w:rPr>
          <w:spacing w:val="-2"/>
        </w:rPr>
        <w:t>，为董事会的决策提供了科学</w:t>
      </w:r>
      <w:r>
        <w:rPr>
          <w:spacing w:val="-3"/>
          <w:w w:val="100"/>
        </w:rPr>
        <w:t> </w:t>
      </w:r>
      <w:r>
        <w:rPr>
          <w:spacing w:val="-2"/>
        </w:rPr>
        <w:t>和专业的意见和参考。各委员会依据《公司章程》和各委员会工作细则的规定履行职权，不受公司其他部</w:t>
      </w:r>
      <w:r>
        <w:rPr>
          <w:w w:val="100"/>
        </w:rPr>
        <w:t> </w:t>
      </w:r>
      <w:r>
        <w:rPr>
          <w:spacing w:val="-5"/>
        </w:rPr>
        <w:t>门和个人的干预。报告期内，为完善公司治理结构，保证董事会各专门委员会能够顺利有序高效开展工作，</w:t>
      </w:r>
      <w:r>
        <w:rPr>
          <w:w w:val="100"/>
        </w:rPr>
        <w:t> </w:t>
      </w:r>
      <w:r>
        <w:rPr>
          <w:spacing w:val="-2"/>
        </w:rPr>
        <w:t>充分发挥其职能，公司对董事会四大专门委员会工作细则部分条款进行了修订，并完成了董事会四大专门</w:t>
      </w:r>
      <w:r>
        <w:rPr>
          <w:w w:val="100"/>
        </w:rPr>
        <w:t> </w:t>
      </w:r>
      <w:r>
        <w:rPr/>
        <w:t>委员会的补选工作，补选后四大专门委员会的委员人数均由</w:t>
      </w:r>
      <w:r>
        <w:rPr>
          <w:rFonts w:ascii="宋体" w:hAnsi="宋体" w:cs="宋体" w:eastAsia="宋体" w:hint="default"/>
        </w:rPr>
        <w:t>3</w:t>
      </w:r>
      <w:r>
        <w:rPr/>
        <w:t>名增加至</w:t>
      </w:r>
      <w:r>
        <w:rPr>
          <w:rFonts w:ascii="宋体" w:hAnsi="宋体" w:cs="宋体" w:eastAsia="宋体" w:hint="default"/>
        </w:rPr>
        <w:t>5</w:t>
      </w:r>
      <w:r>
        <w:rPr/>
        <w:t>名。</w:t>
      </w:r>
    </w:p>
    <w:p>
      <w:pPr>
        <w:pStyle w:val="BodyText"/>
        <w:spacing w:line="408" w:lineRule="auto"/>
        <w:ind w:left="633" w:right="1029"/>
        <w:jc w:val="left"/>
      </w:pPr>
      <w:r>
        <w:rPr>
          <w:rFonts w:ascii="宋体" w:hAnsi="宋体" w:cs="宋体" w:eastAsia="宋体" w:hint="default"/>
        </w:rPr>
        <w:t>4</w:t>
      </w:r>
      <w:r>
        <w:rPr/>
        <w:t>、关于监事和监事会</w:t>
      </w:r>
      <w:r>
        <w:rPr>
          <w:spacing w:val="-3"/>
          <w:w w:val="100"/>
        </w:rPr>
        <w:t> </w:t>
      </w:r>
      <w:r>
        <w:rPr>
          <w:spacing w:val="-2"/>
        </w:rPr>
        <w:t>公司监事会设监事</w:t>
      </w:r>
      <w:r>
        <w:rPr>
          <w:rFonts w:ascii="宋体" w:hAnsi="宋体" w:cs="宋体" w:eastAsia="宋体" w:hint="default"/>
          <w:spacing w:val="-2"/>
        </w:rPr>
        <w:t>3</w:t>
      </w:r>
      <w:r>
        <w:rPr>
          <w:spacing w:val="-2"/>
        </w:rPr>
        <w:t>名，其中职工代表监事</w:t>
      </w:r>
      <w:r>
        <w:rPr>
          <w:rFonts w:ascii="宋体" w:hAnsi="宋体" w:cs="宋体" w:eastAsia="宋体" w:hint="default"/>
          <w:spacing w:val="-2"/>
        </w:rPr>
        <w:t>1</w:t>
      </w:r>
      <w:r>
        <w:rPr>
          <w:spacing w:val="-2"/>
        </w:rPr>
        <w:t>名，监事会的人数及人员构成符合法律、法规和《公司章</w:t>
      </w:r>
      <w:r>
        <w:rPr/>
      </w:r>
    </w:p>
    <w:p>
      <w:pPr>
        <w:pStyle w:val="BodyText"/>
        <w:spacing w:line="408" w:lineRule="auto"/>
        <w:ind w:left="213" w:right="1029"/>
        <w:jc w:val="left"/>
      </w:pPr>
      <w:r>
        <w:rPr>
          <w:spacing w:val="-2"/>
        </w:rPr>
        <w:t>程》的要求。报告期内，因公司控制权发生了变更，为更好适应新形势下公司治理的需要，公司部分监事</w:t>
      </w:r>
      <w:r>
        <w:rPr>
          <w:spacing w:val="-43"/>
        </w:rPr>
        <w:t> </w:t>
      </w:r>
      <w:r>
        <w:rPr>
          <w:spacing w:val="-43"/>
        </w:rPr>
      </w:r>
      <w:r>
        <w:rPr>
          <w:spacing w:val="-2"/>
        </w:rPr>
        <w:t>申请辞去了在监事会的职务。对此，公司及时按照相关规定完成了对监事的补选，补选后公司监事会的人</w:t>
      </w:r>
      <w:r>
        <w:rPr>
          <w:spacing w:val="-44"/>
        </w:rPr>
        <w:t> </w:t>
      </w:r>
      <w:r>
        <w:rPr>
          <w:spacing w:val="-44"/>
        </w:rPr>
      </w:r>
      <w:r>
        <w:rPr/>
        <w:t>数未发生变动。报告期内，公司共召开</w:t>
      </w:r>
      <w:r>
        <w:rPr>
          <w:rFonts w:ascii="宋体" w:hAnsi="宋体" w:cs="宋体" w:eastAsia="宋体" w:hint="default"/>
        </w:rPr>
        <w:t>9</w:t>
      </w:r>
      <w:r>
        <w:rPr/>
        <w:t>次监事会会议，会议的召集、召开、决议内容及会议文件签署合</w:t>
      </w:r>
      <w:r>
        <w:rPr>
          <w:w w:val="100"/>
        </w:rPr>
        <w:t> </w:t>
      </w:r>
      <w:r>
        <w:rPr>
          <w:spacing w:val="-2"/>
        </w:rPr>
        <w:t>法、合规、真实、有效。各位监事能够按照《公司章程》、《监事会议事规则》等规定的要求，认真履行</w:t>
      </w:r>
      <w:r>
        <w:rPr>
          <w:spacing w:val="-43"/>
        </w:rPr>
        <w:t> </w:t>
      </w:r>
      <w:r>
        <w:rPr>
          <w:spacing w:val="-43"/>
        </w:rPr>
      </w:r>
      <w:r>
        <w:rPr>
          <w:spacing w:val="-2"/>
        </w:rPr>
        <w:t>自己的职责，对公司重大事项、关联交易、财务状况以及董事、高级管理人员履行职责的合法合规性进行</w:t>
      </w:r>
      <w:r>
        <w:rPr>
          <w:spacing w:val="-47"/>
        </w:rPr>
        <w:t> </w:t>
      </w:r>
      <w:r>
        <w:rPr>
          <w:spacing w:val="-47"/>
        </w:rPr>
      </w:r>
      <w:r>
        <w:rPr/>
        <w:t>监督。</w:t>
      </w:r>
    </w:p>
    <w:p>
      <w:pPr>
        <w:pStyle w:val="BodyText"/>
        <w:spacing w:line="408" w:lineRule="auto"/>
        <w:ind w:left="633" w:right="1029"/>
        <w:jc w:val="left"/>
      </w:pPr>
      <w:r>
        <w:rPr>
          <w:rFonts w:ascii="宋体" w:hAnsi="宋体" w:cs="宋体" w:eastAsia="宋体" w:hint="default"/>
        </w:rPr>
        <w:t>5</w:t>
      </w:r>
      <w:r>
        <w:rPr/>
        <w:t>、关于绩效评价与激励约束机制</w:t>
      </w:r>
      <w:r>
        <w:rPr>
          <w:w w:val="100"/>
        </w:rPr>
        <w:t> </w:t>
      </w:r>
      <w:r>
        <w:rPr>
          <w:spacing w:val="-2"/>
        </w:rPr>
        <w:t>公司董事会下设的薪酬与考核委员会负责对公司的董事、监事、高级管理人员进行绩效考核，建立并</w:t>
      </w:r>
    </w:p>
    <w:p>
      <w:pPr>
        <w:pStyle w:val="BodyText"/>
        <w:spacing w:line="408" w:lineRule="auto"/>
        <w:ind w:left="213" w:right="1127"/>
        <w:jc w:val="both"/>
      </w:pPr>
      <w:r>
        <w:rPr>
          <w:spacing w:val="-2"/>
        </w:rPr>
        <w:t>逐步完善公正透明的董事、监事和高级管理人员的绩效评价标准和激励约束机制。公司高级管理人员的聘</w:t>
      </w:r>
      <w:r>
        <w:rPr>
          <w:spacing w:val="-42"/>
        </w:rPr>
        <w:t> </w:t>
      </w:r>
      <w:r>
        <w:rPr>
          <w:spacing w:val="-42"/>
        </w:rPr>
      </w:r>
      <w:r>
        <w:rPr>
          <w:spacing w:val="-2"/>
        </w:rPr>
        <w:t>任公开、透明，符合法律、法规的规定，现有的考核及激励约束机制符合公司的发展情况。报告期内，公</w:t>
      </w:r>
      <w:r>
        <w:rPr>
          <w:spacing w:val="-42"/>
        </w:rPr>
        <w:t> </w:t>
      </w:r>
      <w:r>
        <w:rPr>
          <w:spacing w:val="-42"/>
        </w:rPr>
      </w:r>
      <w:r>
        <w:rPr>
          <w:spacing w:val="-2"/>
        </w:rPr>
        <w:t>司薪酬与考核委员会制定了《</w:t>
      </w:r>
      <w:r>
        <w:rPr>
          <w:rFonts w:ascii="宋体" w:hAnsi="宋体" w:cs="宋体" w:eastAsia="宋体" w:hint="default"/>
          <w:spacing w:val="-2"/>
        </w:rPr>
        <w:t>2019</w:t>
      </w:r>
      <w:r>
        <w:rPr>
          <w:spacing w:val="-2"/>
        </w:rPr>
        <w:t>年股票期权与限制性股票激励计划（草案）》，并在股东大会的授权范</w:t>
      </w:r>
      <w:r>
        <w:rPr>
          <w:spacing w:val="-39"/>
        </w:rPr>
        <w:t> </w:t>
      </w:r>
      <w:r>
        <w:rPr>
          <w:spacing w:val="-39"/>
        </w:rPr>
      </w:r>
      <w:r>
        <w:rPr/>
        <w:t>围内，对公司实施的股权激励计划股份解锁、股份回购及股份授予等事项进行管理。</w:t>
      </w:r>
    </w:p>
    <w:p>
      <w:pPr>
        <w:pStyle w:val="BodyText"/>
        <w:spacing w:line="408" w:lineRule="auto"/>
        <w:ind w:left="633" w:right="1029"/>
        <w:jc w:val="left"/>
      </w:pPr>
      <w:r>
        <w:rPr>
          <w:rFonts w:ascii="宋体" w:hAnsi="宋体" w:cs="宋体" w:eastAsia="宋体" w:hint="default"/>
        </w:rPr>
        <w:t>6</w:t>
      </w:r>
      <w:r>
        <w:rPr/>
        <w:t>、关于相关利益者</w:t>
      </w:r>
      <w:r>
        <w:rPr>
          <w:w w:val="100"/>
        </w:rPr>
        <w:t> </w:t>
      </w:r>
      <w:r>
        <w:rPr>
          <w:spacing w:val="-2"/>
        </w:rPr>
        <w:t>公司充分尊重和维护相关利益者的合法权益，积极与相关利益者合作，加强与各方的沟通和交流，实</w:t>
      </w:r>
    </w:p>
    <w:p>
      <w:pPr>
        <w:spacing w:after="0" w:line="408" w:lineRule="auto"/>
        <w:jc w:val="left"/>
        <w:sectPr>
          <w:pgSz w:w="11910" w:h="16840"/>
          <w:pgMar w:header="745" w:footer="982" w:top="1060" w:bottom="1180" w:left="920" w:right="0"/>
        </w:sectPr>
      </w:pPr>
    </w:p>
    <w:p>
      <w:pPr>
        <w:spacing w:line="240" w:lineRule="auto" w:before="0"/>
        <w:rPr>
          <w:rFonts w:ascii="宋体" w:hAnsi="宋体" w:cs="宋体" w:eastAsia="宋体" w:hint="default"/>
          <w:sz w:val="20"/>
          <w:szCs w:val="20"/>
        </w:rPr>
      </w:pPr>
    </w:p>
    <w:p>
      <w:pPr>
        <w:pStyle w:val="BodyText"/>
        <w:spacing w:line="408" w:lineRule="auto" w:before="175"/>
        <w:ind w:left="632" w:right="1029" w:hanging="420"/>
        <w:jc w:val="left"/>
      </w:pPr>
      <w:r>
        <w:rPr/>
        <w:t>现股东、员工、社会等各方利益的协调平衡，共同推动公司持续、健康的发展。</w:t>
      </w:r>
      <w:r>
        <w:rPr>
          <w:w w:val="100"/>
        </w:rPr>
        <w:t> </w:t>
      </w:r>
      <w:r>
        <w:rPr>
          <w:rFonts w:ascii="宋体" w:hAnsi="宋体" w:cs="宋体" w:eastAsia="宋体" w:hint="default"/>
        </w:rPr>
        <w:t>7</w:t>
      </w:r>
      <w:r>
        <w:rPr/>
        <w:t>、关于信息披露与透明度</w:t>
      </w:r>
      <w:r>
        <w:rPr>
          <w:spacing w:val="-3"/>
          <w:w w:val="100"/>
        </w:rPr>
        <w:t> </w:t>
      </w:r>
      <w:r>
        <w:rPr>
          <w:spacing w:val="-2"/>
        </w:rPr>
        <w:t>公司严格按照《上市公司信息披露管理办法》、《深圳证券交易所创业板上市公司规范运作指引》、</w:t>
      </w:r>
    </w:p>
    <w:p>
      <w:pPr>
        <w:pStyle w:val="BodyText"/>
        <w:spacing w:line="408" w:lineRule="auto"/>
        <w:ind w:left="212" w:right="1129"/>
        <w:jc w:val="both"/>
      </w:pPr>
      <w:r>
        <w:rPr>
          <w:spacing w:val="-2"/>
        </w:rPr>
        <w:t>公司的《信息披露管理制度》等相关法律、法规和规范性文件的要求，真实、准确、完整、及时、公平地</w:t>
      </w:r>
      <w:r>
        <w:rPr>
          <w:spacing w:val="-50"/>
        </w:rPr>
        <w:t> </w:t>
      </w:r>
      <w:r>
        <w:rPr>
          <w:spacing w:val="-50"/>
        </w:rPr>
      </w:r>
      <w:r>
        <w:rPr>
          <w:spacing w:val="-2"/>
        </w:rPr>
        <w:t>披露有关信息，指定公司董事会秘书负责信息披露工作，协调公司与投资者的关系，接待股东来访、机构</w:t>
      </w:r>
      <w:r>
        <w:rPr>
          <w:spacing w:val="-47"/>
        </w:rPr>
        <w:t> </w:t>
      </w:r>
      <w:r>
        <w:rPr>
          <w:spacing w:val="-47"/>
        </w:rPr>
      </w:r>
      <w:r>
        <w:rPr>
          <w:spacing w:val="-7"/>
        </w:rPr>
        <w:t>调研，回答投资者的咨询，向投资者提供公司已披露的资料；并指定《证券时报》、《中国证券报》、《证</w:t>
      </w:r>
      <w:r>
        <w:rPr>
          <w:spacing w:val="-17"/>
        </w:rPr>
        <w:t> </w:t>
      </w:r>
      <w:r>
        <w:rPr>
          <w:spacing w:val="-17"/>
        </w:rPr>
      </w:r>
      <w:r>
        <w:rPr/>
        <w:t>券日报》、《上海证券报》和中国证监会指定的创业板信息披露网站（巨潮资讯网</w:t>
      </w:r>
      <w:r>
        <w:rPr>
          <w:rFonts w:ascii="宋体" w:hAnsi="宋体" w:cs="宋体" w:eastAsia="宋体" w:hint="default"/>
        </w:rPr>
      </w:r>
      <w:hyperlink r:id="rId11">
        <w:r>
          <w:rPr>
            <w:rFonts w:ascii="宋体" w:hAnsi="宋体" w:cs="宋体" w:eastAsia="宋体" w:hint="default"/>
            <w:u w:val="single" w:color="000000"/>
          </w:rPr>
          <w:t>www.cninfo.com.cn</w:t>
        </w:r>
        <w:r>
          <w:rPr>
            <w:rFonts w:ascii="宋体" w:hAnsi="宋体" w:cs="宋体" w:eastAsia="宋体" w:hint="default"/>
          </w:rPr>
        </w:r>
      </w:hyperlink>
      <w:r>
        <w:rPr/>
        <w:t>）</w:t>
      </w:r>
    </w:p>
    <w:p>
      <w:pPr>
        <w:pStyle w:val="BodyText"/>
        <w:spacing w:line="240" w:lineRule="auto"/>
        <w:ind w:left="212" w:right="1029"/>
        <w:jc w:val="left"/>
      </w:pPr>
      <w:r>
        <w:rPr/>
        <w:t>为公司信息披露的指定报刊和网站，确保公司所有投资者能够平等地获得信息。</w:t>
      </w:r>
    </w:p>
    <w:p>
      <w:pPr>
        <w:spacing w:before="178"/>
        <w:ind w:left="212" w:right="1029" w:firstLine="0"/>
        <w:jc w:val="left"/>
        <w:rPr>
          <w:rFonts w:ascii="宋体" w:hAnsi="宋体" w:cs="宋体" w:eastAsia="宋体" w:hint="default"/>
          <w:sz w:val="18"/>
          <w:szCs w:val="18"/>
        </w:rPr>
      </w:pPr>
      <w:r>
        <w:rPr>
          <w:rFonts w:ascii="宋体" w:hAnsi="宋体" w:cs="宋体" w:eastAsia="宋体" w:hint="default"/>
          <w:sz w:val="18"/>
          <w:szCs w:val="18"/>
        </w:rPr>
        <w:t>公司治理的实际状况与中国证监会发布的有关上市公司治理的规范性文件是否存在重大差异</w:t>
      </w:r>
    </w:p>
    <w:p>
      <w:pPr>
        <w:spacing w:line="340" w:lineRule="auto" w:before="115"/>
        <w:ind w:left="212" w:right="355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 公司治理的实际状况与中国证监会发布的有关上市公司治理的规范性文件不存在重大差异。</w:t>
      </w:r>
    </w:p>
    <w:p>
      <w:pPr>
        <w:spacing w:line="240" w:lineRule="auto" w:before="6"/>
        <w:rPr>
          <w:rFonts w:ascii="宋体" w:hAnsi="宋体" w:cs="宋体" w:eastAsia="宋体" w:hint="default"/>
          <w:sz w:val="19"/>
          <w:szCs w:val="19"/>
        </w:rPr>
      </w:pPr>
    </w:p>
    <w:p>
      <w:pPr>
        <w:pStyle w:val="Heading2"/>
        <w:spacing w:line="240" w:lineRule="auto"/>
        <w:ind w:left="212" w:right="1029"/>
        <w:jc w:val="left"/>
        <w:rPr>
          <w:b w:val="0"/>
          <w:bCs w:val="0"/>
        </w:rPr>
      </w:pPr>
      <w:bookmarkStart w:name="二、公司相对于控股股东在业务、人员、资产、机构、财务等方面的独立情况" w:id="137"/>
      <w:bookmarkEnd w:id="137"/>
      <w:r>
        <w:rPr>
          <w:b w:val="0"/>
          <w:bCs w:val="0"/>
        </w:rPr>
      </w:r>
      <w:r>
        <w:rPr/>
        <w:t>二、公司相对于控股股东在业务、人员、资产、机构、财务等方面的独立情况</w:t>
      </w:r>
      <w:r>
        <w:rPr>
          <w:b w:val="0"/>
          <w:bCs w:val="0"/>
        </w:rPr>
      </w:r>
    </w:p>
    <w:p>
      <w:pPr>
        <w:spacing w:line="240" w:lineRule="auto" w:before="10"/>
        <w:rPr>
          <w:rFonts w:ascii="宋体" w:hAnsi="宋体" w:cs="宋体" w:eastAsia="宋体" w:hint="default"/>
          <w:b/>
          <w:bCs/>
          <w:sz w:val="30"/>
          <w:szCs w:val="30"/>
        </w:rPr>
      </w:pPr>
    </w:p>
    <w:p>
      <w:pPr>
        <w:pStyle w:val="BodyText"/>
        <w:spacing w:line="240" w:lineRule="auto" w:before="0"/>
        <w:ind w:left="570" w:right="1029"/>
        <w:jc w:val="left"/>
      </w:pPr>
      <w:r>
        <w:rPr>
          <w:spacing w:val="-8"/>
        </w:rPr>
        <w:t>公司控股股东严格按照《公司法》、《上市公司治理准则》、《深圳证券交易所创业板股票上市规则》、</w:t>
      </w:r>
    </w:p>
    <w:p>
      <w:pPr>
        <w:spacing w:line="240" w:lineRule="auto" w:before="10"/>
        <w:rPr>
          <w:rFonts w:ascii="宋体" w:hAnsi="宋体" w:cs="宋体" w:eastAsia="宋体" w:hint="default"/>
          <w:sz w:val="14"/>
          <w:szCs w:val="14"/>
        </w:rPr>
      </w:pPr>
    </w:p>
    <w:p>
      <w:pPr>
        <w:pStyle w:val="BodyText"/>
        <w:spacing w:line="408" w:lineRule="auto" w:before="0"/>
        <w:ind w:left="212" w:right="1029" w:hanging="106"/>
        <w:jc w:val="left"/>
      </w:pPr>
      <w:r>
        <w:rPr/>
        <w:t>《深圳证券交易所创业板上市公司规范运作指引》及《公司章程》等规定和要求，严格规范自身行为，不</w:t>
      </w:r>
      <w:r>
        <w:rPr>
          <w:w w:val="100"/>
        </w:rPr>
        <w:t> </w:t>
      </w:r>
      <w:r>
        <w:rPr>
          <w:spacing w:val="-2"/>
        </w:rPr>
        <w:t>存在超越公司股东大会直接或间接干预公司的决策和经营活动的行为，未损害公司及其他股东的利益，不</w:t>
      </w:r>
      <w:r>
        <w:rPr>
          <w:w w:val="100"/>
        </w:rPr>
        <w:t> </w:t>
      </w:r>
      <w:r>
        <w:rPr>
          <w:spacing w:val="-2"/>
        </w:rPr>
        <w:t>存在控股股东占用公司资金的现象，公司亦无为控股股东提供担保的情形。公司拥有独立完整的业务和自</w:t>
      </w:r>
      <w:r>
        <w:rPr>
          <w:w w:val="100"/>
        </w:rPr>
        <w:t> </w:t>
      </w:r>
      <w:r>
        <w:rPr/>
        <w:t>主经营能力，在业务、资产、人员、机构、财务上独立于控股股东。</w:t>
      </w:r>
    </w:p>
    <w:p>
      <w:pPr>
        <w:spacing w:line="240" w:lineRule="auto" w:before="6"/>
        <w:rPr>
          <w:rFonts w:ascii="宋体" w:hAnsi="宋体" w:cs="宋体" w:eastAsia="宋体" w:hint="default"/>
          <w:sz w:val="18"/>
          <w:szCs w:val="18"/>
        </w:rPr>
      </w:pPr>
    </w:p>
    <w:p>
      <w:pPr>
        <w:pStyle w:val="Heading2"/>
        <w:spacing w:line="240" w:lineRule="auto"/>
        <w:ind w:left="212" w:right="1029"/>
        <w:jc w:val="left"/>
        <w:rPr>
          <w:b w:val="0"/>
          <w:bCs w:val="0"/>
        </w:rPr>
      </w:pPr>
      <w:bookmarkStart w:name="三、同业竞争情况" w:id="138"/>
      <w:bookmarkEnd w:id="138"/>
      <w:r>
        <w:rPr>
          <w:b w:val="0"/>
          <w:bCs w:val="0"/>
        </w:rPr>
      </w:r>
      <w:r>
        <w:rPr/>
        <w:t>三、同业竞争情况</w:t>
      </w:r>
      <w:r>
        <w:rPr>
          <w:b w:val="0"/>
          <w:bCs w:val="0"/>
        </w:rPr>
      </w:r>
    </w:p>
    <w:p>
      <w:pPr>
        <w:spacing w:line="240" w:lineRule="auto" w:before="6"/>
        <w:rPr>
          <w:rFonts w:ascii="宋体" w:hAnsi="宋体" w:cs="宋体" w:eastAsia="宋体" w:hint="default"/>
          <w:b/>
          <w:bCs/>
          <w:sz w:val="26"/>
          <w:szCs w:val="26"/>
        </w:rPr>
      </w:pPr>
    </w:p>
    <w:p>
      <w:pPr>
        <w:spacing w:before="0"/>
        <w:ind w:left="212" w:right="1029"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5"/>
          <w:szCs w:val="25"/>
        </w:rPr>
      </w:pPr>
    </w:p>
    <w:p>
      <w:pPr>
        <w:pStyle w:val="Heading2"/>
        <w:spacing w:line="240" w:lineRule="auto"/>
        <w:ind w:left="212" w:right="1029"/>
        <w:jc w:val="left"/>
        <w:rPr>
          <w:b w:val="0"/>
          <w:bCs w:val="0"/>
        </w:rPr>
      </w:pPr>
      <w:bookmarkStart w:name="四、报告期内召开的年度股东大会和临时股东大会的有关情况" w:id="139"/>
      <w:bookmarkEnd w:id="139"/>
      <w:r>
        <w:rPr>
          <w:b w:val="0"/>
          <w:bCs w:val="0"/>
        </w:rPr>
      </w:r>
      <w:r>
        <w:rPr/>
        <w:t>四、报告期内召开的年度股东大会和临时股东大会的有关情况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left="212" w:right="1029"/>
        <w:jc w:val="left"/>
        <w:rPr>
          <w:b w:val="0"/>
          <w:bCs w:val="0"/>
        </w:rPr>
      </w:pPr>
      <w:bookmarkStart w:name="1、本报告期股东大会情况" w:id="140"/>
      <w:bookmarkEnd w:id="140"/>
      <w:r>
        <w:rPr>
          <w:b w:val="0"/>
          <w:bCs w:val="0"/>
        </w:rPr>
      </w:r>
      <w:r>
        <w:rPr>
          <w:rFonts w:ascii="Times New Roman" w:hAnsi="Times New Roman" w:cs="Times New Roman" w:eastAsia="Times New Roman" w:hint="default"/>
        </w:rPr>
        <w:t>1</w:t>
      </w:r>
      <w:r>
        <w:rPr/>
        <w:t>、本报告期股东大会情况</w:t>
      </w:r>
      <w:r>
        <w:rPr>
          <w:b w:val="0"/>
          <w:bCs w:val="0"/>
        </w:rPr>
      </w:r>
    </w:p>
    <w:p>
      <w:pPr>
        <w:spacing w:line="240" w:lineRule="auto" w:before="7"/>
        <w:rPr>
          <w:rFonts w:ascii="宋体" w:hAnsi="宋体" w:cs="宋体" w:eastAsia="宋体" w:hint="default"/>
          <w:b/>
          <w:bCs/>
          <w:sz w:val="25"/>
          <w:szCs w:val="25"/>
        </w:rPr>
      </w:pPr>
    </w:p>
    <w:tbl>
      <w:tblPr>
        <w:tblW w:w="0" w:type="auto"/>
        <w:jc w:val="left"/>
        <w:tblInd w:w="207" w:type="dxa"/>
        <w:tblLayout w:type="fixed"/>
        <w:tblCellMar>
          <w:top w:w="0" w:type="dxa"/>
          <w:left w:w="0" w:type="dxa"/>
          <w:bottom w:w="0" w:type="dxa"/>
          <w:right w:w="0" w:type="dxa"/>
        </w:tblCellMar>
        <w:tblLook w:val="01E0"/>
      </w:tblPr>
      <w:tblGrid>
        <w:gridCol w:w="1219"/>
        <w:gridCol w:w="1394"/>
        <w:gridCol w:w="1426"/>
        <w:gridCol w:w="1546"/>
        <w:gridCol w:w="1694"/>
        <w:gridCol w:w="2287"/>
      </w:tblGrid>
      <w:tr>
        <w:trPr>
          <w:trHeight w:val="403" w:hRule="exact"/>
        </w:trPr>
        <w:tc>
          <w:tcPr>
            <w:tcW w:w="121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4"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3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329"/>
              <w:jc w:val="right"/>
              <w:rPr>
                <w:rFonts w:ascii="宋体" w:hAnsi="宋体" w:cs="宋体" w:eastAsia="宋体" w:hint="default"/>
                <w:sz w:val="18"/>
                <w:szCs w:val="18"/>
              </w:rPr>
            </w:pPr>
            <w:r>
              <w:rPr>
                <w:rFonts w:ascii="宋体" w:hAnsi="宋体" w:cs="宋体" w:eastAsia="宋体" w:hint="default"/>
                <w:sz w:val="18"/>
                <w:szCs w:val="18"/>
              </w:rPr>
              <w:t>会议类型</w:t>
            </w:r>
          </w:p>
        </w:tc>
        <w:tc>
          <w:tcPr>
            <w:tcW w:w="14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77"/>
              <w:jc w:val="right"/>
              <w:rPr>
                <w:rFonts w:ascii="宋体" w:hAnsi="宋体" w:cs="宋体" w:eastAsia="宋体" w:hint="default"/>
                <w:sz w:val="18"/>
                <w:szCs w:val="18"/>
              </w:rPr>
            </w:pPr>
            <w:r>
              <w:rPr>
                <w:rFonts w:ascii="宋体" w:hAnsi="宋体" w:cs="宋体" w:eastAsia="宋体" w:hint="default"/>
                <w:sz w:val="18"/>
                <w:szCs w:val="18"/>
              </w:rPr>
              <w:t>投资者参与比例</w:t>
            </w:r>
          </w:p>
        </w:tc>
        <w:tc>
          <w:tcPr>
            <w:tcW w:w="154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召开日期</w:t>
            </w:r>
          </w:p>
        </w:tc>
        <w:tc>
          <w:tcPr>
            <w:tcW w:w="16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82"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22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披露索引</w:t>
            </w:r>
          </w:p>
        </w:tc>
      </w:tr>
      <w:tr>
        <w:trPr>
          <w:trHeight w:val="1025" w:hRule="exact"/>
        </w:trPr>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97" w:lineRule="auto"/>
              <w:ind w:left="24" w:right="55"/>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年年度股 东大会</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278"/>
              <w:jc w:val="right"/>
              <w:rPr>
                <w:rFonts w:ascii="宋体" w:hAnsi="宋体" w:cs="宋体" w:eastAsia="宋体" w:hint="default"/>
                <w:sz w:val="18"/>
                <w:szCs w:val="18"/>
              </w:rPr>
            </w:pPr>
            <w:r>
              <w:rPr>
                <w:rFonts w:ascii="宋体" w:hAnsi="宋体" w:cs="宋体" w:eastAsia="宋体" w:hint="default"/>
                <w:sz w:val="18"/>
                <w:szCs w:val="18"/>
              </w:rPr>
              <w:t>年度股东大会</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58.31%</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2287"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49"/>
              <w:ind w:left="23" w:right="31"/>
              <w:jc w:val="left"/>
              <w:rPr>
                <w:rFonts w:ascii="Times New Roman" w:hAnsi="Times New Roman" w:cs="Times New Roman" w:eastAsia="Times New Roman" w:hint="default"/>
                <w:sz w:val="18"/>
                <w:szCs w:val="18"/>
              </w:rPr>
            </w:pPr>
            <w:hyperlink r:id="rId11">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 年度股东大会决议公告》公 告编号：</w:t>
            </w:r>
            <w:r>
              <w:rPr>
                <w:rFonts w:ascii="Times New Roman" w:hAnsi="Times New Roman" w:cs="Times New Roman" w:eastAsia="Times New Roman" w:hint="default"/>
                <w:sz w:val="18"/>
                <w:szCs w:val="18"/>
              </w:rPr>
              <w:t>2019-36</w:t>
            </w:r>
          </w:p>
        </w:tc>
      </w:tr>
      <w:tr>
        <w:trPr>
          <w:trHeight w:val="1027" w:hRule="exact"/>
        </w:trPr>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00" w:lineRule="auto"/>
              <w:ind w:left="24" w:right="55"/>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 临时股东大会</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278"/>
              <w:jc w:val="right"/>
              <w:rPr>
                <w:rFonts w:ascii="宋体" w:hAnsi="宋体" w:cs="宋体" w:eastAsia="宋体" w:hint="default"/>
                <w:sz w:val="18"/>
                <w:szCs w:val="18"/>
              </w:rPr>
            </w:pPr>
            <w:r>
              <w:rPr>
                <w:rFonts w:ascii="宋体" w:hAnsi="宋体" w:cs="宋体" w:eastAsia="宋体" w:hint="default"/>
                <w:sz w:val="18"/>
                <w:szCs w:val="18"/>
              </w:rPr>
              <w:t>临时股东大会</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58.74%</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日</w:t>
            </w: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日</w:t>
            </w:r>
          </w:p>
        </w:tc>
        <w:tc>
          <w:tcPr>
            <w:tcW w:w="2287"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31"/>
              <w:jc w:val="left"/>
              <w:rPr>
                <w:rFonts w:ascii="Times New Roman" w:hAnsi="Times New Roman" w:cs="Times New Roman" w:eastAsia="Times New Roman" w:hint="default"/>
                <w:sz w:val="18"/>
                <w:szCs w:val="18"/>
              </w:rPr>
            </w:pPr>
            <w:hyperlink r:id="rId11">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 第一次临时股东大会决议公 告》公告编号：</w:t>
            </w:r>
            <w:r>
              <w:rPr>
                <w:rFonts w:ascii="Times New Roman" w:hAnsi="Times New Roman" w:cs="Times New Roman" w:eastAsia="Times New Roman" w:hint="default"/>
                <w:sz w:val="18"/>
                <w:szCs w:val="18"/>
              </w:rPr>
              <w:t>2019-70</w:t>
            </w:r>
          </w:p>
        </w:tc>
      </w:tr>
    </w:tbl>
    <w:p>
      <w:pPr>
        <w:spacing w:after="0" w:line="309" w:lineRule="auto"/>
        <w:jc w:val="left"/>
        <w:rPr>
          <w:rFonts w:ascii="Times New Roman" w:hAnsi="Times New Roman" w:cs="Times New Roman" w:eastAsia="Times New Roman" w:hint="default"/>
          <w:sz w:val="18"/>
          <w:szCs w:val="18"/>
        </w:rPr>
        <w:sectPr>
          <w:pgSz w:w="11910" w:h="16840"/>
          <w:pgMar w:header="745" w:footer="982" w:top="1060" w:bottom="1180" w:left="920" w:right="0"/>
        </w:sectPr>
      </w:pPr>
    </w:p>
    <w:p>
      <w:pPr>
        <w:spacing w:line="240" w:lineRule="auto" w:before="6"/>
        <w:rPr>
          <w:rFonts w:ascii="宋体" w:hAnsi="宋体" w:cs="宋体" w:eastAsia="宋体" w:hint="default"/>
          <w:b/>
          <w:bCs/>
          <w:sz w:val="28"/>
          <w:szCs w:val="28"/>
        </w:rPr>
      </w:pPr>
    </w:p>
    <w:tbl>
      <w:tblPr>
        <w:tblW w:w="0" w:type="auto"/>
        <w:jc w:val="left"/>
        <w:tblInd w:w="148" w:type="dxa"/>
        <w:tblLayout w:type="fixed"/>
        <w:tblCellMar>
          <w:top w:w="0" w:type="dxa"/>
          <w:left w:w="0" w:type="dxa"/>
          <w:bottom w:w="0" w:type="dxa"/>
          <w:right w:w="0" w:type="dxa"/>
        </w:tblCellMar>
        <w:tblLook w:val="01E0"/>
      </w:tblPr>
      <w:tblGrid>
        <w:gridCol w:w="1219"/>
        <w:gridCol w:w="1394"/>
        <w:gridCol w:w="1426"/>
        <w:gridCol w:w="1546"/>
        <w:gridCol w:w="1694"/>
        <w:gridCol w:w="2287"/>
      </w:tblGrid>
      <w:tr>
        <w:trPr>
          <w:trHeight w:val="1027" w:hRule="exact"/>
        </w:trPr>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00" w:lineRule="auto"/>
              <w:ind w:left="24" w:right="55"/>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 临时股东大会</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837" w:right="0"/>
              <w:jc w:val="left"/>
              <w:rPr>
                <w:rFonts w:ascii="Times New Roman" w:hAnsi="Times New Roman" w:cs="Times New Roman" w:eastAsia="Times New Roman" w:hint="default"/>
                <w:sz w:val="18"/>
                <w:szCs w:val="18"/>
              </w:rPr>
            </w:pPr>
            <w:r>
              <w:rPr>
                <w:rFonts w:ascii="Times New Roman"/>
                <w:sz w:val="18"/>
              </w:rPr>
              <w:t>56.61%</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 </w:t>
            </w:r>
            <w:r>
              <w:rPr>
                <w:rFonts w:ascii="宋体" w:hAnsi="宋体" w:cs="宋体" w:eastAsia="宋体" w:hint="default"/>
                <w:sz w:val="18"/>
                <w:szCs w:val="18"/>
              </w:rPr>
              <w:t>日</w:t>
            </w: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 </w:t>
            </w:r>
            <w:r>
              <w:rPr>
                <w:rFonts w:ascii="宋体" w:hAnsi="宋体" w:cs="宋体" w:eastAsia="宋体" w:hint="default"/>
                <w:sz w:val="18"/>
                <w:szCs w:val="18"/>
              </w:rPr>
              <w:t>日</w:t>
            </w:r>
          </w:p>
        </w:tc>
        <w:tc>
          <w:tcPr>
            <w:tcW w:w="2287"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31"/>
              <w:jc w:val="left"/>
              <w:rPr>
                <w:rFonts w:ascii="Times New Roman" w:hAnsi="Times New Roman" w:cs="Times New Roman" w:eastAsia="Times New Roman" w:hint="default"/>
                <w:sz w:val="18"/>
                <w:szCs w:val="18"/>
              </w:rPr>
            </w:pPr>
            <w:hyperlink r:id="rId11">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 第二次临时股东大会决议公 告》公告编号：</w:t>
            </w:r>
            <w:r>
              <w:rPr>
                <w:rFonts w:ascii="Times New Roman" w:hAnsi="Times New Roman" w:cs="Times New Roman" w:eastAsia="Times New Roman" w:hint="default"/>
                <w:sz w:val="18"/>
                <w:szCs w:val="18"/>
              </w:rPr>
              <w:t>2019-94</w:t>
            </w:r>
          </w:p>
        </w:tc>
      </w:tr>
    </w:tbl>
    <w:p>
      <w:pPr>
        <w:spacing w:line="240" w:lineRule="auto" w:before="3"/>
        <w:rPr>
          <w:rFonts w:ascii="宋体" w:hAnsi="宋体" w:cs="宋体" w:eastAsia="宋体" w:hint="default"/>
          <w:b/>
          <w:bCs/>
          <w:sz w:val="19"/>
          <w:szCs w:val="19"/>
        </w:rPr>
      </w:pPr>
    </w:p>
    <w:p>
      <w:pPr>
        <w:pStyle w:val="Heading4"/>
        <w:spacing w:line="240" w:lineRule="auto" w:before="36"/>
        <w:ind w:right="986"/>
        <w:jc w:val="left"/>
        <w:rPr>
          <w:b w:val="0"/>
          <w:bCs w:val="0"/>
        </w:rPr>
      </w:pPr>
      <w:bookmarkStart w:name="2、表决权恢复的优先股股东请求召开临时股东大会" w:id="141"/>
      <w:bookmarkEnd w:id="141"/>
      <w:r>
        <w:rPr>
          <w:b w:val="0"/>
          <w:bCs w:val="0"/>
        </w:rPr>
      </w: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5"/>
          <w:szCs w:val="25"/>
        </w:rPr>
      </w:pPr>
    </w:p>
    <w:p>
      <w:pPr>
        <w:pStyle w:val="Heading2"/>
        <w:spacing w:line="240" w:lineRule="auto"/>
        <w:ind w:right="986"/>
        <w:jc w:val="left"/>
        <w:rPr>
          <w:b w:val="0"/>
          <w:bCs w:val="0"/>
        </w:rPr>
      </w:pPr>
      <w:bookmarkStart w:name="五、报告期内独立董事履行职责的情况" w:id="142"/>
      <w:bookmarkEnd w:id="142"/>
      <w:r>
        <w:rPr>
          <w:b w:val="0"/>
          <w:bCs w:val="0"/>
        </w:rPr>
      </w:r>
      <w:r>
        <w:rPr/>
        <w:t>五、报告期内独立董事履行职责的情况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6"/>
        <w:jc w:val="left"/>
        <w:rPr>
          <w:b w:val="0"/>
          <w:bCs w:val="0"/>
        </w:rPr>
      </w:pPr>
      <w:bookmarkStart w:name="1、独立董事出席董事会及股东大会的情况" w:id="143"/>
      <w:bookmarkEnd w:id="143"/>
      <w:r>
        <w:rPr>
          <w:b w:val="0"/>
          <w:bCs w:val="0"/>
        </w:rPr>
      </w: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085"/>
        <w:gridCol w:w="1320"/>
        <w:gridCol w:w="1094"/>
        <w:gridCol w:w="1260"/>
        <w:gridCol w:w="989"/>
        <w:gridCol w:w="1037"/>
        <w:gridCol w:w="1622"/>
        <w:gridCol w:w="1164"/>
      </w:tblGrid>
      <w:tr>
        <w:trPr>
          <w:trHeight w:val="403" w:hRule="exact"/>
        </w:trPr>
        <w:tc>
          <w:tcPr>
            <w:tcW w:w="9571" w:type="dxa"/>
            <w:gridSpan w:val="8"/>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713" w:hRule="exact"/>
        </w:trPr>
        <w:tc>
          <w:tcPr>
            <w:tcW w:w="108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446" w:right="86" w:hanging="360"/>
              <w:jc w:val="left"/>
              <w:rPr>
                <w:rFonts w:ascii="宋体" w:hAnsi="宋体" w:cs="宋体" w:eastAsia="宋体" w:hint="default"/>
                <w:sz w:val="18"/>
                <w:szCs w:val="18"/>
              </w:rPr>
            </w:pPr>
            <w:r>
              <w:rPr>
                <w:rFonts w:ascii="宋体" w:hAnsi="宋体" w:cs="宋体" w:eastAsia="宋体" w:hint="default"/>
                <w:sz w:val="18"/>
                <w:szCs w:val="18"/>
              </w:rPr>
              <w:t>独立董事姓 名</w:t>
            </w:r>
          </w:p>
        </w:tc>
        <w:tc>
          <w:tcPr>
            <w:tcW w:w="132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06" w:right="23" w:hanging="180"/>
              <w:jc w:val="left"/>
              <w:rPr>
                <w:rFonts w:ascii="宋体" w:hAnsi="宋体" w:cs="宋体" w:eastAsia="宋体" w:hint="default"/>
                <w:sz w:val="18"/>
                <w:szCs w:val="18"/>
              </w:rPr>
            </w:pPr>
            <w:r>
              <w:rPr>
                <w:rFonts w:ascii="宋体" w:hAnsi="宋体" w:cs="宋体" w:eastAsia="宋体" w:hint="default"/>
                <w:sz w:val="18"/>
                <w:szCs w:val="18"/>
              </w:rPr>
              <w:t>本报告期应参加 董事会次数</w:t>
            </w:r>
          </w:p>
        </w:tc>
        <w:tc>
          <w:tcPr>
            <w:tcW w:w="10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82" w:right="89" w:hanging="89"/>
              <w:jc w:val="left"/>
              <w:rPr>
                <w:rFonts w:ascii="宋体" w:hAnsi="宋体" w:cs="宋体" w:eastAsia="宋体" w:hint="default"/>
                <w:sz w:val="18"/>
                <w:szCs w:val="18"/>
              </w:rPr>
            </w:pPr>
            <w:r>
              <w:rPr>
                <w:rFonts w:ascii="宋体" w:hAnsi="宋体" w:cs="宋体" w:eastAsia="宋体" w:hint="default"/>
                <w:sz w:val="18"/>
                <w:szCs w:val="18"/>
              </w:rPr>
              <w:t>现场出席董 事会次数</w:t>
            </w:r>
          </w:p>
        </w:tc>
        <w:tc>
          <w:tcPr>
            <w:tcW w:w="12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86" w:right="83"/>
              <w:jc w:val="left"/>
              <w:rPr>
                <w:rFonts w:ascii="宋体" w:hAnsi="宋体" w:cs="宋体" w:eastAsia="宋体" w:hint="default"/>
                <w:sz w:val="18"/>
                <w:szCs w:val="18"/>
              </w:rPr>
            </w:pPr>
            <w:r>
              <w:rPr>
                <w:rFonts w:ascii="宋体" w:hAnsi="宋体" w:cs="宋体" w:eastAsia="宋体" w:hint="default"/>
                <w:sz w:val="18"/>
                <w:szCs w:val="18"/>
              </w:rPr>
              <w:t>以通讯方式参 加董事会次数</w:t>
            </w:r>
          </w:p>
        </w:tc>
        <w:tc>
          <w:tcPr>
            <w:tcW w:w="9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29" w:right="36" w:hanging="89"/>
              <w:jc w:val="left"/>
              <w:rPr>
                <w:rFonts w:ascii="宋体" w:hAnsi="宋体" w:cs="宋体" w:eastAsia="宋体" w:hint="default"/>
                <w:sz w:val="18"/>
                <w:szCs w:val="18"/>
              </w:rPr>
            </w:pPr>
            <w:r>
              <w:rPr>
                <w:rFonts w:ascii="宋体" w:hAnsi="宋体" w:cs="宋体" w:eastAsia="宋体" w:hint="default"/>
                <w:sz w:val="18"/>
                <w:szCs w:val="18"/>
              </w:rPr>
              <w:t>委托出席董 事会次数</w:t>
            </w:r>
          </w:p>
        </w:tc>
        <w:tc>
          <w:tcPr>
            <w:tcW w:w="10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335" w:right="60" w:hanging="272"/>
              <w:jc w:val="left"/>
              <w:rPr>
                <w:rFonts w:ascii="宋体" w:hAnsi="宋体" w:cs="宋体" w:eastAsia="宋体" w:hint="default"/>
                <w:sz w:val="18"/>
                <w:szCs w:val="18"/>
              </w:rPr>
            </w:pPr>
            <w:r>
              <w:rPr>
                <w:rFonts w:ascii="宋体" w:hAnsi="宋体" w:cs="宋体" w:eastAsia="宋体" w:hint="default"/>
                <w:sz w:val="18"/>
                <w:szCs w:val="18"/>
              </w:rPr>
              <w:t>缺席董事会 次数</w:t>
            </w:r>
          </w:p>
        </w:tc>
        <w:tc>
          <w:tcPr>
            <w:tcW w:w="162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86" w:right="84"/>
              <w:jc w:val="left"/>
              <w:rPr>
                <w:rFonts w:ascii="宋体" w:hAnsi="宋体" w:cs="宋体" w:eastAsia="宋体" w:hint="default"/>
                <w:sz w:val="18"/>
                <w:szCs w:val="18"/>
              </w:rPr>
            </w:pPr>
            <w:r>
              <w:rPr>
                <w:rFonts w:ascii="宋体" w:hAnsi="宋体" w:cs="宋体" w:eastAsia="宋体" w:hint="default"/>
                <w:sz w:val="18"/>
                <w:szCs w:val="18"/>
              </w:rPr>
              <w:t>是否连续两次未亲 自参加董事会会议</w:t>
            </w:r>
          </w:p>
        </w:tc>
        <w:tc>
          <w:tcPr>
            <w:tcW w:w="1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395" w:right="36" w:hanging="360"/>
              <w:jc w:val="left"/>
              <w:rPr>
                <w:rFonts w:ascii="宋体" w:hAnsi="宋体" w:cs="宋体" w:eastAsia="宋体" w:hint="default"/>
                <w:sz w:val="18"/>
                <w:szCs w:val="18"/>
              </w:rPr>
            </w:pPr>
            <w:r>
              <w:rPr>
                <w:rFonts w:ascii="宋体" w:hAnsi="宋体" w:cs="宋体" w:eastAsia="宋体" w:hint="default"/>
                <w:sz w:val="18"/>
                <w:szCs w:val="18"/>
              </w:rPr>
              <w:t>出席股东大会 次数</w:t>
            </w:r>
          </w:p>
        </w:tc>
      </w:tr>
      <w:tr>
        <w:trPr>
          <w:trHeight w:val="403" w:hRule="exact"/>
        </w:trPr>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曲晓辉</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10</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0" w:right="0"/>
              <w:jc w:val="left"/>
              <w:rPr>
                <w:rFonts w:ascii="Times New Roman" w:hAnsi="Times New Roman" w:cs="Times New Roman" w:eastAsia="Times New Roman" w:hint="default"/>
                <w:sz w:val="18"/>
                <w:szCs w:val="18"/>
              </w:rPr>
            </w:pPr>
            <w:r>
              <w:rPr>
                <w:rFonts w:ascii="Times New Roman"/>
                <w:sz w:val="18"/>
              </w:rPr>
              <w:t>7</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3" w:right="0"/>
              <w:jc w:val="left"/>
              <w:rPr>
                <w:rFonts w:ascii="Times New Roman" w:hAnsi="Times New Roman" w:cs="Times New Roman" w:eastAsia="Times New Roman" w:hint="default"/>
                <w:sz w:val="18"/>
                <w:szCs w:val="18"/>
              </w:rPr>
            </w:pPr>
            <w:r>
              <w:rPr>
                <w:rFonts w:ascii="Times New Roman"/>
                <w:sz w:val="18"/>
              </w:rPr>
              <w:t>0</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0</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w:t>
            </w:r>
          </w:p>
        </w:tc>
      </w:tr>
      <w:tr>
        <w:trPr>
          <w:trHeight w:val="401" w:hRule="exact"/>
        </w:trPr>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卢永华</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10</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0" w:right="0"/>
              <w:jc w:val="left"/>
              <w:rPr>
                <w:rFonts w:ascii="Times New Roman" w:hAnsi="Times New Roman" w:cs="Times New Roman" w:eastAsia="Times New Roman" w:hint="default"/>
                <w:sz w:val="18"/>
                <w:szCs w:val="18"/>
              </w:rPr>
            </w:pPr>
            <w:r>
              <w:rPr>
                <w:rFonts w:ascii="Times New Roman"/>
                <w:sz w:val="18"/>
              </w:rPr>
              <w:t>7</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3" w:right="0"/>
              <w:jc w:val="left"/>
              <w:rPr>
                <w:rFonts w:ascii="Times New Roman" w:hAnsi="Times New Roman" w:cs="Times New Roman" w:eastAsia="Times New Roman" w:hint="default"/>
                <w:sz w:val="18"/>
                <w:szCs w:val="18"/>
              </w:rPr>
            </w:pPr>
            <w:r>
              <w:rPr>
                <w:rFonts w:ascii="Times New Roman"/>
                <w:sz w:val="18"/>
              </w:rPr>
              <w:t>0</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0</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w:t>
            </w:r>
          </w:p>
        </w:tc>
      </w:tr>
      <w:tr>
        <w:trPr>
          <w:trHeight w:val="403" w:hRule="exact"/>
        </w:trPr>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蔡志平</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10</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0" w:right="0"/>
              <w:jc w:val="left"/>
              <w:rPr>
                <w:rFonts w:ascii="Times New Roman" w:hAnsi="Times New Roman" w:cs="Times New Roman" w:eastAsia="Times New Roman" w:hint="default"/>
                <w:sz w:val="18"/>
                <w:szCs w:val="18"/>
              </w:rPr>
            </w:pPr>
            <w:r>
              <w:rPr>
                <w:rFonts w:ascii="Times New Roman"/>
                <w:sz w:val="18"/>
              </w:rPr>
              <w:t>7</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3" w:right="0"/>
              <w:jc w:val="left"/>
              <w:rPr>
                <w:rFonts w:ascii="Times New Roman" w:hAnsi="Times New Roman" w:cs="Times New Roman" w:eastAsia="Times New Roman" w:hint="default"/>
                <w:sz w:val="18"/>
                <w:szCs w:val="18"/>
              </w:rPr>
            </w:pPr>
            <w:r>
              <w:rPr>
                <w:rFonts w:ascii="Times New Roman"/>
                <w:sz w:val="18"/>
              </w:rPr>
              <w:t>0</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0</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w:t>
            </w:r>
          </w:p>
        </w:tc>
      </w:tr>
    </w:tbl>
    <w:p>
      <w:pPr>
        <w:spacing w:line="357" w:lineRule="auto" w:before="49"/>
        <w:ind w:left="152" w:right="8054" w:firstLine="0"/>
        <w:jc w:val="left"/>
        <w:rPr>
          <w:rFonts w:ascii="宋体" w:hAnsi="宋体" w:cs="宋体" w:eastAsia="宋体" w:hint="default"/>
          <w:sz w:val="18"/>
          <w:szCs w:val="18"/>
        </w:rPr>
      </w:pPr>
      <w:r>
        <w:rPr>
          <w:rFonts w:ascii="宋体" w:hAnsi="宋体" w:cs="宋体" w:eastAsia="宋体" w:hint="default"/>
          <w:sz w:val="18"/>
          <w:szCs w:val="18"/>
        </w:rPr>
        <w:t>连续两次未亲自出席董事会的说明 无</w:t>
      </w:r>
    </w:p>
    <w:p>
      <w:pPr>
        <w:spacing w:line="240" w:lineRule="auto" w:before="6"/>
        <w:rPr>
          <w:rFonts w:ascii="宋体" w:hAnsi="宋体" w:cs="宋体" w:eastAsia="宋体" w:hint="default"/>
          <w:sz w:val="20"/>
          <w:szCs w:val="20"/>
        </w:rPr>
      </w:pPr>
    </w:p>
    <w:p>
      <w:pPr>
        <w:pStyle w:val="Heading4"/>
        <w:spacing w:line="240" w:lineRule="auto"/>
        <w:ind w:right="986"/>
        <w:jc w:val="left"/>
        <w:rPr>
          <w:b w:val="0"/>
          <w:bCs w:val="0"/>
        </w:rPr>
      </w:pPr>
      <w:bookmarkStart w:name="2、独立董事对公司有关事项提出异议的情况" w:id="144"/>
      <w:bookmarkEnd w:id="144"/>
      <w:r>
        <w:rPr>
          <w:b w:val="0"/>
          <w:bCs w:val="0"/>
        </w:rPr>
      </w: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独立董事对公司有关事项是否提出异议</w:t>
      </w:r>
    </w:p>
    <w:p>
      <w:pPr>
        <w:spacing w:line="360" w:lineRule="auto" w:before="115"/>
        <w:ind w:left="152" w:right="6974" w:firstLine="0"/>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3"/>
          <w:sz w:val="18"/>
          <w:szCs w:val="18"/>
        </w:rPr>
        <w:t> </w:t>
      </w:r>
      <w:r>
        <w:rPr>
          <w:rFonts w:ascii="宋体" w:hAnsi="宋体" w:cs="宋体" w:eastAsia="宋体" w:hint="default"/>
          <w:sz w:val="18"/>
          <w:szCs w:val="18"/>
        </w:rPr>
        <w:t>否</w:t>
      </w:r>
      <w:r>
        <w:rPr>
          <w:rFonts w:ascii="宋体" w:hAnsi="宋体" w:cs="宋体" w:eastAsia="宋体" w:hint="default"/>
          <w:sz w:val="18"/>
          <w:szCs w:val="18"/>
        </w:rPr>
        <w:t> 报告期内独立董事对公司有关事项未提出异议。</w:t>
      </w:r>
    </w:p>
    <w:p>
      <w:pPr>
        <w:spacing w:line="240" w:lineRule="auto" w:before="4"/>
        <w:rPr>
          <w:rFonts w:ascii="宋体" w:hAnsi="宋体" w:cs="宋体" w:eastAsia="宋体" w:hint="default"/>
          <w:sz w:val="20"/>
          <w:szCs w:val="20"/>
        </w:rPr>
      </w:pPr>
    </w:p>
    <w:p>
      <w:pPr>
        <w:pStyle w:val="Heading4"/>
        <w:spacing w:line="240" w:lineRule="auto"/>
        <w:ind w:right="986"/>
        <w:jc w:val="left"/>
        <w:rPr>
          <w:b w:val="0"/>
          <w:bCs w:val="0"/>
        </w:rPr>
      </w:pPr>
      <w:bookmarkStart w:name="3、独立董事履行职责的其他说明" w:id="145"/>
      <w:bookmarkEnd w:id="145"/>
      <w:r>
        <w:rPr>
          <w:b w:val="0"/>
          <w:bCs w:val="0"/>
        </w:rPr>
      </w:r>
      <w:r>
        <w:rPr>
          <w:rFonts w:ascii="Times New Roman" w:hAnsi="Times New Roman" w:cs="Times New Roman" w:eastAsia="Times New Roman" w:hint="default"/>
        </w:rPr>
        <w:t>3</w:t>
      </w:r>
      <w:r>
        <w:rPr/>
        <w:t>、独立董事履行职责的其他说明</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独立董事对公司有关建议是否被采纳</w:t>
      </w:r>
    </w:p>
    <w:p>
      <w:pPr>
        <w:spacing w:line="360" w:lineRule="auto" w:before="115"/>
        <w:ind w:left="152" w:right="6794" w:hanging="1"/>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3"/>
          <w:sz w:val="18"/>
          <w:szCs w:val="18"/>
        </w:rPr>
        <w:t> </w:t>
      </w:r>
      <w:r>
        <w:rPr>
          <w:rFonts w:ascii="宋体" w:hAnsi="宋体" w:cs="宋体" w:eastAsia="宋体" w:hint="default"/>
          <w:sz w:val="18"/>
          <w:szCs w:val="18"/>
        </w:rPr>
        <w:t>否</w:t>
      </w:r>
      <w:r>
        <w:rPr>
          <w:rFonts w:ascii="宋体" w:hAnsi="宋体" w:cs="宋体" w:eastAsia="宋体" w:hint="default"/>
          <w:sz w:val="18"/>
          <w:szCs w:val="18"/>
        </w:rPr>
        <w:t> 独立董事对公司有关建议被采纳或未被采纳的说明</w:t>
      </w:r>
    </w:p>
    <w:p>
      <w:pPr>
        <w:pStyle w:val="BodyText"/>
        <w:spacing w:line="408" w:lineRule="auto" w:before="83"/>
        <w:ind w:right="986" w:firstLine="420"/>
        <w:jc w:val="left"/>
      </w:pPr>
      <w:r>
        <w:rPr/>
        <w:t>报告期内，公司独立董事根据《公司法》、《证券法》、《深圳证券交易所创业板上市公司规范运作</w:t>
      </w:r>
      <w:r>
        <w:rPr>
          <w:w w:val="100"/>
        </w:rPr>
        <w:t> </w:t>
      </w:r>
      <w:r>
        <w:rPr>
          <w:spacing w:val="-2"/>
        </w:rPr>
        <w:t>指引》、《深圳证券交易所创业板股票上市规则》、《关于在上市公司建立独立董事制度的指导意见》等</w:t>
      </w:r>
      <w:r>
        <w:rPr>
          <w:spacing w:val="-47"/>
        </w:rPr>
        <w:t> </w:t>
      </w:r>
      <w:r>
        <w:rPr>
          <w:spacing w:val="-47"/>
        </w:rPr>
      </w:r>
      <w:r>
        <w:rPr>
          <w:spacing w:val="-2"/>
        </w:rPr>
        <w:t>有关法律法规及《公司章程》、《独立董事制度》的有关要求，勤勉尽责，积极利用参加股东大会、董事</w:t>
      </w:r>
      <w:r>
        <w:rPr>
          <w:spacing w:val="-47"/>
        </w:rPr>
        <w:t> </w:t>
      </w:r>
      <w:r>
        <w:rPr>
          <w:spacing w:val="-47"/>
        </w:rPr>
      </w:r>
      <w:r>
        <w:rPr>
          <w:spacing w:val="-5"/>
        </w:rPr>
        <w:t>会的机会，结合自身的专业特长，对公司的制度完善和日常经营决策等方面提出了很多宝贵的专业性建议， </w:t>
      </w:r>
      <w:r>
        <w:rPr>
          <w:spacing w:val="-5"/>
        </w:rPr>
      </w:r>
      <w:r>
        <w:rPr>
          <w:spacing w:val="-2"/>
        </w:rPr>
        <w:t>对报告期内公司发生的利润分配、聘请年报财务审计机构、公司关联交易事项、对外投资等事项发表了独</w:t>
      </w:r>
      <w:r>
        <w:rPr>
          <w:spacing w:val="-42"/>
        </w:rPr>
        <w:t> </w:t>
      </w:r>
      <w:r>
        <w:rPr>
          <w:spacing w:val="-42"/>
        </w:rPr>
      </w:r>
      <w:r>
        <w:rPr/>
        <w:t>立、公正的意见，为完善公司监督机制，维护公司和全体股东的合法权益起到了应有的作用。</w:t>
      </w:r>
    </w:p>
    <w:p>
      <w:pPr>
        <w:spacing w:after="0" w:line="408" w:lineRule="auto"/>
        <w:jc w:val="left"/>
        <w:sectPr>
          <w:pgSz w:w="11910" w:h="16840"/>
          <w:pgMar w:header="745" w:footer="982" w:top="1060" w:bottom="118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986"/>
        <w:jc w:val="left"/>
        <w:rPr>
          <w:b w:val="0"/>
          <w:bCs w:val="0"/>
        </w:rPr>
      </w:pPr>
      <w:bookmarkStart w:name="六、董事会下设专门委员会在报告期内履行职责情况" w:id="146"/>
      <w:bookmarkEnd w:id="146"/>
      <w:r>
        <w:rPr>
          <w:b w:val="0"/>
          <w:bCs w:val="0"/>
        </w:rPr>
      </w:r>
      <w:r>
        <w:rPr/>
        <w:t>六、董事会下设专门委员会在报告期内履行职责情况</w:t>
      </w:r>
      <w:r>
        <w:rPr>
          <w:b w:val="0"/>
          <w:bCs w:val="0"/>
        </w:rPr>
      </w:r>
    </w:p>
    <w:p>
      <w:pPr>
        <w:spacing w:line="240" w:lineRule="auto" w:before="10"/>
        <w:rPr>
          <w:rFonts w:ascii="宋体" w:hAnsi="宋体" w:cs="宋体" w:eastAsia="宋体" w:hint="default"/>
          <w:b/>
          <w:bCs/>
          <w:sz w:val="30"/>
          <w:szCs w:val="30"/>
        </w:rPr>
      </w:pPr>
    </w:p>
    <w:p>
      <w:pPr>
        <w:pStyle w:val="BodyText"/>
        <w:spacing w:line="408" w:lineRule="auto" w:before="0"/>
        <w:ind w:right="986" w:firstLine="419"/>
        <w:jc w:val="left"/>
      </w:pPr>
      <w:r>
        <w:rPr/>
        <w:t>公司董事会下设审计委员会、战略委员会、薪酬与考核委员会及提名委员会。</w:t>
      </w: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27</w:t>
      </w:r>
      <w:r>
        <w:rPr/>
        <w:t>日，已完</w:t>
      </w:r>
      <w:r>
        <w:rPr>
          <w:w w:val="100"/>
        </w:rPr>
        <w:t> </w:t>
      </w:r>
      <w:r>
        <w:rPr/>
        <w:t>成了各专门委员会换届工作。</w:t>
      </w:r>
      <w:r>
        <w:rPr>
          <w:rFonts w:ascii="宋体" w:hAnsi="宋体" w:cs="宋体" w:eastAsia="宋体" w:hint="default"/>
        </w:rPr>
        <w:t>2019</w:t>
      </w:r>
      <w:r>
        <w:rPr/>
        <w:t>年</w:t>
      </w:r>
      <w:r>
        <w:rPr>
          <w:rFonts w:ascii="宋体" w:hAnsi="宋体" w:cs="宋体" w:eastAsia="宋体" w:hint="default"/>
        </w:rPr>
        <w:t>8</w:t>
      </w:r>
      <w:r>
        <w:rPr/>
        <w:t>月</w:t>
      </w:r>
      <w:r>
        <w:rPr>
          <w:rFonts w:ascii="宋体" w:hAnsi="宋体" w:cs="宋体" w:eastAsia="宋体" w:hint="default"/>
        </w:rPr>
        <w:t>29</w:t>
      </w:r>
      <w:r>
        <w:rPr/>
        <w:t>日，公司第四届董事会第十一次会议审议通过了《关于补选第</w:t>
      </w:r>
      <w:r>
        <w:rPr>
          <w:spacing w:val="-3"/>
          <w:w w:val="100"/>
        </w:rPr>
        <w:t> </w:t>
      </w:r>
      <w:r>
        <w:rPr>
          <w:spacing w:val="-2"/>
        </w:rPr>
        <w:t>四届董事会专门委员会委员的议案》、《关于修订董事会专门委员会工作细则部分条件的议案》。公司结</w:t>
      </w:r>
      <w:r>
        <w:rPr>
          <w:spacing w:val="-43"/>
        </w:rPr>
        <w:t> </w:t>
      </w:r>
      <w:r>
        <w:rPr>
          <w:spacing w:val="-43"/>
        </w:rPr>
      </w:r>
      <w:r>
        <w:rPr>
          <w:spacing w:val="-8"/>
        </w:rPr>
        <w:t>合实际情况，修订了《董事会审计委员会工作细则》（</w:t>
      </w:r>
      <w:r>
        <w:rPr>
          <w:rFonts w:ascii="宋体" w:hAnsi="宋体" w:cs="宋体" w:eastAsia="宋体" w:hint="default"/>
          <w:spacing w:val="-8"/>
        </w:rPr>
        <w:t>2019</w:t>
      </w:r>
      <w:r>
        <w:rPr>
          <w:spacing w:val="-8"/>
        </w:rPr>
        <w:t>年</w:t>
      </w:r>
      <w:r>
        <w:rPr>
          <w:rFonts w:ascii="宋体" w:hAnsi="宋体" w:cs="宋体" w:eastAsia="宋体" w:hint="default"/>
          <w:spacing w:val="-8"/>
        </w:rPr>
        <w:t>8</w:t>
      </w:r>
      <w:r>
        <w:rPr>
          <w:spacing w:val="-8"/>
        </w:rPr>
        <w:t>月）、《董事会战略委员会工作细则》（</w:t>
      </w:r>
      <w:r>
        <w:rPr>
          <w:rFonts w:ascii="宋体" w:hAnsi="宋体" w:cs="宋体" w:eastAsia="宋体" w:hint="default"/>
          <w:spacing w:val="-8"/>
        </w:rPr>
        <w:t>2019</w:t>
      </w:r>
      <w:r>
        <w:rPr>
          <w:rFonts w:ascii="宋体" w:hAnsi="宋体" w:cs="宋体" w:eastAsia="宋体" w:hint="default"/>
          <w:spacing w:val="-34"/>
        </w:rPr>
        <w:t> </w:t>
      </w:r>
      <w:r>
        <w:rPr>
          <w:rFonts w:ascii="宋体" w:hAnsi="宋体" w:cs="宋体" w:eastAsia="宋体" w:hint="default"/>
          <w:spacing w:val="-34"/>
        </w:rPr>
      </w:r>
      <w:r>
        <w:rPr>
          <w:spacing w:val="-2"/>
        </w:rPr>
        <w:t>年</w:t>
      </w:r>
      <w:r>
        <w:rPr>
          <w:rFonts w:ascii="宋体" w:hAnsi="宋体" w:cs="宋体" w:eastAsia="宋体" w:hint="default"/>
          <w:spacing w:val="-2"/>
        </w:rPr>
        <w:t>8</w:t>
      </w:r>
      <w:r>
        <w:rPr>
          <w:spacing w:val="-2"/>
        </w:rPr>
        <w:t>月）、《董事会提名委员会工作细则》（</w:t>
      </w:r>
      <w:r>
        <w:rPr>
          <w:rFonts w:ascii="宋体" w:hAnsi="宋体" w:cs="宋体" w:eastAsia="宋体" w:hint="default"/>
          <w:spacing w:val="-2"/>
        </w:rPr>
        <w:t>2019</w:t>
      </w:r>
      <w:r>
        <w:rPr>
          <w:spacing w:val="-2"/>
        </w:rPr>
        <w:t>年</w:t>
      </w:r>
      <w:r>
        <w:rPr>
          <w:rFonts w:ascii="宋体" w:hAnsi="宋体" w:cs="宋体" w:eastAsia="宋体" w:hint="default"/>
          <w:spacing w:val="-2"/>
        </w:rPr>
        <w:t>8</w:t>
      </w:r>
      <w:r>
        <w:rPr>
          <w:spacing w:val="-2"/>
        </w:rPr>
        <w:t>月）、《董事会薪酬与考核委员会工作细则》（</w:t>
      </w:r>
      <w:r>
        <w:rPr>
          <w:rFonts w:ascii="宋体" w:hAnsi="宋体" w:cs="宋体" w:eastAsia="宋体" w:hint="default"/>
          <w:spacing w:val="-2"/>
        </w:rPr>
        <w:t>2019</w:t>
      </w:r>
      <w:r>
        <w:rPr>
          <w:rFonts w:ascii="宋体" w:hAnsi="宋体" w:cs="宋体" w:eastAsia="宋体" w:hint="default"/>
          <w:spacing w:val="-44"/>
        </w:rPr>
        <w:t> </w:t>
      </w:r>
      <w:r>
        <w:rPr>
          <w:rFonts w:ascii="宋体" w:hAnsi="宋体" w:cs="宋体" w:eastAsia="宋体" w:hint="default"/>
          <w:spacing w:val="-44"/>
        </w:rPr>
      </w:r>
      <w:r>
        <w:rPr/>
        <w:t>年</w:t>
      </w:r>
      <w:r>
        <w:rPr>
          <w:rFonts w:ascii="宋体" w:hAnsi="宋体" w:cs="宋体" w:eastAsia="宋体" w:hint="default"/>
        </w:rPr>
        <w:t>8</w:t>
      </w:r>
      <w:r>
        <w:rPr/>
        <w:t>月）。专门委员会的委员组成由</w:t>
      </w:r>
      <w:r>
        <w:rPr>
          <w:rFonts w:ascii="宋体" w:hAnsi="宋体" w:cs="宋体" w:eastAsia="宋体" w:hint="default"/>
        </w:rPr>
        <w:t>3</w:t>
      </w:r>
      <w:r>
        <w:rPr/>
        <w:t>名变更为</w:t>
      </w:r>
      <w:r>
        <w:rPr>
          <w:rFonts w:ascii="宋体" w:hAnsi="宋体" w:cs="宋体" w:eastAsia="宋体" w:hint="default"/>
        </w:rPr>
        <w:t>5</w:t>
      </w:r>
      <w:r>
        <w:rPr/>
        <w:t>名。在报告期内的履职情况如下：</w:t>
      </w:r>
    </w:p>
    <w:p>
      <w:pPr>
        <w:pStyle w:val="BodyText"/>
        <w:spacing w:line="408" w:lineRule="auto"/>
        <w:ind w:left="573" w:right="986" w:firstLine="105"/>
        <w:jc w:val="left"/>
      </w:pPr>
      <w:r>
        <w:rPr>
          <w:rFonts w:ascii="宋体" w:hAnsi="宋体" w:cs="宋体" w:eastAsia="宋体" w:hint="default"/>
        </w:rPr>
        <w:t>(</w:t>
      </w:r>
      <w:r>
        <w:rPr/>
        <w:t>一</w:t>
      </w:r>
      <w:r>
        <w:rPr>
          <w:rFonts w:ascii="宋体" w:hAnsi="宋体" w:cs="宋体" w:eastAsia="宋体" w:hint="default"/>
        </w:rPr>
        <w:t>)</w:t>
      </w:r>
      <w:r>
        <w:rPr>
          <w:rFonts w:ascii="宋体" w:hAnsi="宋体" w:cs="宋体" w:eastAsia="宋体" w:hint="default"/>
          <w:spacing w:val="-2"/>
        </w:rPr>
        <w:t> </w:t>
      </w:r>
      <w:r>
        <w:rPr/>
        <w:t>审计委员会的履职情况：</w:t>
      </w:r>
      <w:r>
        <w:rPr>
          <w:w w:val="100"/>
        </w:rPr>
        <w:t> </w:t>
      </w:r>
      <w:r>
        <w:rPr>
          <w:spacing w:val="-3"/>
        </w:rPr>
        <w:t>报告期内，董事会审计委员会严格按照《董事会审计委员会工作细则》的相关要求，共召开审计委员</w:t>
      </w:r>
      <w:r>
        <w:rPr/>
      </w:r>
    </w:p>
    <w:p>
      <w:pPr>
        <w:pStyle w:val="BodyText"/>
        <w:spacing w:line="408" w:lineRule="auto"/>
        <w:ind w:right="986"/>
        <w:jc w:val="left"/>
      </w:pPr>
      <w:r>
        <w:rPr/>
        <w:t>会会议</w:t>
      </w:r>
      <w:r>
        <w:rPr>
          <w:rFonts w:ascii="宋体" w:hAnsi="宋体" w:cs="宋体" w:eastAsia="宋体" w:hint="default"/>
        </w:rPr>
        <w:t>5</w:t>
      </w:r>
      <w:r>
        <w:rPr/>
        <w:t>次，对公司全年生产经营情况、内控制度体系建立情况、财务信息等进行了审核和监督，审议了</w:t>
      </w:r>
      <w:r>
        <w:rPr>
          <w:w w:val="100"/>
        </w:rPr>
        <w:t> </w:t>
      </w:r>
      <w:r>
        <w:rPr>
          <w:spacing w:val="-3"/>
        </w:rPr>
        <w:t>定期报告、内部控制自我评价报告、会计政策变更等事项，变更会计师事务所，切实履行了审计委员会工</w:t>
      </w:r>
      <w:r>
        <w:rPr>
          <w:spacing w:val="-6"/>
        </w:rPr>
        <w:t> </w:t>
      </w:r>
      <w:r>
        <w:rPr>
          <w:spacing w:val="-6"/>
        </w:rPr>
      </w:r>
      <w:r>
        <w:rPr/>
        <w:t>作职责。</w:t>
      </w:r>
    </w:p>
    <w:p>
      <w:pPr>
        <w:pStyle w:val="BodyText"/>
        <w:spacing w:line="408" w:lineRule="auto"/>
        <w:ind w:left="573" w:right="986" w:hanging="1"/>
        <w:jc w:val="left"/>
      </w:pPr>
      <w:r>
        <w:rPr>
          <w:rFonts w:ascii="宋体" w:hAnsi="宋体" w:cs="宋体" w:eastAsia="宋体" w:hint="default"/>
        </w:rPr>
        <w:t>(</w:t>
      </w:r>
      <w:r>
        <w:rPr/>
        <w:t>二</w:t>
      </w:r>
      <w:r>
        <w:rPr>
          <w:rFonts w:ascii="宋体" w:hAnsi="宋体" w:cs="宋体" w:eastAsia="宋体" w:hint="default"/>
        </w:rPr>
        <w:t>)</w:t>
      </w:r>
      <w:r>
        <w:rPr>
          <w:rFonts w:ascii="宋体" w:hAnsi="宋体" w:cs="宋体" w:eastAsia="宋体" w:hint="default"/>
          <w:spacing w:val="-3"/>
        </w:rPr>
        <w:t> </w:t>
      </w:r>
      <w:r>
        <w:rPr/>
        <w:t>战略委员会履职情况：</w:t>
      </w:r>
      <w:r>
        <w:rPr>
          <w:spacing w:val="-3"/>
          <w:w w:val="100"/>
        </w:rPr>
        <w:t> </w:t>
      </w:r>
      <w:r>
        <w:rPr>
          <w:spacing w:val="-3"/>
        </w:rPr>
        <w:t>报告期内，董事会战略委员会严格按照《董事会战略委员会工作细则》的相关要求，共召开战略委员</w:t>
      </w:r>
      <w:r>
        <w:rPr/>
      </w:r>
    </w:p>
    <w:p>
      <w:pPr>
        <w:pStyle w:val="BodyText"/>
        <w:spacing w:line="408" w:lineRule="auto"/>
        <w:ind w:left="153" w:right="986" w:hanging="1"/>
        <w:jc w:val="left"/>
      </w:pPr>
      <w:r>
        <w:rPr>
          <w:spacing w:val="-2"/>
        </w:rPr>
        <w:t>会会议</w:t>
      </w:r>
      <w:r>
        <w:rPr>
          <w:rFonts w:ascii="宋体" w:hAnsi="宋体" w:cs="宋体" w:eastAsia="宋体" w:hint="default"/>
          <w:spacing w:val="-2"/>
        </w:rPr>
        <w:t>1</w:t>
      </w:r>
      <w:r>
        <w:rPr>
          <w:spacing w:val="-2"/>
        </w:rPr>
        <w:t>次，结合公司所处行业发展情况及公司自身发展状况，对公司长期发展战略和重大投资决策进行</w:t>
      </w:r>
      <w:r>
        <w:rPr>
          <w:spacing w:val="-22"/>
        </w:rPr>
        <w:t> </w:t>
      </w:r>
      <w:r>
        <w:rPr>
          <w:spacing w:val="-22"/>
        </w:rPr>
      </w:r>
      <w:r>
        <w:rPr/>
        <w:t>审议并提出建议。</w:t>
      </w:r>
    </w:p>
    <w:p>
      <w:pPr>
        <w:pStyle w:val="BodyText"/>
        <w:spacing w:line="408" w:lineRule="auto" w:before="44"/>
        <w:ind w:left="573" w:right="986" w:firstLine="105"/>
        <w:jc w:val="left"/>
      </w:pPr>
      <w:r>
        <w:rPr>
          <w:rFonts w:ascii="宋体" w:hAnsi="宋体" w:cs="宋体" w:eastAsia="宋体" w:hint="default"/>
        </w:rPr>
        <w:t>(</w:t>
      </w:r>
      <w:r>
        <w:rPr/>
        <w:t>三</w:t>
      </w:r>
      <w:r>
        <w:rPr>
          <w:rFonts w:ascii="宋体" w:hAnsi="宋体" w:cs="宋体" w:eastAsia="宋体" w:hint="default"/>
        </w:rPr>
        <w:t>)</w:t>
      </w:r>
      <w:r>
        <w:rPr>
          <w:rFonts w:ascii="宋体" w:hAnsi="宋体" w:cs="宋体" w:eastAsia="宋体" w:hint="default"/>
          <w:spacing w:val="-2"/>
        </w:rPr>
        <w:t> </w:t>
      </w:r>
      <w:r>
        <w:rPr/>
        <w:t>薪酬与考核委员会履职情况：</w:t>
      </w:r>
      <w:r>
        <w:rPr>
          <w:w w:val="100"/>
        </w:rPr>
        <w:t> </w:t>
      </w:r>
      <w:r>
        <w:rPr>
          <w:spacing w:val="-2"/>
        </w:rPr>
        <w:t>报告期内，董事会薪酬与考核委员会严格按照《董事会薪酬与考核委员会工作细则》的相关要求，共</w:t>
      </w:r>
    </w:p>
    <w:p>
      <w:pPr>
        <w:pStyle w:val="BodyText"/>
        <w:spacing w:line="408" w:lineRule="auto"/>
        <w:ind w:left="153" w:right="986"/>
        <w:jc w:val="left"/>
      </w:pPr>
      <w:r>
        <w:rPr>
          <w:spacing w:val="-2"/>
        </w:rPr>
        <w:t>召开薪酬与考核委员会会议</w:t>
      </w:r>
      <w:r>
        <w:rPr>
          <w:rFonts w:ascii="宋体" w:hAnsi="宋体" w:cs="宋体" w:eastAsia="宋体" w:hint="default"/>
          <w:spacing w:val="-2"/>
        </w:rPr>
        <w:t>6</w:t>
      </w:r>
      <w:r>
        <w:rPr>
          <w:spacing w:val="-2"/>
        </w:rPr>
        <w:t>次，对公司</w:t>
      </w:r>
      <w:r>
        <w:rPr>
          <w:rFonts w:ascii="宋体" w:hAnsi="宋体" w:cs="宋体" w:eastAsia="宋体" w:hint="default"/>
          <w:spacing w:val="-2"/>
        </w:rPr>
        <w:t>2018</w:t>
      </w:r>
      <w:r>
        <w:rPr>
          <w:spacing w:val="-2"/>
        </w:rPr>
        <w:t>年度董监高的薪酬及第二期限制性股票激励计划、</w:t>
      </w:r>
      <w:r>
        <w:rPr>
          <w:rFonts w:ascii="宋体" w:hAnsi="宋体" w:cs="宋体" w:eastAsia="宋体" w:hint="default"/>
          <w:spacing w:val="-2"/>
        </w:rPr>
        <w:t>2019</w:t>
      </w:r>
      <w:r>
        <w:rPr>
          <w:spacing w:val="-2"/>
        </w:rPr>
        <w:t>年股</w:t>
      </w:r>
      <w:r>
        <w:rPr>
          <w:spacing w:val="-18"/>
        </w:rPr>
        <w:t> </w:t>
      </w:r>
      <w:r>
        <w:rPr/>
        <w:t>票期权及限制性股票激励计划等事项进行了审议并提出建议，切实履行了薪酬与考核委员会的职能。</w:t>
      </w:r>
    </w:p>
    <w:p>
      <w:pPr>
        <w:pStyle w:val="BodyText"/>
        <w:spacing w:line="408" w:lineRule="auto"/>
        <w:ind w:left="574" w:right="986" w:hanging="1"/>
        <w:jc w:val="left"/>
      </w:pPr>
      <w:r>
        <w:rPr>
          <w:rFonts w:ascii="宋体" w:hAnsi="宋体" w:cs="宋体" w:eastAsia="宋体" w:hint="default"/>
        </w:rPr>
        <w:t>(</w:t>
      </w:r>
      <w:r>
        <w:rPr/>
        <w:t>四</w:t>
      </w:r>
      <w:r>
        <w:rPr>
          <w:rFonts w:ascii="宋体" w:hAnsi="宋体" w:cs="宋体" w:eastAsia="宋体" w:hint="default"/>
        </w:rPr>
        <w:t>)</w:t>
      </w:r>
      <w:r>
        <w:rPr>
          <w:rFonts w:ascii="宋体" w:hAnsi="宋体" w:cs="宋体" w:eastAsia="宋体" w:hint="default"/>
          <w:spacing w:val="-3"/>
        </w:rPr>
        <w:t> </w:t>
      </w:r>
      <w:r>
        <w:rPr/>
        <w:t>提名委员会履职情况：</w:t>
      </w:r>
      <w:r>
        <w:rPr>
          <w:spacing w:val="-3"/>
          <w:w w:val="100"/>
        </w:rPr>
        <w:t> </w:t>
      </w:r>
      <w:r>
        <w:rPr>
          <w:spacing w:val="-2"/>
        </w:rPr>
        <w:t>报告期内，董事会提名委员会严格按照《董事会提名委员会工作细则》的相关要求召开专业委员会会</w:t>
      </w:r>
      <w:r>
        <w:rPr/>
      </w:r>
    </w:p>
    <w:p>
      <w:pPr>
        <w:pStyle w:val="BodyText"/>
        <w:spacing w:line="408" w:lineRule="auto"/>
        <w:ind w:left="153" w:right="986"/>
        <w:jc w:val="left"/>
      </w:pPr>
      <w:r>
        <w:rPr>
          <w:spacing w:val="-2"/>
        </w:rPr>
        <w:t>议</w:t>
      </w:r>
      <w:r>
        <w:rPr>
          <w:rFonts w:ascii="宋体" w:hAnsi="宋体" w:cs="宋体" w:eastAsia="宋体" w:hint="default"/>
          <w:spacing w:val="-2"/>
        </w:rPr>
        <w:t>2</w:t>
      </w:r>
      <w:r>
        <w:rPr>
          <w:spacing w:val="-2"/>
        </w:rPr>
        <w:t>次，对提名第四届董事会总经理及高级管理人员的任职资格进行了审查，切实履行了提名委员会的职</w:t>
      </w:r>
      <w:r>
        <w:rPr>
          <w:spacing w:val="-22"/>
        </w:rPr>
        <w:t> </w:t>
      </w:r>
      <w:r>
        <w:rPr>
          <w:spacing w:val="-22"/>
        </w:rPr>
      </w:r>
      <w:r>
        <w:rPr/>
        <w:t>能。</w:t>
      </w:r>
    </w:p>
    <w:p>
      <w:pPr>
        <w:spacing w:line="240" w:lineRule="auto" w:before="8"/>
        <w:rPr>
          <w:rFonts w:ascii="宋体" w:hAnsi="宋体" w:cs="宋体" w:eastAsia="宋体" w:hint="default"/>
          <w:sz w:val="18"/>
          <w:szCs w:val="18"/>
        </w:rPr>
      </w:pPr>
    </w:p>
    <w:p>
      <w:pPr>
        <w:pStyle w:val="Heading2"/>
        <w:spacing w:line="240" w:lineRule="auto"/>
        <w:ind w:right="986"/>
        <w:jc w:val="left"/>
        <w:rPr>
          <w:b w:val="0"/>
          <w:bCs w:val="0"/>
        </w:rPr>
      </w:pPr>
      <w:bookmarkStart w:name="七、监事会工作情况" w:id="147"/>
      <w:bookmarkEnd w:id="147"/>
      <w:r>
        <w:rPr>
          <w:b w:val="0"/>
          <w:bCs w:val="0"/>
        </w:rPr>
      </w:r>
      <w:r>
        <w:rPr/>
        <w:t>七、监事会工作情况</w:t>
      </w:r>
      <w:r>
        <w:rPr>
          <w:b w:val="0"/>
          <w:bCs w:val="0"/>
        </w:rPr>
      </w:r>
    </w:p>
    <w:p>
      <w:pPr>
        <w:spacing w:line="240" w:lineRule="auto" w:before="6"/>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监事会在报告期内的监督活动中发现公司是否存在风险</w:t>
      </w:r>
    </w:p>
    <w:p>
      <w:pPr>
        <w:spacing w:line="357" w:lineRule="auto" w:before="117"/>
        <w:ind w:left="152" w:right="7334" w:hanging="1"/>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3"/>
          <w:sz w:val="18"/>
          <w:szCs w:val="18"/>
        </w:rPr>
        <w:t> </w:t>
      </w:r>
      <w:r>
        <w:rPr>
          <w:rFonts w:ascii="宋体" w:hAnsi="宋体" w:cs="宋体" w:eastAsia="宋体" w:hint="default"/>
          <w:sz w:val="18"/>
          <w:szCs w:val="18"/>
        </w:rPr>
        <w:t>否</w:t>
      </w:r>
      <w:r>
        <w:rPr>
          <w:rFonts w:ascii="宋体" w:hAnsi="宋体" w:cs="宋体" w:eastAsia="宋体" w:hint="default"/>
          <w:sz w:val="18"/>
          <w:szCs w:val="18"/>
        </w:rPr>
        <w:t> 公司监事会对报告期内的监督事项无异议。</w:t>
      </w:r>
    </w:p>
    <w:p>
      <w:pPr>
        <w:spacing w:after="0" w:line="357"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986"/>
        <w:jc w:val="left"/>
        <w:rPr>
          <w:b w:val="0"/>
          <w:bCs w:val="0"/>
        </w:rPr>
      </w:pPr>
      <w:bookmarkStart w:name="八、高级管理人员的考评及激励情况" w:id="148"/>
      <w:bookmarkEnd w:id="148"/>
      <w:r>
        <w:rPr>
          <w:b w:val="0"/>
          <w:bCs w:val="0"/>
        </w:rPr>
      </w:r>
      <w:r>
        <w:rPr/>
        <w:t>八、高级管理人员的考评及激励情况</w:t>
      </w:r>
      <w:r>
        <w:rPr>
          <w:b w:val="0"/>
          <w:bCs w:val="0"/>
        </w:rPr>
      </w:r>
    </w:p>
    <w:p>
      <w:pPr>
        <w:spacing w:line="240" w:lineRule="auto" w:before="10"/>
        <w:rPr>
          <w:rFonts w:ascii="宋体" w:hAnsi="宋体" w:cs="宋体" w:eastAsia="宋体" w:hint="default"/>
          <w:b/>
          <w:bCs/>
          <w:sz w:val="30"/>
          <w:szCs w:val="30"/>
        </w:rPr>
      </w:pPr>
    </w:p>
    <w:p>
      <w:pPr>
        <w:pStyle w:val="BodyText"/>
        <w:spacing w:line="408" w:lineRule="auto" w:before="0"/>
        <w:ind w:right="986" w:firstLine="420"/>
        <w:jc w:val="left"/>
      </w:pPr>
      <w:r>
        <w:rPr>
          <w:spacing w:val="-5"/>
        </w:rPr>
        <w:t>公司按照《高级管理人员薪酬管理制度》建立了完善的高级管理人员绩效考评体系和激励约束制机制，</w:t>
      </w:r>
      <w:r>
        <w:rPr>
          <w:spacing w:val="-3"/>
          <w:w w:val="100"/>
        </w:rPr>
        <w:t> </w:t>
      </w:r>
      <w:r>
        <w:rPr/>
        <w:t>高级管理人员的工作绩效与其收入直接挂钩。高级管理人员的聘任公开、透明，符合法律、法规的规定。</w:t>
      </w:r>
      <w:r>
        <w:rPr>
          <w:w w:val="100"/>
        </w:rPr>
        <w:t> </w:t>
      </w:r>
      <w:r>
        <w:rPr>
          <w:spacing w:val="-2"/>
        </w:rPr>
        <w:t>公司董事会下设的薪酬和考核委员会负责对公司董事及高级管理人员进行绩效考核。高级管理人员的激励</w:t>
      </w:r>
      <w:r>
        <w:rPr>
          <w:spacing w:val="-42"/>
        </w:rPr>
        <w:t> </w:t>
      </w:r>
      <w:r>
        <w:rPr>
          <w:spacing w:val="-42"/>
        </w:rPr>
      </w:r>
      <w:r>
        <w:rPr/>
        <w:t>情况详见“第九节</w:t>
      </w:r>
      <w:r>
        <w:rPr>
          <w:spacing w:val="-5"/>
        </w:rPr>
        <w:t> </w:t>
      </w:r>
      <w:r>
        <w:rPr/>
        <w:t>董事、监事、高级管理人员和员工情况”之“四、董事、监事、高级管理人员报酬情</w:t>
      </w:r>
      <w:r>
        <w:rPr>
          <w:spacing w:val="-3"/>
          <w:w w:val="100"/>
        </w:rPr>
        <w:t> </w:t>
      </w:r>
      <w:r>
        <w:rPr/>
        <w:t>况”相关内容。</w:t>
      </w:r>
    </w:p>
    <w:p>
      <w:pPr>
        <w:spacing w:line="240" w:lineRule="auto" w:before="8"/>
        <w:rPr>
          <w:rFonts w:ascii="宋体" w:hAnsi="宋体" w:cs="宋体" w:eastAsia="宋体" w:hint="default"/>
          <w:sz w:val="18"/>
          <w:szCs w:val="18"/>
        </w:rPr>
      </w:pPr>
    </w:p>
    <w:p>
      <w:pPr>
        <w:pStyle w:val="Heading2"/>
        <w:spacing w:line="240" w:lineRule="auto"/>
        <w:ind w:right="986"/>
        <w:jc w:val="left"/>
        <w:rPr>
          <w:b w:val="0"/>
          <w:bCs w:val="0"/>
        </w:rPr>
      </w:pPr>
      <w:bookmarkStart w:name="九、内部控制评价报告" w:id="149"/>
      <w:bookmarkEnd w:id="149"/>
      <w:r>
        <w:rPr>
          <w:b w:val="0"/>
          <w:bCs w:val="0"/>
        </w:rPr>
      </w:r>
      <w:r>
        <w:rPr/>
        <w:t>九、内部控制评价报告</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986"/>
        <w:jc w:val="left"/>
        <w:rPr>
          <w:b w:val="0"/>
          <w:bCs w:val="0"/>
        </w:rPr>
      </w:pPr>
      <w:bookmarkStart w:name="1、报告期内发现的内部控制重大缺陷的具体情况" w:id="150"/>
      <w:bookmarkEnd w:id="150"/>
      <w:r>
        <w:rPr>
          <w:b w:val="0"/>
          <w:bCs w:val="0"/>
        </w:rPr>
      </w: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3"/>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2、内控自我评价报告" w:id="151"/>
      <w:bookmarkEnd w:id="151"/>
      <w:r>
        <w:rPr>
          <w:b w:val="0"/>
          <w:bCs w:val="0"/>
        </w:rPr>
      </w:r>
      <w:r>
        <w:rPr>
          <w:rFonts w:ascii="Times New Roman" w:hAnsi="Times New Roman" w:cs="Times New Roman" w:eastAsia="Times New Roman" w:hint="default"/>
        </w:rPr>
        <w:t>2</w:t>
      </w:r>
      <w:r>
        <w:rPr/>
        <w:t>、内控自我评价报告</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2654"/>
        <w:gridCol w:w="3301"/>
        <w:gridCol w:w="3614"/>
      </w:tblGrid>
      <w:tr>
        <w:trPr>
          <w:trHeight w:val="403" w:hRule="exact"/>
        </w:trPr>
        <w:tc>
          <w:tcPr>
            <w:tcW w:w="265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915" w:type="dxa"/>
            <w:gridSpan w:val="2"/>
            <w:tcBorders>
              <w:top w:val="single" w:sz="4" w:space="0" w:color="000000"/>
              <w:left w:val="single" w:sz="12" w:space="0" w:color="D4D4D4"/>
              <w:bottom w:val="single" w:sz="4" w:space="0" w:color="000000"/>
              <w:right w:val="single" w:sz="4" w:space="0" w:color="000000"/>
            </w:tcBorders>
          </w:tcPr>
          <w:p>
            <w:pPr>
              <w:pStyle w:val="TableParagraph"/>
              <w:spacing w:line="240" w:lineRule="auto" w:before="49"/>
              <w:ind w:left="1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401" w:hRule="exact"/>
        </w:trPr>
        <w:tc>
          <w:tcPr>
            <w:tcW w:w="265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915" w:type="dxa"/>
            <w:gridSpan w:val="2"/>
            <w:tcBorders>
              <w:top w:val="single" w:sz="4" w:space="0" w:color="000000"/>
              <w:left w:val="single" w:sz="12" w:space="0" w:color="D4D4D4"/>
              <w:bottom w:val="single" w:sz="4" w:space="0" w:color="000000"/>
              <w:right w:val="single" w:sz="4" w:space="0" w:color="000000"/>
            </w:tcBorders>
          </w:tcPr>
          <w:p>
            <w:pPr>
              <w:pStyle w:val="TableParagraph"/>
              <w:spacing w:line="240" w:lineRule="auto" w:before="49"/>
              <w:ind w:left="18" w:right="-10"/>
              <w:jc w:val="left"/>
              <w:rPr>
                <w:rFonts w:ascii="宋体" w:hAnsi="宋体" w:cs="宋体" w:eastAsia="宋体" w:hint="default"/>
                <w:sz w:val="18"/>
                <w:szCs w:val="18"/>
              </w:rPr>
            </w:pPr>
            <w:r>
              <w:rPr>
                <w:rFonts w:ascii="宋体" w:hAnsi="宋体" w:cs="宋体" w:eastAsia="宋体" w:hint="default"/>
                <w:sz w:val="18"/>
                <w:szCs w:val="18"/>
              </w:rPr>
              <w:t>详见公司于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日在巨潮资讯网刊登的《</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年度内部控制自我评价报告》</w:t>
            </w:r>
          </w:p>
        </w:tc>
      </w:tr>
      <w:tr>
        <w:trPr>
          <w:trHeight w:val="715" w:hRule="exact"/>
        </w:trPr>
        <w:tc>
          <w:tcPr>
            <w:tcW w:w="265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4" w:right="98"/>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 司合并财务报表资产总额的比例</w:t>
            </w:r>
          </w:p>
        </w:tc>
        <w:tc>
          <w:tcPr>
            <w:tcW w:w="6915" w:type="dxa"/>
            <w:gridSpan w:val="2"/>
            <w:tcBorders>
              <w:top w:val="single" w:sz="4" w:space="0" w:color="000000"/>
              <w:left w:val="single" w:sz="12" w:space="0" w:color="D4D4D4"/>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r>
      <w:tr>
        <w:trPr>
          <w:trHeight w:val="713" w:hRule="exact"/>
        </w:trPr>
        <w:tc>
          <w:tcPr>
            <w:tcW w:w="265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49"/>
              <w:ind w:left="24" w:right="98"/>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 司合并财务报表营业收入的比例</w:t>
            </w:r>
          </w:p>
        </w:tc>
        <w:tc>
          <w:tcPr>
            <w:tcW w:w="6915" w:type="dxa"/>
            <w:gridSpan w:val="2"/>
            <w:tcBorders>
              <w:top w:val="single" w:sz="4" w:space="0" w:color="000000"/>
              <w:left w:val="single" w:sz="12" w:space="0" w:color="D4D4D4"/>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r>
      <w:tr>
        <w:trPr>
          <w:trHeight w:val="398" w:hRule="exact"/>
        </w:trPr>
        <w:tc>
          <w:tcPr>
            <w:tcW w:w="9569" w:type="dxa"/>
            <w:gridSpan w:val="3"/>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6" w:hRule="exact"/>
        </w:trPr>
        <w:tc>
          <w:tcPr>
            <w:tcW w:w="265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3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3"/>
              <w:ind w:left="7" w:right="0"/>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61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941" w:hRule="exact"/>
        </w:trPr>
        <w:tc>
          <w:tcPr>
            <w:tcW w:w="2654" w:type="dxa"/>
            <w:tcBorders>
              <w:top w:val="single" w:sz="4" w:space="0" w:color="000000"/>
              <w:left w:val="single" w:sz="4" w:space="0" w:color="000000"/>
              <w:bottom w:val="nil" w:sz="6" w:space="0" w:color="auto"/>
              <w:right w:val="single" w:sz="4" w:space="0" w:color="000000"/>
            </w:tcBorders>
            <w:shd w:val="clear" w:color="auto" w:fill="D4D4D4"/>
          </w:tcPr>
          <w:p>
            <w:pPr/>
          </w:p>
        </w:tc>
        <w:tc>
          <w:tcPr>
            <w:tcW w:w="3301" w:type="dxa"/>
            <w:vMerge w:val="restart"/>
            <w:tcBorders>
              <w:top w:val="single" w:sz="4" w:space="0" w:color="000000"/>
              <w:left w:val="single" w:sz="9" w:space="0" w:color="D4D4D4"/>
              <w:right w:val="single" w:sz="4" w:space="0" w:color="000000"/>
            </w:tcBorders>
          </w:tcPr>
          <w:p>
            <w:pPr>
              <w:pStyle w:val="TableParagraph"/>
              <w:spacing w:line="316" w:lineRule="auto" w:before="49"/>
              <w:ind w:left="23" w:right="19"/>
              <w:jc w:val="left"/>
              <w:rPr>
                <w:rFonts w:ascii="宋体" w:hAnsi="宋体" w:cs="宋体" w:eastAsia="宋体" w:hint="default"/>
                <w:sz w:val="18"/>
                <w:szCs w:val="18"/>
              </w:rPr>
            </w:pPr>
            <w:r>
              <w:rPr>
                <w:rFonts w:ascii="宋体" w:hAnsi="宋体" w:cs="宋体" w:eastAsia="宋体" w:hint="default"/>
                <w:sz w:val="18"/>
                <w:szCs w:val="18"/>
              </w:rPr>
              <w:t>①具有以下特征之一的缺陷，应认定为重 大缺陷：该缺陷涉及董事、监事和高级管 理人员舞弊；控制环境无效；注册会计师 发现当期财务报表存在重大错报，而内部 控制在运行过程中未能发现该错报；公司 审计委员会和内部审计机构对内部控制 的监督无效。</w:t>
            </w:r>
          </w:p>
        </w:tc>
        <w:tc>
          <w:tcPr>
            <w:tcW w:w="3614" w:type="dxa"/>
            <w:vMerge w:val="restart"/>
            <w:tcBorders>
              <w:top w:val="single" w:sz="4" w:space="0" w:color="000000"/>
              <w:left w:val="single" w:sz="4" w:space="0" w:color="000000"/>
              <w:right w:val="single" w:sz="4" w:space="0" w:color="000000"/>
            </w:tcBorders>
          </w:tcPr>
          <w:p>
            <w:pPr>
              <w:pStyle w:val="TableParagraph"/>
              <w:spacing w:line="316" w:lineRule="auto" w:before="49"/>
              <w:ind w:left="23" w:right="19"/>
              <w:jc w:val="left"/>
              <w:rPr>
                <w:rFonts w:ascii="宋体" w:hAnsi="宋体" w:cs="宋体" w:eastAsia="宋体" w:hint="default"/>
                <w:sz w:val="18"/>
                <w:szCs w:val="18"/>
              </w:rPr>
            </w:pPr>
            <w:r>
              <w:rPr>
                <w:rFonts w:ascii="宋体" w:hAnsi="宋体" w:cs="宋体" w:eastAsia="宋体" w:hint="default"/>
                <w:spacing w:val="-3"/>
                <w:sz w:val="18"/>
                <w:szCs w:val="18"/>
              </w:rPr>
              <w:t>①重大缺陷：严重违犯国家法律、行政法规和</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规范性文件；关键岗位管理人员和技术人员流</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3"/>
                <w:sz w:val="18"/>
                <w:szCs w:val="18"/>
              </w:rPr>
              <w:t>失严重；媒体负面报道频现经查属实；涉及公</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司生产经营的重要业务缺乏制度控制或制度 </w:t>
            </w:r>
            <w:r>
              <w:rPr>
                <w:rFonts w:ascii="宋体" w:hAnsi="宋体" w:cs="宋体" w:eastAsia="宋体" w:hint="default"/>
                <w:spacing w:val="-3"/>
                <w:sz w:val="18"/>
                <w:szCs w:val="18"/>
              </w:rPr>
              <w:t>系统失效；信息披露内部控制失效，导致公司</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被监管部门公开谴责；内部控制评价的结果特</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别是重大缺陷或重要缺陷未得到整改。</w:t>
            </w:r>
          </w:p>
        </w:tc>
      </w:tr>
      <w:tr>
        <w:trPr>
          <w:trHeight w:val="394" w:hRule="exact"/>
        </w:trPr>
        <w:tc>
          <w:tcPr>
            <w:tcW w:w="2654"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01" w:type="dxa"/>
            <w:vMerge/>
            <w:tcBorders>
              <w:left w:val="single" w:sz="9" w:space="0" w:color="D4D4D4"/>
              <w:right w:val="single" w:sz="4" w:space="0" w:color="000000"/>
            </w:tcBorders>
          </w:tcPr>
          <w:p>
            <w:pPr/>
          </w:p>
        </w:tc>
        <w:tc>
          <w:tcPr>
            <w:tcW w:w="3614" w:type="dxa"/>
            <w:vMerge/>
            <w:tcBorders>
              <w:left w:val="single" w:sz="4" w:space="0" w:color="000000"/>
              <w:right w:val="single" w:sz="4" w:space="0" w:color="000000"/>
            </w:tcBorders>
          </w:tcPr>
          <w:p>
            <w:pPr/>
          </w:p>
        </w:tc>
      </w:tr>
      <w:tr>
        <w:trPr>
          <w:trHeight w:val="941" w:hRule="exact"/>
        </w:trPr>
        <w:tc>
          <w:tcPr>
            <w:tcW w:w="2654" w:type="dxa"/>
            <w:tcBorders>
              <w:top w:val="nil" w:sz="6" w:space="0" w:color="auto"/>
              <w:left w:val="single" w:sz="4" w:space="0" w:color="000000"/>
              <w:bottom w:val="single" w:sz="4" w:space="0" w:color="000000"/>
              <w:right w:val="single" w:sz="4" w:space="0" w:color="000000"/>
            </w:tcBorders>
            <w:shd w:val="clear" w:color="auto" w:fill="D4D4D4"/>
          </w:tcPr>
          <w:p>
            <w:pPr/>
          </w:p>
        </w:tc>
        <w:tc>
          <w:tcPr>
            <w:tcW w:w="3301" w:type="dxa"/>
            <w:vMerge/>
            <w:tcBorders>
              <w:left w:val="single" w:sz="9" w:space="0" w:color="D4D4D4"/>
              <w:bottom w:val="single" w:sz="4" w:space="0" w:color="000000"/>
              <w:right w:val="single" w:sz="4" w:space="0" w:color="000000"/>
            </w:tcBorders>
          </w:tcPr>
          <w:p>
            <w:pPr/>
          </w:p>
        </w:tc>
        <w:tc>
          <w:tcPr>
            <w:tcW w:w="3614" w:type="dxa"/>
            <w:vMerge/>
            <w:tcBorders>
              <w:left w:val="single" w:sz="4" w:space="0" w:color="000000"/>
              <w:bottom w:val="single" w:sz="4" w:space="0" w:color="000000"/>
              <w:right w:val="single" w:sz="4" w:space="0" w:color="000000"/>
            </w:tcBorders>
          </w:tcPr>
          <w:p>
            <w:pPr/>
          </w:p>
        </w:tc>
      </w:tr>
      <w:tr>
        <w:trPr>
          <w:trHeight w:val="1231" w:hRule="exact"/>
        </w:trPr>
        <w:tc>
          <w:tcPr>
            <w:tcW w:w="2654" w:type="dxa"/>
            <w:tcBorders>
              <w:top w:val="single" w:sz="4" w:space="0" w:color="000000"/>
              <w:left w:val="single" w:sz="4" w:space="0" w:color="000000"/>
              <w:bottom w:val="nil" w:sz="6" w:space="0" w:color="auto"/>
              <w:right w:val="single" w:sz="4" w:space="0" w:color="000000"/>
            </w:tcBorders>
            <w:shd w:val="clear" w:color="auto" w:fill="D4D4D4"/>
          </w:tcPr>
          <w:p>
            <w:pPr/>
          </w:p>
        </w:tc>
        <w:tc>
          <w:tcPr>
            <w:tcW w:w="3301" w:type="dxa"/>
            <w:vMerge w:val="restart"/>
            <w:tcBorders>
              <w:top w:val="single" w:sz="4" w:space="0" w:color="000000"/>
              <w:left w:val="single" w:sz="9" w:space="0" w:color="D4D4D4"/>
              <w:right w:val="single" w:sz="4" w:space="0" w:color="000000"/>
            </w:tcBorders>
          </w:tcPr>
          <w:p>
            <w:pPr>
              <w:pStyle w:val="TableParagraph"/>
              <w:spacing w:line="304" w:lineRule="auto" w:before="49"/>
              <w:ind w:left="23" w:right="1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、符合下列条件之一的，认定为重大缺 陷：涉及资产、负债的错报</w:t>
            </w:r>
            <w:r>
              <w:rPr>
                <w:rFonts w:ascii="宋体" w:hAnsi="宋体" w:cs="宋体" w:eastAsia="宋体" w:hint="default"/>
                <w:spacing w:val="-12"/>
                <w:sz w:val="18"/>
                <w:szCs w:val="18"/>
              </w:rPr>
              <w:t> </w:t>
            </w:r>
            <w:r>
              <w:rPr>
                <w:rFonts w:ascii="宋体" w:hAnsi="宋体" w:cs="宋体" w:eastAsia="宋体" w:hint="default"/>
                <w:sz w:val="18"/>
                <w:szCs w:val="18"/>
              </w:rPr>
              <w:t>，错报金额</w:t>
            </w:r>
            <w:r>
              <w:rPr>
                <w:rFonts w:ascii="Times New Roman" w:hAnsi="Times New Roman" w:cs="Times New Roman" w:eastAsia="Times New Roman" w:hint="default"/>
                <w:sz w:val="18"/>
                <w:szCs w:val="18"/>
              </w:rPr>
              <w:t>&gt; </w:t>
            </w:r>
            <w:r>
              <w:rPr>
                <w:rFonts w:ascii="宋体" w:hAnsi="宋体" w:cs="宋体" w:eastAsia="宋体" w:hint="default"/>
                <w:sz w:val="18"/>
                <w:szCs w:val="18"/>
              </w:rPr>
              <w:t>合并报表最近一个会计年度经审计资产 总额 </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r>
              <w:rPr>
                <w:rFonts w:ascii="宋体" w:hAnsi="宋体" w:cs="宋体" w:eastAsia="宋体" w:hint="default"/>
                <w:spacing w:val="-63"/>
                <w:sz w:val="18"/>
                <w:szCs w:val="18"/>
              </w:rPr>
              <w:t> </w:t>
            </w:r>
            <w:r>
              <w:rPr>
                <w:rFonts w:ascii="宋体" w:hAnsi="宋体" w:cs="宋体" w:eastAsia="宋体" w:hint="default"/>
                <w:sz w:val="18"/>
                <w:szCs w:val="18"/>
              </w:rPr>
              <w:t>涉及净资产的错报，错报金额</w:t>
            </w:r>
          </w:p>
          <w:p>
            <w:pPr>
              <w:pStyle w:val="TableParagraph"/>
              <w:spacing w:line="300" w:lineRule="auto" w:before="9"/>
              <w:ind w:left="23" w:right="95"/>
              <w:jc w:val="both"/>
              <w:rPr>
                <w:rFonts w:ascii="宋体" w:hAnsi="宋体" w:cs="宋体" w:eastAsia="宋体" w:hint="default"/>
                <w:sz w:val="18"/>
                <w:szCs w:val="18"/>
              </w:rPr>
            </w:pPr>
            <w:r>
              <w:rPr>
                <w:rFonts w:ascii="Times New Roman" w:hAnsi="Times New Roman" w:cs="Times New Roman" w:eastAsia="Times New Roman" w:hint="default"/>
                <w:sz w:val="18"/>
                <w:szCs w:val="18"/>
              </w:rPr>
              <w:t>&gt;</w:t>
            </w:r>
            <w:r>
              <w:rPr>
                <w:rFonts w:ascii="宋体" w:hAnsi="宋体" w:cs="宋体" w:eastAsia="宋体" w:hint="default"/>
                <w:sz w:val="18"/>
                <w:szCs w:val="18"/>
              </w:rPr>
              <w:t>合并报表最近一个会计年度经审计净资 产总额 </w:t>
            </w:r>
            <w:r>
              <w:rPr>
                <w:rFonts w:ascii="Times New Roman" w:hAnsi="Times New Roman" w:cs="Times New Roman" w:eastAsia="Times New Roman" w:hint="default"/>
                <w:sz w:val="18"/>
                <w:szCs w:val="18"/>
              </w:rPr>
              <w:t>5% </w:t>
            </w:r>
            <w:r>
              <w:rPr>
                <w:rFonts w:ascii="宋体" w:hAnsi="宋体" w:cs="宋体" w:eastAsia="宋体" w:hint="default"/>
                <w:sz w:val="18"/>
                <w:szCs w:val="18"/>
              </w:rPr>
              <w:t>；涉及损益的错报</w:t>
            </w:r>
            <w:r>
              <w:rPr>
                <w:rFonts w:ascii="宋体" w:hAnsi="宋体" w:cs="宋体" w:eastAsia="宋体" w:hint="default"/>
                <w:spacing w:val="-47"/>
                <w:sz w:val="18"/>
                <w:szCs w:val="18"/>
              </w:rPr>
              <w:t> </w:t>
            </w:r>
            <w:r>
              <w:rPr>
                <w:rFonts w:ascii="宋体" w:hAnsi="宋体" w:cs="宋体" w:eastAsia="宋体" w:hint="default"/>
                <w:sz w:val="18"/>
                <w:szCs w:val="18"/>
              </w:rPr>
              <w:t>，错报金</w:t>
            </w:r>
            <w:r>
              <w:rPr>
                <w:rFonts w:ascii="宋体" w:hAnsi="宋体" w:cs="宋体" w:eastAsia="宋体" w:hint="default"/>
                <w:sz w:val="18"/>
                <w:szCs w:val="18"/>
              </w:rPr>
              <w:t> 额</w:t>
            </w:r>
            <w:r>
              <w:rPr>
                <w:rFonts w:ascii="Times New Roman" w:hAnsi="Times New Roman" w:cs="Times New Roman" w:eastAsia="Times New Roman" w:hint="default"/>
                <w:sz w:val="18"/>
                <w:szCs w:val="18"/>
              </w:rPr>
              <w:t>&gt;</w:t>
            </w:r>
            <w:r>
              <w:rPr>
                <w:rFonts w:ascii="宋体" w:hAnsi="宋体" w:cs="宋体" w:eastAsia="宋体" w:hint="default"/>
                <w:sz w:val="18"/>
                <w:szCs w:val="18"/>
              </w:rPr>
              <w:t>合并报表最近一个会计年度经审计收 入总额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、符合下列条件之一的， 认定为重要缺陷：涉及资产、负债的错</w:t>
            </w:r>
          </w:p>
        </w:tc>
        <w:tc>
          <w:tcPr>
            <w:tcW w:w="361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5"/>
                <w:szCs w:val="25"/>
              </w:rPr>
            </w:pPr>
          </w:p>
          <w:p>
            <w:pPr>
              <w:pStyle w:val="TableParagraph"/>
              <w:spacing w:line="307" w:lineRule="auto"/>
              <w:ind w:left="23" w:right="19"/>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、重大缺陷：缺陷导致的直接损失金额</w:t>
            </w:r>
            <w:r>
              <w:rPr>
                <w:rFonts w:ascii="Times New Roman" w:hAnsi="Times New Roman" w:cs="Times New Roman" w:eastAsia="Times New Roman" w:hint="default"/>
                <w:spacing w:val="-3"/>
                <w:sz w:val="18"/>
                <w:szCs w:val="18"/>
              </w:rPr>
              <w:t>&gt;</w:t>
            </w:r>
            <w:r>
              <w:rPr>
                <w:rFonts w:ascii="宋体" w:hAnsi="宋体" w:cs="宋体" w:eastAsia="宋体" w:hint="default"/>
                <w:spacing w:val="-3"/>
                <w:sz w:val="18"/>
                <w:szCs w:val="18"/>
              </w:rPr>
              <w:t>合并</w:t>
            </w:r>
            <w:r>
              <w:rPr>
                <w:rFonts w:ascii="宋体" w:hAnsi="宋体" w:cs="宋体" w:eastAsia="宋体" w:hint="default"/>
                <w:spacing w:val="-84"/>
                <w:sz w:val="18"/>
                <w:szCs w:val="18"/>
              </w:rPr>
              <w:t> </w:t>
            </w:r>
            <w:r>
              <w:rPr>
                <w:rFonts w:ascii="宋体" w:hAnsi="宋体" w:cs="宋体" w:eastAsia="宋体" w:hint="default"/>
                <w:sz w:val="18"/>
                <w:szCs w:val="18"/>
              </w:rPr>
              <w:t>报表最近一期经审计净资产的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、重要 </w:t>
            </w:r>
            <w:r>
              <w:rPr>
                <w:rFonts w:ascii="宋体" w:hAnsi="宋体" w:cs="宋体" w:eastAsia="宋体" w:hint="default"/>
                <w:spacing w:val="-4"/>
                <w:sz w:val="18"/>
                <w:szCs w:val="18"/>
              </w:rPr>
              <w:t>缺陷：合并报表最近一期经审计净资产的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5%&lt;</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缺陷导致的直接损失金额≤合并报表最近一 期经审计净资产的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、一般缺陷：缺陷 导致的直接损失金额≤合并报表最近一期经 审计净资产的</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5%</w:t>
            </w:r>
          </w:p>
        </w:tc>
      </w:tr>
      <w:tr>
        <w:trPr>
          <w:trHeight w:val="394" w:hRule="exact"/>
        </w:trPr>
        <w:tc>
          <w:tcPr>
            <w:tcW w:w="2654"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01" w:type="dxa"/>
            <w:vMerge/>
            <w:tcBorders>
              <w:left w:val="single" w:sz="9" w:space="0" w:color="D4D4D4"/>
              <w:right w:val="single" w:sz="4" w:space="0" w:color="000000"/>
            </w:tcBorders>
          </w:tcPr>
          <w:p>
            <w:pPr/>
          </w:p>
        </w:tc>
        <w:tc>
          <w:tcPr>
            <w:tcW w:w="3614" w:type="dxa"/>
            <w:vMerge/>
            <w:tcBorders>
              <w:left w:val="single" w:sz="4" w:space="0" w:color="000000"/>
              <w:right w:val="single" w:sz="4" w:space="0" w:color="000000"/>
            </w:tcBorders>
          </w:tcPr>
          <w:p>
            <w:pPr/>
          </w:p>
        </w:tc>
      </w:tr>
      <w:tr>
        <w:trPr>
          <w:trHeight w:val="1234" w:hRule="exact"/>
        </w:trPr>
        <w:tc>
          <w:tcPr>
            <w:tcW w:w="2654" w:type="dxa"/>
            <w:tcBorders>
              <w:top w:val="nil" w:sz="6" w:space="0" w:color="auto"/>
              <w:left w:val="single" w:sz="4" w:space="0" w:color="000000"/>
              <w:bottom w:val="single" w:sz="4" w:space="0" w:color="000000"/>
              <w:right w:val="single" w:sz="4" w:space="0" w:color="000000"/>
            </w:tcBorders>
            <w:shd w:val="clear" w:color="auto" w:fill="D4D4D4"/>
          </w:tcPr>
          <w:p>
            <w:pPr/>
          </w:p>
        </w:tc>
        <w:tc>
          <w:tcPr>
            <w:tcW w:w="3301" w:type="dxa"/>
            <w:vMerge/>
            <w:tcBorders>
              <w:left w:val="single" w:sz="9" w:space="0" w:color="D4D4D4"/>
              <w:bottom w:val="single" w:sz="4" w:space="0" w:color="000000"/>
              <w:right w:val="single" w:sz="4" w:space="0" w:color="000000"/>
            </w:tcBorders>
          </w:tcPr>
          <w:p>
            <w:pPr/>
          </w:p>
        </w:tc>
        <w:tc>
          <w:tcPr>
            <w:tcW w:w="3614" w:type="dxa"/>
            <w:vMerge/>
            <w:tcBorders>
              <w:left w:val="single" w:sz="4" w:space="0" w:color="000000"/>
              <w:bottom w:val="single" w:sz="4" w:space="0" w:color="000000"/>
              <w:right w:val="single" w:sz="4" w:space="0" w:color="000000"/>
            </w:tcBorders>
          </w:tcPr>
          <w:p>
            <w:pPr/>
          </w:p>
        </w:tc>
      </w:tr>
    </w:tbl>
    <w:p>
      <w:pPr>
        <w:spacing w:after="0"/>
        <w:sectPr>
          <w:footerReference w:type="default" r:id="rId25"/>
          <w:pgSz w:w="11910" w:h="16840"/>
          <w:pgMar w:footer="982" w:header="745" w:top="1060" w:bottom="1180" w:left="980" w:right="0"/>
          <w:pgNumType w:start="11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2658"/>
        <w:gridCol w:w="3295"/>
        <w:gridCol w:w="3614"/>
      </w:tblGrid>
      <w:tr>
        <w:trPr>
          <w:trHeight w:val="5354" w:hRule="exact"/>
        </w:trPr>
        <w:tc>
          <w:tcPr>
            <w:tcW w:w="2658"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329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8"/>
              <w:ind w:left="23" w:right="19"/>
              <w:jc w:val="left"/>
              <w:rPr>
                <w:rFonts w:ascii="宋体" w:hAnsi="宋体" w:cs="宋体" w:eastAsia="宋体" w:hint="default"/>
                <w:sz w:val="18"/>
                <w:szCs w:val="18"/>
              </w:rPr>
            </w:pPr>
            <w:r>
              <w:rPr>
                <w:rFonts w:ascii="宋体" w:hAnsi="宋体" w:cs="宋体" w:eastAsia="宋体" w:hint="default"/>
                <w:sz w:val="18"/>
                <w:szCs w:val="18"/>
              </w:rPr>
              <w:t>报</w:t>
            </w:r>
            <w:r>
              <w:rPr>
                <w:rFonts w:ascii="宋体" w:hAnsi="宋体" w:cs="宋体" w:eastAsia="宋体" w:hint="default"/>
                <w:spacing w:val="1"/>
                <w:sz w:val="18"/>
                <w:szCs w:val="18"/>
              </w:rPr>
              <w:t> </w:t>
            </w:r>
            <w:r>
              <w:rPr>
                <w:rFonts w:ascii="宋体" w:hAnsi="宋体" w:cs="宋体" w:eastAsia="宋体" w:hint="default"/>
                <w:sz w:val="18"/>
                <w:szCs w:val="18"/>
              </w:rPr>
              <w:t>，合并报表最近一个会计年度经审计</w:t>
            </w:r>
            <w:r>
              <w:rPr>
                <w:rFonts w:ascii="宋体" w:hAnsi="宋体" w:cs="宋体" w:eastAsia="宋体" w:hint="default"/>
                <w:sz w:val="18"/>
                <w:szCs w:val="18"/>
              </w:rPr>
              <w:t> 资产总额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3%&lt;</w:t>
            </w:r>
            <w:r>
              <w:rPr>
                <w:rFonts w:ascii="宋体" w:hAnsi="宋体" w:cs="宋体" w:eastAsia="宋体" w:hint="default"/>
                <w:sz w:val="18"/>
                <w:szCs w:val="18"/>
              </w:rPr>
              <w:t>错报金额≤合并报表最近 一个会计年度经审计资产总额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pacing w:val="-6"/>
                <w:sz w:val="18"/>
                <w:szCs w:val="18"/>
              </w:rPr>
              <w:t>；涉及</w:t>
            </w:r>
            <w:r>
              <w:rPr>
                <w:rFonts w:ascii="宋体" w:hAnsi="宋体" w:cs="宋体" w:eastAsia="宋体" w:hint="default"/>
                <w:sz w:val="18"/>
                <w:szCs w:val="18"/>
              </w:rPr>
              <w:t> 净资产的错报，合并报表最近一个会计年 度经审计净资产总额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3%&lt;</w:t>
            </w:r>
            <w:r>
              <w:rPr>
                <w:rFonts w:ascii="宋体" w:hAnsi="宋体" w:cs="宋体" w:eastAsia="宋体" w:hint="default"/>
                <w:sz w:val="18"/>
                <w:szCs w:val="18"/>
              </w:rPr>
              <w:t>错报金额≤合 并报表最近一个会计年度经审计净资产 总额 </w:t>
            </w:r>
            <w:r>
              <w:rPr>
                <w:rFonts w:ascii="Times New Roman" w:hAnsi="Times New Roman" w:cs="Times New Roman" w:eastAsia="Times New Roman" w:hint="default"/>
                <w:sz w:val="18"/>
                <w:szCs w:val="18"/>
              </w:rPr>
              <w:t>5% </w:t>
            </w:r>
            <w:r>
              <w:rPr>
                <w:rFonts w:ascii="宋体" w:hAnsi="宋体" w:cs="宋体" w:eastAsia="宋体" w:hint="default"/>
                <w:sz w:val="18"/>
                <w:szCs w:val="18"/>
              </w:rPr>
              <w:t>；涉及损益的错报</w:t>
            </w:r>
            <w:r>
              <w:rPr>
                <w:rFonts w:ascii="宋体" w:hAnsi="宋体" w:cs="宋体" w:eastAsia="宋体" w:hint="default"/>
                <w:spacing w:val="-46"/>
                <w:sz w:val="18"/>
                <w:szCs w:val="18"/>
              </w:rPr>
              <w:t> </w:t>
            </w:r>
            <w:r>
              <w:rPr>
                <w:rFonts w:ascii="宋体" w:hAnsi="宋体" w:cs="宋体" w:eastAsia="宋体" w:hint="default"/>
                <w:sz w:val="18"/>
                <w:szCs w:val="18"/>
              </w:rPr>
              <w:t>，合并报表</w:t>
            </w:r>
            <w:r>
              <w:rPr>
                <w:rFonts w:ascii="宋体" w:hAnsi="宋体" w:cs="宋体" w:eastAsia="宋体" w:hint="default"/>
                <w:sz w:val="18"/>
                <w:szCs w:val="18"/>
              </w:rPr>
              <w:t> 最近一个会计年度经审计收入总额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3%&lt;</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错报金额≤合并报表最近一个会计年度 经审计收入总额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、符合下列条件 之一的，认定为一般缺陷：涉及资产、负 债的错报</w:t>
            </w:r>
            <w:r>
              <w:rPr>
                <w:rFonts w:ascii="宋体" w:hAnsi="宋体" w:cs="宋体" w:eastAsia="宋体" w:hint="default"/>
                <w:spacing w:val="1"/>
                <w:sz w:val="18"/>
                <w:szCs w:val="18"/>
              </w:rPr>
              <w:t> </w:t>
            </w:r>
            <w:r>
              <w:rPr>
                <w:rFonts w:ascii="宋体" w:hAnsi="宋体" w:cs="宋体" w:eastAsia="宋体" w:hint="default"/>
                <w:sz w:val="18"/>
                <w:szCs w:val="18"/>
              </w:rPr>
              <w:t>，错报金额≤合并报表最近一</w:t>
            </w:r>
            <w:r>
              <w:rPr>
                <w:rFonts w:ascii="宋体" w:hAnsi="宋体" w:cs="宋体" w:eastAsia="宋体" w:hint="default"/>
                <w:sz w:val="18"/>
                <w:szCs w:val="18"/>
              </w:rPr>
              <w:t> 个会计年度经审计资产总额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3"/>
                <w:sz w:val="18"/>
                <w:szCs w:val="18"/>
              </w:rPr>
              <w:t> </w:t>
            </w:r>
            <w:r>
              <w:rPr>
                <w:rFonts w:ascii="宋体" w:hAnsi="宋体" w:cs="宋体" w:eastAsia="宋体" w:hint="default"/>
                <w:spacing w:val="-5"/>
                <w:sz w:val="18"/>
                <w:szCs w:val="18"/>
              </w:rPr>
              <w:t>；涉及净</w:t>
            </w:r>
            <w:r>
              <w:rPr>
                <w:rFonts w:ascii="宋体" w:hAnsi="宋体" w:cs="宋体" w:eastAsia="宋体" w:hint="default"/>
                <w:sz w:val="18"/>
                <w:szCs w:val="18"/>
              </w:rPr>
              <w:t> 资产的错报，错报金额≤合并报表最近一 个会计年度经审计净资产总额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pacing w:val="-6"/>
                <w:sz w:val="18"/>
                <w:szCs w:val="18"/>
              </w:rPr>
              <w:t>；涉及</w:t>
            </w:r>
            <w:r>
              <w:rPr>
                <w:rFonts w:ascii="宋体" w:hAnsi="宋体" w:cs="宋体" w:eastAsia="宋体" w:hint="default"/>
                <w:sz w:val="18"/>
                <w:szCs w:val="18"/>
              </w:rPr>
              <w:t> 损益的错报</w:t>
            </w:r>
            <w:r>
              <w:rPr>
                <w:rFonts w:ascii="宋体" w:hAnsi="宋体" w:cs="宋体" w:eastAsia="宋体" w:hint="default"/>
                <w:spacing w:val="1"/>
                <w:sz w:val="18"/>
                <w:szCs w:val="18"/>
              </w:rPr>
              <w:t> </w:t>
            </w:r>
            <w:r>
              <w:rPr>
                <w:rFonts w:ascii="宋体" w:hAnsi="宋体" w:cs="宋体" w:eastAsia="宋体" w:hint="default"/>
                <w:sz w:val="18"/>
                <w:szCs w:val="18"/>
              </w:rPr>
              <w:t>，错报金额≤合并报表最近</w:t>
            </w:r>
            <w:r>
              <w:rPr>
                <w:rFonts w:ascii="宋体" w:hAnsi="宋体" w:cs="宋体" w:eastAsia="宋体" w:hint="default"/>
                <w:sz w:val="18"/>
                <w:szCs w:val="18"/>
              </w:rPr>
              <w:t> 一个会计年度经审计收入总额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w:t>
            </w:r>
          </w:p>
        </w:tc>
        <w:tc>
          <w:tcPr>
            <w:tcW w:w="361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6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9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26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9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26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9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26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9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1"/>
        <w:rPr>
          <w:rFonts w:ascii="宋体" w:hAnsi="宋体" w:cs="宋体" w:eastAsia="宋体" w:hint="default"/>
          <w:b/>
          <w:bCs/>
          <w:sz w:val="18"/>
          <w:szCs w:val="18"/>
        </w:rPr>
      </w:pPr>
    </w:p>
    <w:p>
      <w:pPr>
        <w:pStyle w:val="Heading2"/>
        <w:spacing w:line="240" w:lineRule="auto" w:before="26"/>
        <w:ind w:right="986"/>
        <w:jc w:val="left"/>
        <w:rPr>
          <w:b w:val="0"/>
          <w:bCs w:val="0"/>
        </w:rPr>
      </w:pPr>
      <w:bookmarkStart w:name="十、内部控制审计报告或鉴证报告" w:id="152"/>
      <w:bookmarkEnd w:id="152"/>
      <w:r>
        <w:rPr>
          <w:b w:val="0"/>
          <w:bCs w:val="0"/>
        </w:rPr>
      </w:r>
      <w:r>
        <w:rPr/>
        <w:t>十、内部控制审计报告或鉴证报告</w:t>
      </w:r>
      <w:r>
        <w:rPr>
          <w:b w:val="0"/>
          <w:bCs w:val="0"/>
        </w:rPr>
      </w:r>
    </w:p>
    <w:p>
      <w:pPr>
        <w:spacing w:line="240" w:lineRule="auto" w:before="6"/>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内部控制鉴证报告</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50"/>
        <w:gridCol w:w="6918"/>
      </w:tblGrid>
      <w:tr>
        <w:trPr>
          <w:trHeight w:val="403"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内部控制鉴证报告中的审议意见段</w:t>
            </w:r>
          </w:p>
        </w:tc>
      </w:tr>
      <w:tr>
        <w:trPr>
          <w:trHeight w:val="713" w:hRule="exact"/>
        </w:trPr>
        <w:tc>
          <w:tcPr>
            <w:tcW w:w="9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2" w:right="83"/>
              <w:jc w:val="left"/>
              <w:rPr>
                <w:rFonts w:ascii="宋体" w:hAnsi="宋体" w:cs="宋体" w:eastAsia="宋体" w:hint="default"/>
                <w:sz w:val="18"/>
                <w:szCs w:val="18"/>
              </w:rPr>
            </w:pPr>
            <w:r>
              <w:rPr>
                <w:rFonts w:ascii="宋体" w:hAnsi="宋体" w:cs="宋体" w:eastAsia="宋体" w:hint="default"/>
                <w:sz w:val="18"/>
                <w:szCs w:val="18"/>
              </w:rPr>
              <w:t>我们认为，美亚柏科于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日在所有重大方面有效地保持了按照《企业内部控制基本规范》建立的与财务报 表相关的内部控制</w:t>
            </w:r>
          </w:p>
        </w:tc>
      </w:tr>
      <w:tr>
        <w:trPr>
          <w:trHeight w:val="403" w:hRule="exact"/>
        </w:trPr>
        <w:tc>
          <w:tcPr>
            <w:tcW w:w="265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内控鉴证报告披露情况</w:t>
            </w:r>
          </w:p>
        </w:tc>
        <w:tc>
          <w:tcPr>
            <w:tcW w:w="691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披露</w:t>
            </w:r>
          </w:p>
        </w:tc>
      </w:tr>
      <w:tr>
        <w:trPr>
          <w:trHeight w:val="401" w:hRule="exact"/>
        </w:trPr>
        <w:tc>
          <w:tcPr>
            <w:tcW w:w="265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内部控制鉴证报告全文披露日期</w:t>
            </w:r>
          </w:p>
        </w:tc>
        <w:tc>
          <w:tcPr>
            <w:tcW w:w="691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403" w:hRule="exact"/>
        </w:trPr>
        <w:tc>
          <w:tcPr>
            <w:tcW w:w="265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内部控制鉴证报告全文披露索引</w:t>
            </w:r>
          </w:p>
        </w:tc>
        <w:tc>
          <w:tcPr>
            <w:tcW w:w="691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www.cninfo.com.cn,</w:t>
            </w:r>
            <w:r>
              <w:rPr>
                <w:rFonts w:ascii="宋体" w:hAnsi="宋体" w:cs="宋体" w:eastAsia="宋体" w:hint="default"/>
                <w:sz w:val="18"/>
                <w:szCs w:val="18"/>
              </w:rPr>
              <w:t>巨潮资讯网披露的《</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年自我评价报告内部鉴证报告》</w:t>
            </w:r>
          </w:p>
        </w:tc>
      </w:tr>
      <w:tr>
        <w:trPr>
          <w:trHeight w:val="401" w:hRule="exact"/>
        </w:trPr>
        <w:tc>
          <w:tcPr>
            <w:tcW w:w="265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内控鉴证报告意见类型</w:t>
            </w:r>
          </w:p>
        </w:tc>
        <w:tc>
          <w:tcPr>
            <w:tcW w:w="691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标准无保留意见</w:t>
            </w:r>
          </w:p>
        </w:tc>
      </w:tr>
      <w:tr>
        <w:trPr>
          <w:trHeight w:val="403" w:hRule="exact"/>
        </w:trPr>
        <w:tc>
          <w:tcPr>
            <w:tcW w:w="265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非财务报告是否存在重大缺陷</w:t>
            </w:r>
          </w:p>
        </w:tc>
        <w:tc>
          <w:tcPr>
            <w:tcW w:w="691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会计师事务所是否出具非标准意见的内部控制鉴证报告</w:t>
      </w:r>
    </w:p>
    <w:p>
      <w:pPr>
        <w:spacing w:line="360" w:lineRule="auto" w:before="115"/>
        <w:ind w:left="152" w:right="4634" w:hanging="1"/>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3"/>
          <w:sz w:val="18"/>
          <w:szCs w:val="18"/>
        </w:rPr>
        <w:t> </w:t>
      </w:r>
      <w:r>
        <w:rPr>
          <w:rFonts w:ascii="宋体" w:hAnsi="宋体" w:cs="宋体" w:eastAsia="宋体" w:hint="default"/>
          <w:sz w:val="18"/>
          <w:szCs w:val="18"/>
        </w:rPr>
        <w:t>否</w:t>
      </w:r>
      <w:r>
        <w:rPr>
          <w:rFonts w:ascii="宋体" w:hAnsi="宋体" w:cs="宋体" w:eastAsia="宋体" w:hint="default"/>
          <w:sz w:val="18"/>
          <w:szCs w:val="18"/>
        </w:rPr>
        <w:t> 会计师事务所出具的内部控制鉴证报告与董事会的自我评价报告意见是否一致</w:t>
      </w:r>
    </w:p>
    <w:p>
      <w:pPr>
        <w:spacing w:before="25"/>
        <w:ind w:left="152" w:right="986" w:firstLine="0"/>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3"/>
          <w:sz w:val="18"/>
          <w:szCs w:val="18"/>
        </w:rPr>
        <w:t> </w:t>
      </w:r>
      <w:r>
        <w:rPr>
          <w:rFonts w:ascii="宋体" w:hAnsi="宋体" w:cs="宋体" w:eastAsia="宋体" w:hint="default"/>
          <w:sz w:val="18"/>
          <w:szCs w:val="18"/>
        </w:rPr>
        <w:t>否</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044" w:right="986"/>
        <w:jc w:val="left"/>
        <w:rPr>
          <w:b w:val="0"/>
          <w:bCs w:val="0"/>
        </w:rPr>
      </w:pPr>
      <w:bookmarkStart w:name="第十一节公司债券相关情况" w:id="153"/>
      <w:bookmarkEnd w:id="153"/>
      <w:r>
        <w:rPr>
          <w:b w:val="0"/>
          <w:bCs w:val="0"/>
        </w:rPr>
      </w:r>
      <w:bookmarkStart w:name="_bookmark9" w:id="154"/>
      <w:bookmarkEnd w:id="154"/>
      <w:r>
        <w:rPr>
          <w:b w:val="0"/>
          <w:bCs w:val="0"/>
        </w:rPr>
      </w:r>
      <w:r>
        <w:rPr/>
        <w:t>第十一节公司债券相关情况</w:t>
      </w:r>
      <w:r>
        <w:rPr>
          <w:b w:val="0"/>
          <w:bCs w:val="0"/>
        </w:rPr>
      </w:r>
    </w:p>
    <w:p>
      <w:pPr>
        <w:spacing w:line="240" w:lineRule="auto" w:before="9"/>
        <w:rPr>
          <w:rFonts w:ascii="宋体" w:hAnsi="宋体" w:cs="宋体" w:eastAsia="宋体" w:hint="default"/>
          <w:b/>
          <w:bCs/>
          <w:sz w:val="42"/>
          <w:szCs w:val="42"/>
        </w:rPr>
      </w:pPr>
    </w:p>
    <w:p>
      <w:pPr>
        <w:spacing w:line="357" w:lineRule="auto" w:before="0"/>
        <w:ind w:left="152" w:right="2114" w:firstLine="0"/>
        <w:jc w:val="left"/>
        <w:rPr>
          <w:rFonts w:ascii="宋体" w:hAnsi="宋体" w:cs="宋体" w:eastAsia="宋体" w:hint="default"/>
          <w:sz w:val="18"/>
          <w:szCs w:val="18"/>
        </w:rPr>
      </w:pPr>
      <w:r>
        <w:rPr>
          <w:rFonts w:ascii="宋体" w:hAnsi="宋体" w:cs="宋体" w:eastAsia="宋体" w:hint="default"/>
          <w:sz w:val="18"/>
          <w:szCs w:val="18"/>
        </w:rPr>
        <w:t>公司是否存在公开发行并在证券交易所上市，且在年度报告批准报出日未到期或到期未能全额兑付的公司债券 否</w:t>
      </w:r>
    </w:p>
    <w:p>
      <w:pPr>
        <w:spacing w:after="0" w:line="357"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2235" w:right="3220"/>
        <w:jc w:val="center"/>
        <w:rPr>
          <w:b w:val="0"/>
          <w:bCs w:val="0"/>
        </w:rPr>
      </w:pPr>
      <w:bookmarkStart w:name="第十二节财务报告" w:id="155"/>
      <w:bookmarkEnd w:id="155"/>
      <w:r>
        <w:rPr>
          <w:b w:val="0"/>
          <w:bCs w:val="0"/>
        </w:rPr>
      </w:r>
      <w:bookmarkStart w:name="_bookmark10" w:id="156"/>
      <w:bookmarkEnd w:id="156"/>
      <w:r>
        <w:rPr>
          <w:b w:val="0"/>
          <w:bCs w:val="0"/>
        </w:rPr>
      </w:r>
      <w:r>
        <w:rPr/>
        <w:t>第十二节财务报告</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right="986"/>
        <w:jc w:val="left"/>
        <w:rPr>
          <w:b w:val="0"/>
          <w:bCs w:val="0"/>
        </w:rPr>
      </w:pPr>
      <w:bookmarkStart w:name="一、审计报告" w:id="157"/>
      <w:bookmarkEnd w:id="157"/>
      <w:r>
        <w:rPr>
          <w:b w:val="0"/>
          <w:bCs w:val="0"/>
        </w:rPr>
      </w:r>
      <w:r>
        <w:rPr/>
        <w:t>一、审计报告</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578"/>
        <w:gridCol w:w="4990"/>
      </w:tblGrid>
      <w:tr>
        <w:trPr>
          <w:trHeight w:val="403" w:hRule="exact"/>
        </w:trPr>
        <w:tc>
          <w:tcPr>
            <w:tcW w:w="457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1" w:hRule="exact"/>
        </w:trPr>
        <w:tc>
          <w:tcPr>
            <w:tcW w:w="457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r>
      <w:tr>
        <w:trPr>
          <w:trHeight w:val="403" w:hRule="exact"/>
        </w:trPr>
        <w:tc>
          <w:tcPr>
            <w:tcW w:w="457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中证天通会计师事务所（特殊普通合伙）</w:t>
            </w:r>
          </w:p>
        </w:tc>
      </w:tr>
      <w:tr>
        <w:trPr>
          <w:trHeight w:val="401" w:hRule="exact"/>
        </w:trPr>
        <w:tc>
          <w:tcPr>
            <w:tcW w:w="457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中证天通</w:t>
            </w:r>
            <w:r>
              <w:rPr>
                <w:rFonts w:ascii="Times New Roman" w:hAnsi="Times New Roman" w:cs="Times New Roman" w:eastAsia="Times New Roman" w:hint="default"/>
                <w:sz w:val="18"/>
                <w:szCs w:val="18"/>
              </w:rPr>
              <w:t>[2020]</w:t>
            </w:r>
            <w:r>
              <w:rPr>
                <w:rFonts w:ascii="宋体" w:hAnsi="宋体" w:cs="宋体" w:eastAsia="宋体" w:hint="default"/>
                <w:sz w:val="18"/>
                <w:szCs w:val="18"/>
              </w:rPr>
              <w:t>证审字第</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0100001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w:t>
            </w:r>
          </w:p>
        </w:tc>
      </w:tr>
      <w:tr>
        <w:trPr>
          <w:trHeight w:val="403" w:hRule="exact"/>
        </w:trPr>
        <w:tc>
          <w:tcPr>
            <w:tcW w:w="457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陈峰</w:t>
            </w:r>
            <w:r>
              <w:rPr>
                <w:rFonts w:ascii="宋体" w:hAnsi="宋体" w:cs="宋体" w:eastAsia="宋体" w:hint="default"/>
                <w:spacing w:val="1"/>
                <w:sz w:val="18"/>
                <w:szCs w:val="18"/>
              </w:rPr>
              <w:t> </w:t>
            </w:r>
            <w:r>
              <w:rPr>
                <w:rFonts w:ascii="宋体" w:hAnsi="宋体" w:cs="宋体" w:eastAsia="宋体" w:hint="default"/>
                <w:sz w:val="18"/>
                <w:szCs w:val="18"/>
              </w:rPr>
              <w:t>易厚震</w:t>
            </w:r>
          </w:p>
        </w:tc>
      </w:tr>
    </w:tbl>
    <w:p>
      <w:pPr>
        <w:spacing w:before="49"/>
        <w:ind w:left="2240" w:right="3220" w:firstLine="0"/>
        <w:jc w:val="center"/>
        <w:rPr>
          <w:rFonts w:ascii="宋体" w:hAnsi="宋体" w:cs="宋体" w:eastAsia="宋体" w:hint="default"/>
          <w:sz w:val="18"/>
          <w:szCs w:val="18"/>
        </w:rPr>
      </w:pPr>
      <w:r>
        <w:rPr>
          <w:rFonts w:ascii="宋体" w:hAnsi="宋体" w:cs="宋体" w:eastAsia="宋体" w:hint="default"/>
          <w:sz w:val="18"/>
          <w:szCs w:val="18"/>
        </w:rPr>
        <w:t>审计报告正文</w:t>
      </w:r>
    </w:p>
    <w:p>
      <w:pPr>
        <w:pStyle w:val="Heading2"/>
        <w:spacing w:line="240" w:lineRule="auto" w:before="148"/>
        <w:ind w:right="0"/>
        <w:jc w:val="both"/>
        <w:rPr>
          <w:b w:val="0"/>
          <w:bCs w:val="0"/>
        </w:rPr>
      </w:pPr>
      <w:r>
        <w:rPr/>
        <w:t>厦门市美亚柏科信息股份有限公司全体股东：</w:t>
      </w:r>
      <w:r>
        <w:rPr>
          <w:b w:val="0"/>
          <w:bCs w:val="0"/>
        </w:rPr>
      </w:r>
    </w:p>
    <w:p>
      <w:pPr>
        <w:spacing w:line="240" w:lineRule="auto" w:before="11"/>
        <w:rPr>
          <w:rFonts w:ascii="宋体" w:hAnsi="宋体" w:cs="宋体" w:eastAsia="宋体" w:hint="default"/>
          <w:b/>
          <w:bCs/>
          <w:sz w:val="16"/>
          <w:szCs w:val="16"/>
        </w:rPr>
      </w:pPr>
    </w:p>
    <w:p>
      <w:pPr>
        <w:pStyle w:val="BodyText"/>
        <w:spacing w:line="408" w:lineRule="auto" w:before="0"/>
        <w:ind w:left="632" w:right="986" w:firstLine="2"/>
        <w:jc w:val="left"/>
        <w:rPr>
          <w:rFonts w:ascii="Times New Roman" w:hAnsi="Times New Roman" w:cs="Times New Roman" w:eastAsia="Times New Roman" w:hint="default"/>
        </w:rPr>
      </w:pPr>
      <w:r>
        <w:rPr>
          <w:rFonts w:ascii="宋体" w:hAnsi="宋体" w:cs="宋体" w:eastAsia="宋体" w:hint="default"/>
          <w:b/>
          <w:bCs/>
        </w:rPr>
        <w:t>一、审计意见</w:t>
      </w:r>
      <w:r>
        <w:rPr>
          <w:rFonts w:ascii="宋体" w:hAnsi="宋体" w:cs="宋体" w:eastAsia="宋体" w:hint="default"/>
          <w:b/>
          <w:bCs/>
          <w:w w:val="100"/>
        </w:rPr>
        <w:t> </w:t>
      </w:r>
      <w:r>
        <w:rPr/>
        <w:t>我们审计了后附的厦门市美亚柏科信息股份有限公司（以下简称</w:t>
      </w:r>
      <w:r>
        <w:rPr>
          <w:rFonts w:ascii="Times New Roman" w:hAnsi="Times New Roman" w:cs="Times New Roman" w:eastAsia="Times New Roman" w:hint="default"/>
        </w:rPr>
        <w:t>“</w:t>
      </w:r>
      <w:r>
        <w:rPr/>
        <w:t>美亚柏科</w:t>
      </w:r>
      <w:r>
        <w:rPr>
          <w:rFonts w:ascii="Times New Roman" w:hAnsi="Times New Roman" w:cs="Times New Roman" w:eastAsia="Times New Roman" w:hint="default"/>
        </w:rPr>
        <w:t>”</w:t>
      </w:r>
      <w:r>
        <w:rPr/>
        <w:t>）财务报表，包括</w:t>
      </w:r>
      <w:r>
        <w:rPr>
          <w:rFonts w:ascii="Times New Roman" w:hAnsi="Times New Roman" w:cs="Times New Roman" w:eastAsia="Times New Roman" w:hint="default"/>
        </w:rPr>
        <w:t>2019</w:t>
      </w:r>
    </w:p>
    <w:p>
      <w:pPr>
        <w:pStyle w:val="BodyText"/>
        <w:spacing w:line="386" w:lineRule="auto" w:before="14"/>
        <w:ind w:left="153" w:right="1128" w:hanging="1"/>
        <w:jc w:val="both"/>
      </w:pP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日的合并及公司资产负债表，</w:t>
      </w:r>
      <w:r>
        <w:rPr>
          <w:rFonts w:ascii="Times New Roman" w:hAnsi="Times New Roman" w:cs="Times New Roman" w:eastAsia="Times New Roman" w:hint="default"/>
          <w:spacing w:val="-2"/>
        </w:rPr>
        <w:t>2019</w:t>
      </w:r>
      <w:r>
        <w:rPr>
          <w:spacing w:val="-2"/>
        </w:rPr>
        <w:t>年度的合并及公司利润表、合并及公司现金流量表、合并及公</w:t>
      </w:r>
      <w:r>
        <w:rPr>
          <w:spacing w:val="-35"/>
        </w:rPr>
        <w:t> </w:t>
      </w:r>
      <w:r>
        <w:rPr>
          <w:spacing w:val="-35"/>
        </w:rPr>
      </w:r>
      <w:r>
        <w:rPr/>
        <w:t>司股东权益变动表以及相关财务报表附注。</w:t>
      </w:r>
    </w:p>
    <w:p>
      <w:pPr>
        <w:pStyle w:val="BodyText"/>
        <w:spacing w:line="386" w:lineRule="auto" w:before="65"/>
        <w:ind w:left="153" w:right="986" w:firstLine="480"/>
        <w:jc w:val="left"/>
      </w:pPr>
      <w:r>
        <w:rPr>
          <w:spacing w:val="-4"/>
        </w:rPr>
        <w:t>我们认为，后附的财务报表在所有重大方面按照企业会计准则的规定编制，公允反映了美亚柏科</w:t>
      </w:r>
      <w:r>
        <w:rPr>
          <w:rFonts w:ascii="Times New Roman" w:hAnsi="Times New Roman" w:cs="Times New Roman" w:eastAsia="Times New Roman" w:hint="default"/>
          <w:spacing w:val="-4"/>
        </w:rPr>
        <w:t>2019</w:t>
      </w:r>
      <w:r>
        <w:rPr>
          <w:rFonts w:ascii="Times New Roman" w:hAnsi="Times New Roman" w:cs="Times New Roman" w:eastAsia="Times New Roman" w:hint="default"/>
          <w:w w:val="100"/>
        </w:rPr>
        <w:t> </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日合并及公司的财务状况以及</w:t>
      </w:r>
      <w:r>
        <w:rPr>
          <w:rFonts w:ascii="Times New Roman" w:hAnsi="Times New Roman" w:cs="Times New Roman" w:eastAsia="Times New Roman" w:hint="default"/>
        </w:rPr>
        <w:t>2019</w:t>
      </w:r>
      <w:r>
        <w:rPr/>
        <w:t>年度合并及公司的经营成果和现金流量。</w:t>
      </w:r>
    </w:p>
    <w:p>
      <w:pPr>
        <w:spacing w:line="408" w:lineRule="auto" w:before="35"/>
        <w:ind w:left="632" w:right="986" w:firstLine="2"/>
        <w:jc w:val="left"/>
        <w:rPr>
          <w:rFonts w:ascii="宋体" w:hAnsi="宋体" w:cs="宋体" w:eastAsia="宋体" w:hint="default"/>
          <w:sz w:val="21"/>
          <w:szCs w:val="21"/>
        </w:rPr>
      </w:pPr>
      <w:r>
        <w:rPr>
          <w:rFonts w:ascii="宋体" w:hAnsi="宋体" w:cs="宋体" w:eastAsia="宋体" w:hint="default"/>
          <w:b/>
          <w:bCs/>
          <w:sz w:val="21"/>
          <w:szCs w:val="21"/>
        </w:rPr>
        <w:t>二、形成审计意见的基础</w:t>
      </w:r>
      <w:r>
        <w:rPr>
          <w:rFonts w:ascii="宋体" w:hAnsi="宋体" w:cs="宋体" w:eastAsia="宋体" w:hint="default"/>
          <w:b/>
          <w:bCs/>
          <w:w w:val="100"/>
          <w:sz w:val="21"/>
          <w:szCs w:val="21"/>
        </w:rPr>
        <w:t> </w:t>
      </w:r>
      <w:r>
        <w:rPr>
          <w:rFonts w:ascii="宋体" w:hAnsi="宋体" w:cs="宋体" w:eastAsia="宋体" w:hint="default"/>
          <w:spacing w:val="-1"/>
          <w:sz w:val="21"/>
          <w:szCs w:val="21"/>
        </w:rPr>
        <w:t>我们按照中国注册会计师审计准则的规定执行了审计工作。审计报告的</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注册会计师对财务报表审计</w:t>
      </w:r>
    </w:p>
    <w:p>
      <w:pPr>
        <w:pStyle w:val="BodyText"/>
        <w:spacing w:line="398" w:lineRule="auto" w:before="14"/>
        <w:ind w:right="1128"/>
        <w:jc w:val="both"/>
      </w:pPr>
      <w:r>
        <w:rPr/>
        <w:t>的责任</w:t>
      </w:r>
      <w:r>
        <w:rPr>
          <w:rFonts w:ascii="Times New Roman" w:hAnsi="Times New Roman" w:cs="Times New Roman" w:eastAsia="Times New Roman" w:hint="default"/>
        </w:rPr>
        <w:t>”</w:t>
      </w:r>
      <w:r>
        <w:rPr/>
        <w:t>部分进一步阐述了我们在这些准则下的责任。按照中国注册会计师职业道德守则，我们独立于美</w:t>
      </w:r>
      <w:r>
        <w:rPr>
          <w:spacing w:val="-18"/>
        </w:rPr>
        <w:t> </w:t>
      </w:r>
      <w:r>
        <w:rPr>
          <w:spacing w:val="-18"/>
        </w:rPr>
      </w:r>
      <w:r>
        <w:rPr>
          <w:spacing w:val="-2"/>
        </w:rPr>
        <w:t>亚柏科，并履行了职业道德方面的其他责任。我们相信，我们获取的审计证据是充分、适当的，为发表审</w:t>
      </w:r>
      <w:r>
        <w:rPr>
          <w:spacing w:val="-43"/>
        </w:rPr>
        <w:t> </w:t>
      </w:r>
      <w:r>
        <w:rPr>
          <w:spacing w:val="-43"/>
        </w:rPr>
      </w:r>
      <w:r>
        <w:rPr/>
        <w:t>计意见提供了基础。</w:t>
      </w:r>
    </w:p>
    <w:p>
      <w:pPr>
        <w:pStyle w:val="BodyText"/>
        <w:spacing w:line="408" w:lineRule="auto" w:before="54"/>
        <w:ind w:left="635" w:right="986"/>
        <w:jc w:val="left"/>
      </w:pPr>
      <w:r>
        <w:rPr>
          <w:rFonts w:ascii="宋体" w:hAnsi="宋体" w:cs="宋体" w:eastAsia="宋体" w:hint="default"/>
          <w:b/>
          <w:bCs/>
        </w:rPr>
        <w:t>三、关键审计事项</w:t>
      </w:r>
      <w:r>
        <w:rPr>
          <w:rFonts w:ascii="宋体" w:hAnsi="宋体" w:cs="宋体" w:eastAsia="宋体" w:hint="default"/>
          <w:b/>
          <w:bCs/>
          <w:spacing w:val="-103"/>
        </w:rPr>
        <w:t> </w:t>
      </w:r>
      <w:r>
        <w:rPr>
          <w:spacing w:val="-4"/>
        </w:rPr>
        <w:t>关键审计事项是根据我们的职业判断，认为对本期财务报表审计最为重要的事项。这些事项的应对以</w:t>
      </w:r>
    </w:p>
    <w:p>
      <w:pPr>
        <w:pStyle w:val="BodyText"/>
        <w:spacing w:line="240" w:lineRule="auto"/>
        <w:ind w:right="0"/>
        <w:jc w:val="both"/>
      </w:pPr>
      <w:r>
        <w:rPr/>
        <w:t>对财务报表整体进行审计并形成审计意见为背景，我们不对这些事项单独发表意见。</w:t>
      </w:r>
    </w:p>
    <w:p>
      <w:pPr>
        <w:spacing w:line="240" w:lineRule="auto" w:before="10"/>
        <w:rPr>
          <w:rFonts w:ascii="宋体" w:hAnsi="宋体" w:cs="宋体" w:eastAsia="宋体" w:hint="default"/>
          <w:sz w:val="14"/>
          <w:szCs w:val="14"/>
        </w:rPr>
      </w:pPr>
    </w:p>
    <w:p>
      <w:pPr>
        <w:pStyle w:val="BodyText"/>
        <w:spacing w:line="240" w:lineRule="auto" w:before="0"/>
        <w:ind w:left="632" w:right="986"/>
        <w:jc w:val="left"/>
      </w:pPr>
      <w:r>
        <w:rPr/>
        <w:t>（一）应收账款减值准备</w:t>
      </w:r>
    </w:p>
    <w:p>
      <w:pPr>
        <w:spacing w:line="240" w:lineRule="auto" w:before="10"/>
        <w:rPr>
          <w:rFonts w:ascii="宋体" w:hAnsi="宋体" w:cs="宋体" w:eastAsia="宋体" w:hint="default"/>
          <w:sz w:val="14"/>
          <w:szCs w:val="14"/>
        </w:rPr>
      </w:pPr>
    </w:p>
    <w:p>
      <w:pPr>
        <w:pStyle w:val="BodyText"/>
        <w:spacing w:line="386" w:lineRule="auto" w:before="0"/>
        <w:ind w:left="753" w:right="986" w:hanging="120"/>
        <w:jc w:val="left"/>
      </w:pPr>
      <w:r>
        <w:rPr>
          <w:rFonts w:ascii="Times New Roman" w:hAnsi="Times New Roman" w:cs="Times New Roman" w:eastAsia="Times New Roman" w:hint="default"/>
        </w:rPr>
        <w:t>1</w:t>
      </w:r>
      <w:r>
        <w:rPr/>
        <w:t>、事项描述</w:t>
      </w:r>
      <w:r>
        <w:rPr>
          <w:spacing w:val="-3"/>
          <w:w w:val="100"/>
        </w:rPr>
        <w:t> </w:t>
      </w:r>
      <w:r>
        <w:rPr>
          <w:spacing w:val="-2"/>
        </w:rPr>
        <w:t>如财务报表附注“五、重要会计政策及会计估计（</w:t>
      </w:r>
      <w:r>
        <w:rPr>
          <w:rFonts w:ascii="宋体" w:hAnsi="宋体" w:cs="宋体" w:eastAsia="宋体" w:hint="default"/>
          <w:spacing w:val="-2"/>
        </w:rPr>
        <w:t>12</w:t>
      </w:r>
      <w:r>
        <w:rPr>
          <w:spacing w:val="-2"/>
        </w:rPr>
        <w:t>）应收账款”及“七、合并财务报表主要项目</w:t>
      </w:r>
    </w:p>
    <w:p>
      <w:pPr>
        <w:pStyle w:val="BodyText"/>
        <w:spacing w:line="386" w:lineRule="auto" w:before="65"/>
        <w:ind w:left="153" w:right="1132"/>
        <w:jc w:val="both"/>
      </w:pPr>
      <w:r>
        <w:rPr>
          <w:spacing w:val="-1"/>
        </w:rPr>
        <w:t>注释（</w:t>
      </w:r>
      <w:r>
        <w:rPr>
          <w:rFonts w:ascii="宋体" w:hAnsi="宋体" w:cs="宋体" w:eastAsia="宋体" w:hint="default"/>
          <w:spacing w:val="-1"/>
        </w:rPr>
        <w:t>5</w:t>
      </w:r>
      <w:r>
        <w:rPr>
          <w:spacing w:val="-1"/>
        </w:rPr>
        <w:t>）应收账款”所述。截止</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日，美亚柏科合并报表应收账款账面余额为</w:t>
      </w:r>
      <w:r>
        <w:rPr>
          <w:rFonts w:ascii="Times New Roman" w:hAnsi="Times New Roman" w:cs="Times New Roman" w:eastAsia="Times New Roman" w:hint="default"/>
          <w:spacing w:val="-1"/>
        </w:rPr>
        <w:t>904,924,571.83</w:t>
      </w:r>
      <w:r>
        <w:rPr>
          <w:rFonts w:ascii="Times New Roman" w:hAnsi="Times New Roman" w:cs="Times New Roman" w:eastAsia="Times New Roman" w:hint="default"/>
          <w:spacing w:val="30"/>
        </w:rPr>
        <w:t> </w:t>
      </w:r>
      <w:r>
        <w:rPr>
          <w:rFonts w:ascii="Times New Roman" w:hAnsi="Times New Roman" w:cs="Times New Roman" w:eastAsia="Times New Roman" w:hint="default"/>
          <w:spacing w:val="30"/>
        </w:rPr>
      </w:r>
      <w:r>
        <w:rPr/>
        <w:t>元，减值准备</w:t>
      </w:r>
      <w:r>
        <w:rPr>
          <w:rFonts w:ascii="Times New Roman" w:hAnsi="Times New Roman" w:cs="Times New Roman" w:eastAsia="Times New Roman" w:hint="default"/>
        </w:rPr>
        <w:t>108,145,354.70</w:t>
      </w:r>
      <w:r>
        <w:rPr/>
        <w:t>元，扣除减值准备后余额为</w:t>
      </w:r>
      <w:r>
        <w:rPr>
          <w:rFonts w:ascii="Times New Roman" w:hAnsi="Times New Roman" w:cs="Times New Roman" w:eastAsia="Times New Roman" w:hint="default"/>
        </w:rPr>
        <w:t>796,779,217.13</w:t>
      </w:r>
      <w:r>
        <w:rPr/>
        <w:t>元。</w:t>
      </w:r>
    </w:p>
    <w:p>
      <w:pPr>
        <w:spacing w:after="0" w:line="386" w:lineRule="auto"/>
        <w:jc w:val="both"/>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1106" w:firstLine="479"/>
        <w:jc w:val="both"/>
      </w:pPr>
      <w:r>
        <w:rPr>
          <w:spacing w:val="-4"/>
        </w:rPr>
        <w:t>美亚柏科管理层根据各项应收账款的信用风险特征，以单项应收账款或应收账款组合为基础，按照相</w:t>
      </w:r>
      <w:r>
        <w:rPr>
          <w:spacing w:val="-3"/>
          <w:w w:val="100"/>
        </w:rPr>
        <w:t> </w:t>
      </w:r>
      <w:r>
        <w:rPr>
          <w:spacing w:val="2"/>
        </w:rPr>
        <w:t>当于整个存续期内的预期信用损失金额计量其损失准备。对于以单项为基础计量预期信用损失的应收账</w:t>
      </w:r>
      <w:r>
        <w:rPr>
          <w:spacing w:val="-28"/>
        </w:rPr>
        <w:t> </w:t>
      </w:r>
      <w:r>
        <w:rPr>
          <w:spacing w:val="-28"/>
        </w:rPr>
      </w:r>
      <w:r>
        <w:rPr>
          <w:spacing w:val="-3"/>
        </w:rPr>
        <w:t>款，管理层综合考虑有关过去事项、当前状况以及未来经济状况预测，估计预期收取的现金流量，据此确</w:t>
      </w:r>
      <w:r>
        <w:rPr>
          <w:spacing w:val="-6"/>
        </w:rPr>
        <w:t> </w:t>
      </w:r>
      <w:r>
        <w:rPr>
          <w:spacing w:val="-6"/>
        </w:rPr>
      </w:r>
      <w:r>
        <w:rPr>
          <w:spacing w:val="-2"/>
        </w:rPr>
        <w:t>定应计提的坏账准备；对于以组合为基础计量预期信用损失的应收账款，管理层参照历史信用损失经验，</w:t>
      </w:r>
      <w:r>
        <w:rPr>
          <w:spacing w:val="-21"/>
        </w:rPr>
        <w:t> </w:t>
      </w:r>
      <w:r>
        <w:rPr>
          <w:spacing w:val="-21"/>
        </w:rPr>
      </w:r>
      <w:r>
        <w:rPr/>
        <w:t>并根据前瞻性估计予以调整，编制应收账款账龄与违约损失率对照表，据此确定应计提的坏账准备。</w:t>
      </w:r>
    </w:p>
    <w:p>
      <w:pPr>
        <w:pStyle w:val="BodyText"/>
        <w:spacing w:line="408" w:lineRule="auto"/>
        <w:ind w:right="1128" w:firstLine="480"/>
        <w:jc w:val="both"/>
      </w:pPr>
      <w:r>
        <w:rPr>
          <w:spacing w:val="-4"/>
        </w:rPr>
        <w:t>基于应收账款账面价值重大，涉及管理层运用重大的会计估计和判断的固有不确定性，同时由于新金</w:t>
      </w:r>
      <w:r>
        <w:rPr>
          <w:w w:val="100"/>
        </w:rPr>
        <w:t> </w:t>
      </w:r>
      <w:r>
        <w:rPr>
          <w:spacing w:val="-2"/>
        </w:rPr>
        <w:t>融工具准则的大幅变动，需要公司管理层更多的对未来预期的估计及判断，我们认为这是一项关键审计事</w:t>
      </w:r>
      <w:r>
        <w:rPr>
          <w:spacing w:val="-42"/>
        </w:rPr>
        <w:t> </w:t>
      </w:r>
      <w:r>
        <w:rPr>
          <w:spacing w:val="-42"/>
        </w:rPr>
      </w:r>
      <w:r>
        <w:rPr/>
        <w:t>项。</w:t>
      </w:r>
    </w:p>
    <w:p>
      <w:pPr>
        <w:pStyle w:val="BodyText"/>
        <w:spacing w:line="386" w:lineRule="auto"/>
        <w:ind w:left="633" w:right="3561" w:firstLine="2"/>
        <w:jc w:val="left"/>
      </w:pPr>
      <w:r>
        <w:rPr>
          <w:rFonts w:ascii="Times New Roman" w:hAnsi="Times New Roman" w:cs="Times New Roman" w:eastAsia="Times New Roman" w:hint="default"/>
        </w:rPr>
        <w:t>2</w:t>
      </w:r>
      <w:r>
        <w:rPr/>
        <w:t>、审计应对</w:t>
      </w:r>
      <w:r>
        <w:rPr>
          <w:spacing w:val="-3"/>
          <w:w w:val="100"/>
        </w:rPr>
        <w:t> </w:t>
      </w:r>
      <w:r>
        <w:rPr>
          <w:spacing w:val="-2"/>
        </w:rPr>
        <w:t>我们针对应收账款预期信用损失准备执行的审计程序主要有：</w:t>
      </w:r>
    </w:p>
    <w:p>
      <w:pPr>
        <w:pStyle w:val="BodyText"/>
        <w:spacing w:line="240" w:lineRule="auto" w:before="65"/>
        <w:ind w:left="633" w:right="986"/>
        <w:jc w:val="left"/>
      </w:pPr>
      <w:r>
        <w:rPr/>
        <w:t>（</w:t>
      </w:r>
      <w:r>
        <w:rPr>
          <w:rFonts w:ascii="宋体" w:hAnsi="宋体" w:cs="宋体" w:eastAsia="宋体" w:hint="default"/>
        </w:rPr>
        <w:t>1</w:t>
      </w:r>
      <w:r>
        <w:rPr/>
        <w:t>）对美亚柏科信用政策及应收账款管理相关内部控制的设计和运行有效性进行评估和测试；</w:t>
      </w:r>
    </w:p>
    <w:p>
      <w:pPr>
        <w:spacing w:line="240" w:lineRule="auto" w:before="10"/>
        <w:rPr>
          <w:rFonts w:ascii="宋体" w:hAnsi="宋体" w:cs="宋体" w:eastAsia="宋体" w:hint="default"/>
          <w:sz w:val="14"/>
          <w:szCs w:val="14"/>
        </w:rPr>
      </w:pPr>
    </w:p>
    <w:p>
      <w:pPr>
        <w:pStyle w:val="BodyText"/>
        <w:spacing w:line="408" w:lineRule="auto" w:before="0"/>
        <w:ind w:right="1130" w:firstLine="480"/>
        <w:jc w:val="both"/>
      </w:pPr>
      <w:r>
        <w:rPr>
          <w:spacing w:val="-1"/>
        </w:rPr>
        <w:t>（</w:t>
      </w:r>
      <w:r>
        <w:rPr>
          <w:rFonts w:ascii="宋体" w:hAnsi="宋体" w:cs="宋体" w:eastAsia="宋体" w:hint="default"/>
          <w:spacing w:val="-1"/>
        </w:rPr>
        <w:t>2</w:t>
      </w:r>
      <w:r>
        <w:rPr>
          <w:spacing w:val="-1"/>
        </w:rPr>
        <w:t>）分析美亚柏科应收账款减值准备会计估计的合理性，包括应收账款组合的依据、单独计提预期</w:t>
      </w:r>
      <w:r>
        <w:rPr>
          <w:w w:val="100"/>
        </w:rPr>
        <w:t> </w:t>
      </w:r>
      <w:r>
        <w:rPr/>
        <w:t>信用损失准备的判断等；</w:t>
      </w:r>
    </w:p>
    <w:p>
      <w:pPr>
        <w:pStyle w:val="BodyText"/>
        <w:spacing w:line="240" w:lineRule="auto"/>
        <w:ind w:left="633" w:right="986"/>
        <w:jc w:val="left"/>
      </w:pPr>
      <w:r>
        <w:rPr/>
        <w:t>（</w:t>
      </w:r>
      <w:r>
        <w:rPr>
          <w:rFonts w:ascii="宋体" w:hAnsi="宋体" w:cs="宋体" w:eastAsia="宋体" w:hint="default"/>
        </w:rPr>
        <w:t>3</w:t>
      </w:r>
      <w:r>
        <w:rPr/>
        <w:t>）对于按账龄组合计提坏账准备的应收账款，测试其坏账计提比例与历史损失率是否相符；</w:t>
      </w:r>
    </w:p>
    <w:p>
      <w:pPr>
        <w:spacing w:line="240" w:lineRule="auto" w:before="10"/>
        <w:rPr>
          <w:rFonts w:ascii="宋体" w:hAnsi="宋体" w:cs="宋体" w:eastAsia="宋体" w:hint="default"/>
          <w:sz w:val="14"/>
          <w:szCs w:val="14"/>
        </w:rPr>
      </w:pPr>
    </w:p>
    <w:p>
      <w:pPr>
        <w:pStyle w:val="BodyText"/>
        <w:spacing w:line="240" w:lineRule="auto" w:before="0"/>
        <w:ind w:left="633" w:right="986"/>
        <w:jc w:val="left"/>
      </w:pPr>
      <w:r>
        <w:rPr/>
        <w:t>（</w:t>
      </w:r>
      <w:r>
        <w:rPr>
          <w:rFonts w:ascii="宋体" w:hAnsi="宋体" w:cs="宋体" w:eastAsia="宋体" w:hint="default"/>
        </w:rPr>
        <w:t>4</w:t>
      </w:r>
      <w:r>
        <w:rPr/>
        <w:t>）获取美亚柏科应收账款账龄明细表及减值准备计算表，重新计算减值准备计提是否准确；</w:t>
      </w:r>
    </w:p>
    <w:p>
      <w:pPr>
        <w:spacing w:line="240" w:lineRule="auto" w:before="10"/>
        <w:rPr>
          <w:rFonts w:ascii="宋体" w:hAnsi="宋体" w:cs="宋体" w:eastAsia="宋体" w:hint="default"/>
          <w:sz w:val="14"/>
          <w:szCs w:val="14"/>
        </w:rPr>
      </w:pPr>
    </w:p>
    <w:p>
      <w:pPr>
        <w:pStyle w:val="BodyText"/>
        <w:spacing w:line="408" w:lineRule="auto" w:before="0"/>
        <w:ind w:left="153" w:right="1130" w:firstLine="480"/>
        <w:jc w:val="both"/>
      </w:pPr>
      <w:r>
        <w:rPr>
          <w:spacing w:val="-1"/>
        </w:rPr>
        <w:t>（</w:t>
      </w:r>
      <w:r>
        <w:rPr>
          <w:rFonts w:ascii="宋体" w:hAnsi="宋体" w:cs="宋体" w:eastAsia="宋体" w:hint="default"/>
          <w:spacing w:val="-1"/>
        </w:rPr>
        <w:t>5</w:t>
      </w:r>
      <w:r>
        <w:rPr>
          <w:spacing w:val="-1"/>
        </w:rPr>
        <w:t>）对重大的应收账款，通过分析应收账款账龄和客户信誉情况，并执行应收账款函证程序及检查</w:t>
      </w:r>
      <w:r>
        <w:rPr>
          <w:w w:val="100"/>
        </w:rPr>
        <w:t> </w:t>
      </w:r>
      <w:r>
        <w:rPr/>
        <w:t>期后回款情况，评价应收账款减值准备计提的合理性。</w:t>
      </w:r>
    </w:p>
    <w:p>
      <w:pPr>
        <w:pStyle w:val="BodyText"/>
        <w:spacing w:line="240" w:lineRule="auto"/>
        <w:ind w:left="633" w:right="986"/>
        <w:jc w:val="left"/>
      </w:pPr>
      <w:r>
        <w:rPr/>
        <w:t>（二）商誉减值</w:t>
      </w:r>
    </w:p>
    <w:p>
      <w:pPr>
        <w:spacing w:line="240" w:lineRule="auto" w:before="10"/>
        <w:rPr>
          <w:rFonts w:ascii="宋体" w:hAnsi="宋体" w:cs="宋体" w:eastAsia="宋体" w:hint="default"/>
          <w:sz w:val="14"/>
          <w:szCs w:val="14"/>
        </w:rPr>
      </w:pPr>
    </w:p>
    <w:p>
      <w:pPr>
        <w:pStyle w:val="BodyText"/>
        <w:spacing w:line="386" w:lineRule="auto" w:before="0"/>
        <w:ind w:left="633" w:right="986"/>
        <w:jc w:val="left"/>
      </w:pPr>
      <w:r>
        <w:rPr>
          <w:rFonts w:ascii="Times New Roman" w:hAnsi="Times New Roman" w:cs="Times New Roman" w:eastAsia="Times New Roman" w:hint="default"/>
        </w:rPr>
        <w:t>1</w:t>
      </w:r>
      <w:r>
        <w:rPr/>
        <w:t>、事项描述</w:t>
      </w:r>
      <w:r>
        <w:rPr>
          <w:spacing w:val="-3"/>
          <w:w w:val="100"/>
        </w:rPr>
        <w:t> </w:t>
      </w:r>
      <w:r>
        <w:rPr>
          <w:spacing w:val="-4"/>
        </w:rPr>
        <w:t>如财务报表附注“五、重要会计政策及会计估计（</w:t>
      </w:r>
      <w:r>
        <w:rPr>
          <w:rFonts w:ascii="宋体" w:hAnsi="宋体" w:cs="宋体" w:eastAsia="宋体" w:hint="default"/>
          <w:spacing w:val="-4"/>
        </w:rPr>
        <w:t>31</w:t>
      </w:r>
      <w:r>
        <w:rPr>
          <w:spacing w:val="-4"/>
        </w:rPr>
        <w:t>）资产减值”及“七、合并财务报表主要项目注</w:t>
      </w:r>
      <w:r>
        <w:rPr/>
      </w:r>
    </w:p>
    <w:p>
      <w:pPr>
        <w:pStyle w:val="BodyText"/>
        <w:spacing w:line="386" w:lineRule="auto" w:before="65"/>
        <w:ind w:left="154" w:right="986" w:hanging="1"/>
        <w:jc w:val="left"/>
      </w:pPr>
      <w:r>
        <w:rPr>
          <w:spacing w:val="-7"/>
        </w:rPr>
        <w:t>释（</w:t>
      </w:r>
      <w:r>
        <w:rPr>
          <w:rFonts w:ascii="宋体" w:hAnsi="宋体" w:cs="宋体" w:eastAsia="宋体" w:hint="default"/>
          <w:spacing w:val="-7"/>
        </w:rPr>
        <w:t>28</w:t>
      </w:r>
      <w:r>
        <w:rPr>
          <w:spacing w:val="-7"/>
        </w:rPr>
        <w:t>）商誉”所述。截止</w:t>
      </w:r>
      <w:r>
        <w:rPr>
          <w:rFonts w:ascii="宋体" w:hAnsi="宋体" w:cs="宋体" w:eastAsia="宋体" w:hint="default"/>
          <w:spacing w:val="-7"/>
        </w:rPr>
        <w:t>20</w:t>
      </w:r>
      <w:r>
        <w:rPr>
          <w:rFonts w:ascii="Times New Roman" w:hAnsi="Times New Roman" w:cs="Times New Roman" w:eastAsia="Times New Roman" w:hint="default"/>
          <w:spacing w:val="-7"/>
        </w:rPr>
        <w:t>19</w:t>
      </w:r>
      <w:r>
        <w:rPr>
          <w:spacing w:val="-7"/>
        </w:rPr>
        <w:t>年</w:t>
      </w:r>
      <w:r>
        <w:rPr>
          <w:rFonts w:ascii="Times New Roman" w:hAnsi="Times New Roman" w:cs="Times New Roman" w:eastAsia="Times New Roman" w:hint="default"/>
          <w:spacing w:val="-7"/>
        </w:rPr>
        <w:t>12</w:t>
      </w:r>
      <w:r>
        <w:rPr>
          <w:spacing w:val="-7"/>
        </w:rPr>
        <w:t>月</w:t>
      </w:r>
      <w:r>
        <w:rPr>
          <w:rFonts w:ascii="Times New Roman" w:hAnsi="Times New Roman" w:cs="Times New Roman" w:eastAsia="Times New Roman" w:hint="default"/>
          <w:spacing w:val="-7"/>
        </w:rPr>
        <w:t>31</w:t>
      </w:r>
      <w:r>
        <w:rPr>
          <w:spacing w:val="-7"/>
        </w:rPr>
        <w:t>日，美亚柏科的商誉原值</w:t>
      </w:r>
      <w:r>
        <w:rPr>
          <w:rFonts w:ascii="Times New Roman" w:hAnsi="Times New Roman" w:cs="Times New Roman" w:eastAsia="Times New Roman" w:hint="default"/>
          <w:spacing w:val="-7"/>
        </w:rPr>
        <w:t>565,628,678.86</w:t>
      </w:r>
      <w:r>
        <w:rPr>
          <w:spacing w:val="-7"/>
        </w:rPr>
        <w:t>元，账面金额</w:t>
      </w:r>
      <w:r>
        <w:rPr>
          <w:rFonts w:ascii="Times New Roman" w:hAnsi="Times New Roman" w:cs="Times New Roman" w:eastAsia="Times New Roman" w:hint="default"/>
          <w:spacing w:val="-7"/>
        </w:rPr>
        <w:t>542,202,213.88</w:t>
      </w:r>
      <w:r>
        <w:rPr>
          <w:rFonts w:ascii="Times New Roman" w:hAnsi="Times New Roman" w:cs="Times New Roman" w:eastAsia="Times New Roman" w:hint="default"/>
          <w:spacing w:val="23"/>
        </w:rPr>
        <w:t> </w:t>
      </w:r>
      <w:r>
        <w:rPr>
          <w:rFonts w:ascii="Times New Roman" w:hAnsi="Times New Roman" w:cs="Times New Roman" w:eastAsia="Times New Roman" w:hint="default"/>
          <w:spacing w:val="23"/>
        </w:rPr>
      </w:r>
      <w:r>
        <w:rPr/>
        <w:t>元，已计提商誉减值准备</w:t>
      </w:r>
      <w:r>
        <w:rPr>
          <w:rFonts w:ascii="Times New Roman" w:hAnsi="Times New Roman" w:cs="Times New Roman" w:eastAsia="Times New Roman" w:hint="default"/>
        </w:rPr>
        <w:t>23,426,464.98</w:t>
      </w:r>
      <w:r>
        <w:rPr/>
        <w:t>元，商誉账面金额占总资产金额</w:t>
      </w:r>
      <w:r>
        <w:rPr>
          <w:rFonts w:ascii="Times New Roman" w:hAnsi="Times New Roman" w:cs="Times New Roman" w:eastAsia="Times New Roman" w:hint="default"/>
        </w:rPr>
        <w:t>12.91%</w:t>
      </w:r>
      <w:r>
        <w:rPr/>
        <w:t>。</w:t>
      </w:r>
    </w:p>
    <w:p>
      <w:pPr>
        <w:pStyle w:val="BodyText"/>
        <w:spacing w:line="408" w:lineRule="auto" w:before="35"/>
        <w:ind w:left="153" w:right="1127" w:firstLine="480"/>
        <w:jc w:val="both"/>
      </w:pPr>
      <w:r>
        <w:rPr>
          <w:spacing w:val="-4"/>
        </w:rPr>
        <w:t>管理层聘请第三方评估机构对收购的珠海市新德汇信息技术有限公司、江苏税软软件科技有限公司的</w:t>
      </w:r>
      <w:r>
        <w:rPr>
          <w:w w:val="100"/>
        </w:rPr>
        <w:t> </w:t>
      </w:r>
      <w:r>
        <w:rPr>
          <w:spacing w:val="-2"/>
        </w:rPr>
        <w:t>股东权益价值进行评估，以协助管理层对公司商誉进行减值测试。管理层根据包含分摊的商誉的资产组或</w:t>
      </w:r>
      <w:r>
        <w:rPr>
          <w:spacing w:val="-42"/>
        </w:rPr>
        <w:t> </w:t>
      </w:r>
      <w:r>
        <w:rPr>
          <w:spacing w:val="-42"/>
        </w:rPr>
      </w:r>
      <w:r>
        <w:rPr/>
        <w:t>资产组组合的可收回金额低于其账面价值的部分，确认相应的减值准备。</w:t>
      </w:r>
    </w:p>
    <w:p>
      <w:pPr>
        <w:pStyle w:val="BodyText"/>
        <w:spacing w:line="408" w:lineRule="auto"/>
        <w:ind w:left="153" w:right="1129" w:firstLine="480"/>
        <w:jc w:val="both"/>
      </w:pPr>
      <w:r>
        <w:rPr>
          <w:spacing w:val="-4"/>
        </w:rPr>
        <w:t>商誉减值评估涉及了收入增长率、毛利率、费用率及折现率等关键假设，减值测试涉工作复杂，需要</w:t>
      </w:r>
      <w:r>
        <w:rPr>
          <w:w w:val="100"/>
        </w:rPr>
        <w:t> </w:t>
      </w:r>
      <w:r>
        <w:rPr/>
        <w:t>管理层的重大判断，因此我们将商誉的减值认定为关键审计事项。</w:t>
      </w:r>
    </w:p>
    <w:p>
      <w:pPr>
        <w:pStyle w:val="BodyText"/>
        <w:spacing w:line="386" w:lineRule="auto"/>
        <w:ind w:left="633" w:right="5714"/>
        <w:jc w:val="left"/>
      </w:pPr>
      <w:r>
        <w:rPr>
          <w:rFonts w:ascii="Times New Roman" w:hAnsi="Times New Roman" w:cs="Times New Roman" w:eastAsia="Times New Roman" w:hint="default"/>
        </w:rPr>
        <w:t>2</w:t>
      </w:r>
      <w:r>
        <w:rPr/>
        <w:t>、审计应对</w:t>
      </w:r>
      <w:r>
        <w:rPr>
          <w:spacing w:val="-3"/>
          <w:w w:val="100"/>
        </w:rPr>
        <w:t> </w:t>
      </w:r>
      <w:r>
        <w:rPr>
          <w:spacing w:val="-2"/>
        </w:rPr>
        <w:t>我们执行了下列程序以应对该关键审计事项：</w:t>
      </w:r>
    </w:p>
    <w:p>
      <w:pPr>
        <w:pStyle w:val="BodyText"/>
        <w:spacing w:line="240" w:lineRule="auto" w:before="65"/>
        <w:ind w:left="633" w:right="986"/>
        <w:jc w:val="left"/>
      </w:pPr>
      <w:r>
        <w:rPr/>
        <w:t>（</w:t>
      </w:r>
      <w:r>
        <w:rPr>
          <w:rFonts w:ascii="Times New Roman" w:hAnsi="Times New Roman" w:cs="Times New Roman" w:eastAsia="Times New Roman" w:hint="default"/>
        </w:rPr>
        <w:t>1</w:t>
      </w:r>
      <w:r>
        <w:rPr/>
        <w:t>）评估及测试了与商誉减值测试相关的内部控制的设计及执行有效性。</w:t>
      </w:r>
    </w:p>
    <w:p>
      <w:pPr>
        <w:spacing w:after="0" w:line="240"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240" w:lineRule="auto" w:before="175"/>
        <w:ind w:left="632" w:right="986"/>
        <w:jc w:val="left"/>
      </w:pPr>
      <w:r>
        <w:rPr/>
        <w:t>（</w:t>
      </w:r>
      <w:r>
        <w:rPr>
          <w:rFonts w:ascii="Times New Roman" w:hAnsi="Times New Roman" w:cs="Times New Roman" w:eastAsia="Times New Roman" w:hint="default"/>
        </w:rPr>
        <w:t>2</w:t>
      </w:r>
      <w:r>
        <w:rPr/>
        <w:t>）评价管理层委聘的外部估值专家的胜任能力、专业素质和独立性；</w:t>
      </w:r>
    </w:p>
    <w:p>
      <w:pPr>
        <w:pStyle w:val="BodyText"/>
        <w:spacing w:line="386" w:lineRule="auto" w:before="177"/>
        <w:ind w:right="986" w:firstLine="480"/>
        <w:jc w:val="left"/>
      </w:pPr>
      <w:r>
        <w:rPr>
          <w:spacing w:val="-1"/>
        </w:rPr>
        <w:t>（</w:t>
      </w:r>
      <w:r>
        <w:rPr>
          <w:rFonts w:ascii="Times New Roman" w:hAnsi="Times New Roman" w:cs="Times New Roman" w:eastAsia="Times New Roman" w:hint="default"/>
          <w:spacing w:val="-1"/>
        </w:rPr>
        <w:t>3</w:t>
      </w:r>
      <w:r>
        <w:rPr>
          <w:spacing w:val="-1"/>
        </w:rPr>
        <w:t>）评价评估中采用的方法和关键假设；了解关键参数，包括预测收入、毛利率、增长率、折现率</w:t>
      </w:r>
      <w:r>
        <w:rPr>
          <w:w w:val="100"/>
        </w:rPr>
        <w:t> </w:t>
      </w:r>
      <w:r>
        <w:rPr/>
        <w:t>等的取数来源并分析其合理性；</w:t>
      </w:r>
    </w:p>
    <w:p>
      <w:pPr>
        <w:pStyle w:val="BodyText"/>
        <w:spacing w:line="398" w:lineRule="auto" w:before="65"/>
        <w:ind w:left="632" w:right="986"/>
        <w:jc w:val="left"/>
      </w:pPr>
      <w:r>
        <w:rPr/>
        <w:t>（</w:t>
      </w:r>
      <w:r>
        <w:rPr>
          <w:rFonts w:ascii="Times New Roman" w:hAnsi="Times New Roman" w:cs="Times New Roman" w:eastAsia="Times New Roman" w:hint="default"/>
        </w:rPr>
        <w:t>4</w:t>
      </w:r>
      <w:r>
        <w:rPr/>
        <w:t>）将</w:t>
      </w:r>
      <w:r>
        <w:rPr>
          <w:rFonts w:ascii="Times New Roman" w:hAnsi="Times New Roman" w:cs="Times New Roman" w:eastAsia="Times New Roman" w:hint="default"/>
        </w:rPr>
        <w:t>2019</w:t>
      </w:r>
      <w:r>
        <w:rPr/>
        <w:t>年预测数据与实际情况进行对比，评价评估数据是否存在管理层偏向的迹象。</w:t>
      </w:r>
      <w:r>
        <w:rPr>
          <w:w w:val="100"/>
        </w:rPr>
        <w:t> </w:t>
      </w:r>
      <w:r>
        <w:rPr>
          <w:rFonts w:ascii="宋体" w:hAnsi="宋体" w:cs="宋体" w:eastAsia="宋体" w:hint="default"/>
          <w:b/>
          <w:bCs/>
        </w:rPr>
        <w:t>四、其他信息</w:t>
      </w:r>
      <w:r>
        <w:rPr>
          <w:rFonts w:ascii="宋体" w:hAnsi="宋体" w:cs="宋体" w:eastAsia="宋体" w:hint="default"/>
          <w:b/>
          <w:bCs/>
          <w:spacing w:val="-104"/>
        </w:rPr>
        <w:t> </w:t>
      </w:r>
      <w:r>
        <w:rPr>
          <w:spacing w:val="-4"/>
        </w:rPr>
        <w:t>管理层对其他信息负责。其他信息包括美亚柏科</w:t>
      </w:r>
      <w:r>
        <w:rPr>
          <w:rFonts w:ascii="Times New Roman" w:hAnsi="Times New Roman" w:cs="Times New Roman" w:eastAsia="Times New Roman" w:hint="default"/>
          <w:spacing w:val="-4"/>
        </w:rPr>
        <w:t>2019</w:t>
      </w:r>
      <w:r>
        <w:rPr>
          <w:spacing w:val="-4"/>
        </w:rPr>
        <w:t>年年度报告中涵盖的信息，但不包括财务报表和</w:t>
      </w:r>
    </w:p>
    <w:p>
      <w:pPr>
        <w:pStyle w:val="BodyText"/>
        <w:spacing w:line="408" w:lineRule="auto" w:before="24"/>
        <w:ind w:left="632" w:right="986" w:hanging="481"/>
        <w:jc w:val="left"/>
      </w:pPr>
      <w:r>
        <w:rPr/>
        <w:t>我们的审计报告。</w:t>
      </w:r>
      <w:r>
        <w:rPr>
          <w:w w:val="100"/>
        </w:rPr>
        <w:t> </w:t>
      </w:r>
      <w:r>
        <w:rPr/>
        <w:t>我们对财务报表发表的审计意见不涵盖其他信息，我们也不对其他信息发表任何形式的鉴证结论。</w:t>
      </w:r>
      <w:r>
        <w:rPr>
          <w:w w:val="100"/>
        </w:rPr>
        <w:t> </w:t>
      </w:r>
      <w:r>
        <w:rPr>
          <w:spacing w:val="-4"/>
        </w:rPr>
        <w:t>结合我们对财务报表的审计，我们的责任是阅读其他信息，在此过程中，考虑其他信息是否与财务报</w:t>
      </w:r>
    </w:p>
    <w:p>
      <w:pPr>
        <w:pStyle w:val="BodyText"/>
        <w:spacing w:line="408" w:lineRule="auto"/>
        <w:ind w:left="632" w:right="986" w:hanging="481"/>
        <w:jc w:val="left"/>
      </w:pPr>
      <w:r>
        <w:rPr/>
        <w:t>表或我们在审计过程中了解到的情况存在重大不一致或者似乎存在重大错报。</w:t>
      </w:r>
      <w:r>
        <w:rPr>
          <w:w w:val="100"/>
        </w:rPr>
        <w:t> </w:t>
      </w:r>
      <w:r>
        <w:rPr>
          <w:spacing w:val="-2"/>
        </w:rPr>
        <w:t>基于我们已经执行的工作，如果我们确定其他信息存在重大错报，我们应当报告该事实。在这方面，</w:t>
      </w:r>
      <w:r>
        <w:rPr/>
      </w:r>
    </w:p>
    <w:p>
      <w:pPr>
        <w:spacing w:line="408" w:lineRule="auto" w:before="46"/>
        <w:ind w:left="635" w:right="6434" w:hanging="483"/>
        <w:jc w:val="left"/>
        <w:rPr>
          <w:rFonts w:ascii="宋体" w:hAnsi="宋体" w:cs="宋体" w:eastAsia="宋体" w:hint="default"/>
          <w:sz w:val="21"/>
          <w:szCs w:val="21"/>
        </w:rPr>
      </w:pPr>
      <w:r>
        <w:rPr>
          <w:rFonts w:ascii="宋体" w:hAnsi="宋体" w:cs="宋体" w:eastAsia="宋体" w:hint="default"/>
          <w:sz w:val="21"/>
          <w:szCs w:val="21"/>
        </w:rPr>
        <w:t>我们无任何事项需要报告。</w:t>
      </w:r>
      <w:r>
        <w:rPr>
          <w:rFonts w:ascii="宋体" w:hAnsi="宋体" w:cs="宋体" w:eastAsia="宋体" w:hint="default"/>
          <w:w w:val="100"/>
          <w:sz w:val="21"/>
          <w:szCs w:val="21"/>
        </w:rPr>
        <w:t> </w:t>
      </w:r>
      <w:r>
        <w:rPr>
          <w:rFonts w:ascii="宋体" w:hAnsi="宋体" w:cs="宋体" w:eastAsia="宋体" w:hint="default"/>
          <w:b/>
          <w:bCs/>
          <w:spacing w:val="-1"/>
          <w:sz w:val="21"/>
          <w:szCs w:val="21"/>
        </w:rPr>
        <w:t>五、管理层和治理层对财务报表的责任</w:t>
      </w:r>
      <w:r>
        <w:rPr>
          <w:rFonts w:ascii="宋体" w:hAnsi="宋体" w:cs="宋体" w:eastAsia="宋体" w:hint="default"/>
          <w:spacing w:val="-1"/>
          <w:sz w:val="21"/>
          <w:szCs w:val="21"/>
        </w:rPr>
      </w:r>
    </w:p>
    <w:p>
      <w:pPr>
        <w:pStyle w:val="BodyText"/>
        <w:spacing w:line="408" w:lineRule="auto"/>
        <w:ind w:right="986" w:firstLine="480"/>
        <w:jc w:val="left"/>
      </w:pPr>
      <w:r>
        <w:rPr>
          <w:spacing w:val="-4"/>
        </w:rPr>
        <w:t>美亚柏科管理层负责按照企业会计准则的规定编制财务报表，使其实现公允反映，并设计、执行和维</w:t>
      </w:r>
      <w:r>
        <w:rPr>
          <w:w w:val="100"/>
        </w:rPr>
        <w:t> </w:t>
      </w:r>
      <w:r>
        <w:rPr/>
        <w:t>护必要的内部控制，以使财务报表不存在由于舞弊或错误导致的重大错报。</w:t>
      </w:r>
    </w:p>
    <w:p>
      <w:pPr>
        <w:pStyle w:val="BodyText"/>
        <w:spacing w:line="408" w:lineRule="auto"/>
        <w:ind w:right="1019" w:firstLine="480"/>
        <w:jc w:val="left"/>
      </w:pPr>
      <w:r>
        <w:rPr>
          <w:spacing w:val="-10"/>
          <w:w w:val="100"/>
        </w:rPr>
        <w:t>在编制财务报表时，管理层负责评估美亚柏科的持续经营能力，披露与持续经营相关的事项（如适用），</w:t>
      </w:r>
      <w:r>
        <w:rPr>
          <w:w w:val="100"/>
        </w:rPr>
        <w:t> </w:t>
      </w:r>
      <w:r>
        <w:rPr/>
        <w:t>并运用持续经营假设，除非管理层计划清算美亚柏科、终止营运或别无其他现实的选择。</w:t>
      </w:r>
    </w:p>
    <w:p>
      <w:pPr>
        <w:spacing w:line="408" w:lineRule="auto" w:before="46"/>
        <w:ind w:left="635" w:right="3561" w:hanging="3"/>
        <w:jc w:val="left"/>
        <w:rPr>
          <w:rFonts w:ascii="宋体" w:hAnsi="宋体" w:cs="宋体" w:eastAsia="宋体" w:hint="default"/>
          <w:sz w:val="21"/>
          <w:szCs w:val="21"/>
        </w:rPr>
      </w:pPr>
      <w:r>
        <w:rPr>
          <w:rFonts w:ascii="宋体" w:hAnsi="宋体" w:cs="宋体" w:eastAsia="宋体" w:hint="default"/>
          <w:spacing w:val="-2"/>
          <w:sz w:val="21"/>
          <w:szCs w:val="21"/>
        </w:rPr>
        <w:t>治理层负责监督美亚柏科的财务报告过程。</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b/>
          <w:bCs/>
          <w:sz w:val="21"/>
          <w:szCs w:val="21"/>
        </w:rPr>
        <w:t>六、注册会计师对财务报表审计的责任</w:t>
      </w:r>
      <w:r>
        <w:rPr>
          <w:rFonts w:ascii="宋体" w:hAnsi="宋体" w:cs="宋体" w:eastAsia="宋体" w:hint="default"/>
          <w:sz w:val="21"/>
          <w:szCs w:val="21"/>
        </w:rPr>
      </w:r>
    </w:p>
    <w:p>
      <w:pPr>
        <w:pStyle w:val="BodyText"/>
        <w:spacing w:line="408" w:lineRule="auto"/>
        <w:ind w:right="1128" w:firstLine="420"/>
        <w:jc w:val="both"/>
      </w:pPr>
      <w:r>
        <w:rPr>
          <w:spacing w:val="-2"/>
        </w:rPr>
        <w:t>我们的目标是对财务报表整体是否不存在由于舞弊或错误导致的重大错报获取合理保证，并出具包含</w:t>
      </w:r>
      <w:r>
        <w:rPr>
          <w:w w:val="100"/>
        </w:rPr>
        <w:t> </w:t>
      </w:r>
      <w:r>
        <w:rPr>
          <w:spacing w:val="-2"/>
        </w:rPr>
        <w:t>审计意见的审计报告。合理保证是高水平的保证，但并不能保证按照审计准则执行的审计在某一重大错报</w:t>
      </w:r>
      <w:r>
        <w:rPr>
          <w:spacing w:val="-42"/>
        </w:rPr>
        <w:t> </w:t>
      </w:r>
      <w:r>
        <w:rPr>
          <w:spacing w:val="-42"/>
        </w:rPr>
      </w:r>
      <w:r>
        <w:rPr>
          <w:spacing w:val="-2"/>
        </w:rPr>
        <w:t>存在时总能发现。错报可能由舞弊或错误所导致，如果合理预期错报单独或汇总起来可能影响财务报表使</w:t>
      </w:r>
      <w:r>
        <w:rPr>
          <w:spacing w:val="-42"/>
        </w:rPr>
        <w:t> </w:t>
      </w:r>
      <w:r>
        <w:rPr>
          <w:spacing w:val="-42"/>
        </w:rPr>
      </w:r>
      <w:r>
        <w:rPr/>
        <w:t>用者依据财务报表作出的经济决策，则通常认为错报是重大的。</w:t>
      </w:r>
    </w:p>
    <w:p>
      <w:pPr>
        <w:pStyle w:val="BodyText"/>
        <w:spacing w:line="408" w:lineRule="auto"/>
        <w:ind w:right="986" w:firstLine="420"/>
        <w:jc w:val="left"/>
      </w:pPr>
      <w:r>
        <w:rPr>
          <w:spacing w:val="-3"/>
        </w:rPr>
        <w:t>在按照审计准则执行审计的过程中，我们运用职业判断，并保持职业怀疑。同时，我们也执行以下工</w:t>
      </w:r>
      <w:r>
        <w:rPr>
          <w:spacing w:val="-3"/>
          <w:w w:val="100"/>
        </w:rPr>
        <w:t> </w:t>
      </w:r>
      <w:r>
        <w:rPr/>
        <w:t>作：</w:t>
      </w:r>
    </w:p>
    <w:p>
      <w:pPr>
        <w:pStyle w:val="BodyText"/>
        <w:spacing w:line="400" w:lineRule="auto"/>
        <w:ind w:right="986" w:firstLine="420"/>
        <w:jc w:val="left"/>
      </w:pPr>
      <w:r>
        <w:rPr/>
        <w:t>（</w:t>
      </w:r>
      <w:r>
        <w:rPr>
          <w:rFonts w:ascii="Times New Roman" w:hAnsi="Times New Roman" w:cs="Times New Roman" w:eastAsia="Times New Roman" w:hint="default"/>
        </w:rPr>
        <w:t>1</w:t>
      </w:r>
      <w:r>
        <w:rPr/>
        <w:t>）识别和评估由于舞弊或错误导致的财务报表重大错报风险；设计和实施审计程序以应对这些风</w:t>
      </w:r>
      <w:r>
        <w:rPr>
          <w:w w:val="100"/>
        </w:rPr>
        <w:t> </w:t>
      </w:r>
      <w:r>
        <w:rPr>
          <w:spacing w:val="-5"/>
        </w:rPr>
        <w:t>险，并获取充分、适当的审计证据，作为发表审计意见的基础。由于舞弊可能涉及串通、伪造、故意遗漏、</w:t>
      </w:r>
      <w:r>
        <w:rPr>
          <w:spacing w:val="-4"/>
        </w:rPr>
        <w:t> </w:t>
      </w:r>
      <w:r>
        <w:rPr>
          <w:spacing w:val="-4"/>
        </w:rPr>
      </w:r>
      <w:r>
        <w:rPr>
          <w:spacing w:val="-2"/>
        </w:rPr>
        <w:t>虚假陈述或凌驾于内部控制之上，未能发现由于舞弊导致的重大错报的风险高于未能发现由于错误导致的</w:t>
      </w:r>
      <w:r>
        <w:rPr>
          <w:spacing w:val="-42"/>
        </w:rPr>
        <w:t> </w:t>
      </w:r>
      <w:r>
        <w:rPr>
          <w:spacing w:val="-42"/>
        </w:rPr>
      </w:r>
      <w:r>
        <w:rPr/>
        <w:t>重大错报的风险。</w:t>
      </w:r>
    </w:p>
    <w:p>
      <w:pPr>
        <w:pStyle w:val="BodyText"/>
        <w:spacing w:line="240" w:lineRule="auto" w:before="52"/>
        <w:ind w:left="572" w:right="986"/>
        <w:jc w:val="left"/>
      </w:pPr>
      <w:r>
        <w:rPr/>
        <w:t>（</w:t>
      </w:r>
      <w:r>
        <w:rPr>
          <w:rFonts w:ascii="Times New Roman" w:hAnsi="Times New Roman" w:cs="Times New Roman" w:eastAsia="Times New Roman" w:hint="default"/>
        </w:rPr>
        <w:t>2</w:t>
      </w:r>
      <w:r>
        <w:rPr/>
        <w:t>）了解与审计相关的内部控制，以设计恰当的审计程序。</w:t>
      </w:r>
    </w:p>
    <w:p>
      <w:pPr>
        <w:spacing w:after="0" w:line="240"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240" w:lineRule="auto" w:before="175"/>
        <w:ind w:left="572" w:right="986"/>
        <w:jc w:val="left"/>
      </w:pPr>
      <w:r>
        <w:rPr/>
        <w:t>（</w:t>
      </w:r>
      <w:r>
        <w:rPr>
          <w:rFonts w:ascii="Times New Roman" w:hAnsi="Times New Roman" w:cs="Times New Roman" w:eastAsia="Times New Roman" w:hint="default"/>
        </w:rPr>
        <w:t>3</w:t>
      </w:r>
      <w:r>
        <w:rPr/>
        <w:t>）评价管理层选用会计政策的恰当性和作出会计估计及相关披露的合理性。</w:t>
      </w:r>
    </w:p>
    <w:p>
      <w:pPr>
        <w:pStyle w:val="BodyText"/>
        <w:spacing w:line="403" w:lineRule="auto" w:before="177"/>
        <w:ind w:right="1128" w:firstLine="420"/>
        <w:jc w:val="both"/>
      </w:pPr>
      <w:r>
        <w:rPr/>
        <w:t>（</w:t>
      </w:r>
      <w:r>
        <w:rPr>
          <w:rFonts w:ascii="Times New Roman" w:hAnsi="Times New Roman" w:cs="Times New Roman" w:eastAsia="Times New Roman" w:hint="default"/>
        </w:rPr>
        <w:t>4</w:t>
      </w:r>
      <w:r>
        <w:rPr/>
        <w:t>）对管理层使用持续经营假设的恰当性得出结论。同时，根据获取的审计证据，就可能导致对美</w:t>
      </w:r>
      <w:r>
        <w:rPr>
          <w:w w:val="100"/>
        </w:rPr>
        <w:t> </w:t>
      </w:r>
      <w:r>
        <w:rPr>
          <w:spacing w:val="-2"/>
        </w:rPr>
        <w:t>亚柏科的持续经营能力产生重大疑虑的事项或情况是否存在重大不确定性得出结论。如果我们得出结论认</w:t>
      </w:r>
      <w:r>
        <w:rPr>
          <w:spacing w:val="-42"/>
        </w:rPr>
        <w:t> </w:t>
      </w:r>
      <w:r>
        <w:rPr>
          <w:spacing w:val="-42"/>
        </w:rPr>
      </w:r>
      <w:r>
        <w:rPr>
          <w:spacing w:val="-2"/>
        </w:rPr>
        <w:t>为存在重大不确定性，审计准则要求我们在审计报告中提请报告使用者注意财务报表中的相关披露；如果</w:t>
      </w:r>
      <w:r>
        <w:rPr>
          <w:spacing w:val="-42"/>
        </w:rPr>
        <w:t> </w:t>
      </w:r>
      <w:r>
        <w:rPr>
          <w:spacing w:val="-42"/>
        </w:rPr>
      </w:r>
      <w:r>
        <w:rPr>
          <w:spacing w:val="-2"/>
        </w:rPr>
        <w:t>披露不充分，我们应当发表非无保留意见。我们的结论基于截至审计报告日可获得的信息。然而，未来的</w:t>
      </w:r>
      <w:r>
        <w:rPr>
          <w:spacing w:val="-47"/>
        </w:rPr>
        <w:t> </w:t>
      </w:r>
      <w:r>
        <w:rPr>
          <w:spacing w:val="-47"/>
        </w:rPr>
      </w:r>
      <w:r>
        <w:rPr/>
        <w:t>事项或情况可能导致美亚柏科不能持续经营。</w:t>
      </w:r>
    </w:p>
    <w:p>
      <w:pPr>
        <w:pStyle w:val="BodyText"/>
        <w:spacing w:line="386" w:lineRule="auto" w:before="50"/>
        <w:ind w:right="986" w:firstLine="420"/>
        <w:jc w:val="left"/>
      </w:pPr>
      <w:r>
        <w:rPr/>
        <w:t>（</w:t>
      </w:r>
      <w:r>
        <w:rPr>
          <w:rFonts w:ascii="Times New Roman" w:hAnsi="Times New Roman" w:cs="Times New Roman" w:eastAsia="Times New Roman" w:hint="default"/>
        </w:rPr>
        <w:t>5</w:t>
      </w:r>
      <w:r>
        <w:rPr/>
        <w:t>）评价财务报表的总体列报、结构和内容（包括披露），并评价财务报表是否公允反映相关交易</w:t>
      </w:r>
      <w:r>
        <w:rPr>
          <w:w w:val="100"/>
        </w:rPr>
        <w:t> </w:t>
      </w:r>
      <w:r>
        <w:rPr/>
        <w:t>和事项。</w:t>
      </w:r>
    </w:p>
    <w:p>
      <w:pPr>
        <w:pStyle w:val="BodyText"/>
        <w:spacing w:line="386" w:lineRule="auto" w:before="65"/>
        <w:ind w:right="986" w:firstLine="420"/>
        <w:jc w:val="left"/>
      </w:pPr>
      <w:r>
        <w:rPr/>
        <w:t>（</w:t>
      </w:r>
      <w:r>
        <w:rPr>
          <w:rFonts w:ascii="Times New Roman" w:hAnsi="Times New Roman" w:cs="Times New Roman" w:eastAsia="Times New Roman" w:hint="default"/>
        </w:rPr>
        <w:t>6</w:t>
      </w:r>
      <w:r>
        <w:rPr/>
        <w:t>）就美亚柏科实体或业务活动的财务信息获取充分、适当的审计证据，以对财务报表发表审计意</w:t>
      </w:r>
      <w:r>
        <w:rPr>
          <w:w w:val="100"/>
        </w:rPr>
        <w:t> </w:t>
      </w:r>
      <w:r>
        <w:rPr/>
        <w:t>见。我们负责指导、监督和执行集团审计，并对审计意见承担全部责任。</w:t>
      </w:r>
    </w:p>
    <w:p>
      <w:pPr>
        <w:pStyle w:val="BodyText"/>
        <w:spacing w:line="408" w:lineRule="auto" w:before="65"/>
        <w:ind w:right="986" w:firstLine="420"/>
        <w:jc w:val="left"/>
      </w:pPr>
      <w:r>
        <w:rPr>
          <w:spacing w:val="-2"/>
        </w:rPr>
        <w:t>我们与治理层就计划的审计范围、时间安排和重大审计发现等事项进行沟通，包括沟通我们在审计中</w:t>
      </w:r>
      <w:r>
        <w:rPr>
          <w:w w:val="100"/>
        </w:rPr>
        <w:t> </w:t>
      </w:r>
      <w:r>
        <w:rPr/>
        <w:t>识别出的值得关注的内部控制缺陷。</w:t>
      </w:r>
    </w:p>
    <w:p>
      <w:pPr>
        <w:pStyle w:val="BodyText"/>
        <w:spacing w:line="408" w:lineRule="auto"/>
        <w:ind w:right="986" w:firstLine="420"/>
        <w:jc w:val="left"/>
      </w:pPr>
      <w:r>
        <w:rPr>
          <w:spacing w:val="-2"/>
        </w:rPr>
        <w:t>我们还就已遵守与独立性相关的职业道德要求向治理层提供声明，并与治理层沟通可能被合理认为影</w:t>
      </w:r>
      <w:r>
        <w:rPr>
          <w:w w:val="100"/>
        </w:rPr>
        <w:t> </w:t>
      </w:r>
      <w:r>
        <w:rPr/>
        <w:t>响我们独立性的所有关系和其他事项，以及相关的防范措施（如适用）。</w:t>
      </w:r>
    </w:p>
    <w:p>
      <w:pPr>
        <w:pStyle w:val="BodyText"/>
        <w:spacing w:line="408" w:lineRule="auto"/>
        <w:ind w:right="986" w:firstLine="420"/>
        <w:jc w:val="left"/>
      </w:pPr>
      <w:r>
        <w:rPr>
          <w:spacing w:val="-5"/>
        </w:rPr>
        <w:t>从与治理层沟通的事项中，我们确定哪些事项对当期财务报表审计最为重要，因而构成关键审计事项。</w:t>
      </w:r>
      <w:r>
        <w:rPr>
          <w:w w:val="100"/>
        </w:rPr>
        <w:t> </w:t>
      </w:r>
      <w:r>
        <w:rPr>
          <w:spacing w:val="-2"/>
        </w:rPr>
        <w:t>我们在审计报告中描述这些事项，除非法律法规禁止公开披露这些事项，或在极少数情形下，如果合理预</w:t>
      </w:r>
      <w:r>
        <w:rPr>
          <w:spacing w:val="-44"/>
        </w:rPr>
        <w:t> </w:t>
      </w:r>
      <w:r>
        <w:rPr>
          <w:spacing w:val="-44"/>
        </w:rPr>
      </w:r>
      <w:r>
        <w:rPr>
          <w:spacing w:val="-2"/>
        </w:rPr>
        <w:t>期在审计报告中沟通某事项造成的负面后果超过在公众利益方面产生的益处，我们确定不应在审计报告中</w:t>
      </w:r>
      <w:r>
        <w:rPr>
          <w:spacing w:val="-43"/>
        </w:rPr>
        <w:t> </w:t>
      </w:r>
      <w:r>
        <w:rPr>
          <w:spacing w:val="-43"/>
        </w:rPr>
      </w:r>
      <w:r>
        <w:rPr/>
        <w:t>沟通该事项。</w:t>
      </w:r>
    </w:p>
    <w:p>
      <w:pPr>
        <w:spacing w:line="240" w:lineRule="auto" w:before="2"/>
        <w:rPr>
          <w:rFonts w:ascii="宋体" w:hAnsi="宋体" w:cs="宋体" w:eastAsia="宋体" w:hint="default"/>
          <w:sz w:val="9"/>
          <w:szCs w:val="9"/>
        </w:rPr>
      </w:pPr>
    </w:p>
    <w:tbl>
      <w:tblPr>
        <w:tblW w:w="0" w:type="auto"/>
        <w:jc w:val="left"/>
        <w:tblInd w:w="821" w:type="dxa"/>
        <w:tblLayout w:type="fixed"/>
        <w:tblCellMar>
          <w:top w:w="0" w:type="dxa"/>
          <w:left w:w="0" w:type="dxa"/>
          <w:bottom w:w="0" w:type="dxa"/>
          <w:right w:w="0" w:type="dxa"/>
        </w:tblCellMar>
        <w:tblLook w:val="01E0"/>
      </w:tblPr>
      <w:tblGrid>
        <w:gridCol w:w="3452"/>
        <w:gridCol w:w="3558"/>
      </w:tblGrid>
      <w:tr>
        <w:trPr>
          <w:trHeight w:val="349" w:hRule="exact"/>
        </w:trPr>
        <w:tc>
          <w:tcPr>
            <w:tcW w:w="3452" w:type="dxa"/>
            <w:tcBorders>
              <w:top w:val="nil" w:sz="6" w:space="0" w:color="auto"/>
              <w:left w:val="nil" w:sz="6" w:space="0" w:color="auto"/>
              <w:bottom w:val="nil" w:sz="6" w:space="0" w:color="auto"/>
              <w:right w:val="nil" w:sz="6" w:space="0" w:color="auto"/>
            </w:tcBorders>
          </w:tcPr>
          <w:p>
            <w:pPr>
              <w:pStyle w:val="TableParagraph"/>
              <w:spacing w:line="211" w:lineRule="exact"/>
              <w:ind w:right="947"/>
              <w:jc w:val="center"/>
              <w:rPr>
                <w:rFonts w:ascii="宋体" w:hAnsi="宋体" w:cs="宋体" w:eastAsia="宋体" w:hint="default"/>
                <w:sz w:val="21"/>
                <w:szCs w:val="21"/>
              </w:rPr>
            </w:pPr>
            <w:r>
              <w:rPr>
                <w:rFonts w:ascii="宋体" w:hAnsi="宋体" w:cs="宋体" w:eastAsia="宋体" w:hint="default"/>
                <w:sz w:val="21"/>
                <w:szCs w:val="21"/>
              </w:rPr>
              <w:t>中证天通会计师事务所</w:t>
            </w:r>
          </w:p>
        </w:tc>
        <w:tc>
          <w:tcPr>
            <w:tcW w:w="3558" w:type="dxa"/>
            <w:tcBorders>
              <w:top w:val="nil" w:sz="6" w:space="0" w:color="auto"/>
              <w:left w:val="nil" w:sz="6" w:space="0" w:color="auto"/>
              <w:bottom w:val="nil" w:sz="6" w:space="0" w:color="auto"/>
              <w:right w:val="nil" w:sz="6" w:space="0" w:color="auto"/>
            </w:tcBorders>
          </w:tcPr>
          <w:p>
            <w:pPr>
              <w:pStyle w:val="TableParagraph"/>
              <w:spacing w:line="211" w:lineRule="exact"/>
              <w:ind w:left="1149" w:right="0"/>
              <w:jc w:val="left"/>
              <w:rPr>
                <w:rFonts w:ascii="宋体" w:hAnsi="宋体" w:cs="宋体" w:eastAsia="宋体" w:hint="default"/>
                <w:sz w:val="21"/>
                <w:szCs w:val="21"/>
              </w:rPr>
            </w:pPr>
            <w:r>
              <w:rPr>
                <w:rFonts w:ascii="宋体" w:hAnsi="宋体" w:cs="宋体" w:eastAsia="宋体" w:hint="default"/>
                <w:sz w:val="21"/>
                <w:szCs w:val="21"/>
              </w:rPr>
              <w:t>中国注册会计师：陈峰</w:t>
            </w:r>
          </w:p>
        </w:tc>
      </w:tr>
      <w:tr>
        <w:trPr>
          <w:trHeight w:val="488" w:hRule="exact"/>
        </w:trPr>
        <w:tc>
          <w:tcPr>
            <w:tcW w:w="3452"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949"/>
              <w:jc w:val="center"/>
              <w:rPr>
                <w:rFonts w:ascii="宋体" w:hAnsi="宋体" w:cs="宋体" w:eastAsia="宋体" w:hint="default"/>
                <w:sz w:val="21"/>
                <w:szCs w:val="21"/>
              </w:rPr>
            </w:pPr>
            <w:r>
              <w:rPr>
                <w:rFonts w:ascii="宋体" w:hAnsi="宋体" w:cs="宋体" w:eastAsia="宋体" w:hint="default"/>
                <w:sz w:val="21"/>
                <w:szCs w:val="21"/>
              </w:rPr>
              <w:t>（特殊普通合伙）</w:t>
            </w:r>
          </w:p>
        </w:tc>
        <w:tc>
          <w:tcPr>
            <w:tcW w:w="355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464" w:right="0"/>
              <w:jc w:val="left"/>
              <w:rPr>
                <w:rFonts w:ascii="宋体" w:hAnsi="宋体" w:cs="宋体" w:eastAsia="宋体" w:hint="default"/>
                <w:sz w:val="21"/>
                <w:szCs w:val="21"/>
              </w:rPr>
            </w:pPr>
            <w:r>
              <w:rPr>
                <w:rFonts w:ascii="宋体" w:hAnsi="宋体" w:cs="宋体" w:eastAsia="宋体" w:hint="default"/>
                <w:sz w:val="21"/>
                <w:szCs w:val="21"/>
              </w:rPr>
              <w:t>（项目合伙人）</w:t>
            </w:r>
          </w:p>
        </w:tc>
      </w:tr>
      <w:tr>
        <w:trPr>
          <w:trHeight w:val="488" w:hRule="exact"/>
        </w:trPr>
        <w:tc>
          <w:tcPr>
            <w:tcW w:w="3452" w:type="dxa"/>
            <w:tcBorders>
              <w:top w:val="nil" w:sz="6" w:space="0" w:color="auto"/>
              <w:left w:val="nil" w:sz="6" w:space="0" w:color="auto"/>
              <w:bottom w:val="nil" w:sz="6" w:space="0" w:color="auto"/>
              <w:right w:val="nil" w:sz="6" w:space="0" w:color="auto"/>
            </w:tcBorders>
          </w:tcPr>
          <w:p>
            <w:pPr/>
          </w:p>
        </w:tc>
        <w:tc>
          <w:tcPr>
            <w:tcW w:w="3558"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44" w:right="0"/>
              <w:jc w:val="left"/>
              <w:rPr>
                <w:rFonts w:ascii="宋体" w:hAnsi="宋体" w:cs="宋体" w:eastAsia="宋体" w:hint="default"/>
                <w:sz w:val="21"/>
                <w:szCs w:val="21"/>
              </w:rPr>
            </w:pPr>
            <w:r>
              <w:rPr>
                <w:rFonts w:ascii="宋体" w:hAnsi="宋体" w:cs="宋体" w:eastAsia="宋体" w:hint="default"/>
                <w:sz w:val="21"/>
                <w:szCs w:val="21"/>
              </w:rPr>
              <w:t>中国注册会计师：易厚震</w:t>
            </w:r>
          </w:p>
        </w:tc>
      </w:tr>
      <w:tr>
        <w:trPr>
          <w:trHeight w:val="493" w:hRule="exact"/>
        </w:trPr>
        <w:tc>
          <w:tcPr>
            <w:tcW w:w="3452"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949"/>
              <w:jc w:val="center"/>
              <w:rPr>
                <w:rFonts w:ascii="宋体" w:hAnsi="宋体" w:cs="宋体" w:eastAsia="宋体" w:hint="default"/>
                <w:sz w:val="21"/>
                <w:szCs w:val="21"/>
              </w:rPr>
            </w:pPr>
            <w:r>
              <w:rPr>
                <w:rFonts w:ascii="宋体" w:hAnsi="宋体" w:cs="宋体" w:eastAsia="宋体" w:hint="default"/>
                <w:sz w:val="21"/>
                <w:szCs w:val="21"/>
              </w:rPr>
              <w:t>中国 </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14"/>
                <w:sz w:val="21"/>
                <w:szCs w:val="21"/>
              </w:rPr>
              <w:t> </w:t>
            </w:r>
            <w:r>
              <w:rPr>
                <w:rFonts w:ascii="宋体" w:hAnsi="宋体" w:cs="宋体" w:eastAsia="宋体" w:hint="default"/>
                <w:spacing w:val="-3"/>
                <w:sz w:val="21"/>
                <w:szCs w:val="21"/>
              </w:rPr>
              <w:t>北京</w:t>
            </w:r>
            <w:r>
              <w:rPr>
                <w:rFonts w:ascii="宋体" w:hAnsi="宋体" w:cs="宋体" w:eastAsia="宋体" w:hint="default"/>
                <w:sz w:val="21"/>
                <w:szCs w:val="21"/>
              </w:rPr>
            </w:r>
          </w:p>
        </w:tc>
        <w:tc>
          <w:tcPr>
            <w:tcW w:w="3558" w:type="dxa"/>
            <w:tcBorders>
              <w:top w:val="nil" w:sz="6" w:space="0" w:color="auto"/>
              <w:left w:val="nil" w:sz="6" w:space="0" w:color="auto"/>
              <w:bottom w:val="nil" w:sz="6" w:space="0" w:color="auto"/>
              <w:right w:val="nil" w:sz="6" w:space="0" w:color="auto"/>
            </w:tcBorders>
          </w:tcPr>
          <w:p>
            <w:pPr/>
          </w:p>
        </w:tc>
      </w:tr>
      <w:tr>
        <w:trPr>
          <w:trHeight w:val="355" w:hRule="exact"/>
        </w:trPr>
        <w:tc>
          <w:tcPr>
            <w:tcW w:w="3452" w:type="dxa"/>
            <w:tcBorders>
              <w:top w:val="nil" w:sz="6" w:space="0" w:color="auto"/>
              <w:left w:val="nil" w:sz="6" w:space="0" w:color="auto"/>
              <w:bottom w:val="nil" w:sz="6" w:space="0" w:color="auto"/>
              <w:right w:val="nil" w:sz="6" w:space="0" w:color="auto"/>
            </w:tcBorders>
          </w:tcPr>
          <w:p>
            <w:pPr/>
          </w:p>
        </w:tc>
        <w:tc>
          <w:tcPr>
            <w:tcW w:w="3558"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67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2020</w:t>
            </w:r>
            <w:r>
              <w:rPr>
                <w:rFonts w:ascii="宋体" w:hAnsi="宋体" w:cs="宋体" w:eastAsia="宋体" w:hint="default"/>
                <w:sz w:val="21"/>
                <w:szCs w:val="21"/>
              </w:rPr>
              <w:t>年</w:t>
            </w:r>
            <w:r>
              <w:rPr>
                <w:rFonts w:ascii="Times New Roman" w:hAnsi="Times New Roman" w:cs="Times New Roman" w:eastAsia="Times New Roman" w:hint="default"/>
                <w:sz w:val="21"/>
                <w:szCs w:val="21"/>
              </w:rPr>
              <w:t>3</w:t>
            </w:r>
            <w:r>
              <w:rPr>
                <w:rFonts w:ascii="宋体" w:hAnsi="宋体" w:cs="宋体" w:eastAsia="宋体" w:hint="default"/>
                <w:sz w:val="21"/>
                <w:szCs w:val="21"/>
              </w:rPr>
              <w:t>月</w:t>
            </w:r>
            <w:r>
              <w:rPr>
                <w:rFonts w:ascii="Times New Roman" w:hAnsi="Times New Roman" w:cs="Times New Roman" w:eastAsia="Times New Roman" w:hint="default"/>
                <w:sz w:val="21"/>
                <w:szCs w:val="21"/>
              </w:rPr>
              <w:t>27</w:t>
            </w:r>
            <w:r>
              <w:rPr>
                <w:rFonts w:ascii="宋体" w:hAnsi="宋体" w:cs="宋体" w:eastAsia="宋体" w:hint="default"/>
                <w:sz w:val="21"/>
                <w:szCs w:val="21"/>
              </w:rPr>
              <w:t>日</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Heading2"/>
        <w:spacing w:line="240" w:lineRule="auto" w:before="26"/>
        <w:ind w:right="986"/>
        <w:jc w:val="left"/>
        <w:rPr>
          <w:b w:val="0"/>
          <w:bCs w:val="0"/>
        </w:rPr>
      </w:pPr>
      <w:bookmarkStart w:name="二、财务报表" w:id="158"/>
      <w:bookmarkEnd w:id="158"/>
      <w:r>
        <w:rPr>
          <w:b w:val="0"/>
          <w:bCs w:val="0"/>
        </w:rPr>
      </w:r>
      <w:r>
        <w:rPr/>
        <w:t>二、财务报表</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财务附注中报表的单位为：元</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1、合并资产负债表" w:id="159"/>
      <w:bookmarkEnd w:id="159"/>
      <w:r>
        <w:rPr>
          <w:b w:val="0"/>
          <w:bCs w:val="0"/>
        </w:rPr>
      </w:r>
      <w:r>
        <w:rPr>
          <w:rFonts w:ascii="Times New Roman" w:hAnsi="Times New Roman" w:cs="Times New Roman" w:eastAsia="Times New Roman" w:hint="default"/>
        </w:rPr>
        <w:t>1</w:t>
      </w:r>
      <w:r>
        <w:rPr/>
        <w:t>、合并资产负债表</w:t>
      </w:r>
      <w:r>
        <w:rPr>
          <w:b w:val="0"/>
          <w:bCs w:val="0"/>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82" w:top="1060" w:bottom="1180" w:left="980" w:right="0"/>
        </w:sectPr>
      </w:pPr>
    </w:p>
    <w:p>
      <w:pPr>
        <w:spacing w:before="44"/>
        <w:ind w:left="152" w:right="-20" w:firstLine="0"/>
        <w:jc w:val="left"/>
        <w:rPr>
          <w:rFonts w:ascii="宋体" w:hAnsi="宋体" w:cs="宋体" w:eastAsia="宋体" w:hint="default"/>
          <w:sz w:val="18"/>
          <w:szCs w:val="18"/>
        </w:rPr>
      </w:pPr>
      <w:r>
        <w:rPr>
          <w:rFonts w:ascii="宋体" w:hAnsi="宋体" w:cs="宋体" w:eastAsia="宋体" w:hint="default"/>
          <w:sz w:val="18"/>
          <w:szCs w:val="18"/>
        </w:rPr>
        <w:t>编制单位：厦门市美亚柏科信息股份有限公司</w:t>
      </w:r>
    </w:p>
    <w:p>
      <w:pPr>
        <w:spacing w:line="240" w:lineRule="auto" w:before="0"/>
        <w:rPr>
          <w:rFonts w:ascii="宋体" w:hAnsi="宋体" w:cs="宋体" w:eastAsia="宋体" w:hint="default"/>
          <w:sz w:val="18"/>
          <w:szCs w:val="18"/>
        </w:rPr>
      </w:pPr>
      <w:r>
        <w:rPr/>
        <w:br w:type="column"/>
      </w:r>
      <w:r>
        <w:rPr>
          <w:rFonts w:ascii="宋体"/>
          <w:sz w:val="18"/>
        </w:rPr>
      </w:r>
    </w:p>
    <w:p>
      <w:pPr>
        <w:spacing w:before="159"/>
        <w:ind w:left="152" w:right="-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80" w:left="980" w:right="0"/>
          <w:cols w:num="3" w:equalWidth="0">
            <w:col w:w="3753" w:space="322"/>
            <w:col w:w="1641" w:space="3202"/>
            <w:col w:w="2012"/>
          </w:cols>
        </w:sectPr>
      </w:pP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5756"/>
        <w:gridCol w:w="2111"/>
        <w:gridCol w:w="1690"/>
      </w:tblGrid>
      <w:tr>
        <w:trPr>
          <w:trHeight w:val="401"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1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16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94"/>
              <w:jc w:val="righ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403"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111"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69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1"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1,165,028,886.98</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935,741,411.95</w:t>
            </w:r>
          </w:p>
        </w:tc>
      </w:tr>
      <w:tr>
        <w:trPr>
          <w:trHeight w:val="403"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以公允价值计量且其变动计入当期损益的金融资产</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11,126,193.79</w:t>
            </w:r>
            <w:r>
              <w:rPr>
                <w:rFonts w:ascii="Times New Roman"/>
                <w:sz w:val="18"/>
              </w:rPr>
            </w: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796,779,217.13</w:t>
            </w:r>
            <w:r>
              <w:rPr>
                <w:rFonts w:ascii="Times New Roman"/>
                <w:sz w:val="18"/>
              </w:rPr>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625,000,672.55</w:t>
            </w:r>
            <w:r>
              <w:rPr>
                <w:rFonts w:ascii="Times New Roman"/>
                <w:sz w:val="18"/>
              </w:rPr>
            </w:r>
          </w:p>
        </w:tc>
      </w:tr>
      <w:tr>
        <w:trPr>
          <w:trHeight w:val="401"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71,916,407.64</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93,038,560.47</w:t>
            </w:r>
          </w:p>
        </w:tc>
      </w:tr>
      <w:tr>
        <w:trPr>
          <w:trHeight w:val="401"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81,769,179.20</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71,547,601.94</w:t>
            </w:r>
          </w:p>
        </w:tc>
      </w:tr>
      <w:tr>
        <w:trPr>
          <w:trHeight w:val="401"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2,414,206.76</w:t>
            </w:r>
            <w:r>
              <w:rPr>
                <w:rFonts w:ascii="Times New Roman"/>
                <w:sz w:val="18"/>
              </w:rPr>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1,581,027.56</w:t>
            </w:r>
            <w:r>
              <w:rPr>
                <w:rFonts w:ascii="Times New Roman"/>
                <w:sz w:val="18"/>
              </w:rPr>
            </w:r>
          </w:p>
        </w:tc>
      </w:tr>
      <w:tr>
        <w:trPr>
          <w:trHeight w:val="403"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436,676,432.39</w:t>
            </w:r>
            <w:r>
              <w:rPr>
                <w:rFonts w:ascii="Times New Roman"/>
                <w:sz w:val="18"/>
              </w:rPr>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360,520,395.81</w:t>
            </w:r>
            <w:r>
              <w:rPr>
                <w:rFonts w:ascii="Times New Roman"/>
                <w:sz w:val="18"/>
              </w:rPr>
            </w:r>
          </w:p>
        </w:tc>
      </w:tr>
      <w:tr>
        <w:trPr>
          <w:trHeight w:val="401"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47,609,830.08</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25,456,376.09</w:t>
            </w:r>
          </w:p>
        </w:tc>
      </w:tr>
      <w:tr>
        <w:trPr>
          <w:trHeight w:val="401"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2,610,906,147.21</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2,111,305,018.81</w:t>
            </w:r>
          </w:p>
        </w:tc>
      </w:tr>
      <w:tr>
        <w:trPr>
          <w:trHeight w:val="403"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111"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69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1"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发放贷款和垫款</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241,452,268.01</w:t>
            </w:r>
            <w:r>
              <w:rPr>
                <w:rFonts w:ascii="Times New Roman"/>
                <w:sz w:val="18"/>
              </w:rPr>
            </w:r>
          </w:p>
        </w:tc>
      </w:tr>
      <w:tr>
        <w:trPr>
          <w:trHeight w:val="403"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5756"/>
        <w:gridCol w:w="2111"/>
        <w:gridCol w:w="1690"/>
      </w:tblGrid>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20,661,440.39</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14,759,392.18</w:t>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383,528,353.61</w:t>
            </w:r>
            <w:r>
              <w:rPr>
                <w:rFonts w:ascii="Times New Roman"/>
                <w:sz w:val="18"/>
              </w:rPr>
            </w: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275,683.98</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295,290.17</w:t>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387,910,370.69</w:t>
            </w:r>
            <w:r>
              <w:rPr>
                <w:rFonts w:ascii="Times New Roman"/>
                <w:sz w:val="18"/>
              </w:rPr>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269,979,915.61</w:t>
            </w:r>
            <w:r>
              <w:rPr>
                <w:rFonts w:ascii="Times New Roman"/>
                <w:sz w:val="18"/>
              </w:rPr>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2,473,291.71</w:t>
            </w:r>
            <w:r>
              <w:rPr>
                <w:rFonts w:ascii="Times New Roman"/>
                <w:sz w:val="18"/>
              </w:rPr>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1,415,526.94</w:t>
            </w:r>
            <w:r>
              <w:rPr>
                <w:rFonts w:ascii="Times New Roman"/>
                <w:sz w:val="18"/>
              </w:rPr>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63,074,689.62</w:t>
            </w:r>
            <w:r>
              <w:rPr>
                <w:rFonts w:ascii="Times New Roman"/>
                <w:sz w:val="18"/>
              </w:rPr>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53,958,244.97</w:t>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84,954,299.51</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29,428,986.40</w:t>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542,202,213.88</w:t>
            </w:r>
            <w:r>
              <w:rPr>
                <w:rFonts w:ascii="Times New Roman"/>
                <w:sz w:val="18"/>
              </w:rPr>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542,202,213.88</w:t>
            </w:r>
            <w:r>
              <w:rPr>
                <w:rFonts w:ascii="Times New Roman"/>
                <w:sz w:val="18"/>
              </w:rPr>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11,509,976.74</w:t>
            </w:r>
            <w:r>
              <w:rPr>
                <w:rFonts w:ascii="Times New Roman"/>
                <w:sz w:val="18"/>
              </w:rPr>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15,766,831.63</w:t>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42,420,038.86</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35,071,784.54</w:t>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50,231,805.84</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128,505,056.03</w:t>
            </w:r>
            <w:r>
              <w:rPr>
                <w:rFonts w:ascii="Times New Roman"/>
                <w:sz w:val="18"/>
              </w:rPr>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1,589,242,164.83</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1,332,835,510.36</w:t>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4,200,148,312.04</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3,444,140,529.17</w:t>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111"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69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以公允价值计量且其变动计入当期损益的金融负债</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187,360,543.40</w:t>
            </w:r>
            <w:r>
              <w:rPr>
                <w:rFonts w:ascii="Times New Roman"/>
                <w:sz w:val="18"/>
              </w:rPr>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78,812,370.00</w:t>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243,254,114.12</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159,584,319.30</w:t>
            </w:r>
            <w:r>
              <w:rPr>
                <w:rFonts w:ascii="Times New Roman"/>
                <w:sz w:val="18"/>
              </w:rPr>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352,995,480.27</w:t>
            </w:r>
            <w:r>
              <w:rPr>
                <w:rFonts w:ascii="Times New Roman"/>
                <w:sz w:val="18"/>
              </w:rPr>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324,121,092.84</w:t>
            </w:r>
            <w:r>
              <w:rPr>
                <w:rFonts w:ascii="Times New Roman"/>
                <w:sz w:val="18"/>
              </w:rPr>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5756"/>
        <w:gridCol w:w="2111"/>
        <w:gridCol w:w="1690"/>
      </w:tblGrid>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145,539,356.05</w:t>
            </w:r>
            <w:r>
              <w:rPr>
                <w:rFonts w:ascii="Times New Roman"/>
                <w:sz w:val="18"/>
              </w:rPr>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112,794,692.63</w:t>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80,657,827.17</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72,928,822.67</w:t>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117,714,143.46</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61,356,640.75</w:t>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552"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27,714.26</w:t>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1,585,849.29</w:t>
            </w:r>
            <w:r>
              <w:rPr>
                <w:rFonts w:ascii="Times New Roman"/>
                <w:sz w:val="18"/>
              </w:rPr>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1,486,502.41</w:t>
            </w:r>
            <w:r>
              <w:rPr>
                <w:rFonts w:ascii="Times New Roman"/>
                <w:sz w:val="18"/>
              </w:rPr>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1,129,107,313.76</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811,084,440.60</w:t>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111"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69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15,461,984.57</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17,023,952.45</w:t>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41,649,019.26</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28,099,101.81</w:t>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29,477,303.59</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14,814,023.56</w:t>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86,588,307.42</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59,937,077.82</w:t>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1,215,695,621.18</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871,021,518.42</w:t>
            </w:r>
            <w:r>
              <w:rPr>
                <w:rFonts w:ascii="Times New Roman"/>
                <w:sz w:val="18"/>
              </w:rPr>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2111"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69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803,993,717.00</w:t>
            </w:r>
            <w:r>
              <w:rPr>
                <w:rFonts w:ascii="Times New Roman"/>
                <w:sz w:val="18"/>
              </w:rPr>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794,832,809.00</w:t>
            </w:r>
            <w:r>
              <w:rPr>
                <w:rFonts w:ascii="Times New Roman"/>
                <w:sz w:val="18"/>
              </w:rPr>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111" w:type="dxa"/>
            <w:tcBorders>
              <w:top w:val="single" w:sz="4" w:space="0" w:color="000000"/>
              <w:left w:val="single" w:sz="12" w:space="0" w:color="D4D4D4"/>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673,391,879.02</w:t>
            </w:r>
            <w:r>
              <w:rPr>
                <w:rFonts w:ascii="Times New Roman"/>
                <w:sz w:val="18"/>
              </w:rPr>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582,325,767.41</w:t>
            </w:r>
            <w:r>
              <w:rPr>
                <w:rFonts w:ascii="Times New Roman"/>
                <w:sz w:val="18"/>
              </w:rPr>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80,782,965.00</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34,813,142.00</w:t>
            </w:r>
          </w:p>
        </w:tc>
      </w:tr>
      <w:tr>
        <w:trPr>
          <w:trHeight w:val="402" w:hRule="exact"/>
        </w:trPr>
        <w:tc>
          <w:tcPr>
            <w:tcW w:w="57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111"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260,015,289.56</w:t>
            </w:r>
            <w:r>
              <w:rPr>
                <w:rFonts w:ascii="Times New Roman"/>
                <w:sz w:val="18"/>
              </w:rPr>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131,692,509.57</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5778"/>
        <w:gridCol w:w="2100"/>
        <w:gridCol w:w="1690"/>
      </w:tblGrid>
      <w:tr>
        <w:trPr>
          <w:trHeight w:val="402" w:hRule="exact"/>
        </w:trPr>
        <w:tc>
          <w:tcPr>
            <w:tcW w:w="577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2100" w:type="dxa"/>
            <w:tcBorders>
              <w:top w:val="single" w:sz="4" w:space="0" w:color="000000"/>
              <w:left w:val="single" w:sz="4" w:space="0" w:color="000000"/>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7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8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2"/>
                <w:sz w:val="18"/>
              </w:rPr>
              <w:t>111,216,597.97</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97,552,177.95</w:t>
            </w:r>
          </w:p>
        </w:tc>
      </w:tr>
      <w:tr>
        <w:trPr>
          <w:trHeight w:val="402" w:hRule="exact"/>
        </w:trPr>
        <w:tc>
          <w:tcPr>
            <w:tcW w:w="577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2"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2100" w:type="dxa"/>
            <w:tcBorders>
              <w:top w:val="single" w:sz="4" w:space="0" w:color="000000"/>
              <w:left w:val="single" w:sz="4" w:space="0" w:color="000000"/>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7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8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1,192,954,662.33</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979,094,436.87</w:t>
            </w:r>
            <w:r>
              <w:rPr>
                <w:rFonts w:ascii="Times New Roman"/>
                <w:sz w:val="18"/>
              </w:rPr>
            </w:r>
          </w:p>
        </w:tc>
      </w:tr>
      <w:tr>
        <w:trPr>
          <w:trHeight w:val="402" w:hRule="exact"/>
        </w:trPr>
        <w:tc>
          <w:tcPr>
            <w:tcW w:w="577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2,960,789,180.88</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2,550,684,558.80</w:t>
            </w:r>
          </w:p>
        </w:tc>
      </w:tr>
      <w:tr>
        <w:trPr>
          <w:trHeight w:val="402" w:hRule="exact"/>
        </w:trPr>
        <w:tc>
          <w:tcPr>
            <w:tcW w:w="577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8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23,663,509.98</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22,434,451.95</w:t>
            </w:r>
          </w:p>
        </w:tc>
      </w:tr>
      <w:tr>
        <w:trPr>
          <w:trHeight w:val="402" w:hRule="exact"/>
        </w:trPr>
        <w:tc>
          <w:tcPr>
            <w:tcW w:w="577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2,984,452,690.86</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2,573,119,010.75</w:t>
            </w:r>
          </w:p>
        </w:tc>
      </w:tr>
      <w:tr>
        <w:trPr>
          <w:trHeight w:val="402" w:hRule="exact"/>
        </w:trPr>
        <w:tc>
          <w:tcPr>
            <w:tcW w:w="577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4,200,148,312.04</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3,444,140,529.17</w:t>
            </w:r>
          </w:p>
        </w:tc>
      </w:tr>
    </w:tbl>
    <w:p>
      <w:pPr>
        <w:spacing w:line="240" w:lineRule="auto" w:before="11"/>
        <w:rPr>
          <w:rFonts w:ascii="Times New Roman" w:hAnsi="Times New Roman" w:cs="Times New Roman" w:eastAsia="Times New Roman" w:hint="default"/>
          <w:sz w:val="22"/>
          <w:szCs w:val="22"/>
        </w:rPr>
      </w:pPr>
    </w:p>
    <w:p>
      <w:pPr>
        <w:tabs>
          <w:tab w:pos="3334" w:val="left" w:leader="none"/>
          <w:tab w:pos="7566" w:val="left" w:leader="none"/>
        </w:tabs>
        <w:spacing w:before="44"/>
        <w:ind w:left="0" w:right="1225" w:firstLine="0"/>
        <w:jc w:val="right"/>
        <w:rPr>
          <w:rFonts w:ascii="宋体" w:hAnsi="宋体" w:cs="宋体" w:eastAsia="宋体" w:hint="default"/>
          <w:sz w:val="18"/>
          <w:szCs w:val="18"/>
        </w:rPr>
      </w:pPr>
      <w:r>
        <w:rPr>
          <w:rFonts w:ascii="宋体" w:hAnsi="宋体" w:cs="宋体" w:eastAsia="宋体" w:hint="default"/>
          <w:sz w:val="18"/>
          <w:szCs w:val="18"/>
        </w:rPr>
        <w:t>法定代表人：滕达</w:t>
        <w:tab/>
      </w:r>
      <w:r>
        <w:rPr>
          <w:rFonts w:ascii="宋体" w:hAnsi="宋体" w:cs="宋体" w:eastAsia="宋体" w:hint="default"/>
          <w:spacing w:val="-1"/>
          <w:sz w:val="18"/>
          <w:szCs w:val="18"/>
        </w:rPr>
        <w:t>主管会计工作负责人：张乃军</w:t>
        <w:tab/>
      </w:r>
      <w:r>
        <w:rPr>
          <w:rFonts w:ascii="宋体" w:hAnsi="宋体" w:cs="宋体" w:eastAsia="宋体" w:hint="default"/>
          <w:sz w:val="18"/>
          <w:szCs w:val="18"/>
        </w:rPr>
        <w:t>会计机构负责人：陈志友</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2、母公司资产负债表" w:id="160"/>
      <w:bookmarkEnd w:id="160"/>
      <w:r>
        <w:rPr>
          <w:b w:val="0"/>
          <w:bCs w:val="0"/>
        </w:rPr>
      </w:r>
      <w:r>
        <w:rPr>
          <w:rFonts w:ascii="Times New Roman" w:hAnsi="Times New Roman" w:cs="Times New Roman" w:eastAsia="Times New Roman" w:hint="default"/>
        </w:rPr>
        <w:t>2</w:t>
      </w:r>
      <w:r>
        <w:rPr/>
        <w:t>、母公司资产负债表</w:t>
      </w:r>
      <w:r>
        <w:rPr>
          <w:b w:val="0"/>
          <w:bCs w:val="0"/>
        </w:rPr>
      </w:r>
    </w:p>
    <w:p>
      <w:pPr>
        <w:spacing w:line="240" w:lineRule="auto" w:before="4"/>
        <w:rPr>
          <w:rFonts w:ascii="宋体" w:hAnsi="宋体" w:cs="宋体" w:eastAsia="宋体" w:hint="default"/>
          <w:b/>
          <w:bCs/>
          <w:sz w:val="26"/>
          <w:szCs w:val="26"/>
        </w:rPr>
      </w:pPr>
    </w:p>
    <w:p>
      <w:pPr>
        <w:spacing w:before="0"/>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5696"/>
        <w:gridCol w:w="2216"/>
        <w:gridCol w:w="1644"/>
      </w:tblGrid>
      <w:tr>
        <w:trPr>
          <w:trHeight w:val="403"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1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6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16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70"/>
              <w:jc w:val="righ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216"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644"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648,914,651.29</w:t>
            </w:r>
            <w:r>
              <w:rPr>
                <w:rFonts w:ascii="Times New Roman"/>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671,338,464.42</w:t>
            </w:r>
            <w:r>
              <w:rPr>
                <w:rFonts w:ascii="Times New Roman"/>
                <w:sz w:val="18"/>
              </w:rPr>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以公允价值计量且其变动计入当期损益的金融资产</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11,126,193.79</w:t>
            </w:r>
            <w:r>
              <w:rPr>
                <w:rFonts w:ascii="Times New Roman"/>
                <w:sz w:val="18"/>
              </w:rPr>
            </w: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742,996,122.63</w:t>
            </w:r>
            <w:r>
              <w:rPr>
                <w:rFonts w:ascii="Times New Roman"/>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472,718,923.83</w:t>
            </w:r>
            <w:r>
              <w:rPr>
                <w:rFonts w:ascii="Times New Roman"/>
                <w:sz w:val="18"/>
              </w:rPr>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68,909,481.66</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88,106,675.06</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72,257,311.19</w:t>
            </w:r>
            <w:r>
              <w:rPr>
                <w:rFonts w:ascii="Times New Roman"/>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55,328,888.55</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1,343,284.18</w:t>
            </w:r>
            <w:r>
              <w:rPr>
                <w:rFonts w:ascii="Times New Roman"/>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1,190,298.78</w:t>
            </w:r>
            <w:r>
              <w:rPr>
                <w:rFonts w:ascii="Times New Roman"/>
                <w:sz w:val="18"/>
              </w:rPr>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09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300,992,540.18</w:t>
            </w:r>
            <w:r>
              <w:rPr>
                <w:rFonts w:ascii="Times New Roman"/>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250,238,607.38</w:t>
            </w:r>
            <w:r>
              <w:rPr>
                <w:rFonts w:ascii="Times New Roman"/>
                <w:sz w:val="18"/>
              </w:rPr>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43,336,714.92</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20,941,529.76</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1,888,533,015.66</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1,558,673,089.00</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216"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644"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241,452,268.01</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footerReference w:type="default" r:id="rId26"/>
          <w:pgSz w:w="11910" w:h="16840"/>
          <w:pgMar w:footer="982" w:header="745" w:top="1060" w:bottom="1180" w:left="980" w:right="0"/>
          <w:pgNumType w:start="12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5696"/>
        <w:gridCol w:w="2216"/>
        <w:gridCol w:w="1644"/>
      </w:tblGrid>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965,948,004.69</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942,569,538.76</w:t>
            </w:r>
            <w:r>
              <w:rPr>
                <w:rFonts w:ascii="Times New Roman"/>
                <w:sz w:val="18"/>
              </w:rPr>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383,128,353.61</w:t>
            </w:r>
            <w:r>
              <w:rPr>
                <w:rFonts w:ascii="Times New Roman"/>
                <w:sz w:val="18"/>
              </w:rPr>
            </w: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29,253,156.70</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30,435,171.15</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293,850,886.65</w:t>
            </w:r>
            <w:r>
              <w:rPr>
                <w:rFonts w:ascii="Times New Roman"/>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226,582,975.12</w:t>
            </w:r>
            <w:r>
              <w:rPr>
                <w:rFonts w:ascii="Times New Roman"/>
                <w:sz w:val="18"/>
              </w:rPr>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1,452,832.24</w:t>
            </w:r>
            <w:r>
              <w:rPr>
                <w:rFonts w:ascii="Times New Roman"/>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1,415,526.94</w:t>
            </w:r>
            <w:r>
              <w:rPr>
                <w:rFonts w:ascii="Times New Roman"/>
                <w:sz w:val="18"/>
              </w:rPr>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39,943,909.27</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47,448,755.91</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78,458,612.06</w:t>
            </w:r>
            <w:r>
              <w:rPr>
                <w:rFonts w:ascii="Times New Roman"/>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13,689,656.08</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2"/>
                <w:sz w:val="18"/>
              </w:rPr>
              <w:t>4,111,594.63</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4,364,857.76</w:t>
            </w:r>
            <w:r>
              <w:rPr>
                <w:rFonts w:ascii="Times New Roman"/>
                <w:sz w:val="18"/>
              </w:rPr>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23,363,394.94</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22,171,622.64</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49,758,609.20</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125,102,556.62</w:t>
            </w:r>
            <w:r>
              <w:rPr>
                <w:rFonts w:ascii="Times New Roman"/>
                <w:sz w:val="18"/>
              </w:rPr>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1,869,269,353.99</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1,655,232,928.99</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3,757,802,369.65</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3,213,906,017.99</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216"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644"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以公允价值计量且其变动计入当期损益的金融负债</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187,360,543.40</w:t>
            </w:r>
            <w:r>
              <w:rPr>
                <w:rFonts w:ascii="Times New Roman"/>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78,812,370.00</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237,826,246.28</w:t>
            </w:r>
            <w:r>
              <w:rPr>
                <w:rFonts w:ascii="Times New Roman"/>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131,277,371.40</w:t>
            </w:r>
            <w:r>
              <w:rPr>
                <w:rFonts w:ascii="Times New Roman"/>
                <w:sz w:val="18"/>
              </w:rPr>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279,572,341.70</w:t>
            </w:r>
            <w:r>
              <w:rPr>
                <w:rFonts w:ascii="Times New Roman"/>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289,320,789.48</w:t>
            </w:r>
            <w:r>
              <w:rPr>
                <w:rFonts w:ascii="Times New Roman"/>
                <w:sz w:val="18"/>
              </w:rPr>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91,370,841.90</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77,382,831.26</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30,771,205.06</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36,873,767.96</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99,593,919.40</w:t>
            </w:r>
            <w:r>
              <w:rPr>
                <w:rFonts w:ascii="Times New Roman"/>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50,719,234.60</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27,714.26</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09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5696"/>
        <w:gridCol w:w="2216"/>
        <w:gridCol w:w="1644"/>
      </w:tblGrid>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1,585,849.29</w:t>
            </w:r>
            <w:r>
              <w:rPr>
                <w:rFonts w:ascii="Times New Roman"/>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1,486,502.41</w:t>
            </w:r>
            <w:r>
              <w:rPr>
                <w:rFonts w:ascii="Times New Roman"/>
                <w:sz w:val="18"/>
              </w:rPr>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928,080,947.03</w:t>
            </w:r>
            <w:r>
              <w:rPr>
                <w:rFonts w:ascii="Times New Roman"/>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665,872,867.11</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216"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644"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15,461,984.57</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17,023,952.45</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34,119,019.26</w:t>
            </w:r>
            <w:r>
              <w:rPr>
                <w:rFonts w:ascii="Times New Roman"/>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23,099,101.81</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28,890,587.74</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14,632,501.06</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78,471,591.57</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54,755,555.32</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1,006,552,538.60</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720,628,422.43</w:t>
            </w:r>
            <w:r>
              <w:rPr>
                <w:rFonts w:ascii="Times New Roman"/>
                <w:sz w:val="18"/>
              </w:rPr>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2216"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644"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803,993,717.00</w:t>
            </w:r>
            <w:r>
              <w:rPr>
                <w:rFonts w:ascii="Times New Roman"/>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794,832,809.00</w:t>
            </w:r>
            <w:r>
              <w:rPr>
                <w:rFonts w:ascii="Times New Roman"/>
                <w:sz w:val="18"/>
              </w:rPr>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903,526,704.59</w:t>
            </w:r>
            <w:r>
              <w:rPr>
                <w:rFonts w:ascii="Times New Roman"/>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810,125,909.65</w:t>
            </w:r>
            <w:r>
              <w:rPr>
                <w:rFonts w:ascii="Times New Roman"/>
                <w:sz w:val="18"/>
              </w:rPr>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80,782,965.00</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34,813,142.00</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260,015,289.56</w:t>
            </w:r>
            <w:r>
              <w:rPr>
                <w:rFonts w:ascii="Times New Roman"/>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131,692,509.57</w:t>
            </w:r>
            <w:r>
              <w:rPr>
                <w:rFonts w:ascii="Times New Roman"/>
                <w:sz w:val="18"/>
              </w:rPr>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2216" w:type="dxa"/>
            <w:tcBorders>
              <w:top w:val="single" w:sz="4" w:space="0" w:color="000000"/>
              <w:left w:val="single" w:sz="12" w:space="0" w:color="D4D4D4"/>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2"/>
                <w:sz w:val="18"/>
              </w:rPr>
              <w:t>111,216,597.97</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97,552,177.95</w:t>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753,280,486.93</w:t>
            </w:r>
            <w:r>
              <w:rPr>
                <w:rFonts w:ascii="Times New Roman"/>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693,887,331.39</w:t>
            </w:r>
            <w:r>
              <w:rPr>
                <w:rFonts w:ascii="Times New Roman"/>
                <w:sz w:val="18"/>
              </w:rPr>
            </w:r>
          </w:p>
        </w:tc>
      </w:tr>
      <w:tr>
        <w:trPr>
          <w:trHeight w:val="402"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2,751,249,831.05</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2,493,277,595.56</w:t>
            </w:r>
            <w:r>
              <w:rPr>
                <w:rFonts w:ascii="Times New Roman"/>
                <w:sz w:val="18"/>
              </w:rPr>
            </w:r>
          </w:p>
        </w:tc>
      </w:tr>
      <w:tr>
        <w:trPr>
          <w:trHeight w:val="403" w:hRule="exact"/>
        </w:trPr>
        <w:tc>
          <w:tcPr>
            <w:tcW w:w="56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221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3,757,802,369.65</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3,213,906,017.99</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986"/>
        <w:jc w:val="left"/>
        <w:rPr>
          <w:b w:val="0"/>
          <w:bCs w:val="0"/>
        </w:rPr>
      </w:pPr>
      <w:bookmarkStart w:name="3、合并利润表" w:id="161"/>
      <w:bookmarkEnd w:id="161"/>
      <w:r>
        <w:rPr>
          <w:b w:val="0"/>
          <w:bCs w:val="0"/>
        </w:rPr>
      </w:r>
      <w:r>
        <w:rPr>
          <w:rFonts w:ascii="Times New Roman" w:hAnsi="Times New Roman" w:cs="Times New Roman" w:eastAsia="Times New Roman" w:hint="default"/>
        </w:rPr>
        <w:t>3</w:t>
      </w:r>
      <w:r>
        <w:rPr/>
        <w:t>、合并利润表</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after="0"/>
        <w:jc w:val="righ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5725"/>
        <w:gridCol w:w="2188"/>
        <w:gridCol w:w="1642"/>
      </w:tblGrid>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1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64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2,067,410,376.33</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1,600,584,391.00</w:t>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2,067,410,376.33</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1,600,584,391.00</w:t>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1,777,811,789.04</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1,377,544,957.05</w:t>
            </w:r>
            <w:r>
              <w:rPr>
                <w:rFonts w:ascii="Times New Roman"/>
                <w:sz w:val="18"/>
              </w:rPr>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914,978,071.54</w:t>
            </w:r>
            <w:r>
              <w:rPr>
                <w:rFonts w:ascii="Times New Roman"/>
                <w:sz w:val="18"/>
              </w:rPr>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648,316,430.88</w:t>
            </w:r>
            <w:r>
              <w:rPr>
                <w:rFonts w:ascii="Times New Roman"/>
                <w:sz w:val="18"/>
              </w:rPr>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提取保险责任合同准备金净额</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17,446,177.82</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17,584,819.49</w:t>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269,441,385.43</w:t>
            </w:r>
            <w:r>
              <w:rPr>
                <w:rFonts w:ascii="Times New Roman"/>
                <w:sz w:val="18"/>
              </w:rPr>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251,270,923.81</w:t>
            </w:r>
            <w:r>
              <w:rPr>
                <w:rFonts w:ascii="Times New Roman"/>
                <w:sz w:val="18"/>
              </w:rPr>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288,785,529.28</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230,761,354.44</w:t>
            </w:r>
            <w:r>
              <w:rPr>
                <w:rFonts w:ascii="Times New Roman"/>
                <w:sz w:val="18"/>
              </w:rPr>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293,172,950.66</w:t>
            </w:r>
            <w:r>
              <w:rPr>
                <w:rFonts w:ascii="Times New Roman"/>
                <w:sz w:val="18"/>
              </w:rPr>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239,317,777.08</w:t>
            </w:r>
            <w:r>
              <w:rPr>
                <w:rFonts w:ascii="Times New Roman"/>
                <w:sz w:val="18"/>
              </w:rPr>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-6,012,325.69</w:t>
            </w:r>
            <w:r>
              <w:rPr>
                <w:rFonts w:ascii="Times New Roman"/>
                <w:sz w:val="18"/>
              </w:rPr>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-9,706,348.65</w:t>
            </w:r>
            <w:r>
              <w:rPr>
                <w:rFonts w:ascii="Times New Roman"/>
                <w:sz w:val="18"/>
              </w:rPr>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1,129,384.07</w:t>
            </w:r>
            <w:r>
              <w:rPr>
                <w:rFonts w:ascii="Times New Roman"/>
                <w:sz w:val="18"/>
              </w:rPr>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141,692.76</w:t>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63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9,205,778.50</w:t>
            </w:r>
            <w:r>
              <w:rPr>
                <w:rFonts w:ascii="Times New Roman"/>
                <w:sz w:val="18"/>
              </w:rPr>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9,459,065.73</w:t>
            </w:r>
            <w:r>
              <w:rPr>
                <w:rFonts w:ascii="Times New Roman"/>
                <w:sz w:val="18"/>
              </w:rPr>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71,544,865.24</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78,376,623.71</w:t>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732"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-161,979.49</w:t>
            </w:r>
            <w:r>
              <w:rPr>
                <w:rFonts w:ascii="Times New Roman"/>
                <w:sz w:val="18"/>
              </w:rPr>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73,224,503.41</w:t>
            </w:r>
            <w:r>
              <w:rPr>
                <w:rFonts w:ascii="Times New Roman"/>
                <w:sz w:val="18"/>
              </w:rPr>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-915,039.64</w:t>
            </w:r>
            <w:r>
              <w:rPr>
                <w:rFonts w:ascii="Times New Roman"/>
                <w:sz w:val="18"/>
              </w:rPr>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-4,877,783.35</w:t>
            </w:r>
            <w:r>
              <w:rPr>
                <w:rFonts w:ascii="Times New Roman"/>
                <w:sz w:val="18"/>
              </w:rPr>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092" w:right="0"/>
              <w:jc w:val="left"/>
              <w:rPr>
                <w:rFonts w:ascii="宋体" w:hAnsi="宋体" w:cs="宋体" w:eastAsia="宋体" w:hint="default"/>
                <w:sz w:val="18"/>
                <w:szCs w:val="18"/>
              </w:rPr>
            </w:pPr>
            <w:r>
              <w:rPr>
                <w:rFonts w:ascii="宋体" w:hAnsi="宋体" w:cs="宋体" w:eastAsia="宋体" w:hint="default"/>
                <w:sz w:val="18"/>
                <w:szCs w:val="18"/>
              </w:rPr>
              <w:t>以摊余成本计量的金融资产终止确认收益</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732" w:right="0"/>
              <w:jc w:val="left"/>
              <w:rPr>
                <w:rFonts w:ascii="宋体" w:hAnsi="宋体" w:cs="宋体" w:eastAsia="宋体" w:hint="default"/>
                <w:sz w:val="18"/>
                <w:szCs w:val="18"/>
              </w:rPr>
            </w:pPr>
            <w:r>
              <w:rPr>
                <w:rFonts w:ascii="宋体" w:hAnsi="宋体" w:cs="宋体" w:eastAsia="宋体" w:hint="default"/>
                <w:sz w:val="18"/>
                <w:szCs w:val="18"/>
              </w:rPr>
              <w:t>净敞口套期收益（损失以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公允价值变动收益（损失以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732" w:right="0"/>
              <w:jc w:val="left"/>
              <w:rPr>
                <w:rFonts w:ascii="宋体" w:hAnsi="宋体" w:cs="宋体" w:eastAsia="宋体" w:hint="default"/>
                <w:sz w:val="18"/>
                <w:szCs w:val="18"/>
              </w:rPr>
            </w:pPr>
            <w:r>
              <w:rPr>
                <w:rFonts w:ascii="宋体" w:hAnsi="宋体" w:cs="宋体" w:eastAsia="宋体" w:hint="default"/>
                <w:sz w:val="18"/>
                <w:szCs w:val="18"/>
              </w:rPr>
              <w:t>信用减值损失（损失以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-36,963,102.86</w:t>
            </w: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资产减值损失（损失以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-16,568,502.07</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-41,449,354.91</w:t>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732"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307,449,868.11</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333,191,206.16</w:t>
            </w:r>
            <w:r>
              <w:rPr>
                <w:rFonts w:ascii="Times New Roman"/>
                <w:sz w:val="18"/>
              </w:rPr>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470,892.43</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227,354.81</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5725"/>
        <w:gridCol w:w="2188"/>
        <w:gridCol w:w="1642"/>
      </w:tblGrid>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2,158,315.00</w:t>
            </w:r>
            <w:r>
              <w:rPr>
                <w:rFonts w:ascii="Times New Roman"/>
                <w:sz w:val="18"/>
              </w:rPr>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5,424,677.60</w:t>
            </w:r>
            <w:r>
              <w:rPr>
                <w:rFonts w:ascii="Times New Roman"/>
                <w:sz w:val="18"/>
              </w:rPr>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305,762,445.54</w:t>
            </w:r>
            <w:r>
              <w:rPr>
                <w:rFonts w:ascii="Times New Roman"/>
                <w:sz w:val="18"/>
              </w:rPr>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327,993,883.37</w:t>
            </w:r>
            <w:r>
              <w:rPr>
                <w:rFonts w:ascii="Times New Roman"/>
                <w:sz w:val="18"/>
              </w:rPr>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17,053,248.40</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25,897,583.79</w:t>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288,709,197.14</w:t>
            </w:r>
            <w:r>
              <w:rPr>
                <w:rFonts w:ascii="Times New Roman"/>
                <w:sz w:val="18"/>
              </w:rPr>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302,096,299.58</w:t>
            </w:r>
            <w:r>
              <w:rPr>
                <w:rFonts w:ascii="Times New Roman"/>
                <w:sz w:val="18"/>
              </w:rPr>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宋体" w:hAnsi="宋体" w:cs="宋体" w:eastAsia="宋体" w:hint="default"/>
                <w:sz w:val="18"/>
                <w:szCs w:val="18"/>
              </w:rPr>
              <w:t>（一）按经营持续性分类</w:t>
            </w:r>
          </w:p>
        </w:tc>
        <w:tc>
          <w:tcPr>
            <w:tcW w:w="2188"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642"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持续经营净利润（净亏损以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288,709,197.14</w:t>
            </w:r>
            <w:r>
              <w:rPr>
                <w:rFonts w:ascii="Times New Roman"/>
                <w:sz w:val="18"/>
              </w:rPr>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302,096,299.58</w:t>
            </w:r>
            <w:r>
              <w:rPr>
                <w:rFonts w:ascii="Times New Roman"/>
                <w:sz w:val="18"/>
              </w:rPr>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终止经营净利润（净亏损以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92" w:right="0"/>
              <w:jc w:val="left"/>
              <w:rPr>
                <w:rFonts w:ascii="宋体" w:hAnsi="宋体" w:cs="宋体" w:eastAsia="宋体" w:hint="default"/>
                <w:sz w:val="18"/>
                <w:szCs w:val="18"/>
              </w:rPr>
            </w:pPr>
            <w:r>
              <w:rPr>
                <w:rFonts w:ascii="宋体" w:hAnsi="宋体" w:cs="宋体" w:eastAsia="宋体" w:hint="default"/>
                <w:sz w:val="18"/>
                <w:szCs w:val="18"/>
              </w:rPr>
              <w:t>（二）按所有权归属分类</w:t>
            </w:r>
          </w:p>
        </w:tc>
        <w:tc>
          <w:tcPr>
            <w:tcW w:w="2188"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642"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归属于母公司所有者的净利润</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289,675,573.16</w:t>
            </w:r>
            <w:r>
              <w:rPr>
                <w:rFonts w:ascii="Times New Roman"/>
                <w:sz w:val="18"/>
              </w:rPr>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303,214,679.83</w:t>
            </w:r>
            <w:r>
              <w:rPr>
                <w:rFonts w:ascii="Times New Roman"/>
                <w:sz w:val="18"/>
              </w:rPr>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少数股东损益</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-966,376.02</w:t>
            </w:r>
            <w:r>
              <w:rPr>
                <w:rFonts w:ascii="Times New Roman"/>
                <w:sz w:val="18"/>
              </w:rPr>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-1,118,380.25</w:t>
            </w:r>
            <w:r>
              <w:rPr>
                <w:rFonts w:ascii="Times New Roman"/>
                <w:sz w:val="18"/>
              </w:rPr>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99,914,938.23</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-31,786,775.43</w:t>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92" w:right="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归属母公司所有者的其他综合收益的税后净额</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99,914,938.23</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-31,786,775.43</w:t>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（一）不能重分类进损益的其他综合收益</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99,914,938.23</w:t>
            </w: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重新计量设定受益计划变动额</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权益法下不能转损益的其他综合收益</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其他权益工具投资公允价值变动</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99,914,938.23</w:t>
            </w: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企业自身信用风险公允价值变动</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（二）将重分类进损益的其他综合收益</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-31,786,775.43</w:t>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权益法下可转损益的其他综合收益</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其他债权投资公允价值变动</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可供出售金融资产公允价值变动损益</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-31,786,775.43</w:t>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金融资产重分类计入其他综合收益的金额</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持有至到期投资重分类为可供出售金融资产损益</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其他债权投资信用减值准备</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现金流量套期储备</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外币财务报表折算差额</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归属于少数股东的其他综合收益的税后净额</w:t>
            </w:r>
          </w:p>
        </w:tc>
        <w:tc>
          <w:tcPr>
            <w:tcW w:w="2188" w:type="dxa"/>
            <w:tcBorders>
              <w:top w:val="single" w:sz="4" w:space="0" w:color="000000"/>
              <w:left w:val="single" w:sz="10" w:space="0" w:color="D4D4D4"/>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388,624,135.37</w:t>
            </w:r>
            <w:r>
              <w:rPr>
                <w:rFonts w:ascii="Times New Roman"/>
                <w:sz w:val="18"/>
              </w:rPr>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270,309,524.15</w:t>
            </w:r>
            <w:r>
              <w:rPr>
                <w:rFonts w:ascii="Times New Roman"/>
                <w:sz w:val="18"/>
              </w:rPr>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归属于母公司所有者的综合收益总额</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389,590,511.39</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271,427,904.40</w:t>
            </w:r>
            <w:r>
              <w:rPr>
                <w:rFonts w:ascii="Times New Roman"/>
                <w:sz w:val="18"/>
              </w:rPr>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-966,376.02</w:t>
            </w:r>
            <w:r>
              <w:rPr>
                <w:rFonts w:ascii="Times New Roman"/>
                <w:sz w:val="18"/>
              </w:rPr>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-1,118,380.25</w:t>
            </w:r>
            <w:r>
              <w:rPr>
                <w:rFonts w:ascii="Times New Roman"/>
                <w:sz w:val="18"/>
              </w:rPr>
            </w: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2188"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642"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0.36</w:t>
            </w:r>
            <w:r>
              <w:rPr>
                <w:rFonts w:ascii="Times New Roman"/>
                <w:sz w:val="18"/>
              </w:rPr>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0.380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5736"/>
        <w:gridCol w:w="2188"/>
        <w:gridCol w:w="1642"/>
      </w:tblGrid>
      <w:tr>
        <w:trPr>
          <w:trHeight w:val="403" w:hRule="exact"/>
        </w:trPr>
        <w:tc>
          <w:tcPr>
            <w:tcW w:w="573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218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0.36</w:t>
            </w:r>
            <w:r>
              <w:rPr>
                <w:rFonts w:ascii="Times New Roman"/>
                <w:sz w:val="18"/>
              </w:rPr>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0.380</w:t>
            </w:r>
          </w:p>
        </w:tc>
      </w:tr>
    </w:tbl>
    <w:p>
      <w:pPr>
        <w:tabs>
          <w:tab w:pos="3487" w:val="left" w:leader="none"/>
          <w:tab w:pos="7718" w:val="left" w:leader="none"/>
        </w:tabs>
        <w:spacing w:line="595" w:lineRule="auto" w:before="49"/>
        <w:ind w:left="152" w:right="1225" w:firstLine="0"/>
        <w:jc w:val="both"/>
        <w:rPr>
          <w:rFonts w:ascii="宋体" w:hAnsi="宋体" w:cs="宋体" w:eastAsia="宋体" w:hint="default"/>
          <w:sz w:val="21"/>
          <w:szCs w:val="21"/>
        </w:rPr>
      </w:pPr>
      <w:r>
        <w:rPr>
          <w:rFonts w:ascii="宋体" w:hAnsi="宋体" w:cs="宋体" w:eastAsia="宋体" w:hint="default"/>
          <w:sz w:val="18"/>
          <w:szCs w:val="18"/>
        </w:rPr>
        <w:t>本期发生同一控制下企业合并的，被合并方在合并前实现的净利润为：</w:t>
      </w:r>
      <w:r>
        <w:rPr>
          <w:rFonts w:ascii="Times New Roman" w:hAnsi="Times New Roman" w:cs="Times New Roman" w:eastAsia="Times New Roman" w:hint="default"/>
          <w:sz w:val="18"/>
          <w:szCs w:val="18"/>
        </w:rPr>
        <w:t>0.00 </w:t>
      </w:r>
      <w:r>
        <w:rPr>
          <w:rFonts w:ascii="宋体" w:hAnsi="宋体" w:cs="宋体" w:eastAsia="宋体" w:hint="default"/>
          <w:sz w:val="18"/>
          <w:szCs w:val="18"/>
        </w:rPr>
        <w:t>元，上期被合并方实现的净利润为：</w:t>
      </w:r>
      <w:r>
        <w:rPr>
          <w:rFonts w:ascii="Times New Roman" w:hAnsi="Times New Roman" w:cs="Times New Roman" w:eastAsia="Times New Roman" w:hint="default"/>
          <w:sz w:val="18"/>
          <w:szCs w:val="18"/>
        </w:rPr>
        <w:t>0.00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元。 法定代表人：滕达</w:t>
        <w:tab/>
      </w:r>
      <w:r>
        <w:rPr>
          <w:rFonts w:ascii="宋体" w:hAnsi="宋体" w:cs="宋体" w:eastAsia="宋体" w:hint="default"/>
          <w:spacing w:val="-1"/>
          <w:sz w:val="18"/>
          <w:szCs w:val="18"/>
        </w:rPr>
        <w:t>主管会计工作负责人：张乃军</w:t>
        <w:tab/>
      </w:r>
      <w:r>
        <w:rPr>
          <w:rFonts w:ascii="宋体" w:hAnsi="宋体" w:cs="宋体" w:eastAsia="宋体" w:hint="default"/>
          <w:sz w:val="18"/>
          <w:szCs w:val="18"/>
        </w:rPr>
        <w:t>会计机构负责人：陈志友</w:t>
      </w:r>
      <w:r>
        <w:rPr>
          <w:rFonts w:ascii="宋体" w:hAnsi="宋体" w:cs="宋体" w:eastAsia="宋体" w:hint="default"/>
          <w:sz w:val="18"/>
          <w:szCs w:val="18"/>
        </w:rPr>
        <w:t> </w:t>
      </w:r>
      <w:bookmarkStart w:name="4、母公司利润表" w:id="162"/>
      <w:bookmarkEnd w:id="162"/>
      <w:r>
        <w:rPr>
          <w:rFonts w:ascii="宋体" w:hAnsi="宋体" w:cs="宋体" w:eastAsia="宋体" w:hint="default"/>
          <w:sz w:val="18"/>
          <w:szCs w:val="18"/>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、母公司利润表</w:t>
      </w:r>
      <w:r>
        <w:rPr>
          <w:rFonts w:ascii="宋体" w:hAnsi="宋体" w:cs="宋体" w:eastAsia="宋体" w:hint="default"/>
          <w:sz w:val="21"/>
          <w:szCs w:val="21"/>
        </w:rPr>
      </w:r>
    </w:p>
    <w:p>
      <w:pPr>
        <w:spacing w:before="0"/>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5951"/>
        <w:gridCol w:w="1811"/>
        <w:gridCol w:w="1795"/>
      </w:tblGrid>
      <w:tr>
        <w:trPr>
          <w:trHeight w:val="401"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7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03"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1,475,797,062.32</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1,130,469,268.94</w:t>
            </w:r>
          </w:p>
        </w:tc>
      </w:tr>
      <w:tr>
        <w:trPr>
          <w:trHeight w:val="401"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826,080,124.13</w:t>
            </w:r>
            <w:r>
              <w:rPr>
                <w:rFonts w:ascii="Times New Roman"/>
                <w:sz w:val="18"/>
              </w:rPr>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575,837,304.08</w:t>
            </w:r>
            <w:r>
              <w:rPr>
                <w:rFonts w:ascii="Times New Roman"/>
                <w:sz w:val="18"/>
              </w:rPr>
            </w:r>
          </w:p>
        </w:tc>
      </w:tr>
      <w:tr>
        <w:trPr>
          <w:trHeight w:val="403"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11,391,235.86</w:t>
            </w:r>
            <w:r>
              <w:rPr>
                <w:rFonts w:ascii="Times New Roman"/>
                <w:sz w:val="18"/>
              </w:rPr>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12,553,384.99</w:t>
            </w:r>
          </w:p>
        </w:tc>
      </w:tr>
      <w:tr>
        <w:trPr>
          <w:trHeight w:val="401"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165,418,299.50</w:t>
            </w:r>
            <w:r>
              <w:rPr>
                <w:rFonts w:ascii="Times New Roman"/>
                <w:sz w:val="18"/>
              </w:rPr>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159,103,235.01</w:t>
            </w:r>
            <w:r>
              <w:rPr>
                <w:rFonts w:ascii="Times New Roman"/>
                <w:sz w:val="18"/>
              </w:rPr>
            </w:r>
          </w:p>
        </w:tc>
      </w:tr>
      <w:tr>
        <w:trPr>
          <w:trHeight w:val="403"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167,435,183.32</w:t>
            </w:r>
            <w:r>
              <w:rPr>
                <w:rFonts w:ascii="Times New Roman"/>
                <w:sz w:val="18"/>
              </w:rPr>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138,151,364.09</w:t>
            </w:r>
            <w:r>
              <w:rPr>
                <w:rFonts w:ascii="Times New Roman"/>
                <w:sz w:val="18"/>
              </w:rPr>
            </w:r>
          </w:p>
        </w:tc>
      </w:tr>
      <w:tr>
        <w:trPr>
          <w:trHeight w:val="401"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189,643,525.96</w:t>
            </w:r>
            <w:r>
              <w:rPr>
                <w:rFonts w:ascii="Times New Roman"/>
                <w:sz w:val="18"/>
              </w:rPr>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140,958,156.45</w:t>
            </w:r>
            <w:r>
              <w:rPr>
                <w:rFonts w:ascii="Times New Roman"/>
                <w:sz w:val="18"/>
              </w:rPr>
            </w:r>
          </w:p>
        </w:tc>
      </w:tr>
      <w:tr>
        <w:trPr>
          <w:trHeight w:val="403"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-3,609,134.36</w:t>
            </w:r>
            <w:r>
              <w:rPr>
                <w:rFonts w:ascii="Times New Roman"/>
                <w:sz w:val="18"/>
              </w:rPr>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-7,435,452.95</w:t>
            </w:r>
            <w:r>
              <w:rPr>
                <w:rFonts w:ascii="Times New Roman"/>
                <w:sz w:val="18"/>
              </w:rPr>
            </w:r>
          </w:p>
        </w:tc>
      </w:tr>
      <w:tr>
        <w:trPr>
          <w:trHeight w:val="401"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869,457.66</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80,968.10</w:t>
            </w:r>
          </w:p>
        </w:tc>
      </w:tr>
      <w:tr>
        <w:trPr>
          <w:trHeight w:val="403"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45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6,389,594.47</w:t>
            </w:r>
            <w:r>
              <w:rPr>
                <w:rFonts w:ascii="Times New Roman"/>
                <w:sz w:val="18"/>
              </w:rPr>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7,137,621.14</w:t>
            </w:r>
            <w:r>
              <w:rPr>
                <w:rFonts w:ascii="Times New Roman"/>
                <w:sz w:val="18"/>
              </w:rPr>
            </w:r>
          </w:p>
        </w:tc>
      </w:tr>
      <w:tr>
        <w:trPr>
          <w:trHeight w:val="401"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48,081,156.11</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53,420,637.74</w:t>
            </w:r>
          </w:p>
        </w:tc>
      </w:tr>
      <w:tr>
        <w:trPr>
          <w:trHeight w:val="403"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1,002,985.28</w:t>
            </w:r>
            <w:r>
              <w:rPr>
                <w:rFonts w:ascii="Times New Roman"/>
                <w:sz w:val="18"/>
              </w:rPr>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106,081,639.51</w:t>
            </w:r>
            <w:r>
              <w:rPr>
                <w:rFonts w:ascii="Times New Roman"/>
                <w:sz w:val="18"/>
              </w:rPr>
            </w:r>
          </w:p>
        </w:tc>
      </w:tr>
      <w:tr>
        <w:trPr>
          <w:trHeight w:val="401"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-435,334.07</w:t>
            </w:r>
            <w:r>
              <w:rPr>
                <w:rFonts w:ascii="Times New Roman"/>
                <w:sz w:val="18"/>
              </w:rPr>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-2,020,647.25</w:t>
            </w:r>
            <w:r>
              <w:rPr>
                <w:rFonts w:ascii="Times New Roman"/>
                <w:sz w:val="18"/>
              </w:rPr>
            </w:r>
          </w:p>
        </w:tc>
      </w:tr>
      <w:tr>
        <w:trPr>
          <w:trHeight w:val="403" w:hRule="exact"/>
        </w:trPr>
        <w:tc>
          <w:tcPr>
            <w:tcW w:w="5951" w:type="dxa"/>
            <w:tcBorders>
              <w:top w:val="single" w:sz="4" w:space="0" w:color="000000"/>
              <w:left w:val="single" w:sz="4" w:space="0" w:color="000000"/>
              <w:bottom w:val="single" w:sz="4" w:space="0" w:color="000000"/>
              <w:right w:val="single" w:sz="13" w:space="0" w:color="FFFFFF"/>
            </w:tcBorders>
            <w:shd w:val="clear" w:color="auto" w:fill="D4D4D4"/>
          </w:tcPr>
          <w:p>
            <w:pPr>
              <w:pStyle w:val="TableParagraph"/>
              <w:spacing w:line="240" w:lineRule="auto" w:before="49"/>
              <w:ind w:left="1092" w:right="-62"/>
              <w:jc w:val="left"/>
              <w:rPr>
                <w:rFonts w:ascii="宋体" w:hAnsi="宋体" w:cs="宋体" w:eastAsia="宋体" w:hint="default"/>
                <w:sz w:val="18"/>
                <w:szCs w:val="18"/>
              </w:rPr>
            </w:pPr>
            <w:r>
              <w:rPr>
                <w:rFonts w:ascii="宋体" w:hAnsi="宋体" w:cs="宋体" w:eastAsia="宋体" w:hint="default"/>
                <w:sz w:val="18"/>
                <w:szCs w:val="18"/>
              </w:rPr>
              <w:t>以摊余成本计量的金融资产终止确认收益（损失以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11" w:type="dxa"/>
            <w:tcBorders>
              <w:top w:val="single" w:sz="4" w:space="0" w:color="000000"/>
              <w:left w:val="single" w:sz="22" w:space="0" w:color="D4D4D4"/>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净敞口套期收益（损失以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11" w:type="dxa"/>
            <w:tcBorders>
              <w:top w:val="single" w:sz="4" w:space="0" w:color="000000"/>
              <w:left w:val="single" w:sz="10" w:space="0" w:color="D4D4D4"/>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公允价值变动收益（损失以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11" w:type="dxa"/>
            <w:tcBorders>
              <w:top w:val="single" w:sz="4" w:space="0" w:color="000000"/>
              <w:left w:val="single" w:sz="10" w:space="0" w:color="D4D4D4"/>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信用减值损失（损失以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-19,301,349.52</w:t>
            </w: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资产减值损失（损失以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-13,559,173.17</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-27,994,906.46</w:t>
            </w:r>
          </w:p>
        </w:tc>
      </w:tr>
      <w:tr>
        <w:trPr>
          <w:trHeight w:val="401"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11" w:type="dxa"/>
            <w:tcBorders>
              <w:top w:val="single" w:sz="4" w:space="0" w:color="000000"/>
              <w:left w:val="single" w:sz="10" w:space="0" w:color="D4D4D4"/>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135,661,446.61</w:t>
            </w:r>
            <w:r>
              <w:rPr>
                <w:rFonts w:ascii="Times New Roman"/>
                <w:sz w:val="18"/>
              </w:rPr>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242,808,648.06</w:t>
            </w:r>
            <w:r>
              <w:rPr>
                <w:rFonts w:ascii="Times New Roman"/>
                <w:sz w:val="18"/>
              </w:rPr>
            </w:r>
          </w:p>
        </w:tc>
      </w:tr>
      <w:tr>
        <w:trPr>
          <w:trHeight w:val="401"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236,253.11</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201,236.89</w:t>
            </w:r>
          </w:p>
        </w:tc>
      </w:tr>
      <w:tr>
        <w:trPr>
          <w:trHeight w:val="403"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982,005.26</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5,225,014.35</w:t>
            </w:r>
            <w:r>
              <w:rPr>
                <w:rFonts w:ascii="Times New Roman"/>
                <w:sz w:val="18"/>
              </w:rPr>
            </w:r>
          </w:p>
        </w:tc>
      </w:tr>
      <w:tr>
        <w:trPr>
          <w:trHeight w:val="401"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134,915,694.46</w:t>
            </w:r>
            <w:r>
              <w:rPr>
                <w:rFonts w:ascii="Times New Roman"/>
                <w:sz w:val="18"/>
              </w:rPr>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237,784,870.60</w:t>
            </w:r>
            <w:r>
              <w:rPr>
                <w:rFonts w:ascii="Times New Roman"/>
                <w:sz w:val="18"/>
              </w:rPr>
            </w:r>
          </w:p>
        </w:tc>
      </w:tr>
      <w:tr>
        <w:trPr>
          <w:trHeight w:val="403"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-292,808.78</w:t>
            </w:r>
            <w:r>
              <w:rPr>
                <w:rFonts w:ascii="Times New Roman"/>
                <w:sz w:val="18"/>
              </w:rPr>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12,661,944.82</w:t>
            </w:r>
          </w:p>
        </w:tc>
      </w:tr>
      <w:tr>
        <w:trPr>
          <w:trHeight w:val="401"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135,208,503.24</w:t>
            </w:r>
            <w:r>
              <w:rPr>
                <w:rFonts w:ascii="Times New Roman"/>
                <w:sz w:val="18"/>
              </w:rPr>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225,122,925.78</w:t>
            </w:r>
            <w:r>
              <w:rPr>
                <w:rFonts w:ascii="Times New Roman"/>
                <w:sz w:val="18"/>
              </w:rPr>
            </w:r>
          </w:p>
        </w:tc>
      </w:tr>
      <w:tr>
        <w:trPr>
          <w:trHeight w:val="403"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（一）持续经营净利润（净亏损以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135,208,503.24</w:t>
            </w:r>
            <w:r>
              <w:rPr>
                <w:rFonts w:ascii="Times New Roman"/>
                <w:sz w:val="18"/>
              </w:rPr>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225,122,925.78</w:t>
            </w:r>
            <w:r>
              <w:rPr>
                <w:rFonts w:ascii="Times New Roman"/>
                <w:sz w:val="18"/>
              </w:rPr>
            </w:r>
          </w:p>
        </w:tc>
      </w:tr>
      <w:tr>
        <w:trPr>
          <w:trHeight w:val="401"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（二）终止经营净利润（净亏损以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11" w:type="dxa"/>
            <w:tcBorders>
              <w:top w:val="single" w:sz="4" w:space="0" w:color="000000"/>
              <w:left w:val="single" w:sz="10" w:space="0" w:color="D4D4D4"/>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99,914,938.23</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-31,786,775.43</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5951"/>
        <w:gridCol w:w="1811"/>
        <w:gridCol w:w="1795"/>
      </w:tblGrid>
      <w:tr>
        <w:trPr>
          <w:trHeight w:val="402"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（一）不能重分类进损益的其他综合收益</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99,914,938.23</w:t>
            </w: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重新计量设定受益计划变动额</w:t>
            </w:r>
          </w:p>
        </w:tc>
        <w:tc>
          <w:tcPr>
            <w:tcW w:w="1811" w:type="dxa"/>
            <w:tcBorders>
              <w:top w:val="single" w:sz="4" w:space="0" w:color="000000"/>
              <w:left w:val="single" w:sz="10" w:space="0" w:color="D4D4D4"/>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权益法下不能转损益的其他综合收益</w:t>
            </w:r>
          </w:p>
        </w:tc>
        <w:tc>
          <w:tcPr>
            <w:tcW w:w="1811" w:type="dxa"/>
            <w:tcBorders>
              <w:top w:val="single" w:sz="4" w:space="0" w:color="000000"/>
              <w:left w:val="single" w:sz="10" w:space="0" w:color="D4D4D4"/>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其他权益工具投资公允价值变动</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99,914,938.23</w:t>
            </w: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企业自身信用风险公允价值变动</w:t>
            </w:r>
          </w:p>
        </w:tc>
        <w:tc>
          <w:tcPr>
            <w:tcW w:w="1811" w:type="dxa"/>
            <w:tcBorders>
              <w:top w:val="single" w:sz="4" w:space="0" w:color="000000"/>
              <w:left w:val="single" w:sz="10" w:space="0" w:color="D4D4D4"/>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1811" w:type="dxa"/>
            <w:tcBorders>
              <w:top w:val="single" w:sz="4" w:space="0" w:color="000000"/>
              <w:left w:val="single" w:sz="10" w:space="0" w:color="D4D4D4"/>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（二）将重分类进损益的其他综合收益</w:t>
            </w:r>
          </w:p>
        </w:tc>
        <w:tc>
          <w:tcPr>
            <w:tcW w:w="1811" w:type="dxa"/>
            <w:tcBorders>
              <w:top w:val="single" w:sz="4" w:space="0" w:color="000000"/>
              <w:left w:val="single" w:sz="10" w:space="0" w:color="D4D4D4"/>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-31,786,775.43</w:t>
            </w:r>
          </w:p>
        </w:tc>
      </w:tr>
      <w:tr>
        <w:trPr>
          <w:trHeight w:val="402"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权益法下可转损益的其他综合收益</w:t>
            </w:r>
          </w:p>
        </w:tc>
        <w:tc>
          <w:tcPr>
            <w:tcW w:w="1811" w:type="dxa"/>
            <w:tcBorders>
              <w:top w:val="single" w:sz="4" w:space="0" w:color="000000"/>
              <w:left w:val="single" w:sz="10" w:space="0" w:color="D4D4D4"/>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其他债权投资公允价值变动</w:t>
            </w:r>
          </w:p>
        </w:tc>
        <w:tc>
          <w:tcPr>
            <w:tcW w:w="1811" w:type="dxa"/>
            <w:tcBorders>
              <w:top w:val="single" w:sz="4" w:space="0" w:color="000000"/>
              <w:left w:val="single" w:sz="10" w:space="0" w:color="D4D4D4"/>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可供出售金融资产公允价值变动损益</w:t>
            </w:r>
          </w:p>
        </w:tc>
        <w:tc>
          <w:tcPr>
            <w:tcW w:w="1811" w:type="dxa"/>
            <w:tcBorders>
              <w:top w:val="single" w:sz="4" w:space="0" w:color="000000"/>
              <w:left w:val="single" w:sz="10" w:space="0" w:color="D4D4D4"/>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-31,786,775.43</w:t>
            </w:r>
          </w:p>
        </w:tc>
      </w:tr>
      <w:tr>
        <w:trPr>
          <w:trHeight w:val="402"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金融资产重分类计入其他综合收益的金额</w:t>
            </w:r>
          </w:p>
        </w:tc>
        <w:tc>
          <w:tcPr>
            <w:tcW w:w="1811" w:type="dxa"/>
            <w:tcBorders>
              <w:top w:val="single" w:sz="4" w:space="0" w:color="000000"/>
              <w:left w:val="single" w:sz="10" w:space="0" w:color="D4D4D4"/>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持有至到期投资重分类为可供出售金融资产损益</w:t>
            </w:r>
          </w:p>
        </w:tc>
        <w:tc>
          <w:tcPr>
            <w:tcW w:w="1811" w:type="dxa"/>
            <w:tcBorders>
              <w:top w:val="single" w:sz="4" w:space="0" w:color="000000"/>
              <w:left w:val="single" w:sz="10" w:space="0" w:color="D4D4D4"/>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其他债权投资信用减值准备</w:t>
            </w:r>
          </w:p>
        </w:tc>
        <w:tc>
          <w:tcPr>
            <w:tcW w:w="1811" w:type="dxa"/>
            <w:tcBorders>
              <w:top w:val="single" w:sz="4" w:space="0" w:color="000000"/>
              <w:left w:val="single" w:sz="10" w:space="0" w:color="D4D4D4"/>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现金流量套期储备</w:t>
            </w:r>
          </w:p>
        </w:tc>
        <w:tc>
          <w:tcPr>
            <w:tcW w:w="1811" w:type="dxa"/>
            <w:tcBorders>
              <w:top w:val="single" w:sz="4" w:space="0" w:color="000000"/>
              <w:left w:val="single" w:sz="10" w:space="0" w:color="D4D4D4"/>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外币财务报表折算差额</w:t>
            </w:r>
          </w:p>
        </w:tc>
        <w:tc>
          <w:tcPr>
            <w:tcW w:w="1811" w:type="dxa"/>
            <w:tcBorders>
              <w:top w:val="single" w:sz="4" w:space="0" w:color="000000"/>
              <w:left w:val="single" w:sz="10" w:space="0" w:color="D4D4D4"/>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w:t>
            </w:r>
          </w:p>
        </w:tc>
        <w:tc>
          <w:tcPr>
            <w:tcW w:w="1811" w:type="dxa"/>
            <w:tcBorders>
              <w:top w:val="single" w:sz="4" w:space="0" w:color="000000"/>
              <w:left w:val="single" w:sz="10" w:space="0" w:color="D4D4D4"/>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181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235,123,441.47</w:t>
            </w:r>
            <w:r>
              <w:rPr>
                <w:rFonts w:ascii="Times New Roman"/>
                <w:sz w:val="18"/>
              </w:rPr>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193,336,150.35</w:t>
            </w:r>
            <w:r>
              <w:rPr>
                <w:rFonts w:ascii="Times New Roman"/>
                <w:sz w:val="18"/>
              </w:rPr>
            </w:r>
          </w:p>
        </w:tc>
      </w:tr>
      <w:tr>
        <w:trPr>
          <w:trHeight w:val="402"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1811"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95"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1811" w:type="dxa"/>
            <w:tcBorders>
              <w:top w:val="single" w:sz="4" w:space="0" w:color="000000"/>
              <w:left w:val="single" w:sz="10" w:space="0" w:color="D4D4D4"/>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1811" w:type="dxa"/>
            <w:tcBorders>
              <w:top w:val="single" w:sz="4" w:space="0" w:color="000000"/>
              <w:left w:val="single" w:sz="10" w:space="0" w:color="D4D4D4"/>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5、合并现金流量表" w:id="163"/>
      <w:bookmarkEnd w:id="163"/>
      <w:r>
        <w:rPr>
          <w:b w:val="0"/>
          <w:bCs w:val="0"/>
        </w:rPr>
      </w:r>
      <w:r>
        <w:rPr>
          <w:rFonts w:ascii="Times New Roman" w:hAnsi="Times New Roman" w:cs="Times New Roman" w:eastAsia="Times New Roman" w:hint="default"/>
        </w:rPr>
        <w:t>5</w:t>
      </w:r>
      <w:r>
        <w:rPr/>
        <w:t>、合并现金流量表</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3"/>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5921"/>
        <w:gridCol w:w="1872"/>
        <w:gridCol w:w="1764"/>
      </w:tblGrid>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7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55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7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49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1872"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64"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187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left="568" w:right="0"/>
              <w:jc w:val="left"/>
              <w:rPr>
                <w:rFonts w:ascii="Times New Roman" w:hAnsi="Times New Roman" w:cs="Times New Roman" w:eastAsia="Times New Roman" w:hint="default"/>
                <w:sz w:val="18"/>
                <w:szCs w:val="18"/>
              </w:rPr>
            </w:pPr>
            <w:r>
              <w:rPr>
                <w:rFonts w:ascii="Times New Roman"/>
                <w:sz w:val="18"/>
              </w:rPr>
              <w:t>2,100,219,825.71</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72" w:right="0"/>
              <w:jc w:val="left"/>
              <w:rPr>
                <w:rFonts w:ascii="Times New Roman" w:hAnsi="Times New Roman" w:cs="Times New Roman" w:eastAsia="Times New Roman" w:hint="default"/>
                <w:sz w:val="18"/>
                <w:szCs w:val="18"/>
              </w:rPr>
            </w:pPr>
            <w:r>
              <w:rPr>
                <w:rFonts w:ascii="Times New Roman"/>
                <w:sz w:val="18"/>
              </w:rPr>
              <w:t>1,512,395,929.58</w:t>
            </w: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客户存款和同业存放款项净增加额</w:t>
            </w:r>
          </w:p>
        </w:tc>
        <w:tc>
          <w:tcPr>
            <w:tcW w:w="1872" w:type="dxa"/>
            <w:tcBorders>
              <w:top w:val="single" w:sz="4" w:space="0" w:color="000000"/>
              <w:left w:val="single" w:sz="13" w:space="0" w:color="D4D4D4"/>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1872" w:type="dxa"/>
            <w:tcBorders>
              <w:top w:val="single" w:sz="4" w:space="0" w:color="000000"/>
              <w:left w:val="single" w:sz="13" w:space="0" w:color="D4D4D4"/>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向其他金融机构拆入资金净增加额</w:t>
            </w:r>
          </w:p>
        </w:tc>
        <w:tc>
          <w:tcPr>
            <w:tcW w:w="1872" w:type="dxa"/>
            <w:tcBorders>
              <w:top w:val="single" w:sz="4" w:space="0" w:color="000000"/>
              <w:left w:val="single" w:sz="13" w:space="0" w:color="D4D4D4"/>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1872" w:type="dxa"/>
            <w:tcBorders>
              <w:top w:val="single" w:sz="4" w:space="0" w:color="000000"/>
              <w:left w:val="single" w:sz="13" w:space="0" w:color="D4D4D4"/>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收到再保业务现金净额</w:t>
            </w:r>
          </w:p>
        </w:tc>
        <w:tc>
          <w:tcPr>
            <w:tcW w:w="1872" w:type="dxa"/>
            <w:tcBorders>
              <w:top w:val="single" w:sz="4" w:space="0" w:color="000000"/>
              <w:left w:val="single" w:sz="13" w:space="0" w:color="D4D4D4"/>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1872" w:type="dxa"/>
            <w:tcBorders>
              <w:top w:val="single" w:sz="4" w:space="0" w:color="000000"/>
              <w:left w:val="single" w:sz="13" w:space="0" w:color="D4D4D4"/>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1872" w:type="dxa"/>
            <w:tcBorders>
              <w:top w:val="single" w:sz="4" w:space="0" w:color="000000"/>
              <w:left w:val="single" w:sz="13" w:space="0" w:color="D4D4D4"/>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1872" w:type="dxa"/>
            <w:tcBorders>
              <w:top w:val="single" w:sz="4" w:space="0" w:color="000000"/>
              <w:left w:val="single" w:sz="13" w:space="0" w:color="D4D4D4"/>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5921"/>
        <w:gridCol w:w="1872"/>
        <w:gridCol w:w="1764"/>
      </w:tblGrid>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1872" w:type="dxa"/>
            <w:tcBorders>
              <w:top w:val="single" w:sz="4" w:space="0" w:color="000000"/>
              <w:left w:val="single" w:sz="13" w:space="0" w:color="D4D4D4"/>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代理买卖证券收到的现金净额</w:t>
            </w:r>
          </w:p>
        </w:tc>
        <w:tc>
          <w:tcPr>
            <w:tcW w:w="1872" w:type="dxa"/>
            <w:tcBorders>
              <w:top w:val="single" w:sz="4" w:space="0" w:color="000000"/>
              <w:left w:val="single" w:sz="13" w:space="0" w:color="D4D4D4"/>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87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43,009,082.60</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46,496,284.81</w:t>
            </w: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187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140,370,537.08</w:t>
            </w:r>
            <w:r>
              <w:rPr>
                <w:rFonts w:ascii="Times New Roman"/>
                <w:sz w:val="18"/>
              </w:rPr>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39,899,881.93</w:t>
            </w: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187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2,283,599,445.39</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1,598,792,096.32</w:t>
            </w: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187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932,862,579.78</w:t>
            </w:r>
            <w:r>
              <w:rPr>
                <w:rFonts w:ascii="Times New Roman"/>
                <w:sz w:val="18"/>
              </w:rPr>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735,036,300.10</w:t>
            </w:r>
            <w:r>
              <w:rPr>
                <w:rFonts w:ascii="Times New Roman"/>
                <w:sz w:val="18"/>
              </w:rPr>
            </w: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1872" w:type="dxa"/>
            <w:tcBorders>
              <w:top w:val="single" w:sz="4" w:space="0" w:color="000000"/>
              <w:left w:val="single" w:sz="13" w:space="0" w:color="D4D4D4"/>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存放中央银行和同业款项净增加额</w:t>
            </w:r>
          </w:p>
        </w:tc>
        <w:tc>
          <w:tcPr>
            <w:tcW w:w="1872" w:type="dxa"/>
            <w:tcBorders>
              <w:top w:val="single" w:sz="4" w:space="0" w:color="000000"/>
              <w:left w:val="single" w:sz="13" w:space="0" w:color="D4D4D4"/>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1872" w:type="dxa"/>
            <w:tcBorders>
              <w:top w:val="single" w:sz="4" w:space="0" w:color="000000"/>
              <w:left w:val="single" w:sz="13" w:space="0" w:color="D4D4D4"/>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拆出资金净增加额</w:t>
            </w:r>
          </w:p>
        </w:tc>
        <w:tc>
          <w:tcPr>
            <w:tcW w:w="1872" w:type="dxa"/>
            <w:tcBorders>
              <w:top w:val="single" w:sz="4" w:space="0" w:color="000000"/>
              <w:left w:val="single" w:sz="13" w:space="0" w:color="D4D4D4"/>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1872" w:type="dxa"/>
            <w:tcBorders>
              <w:top w:val="single" w:sz="4" w:space="0" w:color="000000"/>
              <w:left w:val="single" w:sz="13" w:space="0" w:color="D4D4D4"/>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1872" w:type="dxa"/>
            <w:tcBorders>
              <w:top w:val="single" w:sz="4" w:space="0" w:color="000000"/>
              <w:left w:val="single" w:sz="13" w:space="0" w:color="D4D4D4"/>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187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520,985,967.21</w:t>
            </w:r>
            <w:r>
              <w:rPr>
                <w:rFonts w:ascii="Times New Roman"/>
                <w:sz w:val="18"/>
              </w:rPr>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478,551,952.33</w:t>
            </w:r>
            <w:r>
              <w:rPr>
                <w:rFonts w:ascii="Times New Roman"/>
                <w:sz w:val="18"/>
              </w:rPr>
            </w: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87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155,078,347.21</w:t>
            </w:r>
            <w:r>
              <w:rPr>
                <w:rFonts w:ascii="Times New Roman"/>
                <w:sz w:val="18"/>
              </w:rPr>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149,032,269.18</w:t>
            </w:r>
            <w:r>
              <w:rPr>
                <w:rFonts w:ascii="Times New Roman"/>
                <w:sz w:val="18"/>
              </w:rPr>
            </w: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187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278,536,632.67</w:t>
            </w:r>
            <w:r>
              <w:rPr>
                <w:rFonts w:ascii="Times New Roman"/>
                <w:sz w:val="18"/>
              </w:rPr>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164,322,320.04</w:t>
            </w:r>
            <w:r>
              <w:rPr>
                <w:rFonts w:ascii="Times New Roman"/>
                <w:sz w:val="18"/>
              </w:rPr>
            </w: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187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1,887,463,526.87</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1,526,942,841.65</w:t>
            </w: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87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396,135,918.52</w:t>
            </w:r>
            <w:r>
              <w:rPr>
                <w:rFonts w:ascii="Times New Roman"/>
                <w:sz w:val="18"/>
              </w:rPr>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71,849,254.67</w:t>
            </w: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1872"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64"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187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966,813,281.28</w:t>
            </w:r>
            <w:r>
              <w:rPr>
                <w:rFonts w:ascii="Times New Roman"/>
                <w:sz w:val="18"/>
              </w:rPr>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792,064,440.50</w:t>
            </w:r>
            <w:r>
              <w:rPr>
                <w:rFonts w:ascii="Times New Roman"/>
                <w:sz w:val="18"/>
              </w:rPr>
            </w: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187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7,716,138.78</w:t>
            </w:r>
            <w:r>
              <w:rPr>
                <w:rFonts w:ascii="Times New Roman"/>
                <w:sz w:val="18"/>
              </w:rPr>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78,888,598.75</w:t>
            </w: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187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2,655.60</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6,641.02</w:t>
            </w: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1872" w:type="dxa"/>
            <w:tcBorders>
              <w:top w:val="single" w:sz="4" w:space="0" w:color="000000"/>
              <w:left w:val="single" w:sz="13" w:space="0" w:color="D4D4D4"/>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187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10,079,073.03</w:t>
            </w:r>
          </w:p>
        </w:tc>
        <w:tc>
          <w:tcPr>
            <w:tcW w:w="176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187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984,611,148.69</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870,959,680.27</w:t>
            </w:r>
            <w:r>
              <w:rPr>
                <w:rFonts w:ascii="Times New Roman"/>
                <w:sz w:val="18"/>
              </w:rPr>
            </w: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187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177,551,660.08</w:t>
            </w:r>
            <w:r>
              <w:rPr>
                <w:rFonts w:ascii="Times New Roman"/>
                <w:sz w:val="18"/>
              </w:rPr>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232,373,868.33</w:t>
            </w:r>
            <w:r>
              <w:rPr>
                <w:rFonts w:ascii="Times New Roman"/>
                <w:sz w:val="18"/>
              </w:rPr>
            </w: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187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700,809,792.76</w:t>
            </w:r>
            <w:r>
              <w:rPr>
                <w:rFonts w:ascii="Times New Roman"/>
                <w:sz w:val="18"/>
              </w:rPr>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610,735,318.40</w:t>
            </w:r>
            <w:r>
              <w:rPr>
                <w:rFonts w:ascii="Times New Roman"/>
                <w:sz w:val="18"/>
              </w:rPr>
            </w: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1872" w:type="dxa"/>
            <w:tcBorders>
              <w:top w:val="single" w:sz="4" w:space="0" w:color="000000"/>
              <w:left w:val="single" w:sz="13" w:space="0" w:color="D4D4D4"/>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1872" w:type="dxa"/>
            <w:tcBorders>
              <w:top w:val="single" w:sz="4" w:space="0" w:color="000000"/>
              <w:left w:val="single" w:sz="13" w:space="0" w:color="D4D4D4"/>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1872" w:type="dxa"/>
            <w:tcBorders>
              <w:top w:val="single" w:sz="4" w:space="0" w:color="000000"/>
              <w:left w:val="single" w:sz="13" w:space="0" w:color="D4D4D4"/>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187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878,361,452.84</w:t>
            </w:r>
            <w:r>
              <w:rPr>
                <w:rFonts w:ascii="Times New Roman"/>
                <w:sz w:val="18"/>
              </w:rPr>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843,109,186.73</w:t>
            </w:r>
            <w:r>
              <w:rPr>
                <w:rFonts w:ascii="Times New Roman"/>
                <w:sz w:val="18"/>
              </w:rPr>
            </w: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187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106,249,695.85</w:t>
            </w:r>
            <w:r>
              <w:rPr>
                <w:rFonts w:ascii="Times New Roman"/>
                <w:sz w:val="18"/>
              </w:rPr>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27,850,493.54</w:t>
            </w: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1872"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64"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187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84,141,045.00</w:t>
            </w:r>
          </w:p>
        </w:tc>
        <w:tc>
          <w:tcPr>
            <w:tcW w:w="176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其中：子公司吸收少数股东投资收到的现金</w:t>
            </w:r>
          </w:p>
        </w:tc>
        <w:tc>
          <w:tcPr>
            <w:tcW w:w="187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2,250,000.00</w:t>
            </w:r>
          </w:p>
        </w:tc>
        <w:tc>
          <w:tcPr>
            <w:tcW w:w="176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5944"/>
        <w:gridCol w:w="1860"/>
        <w:gridCol w:w="1764"/>
      </w:tblGrid>
      <w:tr>
        <w:trPr>
          <w:trHeight w:val="402" w:hRule="exact"/>
        </w:trPr>
        <w:tc>
          <w:tcPr>
            <w:tcW w:w="59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1860" w:type="dxa"/>
            <w:tcBorders>
              <w:top w:val="single" w:sz="4" w:space="0" w:color="000000"/>
              <w:left w:val="single" w:sz="4" w:space="0" w:color="000000"/>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18,631,080.00</w:t>
            </w:r>
          </w:p>
        </w:tc>
      </w:tr>
      <w:tr>
        <w:trPr>
          <w:trHeight w:val="402" w:hRule="exact"/>
        </w:trPr>
        <w:tc>
          <w:tcPr>
            <w:tcW w:w="59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82"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1860" w:type="dxa"/>
            <w:tcBorders>
              <w:top w:val="single" w:sz="4" w:space="0" w:color="000000"/>
              <w:left w:val="single" w:sz="4" w:space="0" w:color="000000"/>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5,880,800.00</w:t>
            </w:r>
            <w:r>
              <w:rPr>
                <w:rFonts w:ascii="Times New Roman"/>
                <w:sz w:val="18"/>
              </w:rPr>
            </w:r>
          </w:p>
        </w:tc>
      </w:tr>
      <w:tr>
        <w:trPr>
          <w:trHeight w:val="402" w:hRule="exact"/>
        </w:trPr>
        <w:tc>
          <w:tcPr>
            <w:tcW w:w="59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84,141,045.00</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24,511,880.00</w:t>
            </w:r>
            <w:r>
              <w:rPr>
                <w:rFonts w:ascii="Times New Roman"/>
                <w:sz w:val="18"/>
              </w:rPr>
            </w:r>
          </w:p>
        </w:tc>
      </w:tr>
      <w:tr>
        <w:trPr>
          <w:trHeight w:val="402" w:hRule="exact"/>
        </w:trPr>
        <w:tc>
          <w:tcPr>
            <w:tcW w:w="59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8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1,487,470.96</w:t>
            </w:r>
            <w:r>
              <w:rPr>
                <w:rFonts w:ascii="Times New Roman"/>
                <w:sz w:val="18"/>
              </w:rPr>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120,625.14</w:t>
            </w:r>
          </w:p>
        </w:tc>
      </w:tr>
      <w:tr>
        <w:trPr>
          <w:trHeight w:val="402" w:hRule="exact"/>
        </w:trPr>
        <w:tc>
          <w:tcPr>
            <w:tcW w:w="59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2"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64,460,564.22</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99,474,775.70</w:t>
            </w:r>
          </w:p>
        </w:tc>
      </w:tr>
      <w:tr>
        <w:trPr>
          <w:trHeight w:val="402" w:hRule="exact"/>
        </w:trPr>
        <w:tc>
          <w:tcPr>
            <w:tcW w:w="59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82" w:right="0"/>
              <w:jc w:val="left"/>
              <w:rPr>
                <w:rFonts w:ascii="宋体" w:hAnsi="宋体" w:cs="宋体" w:eastAsia="宋体" w:hint="default"/>
                <w:sz w:val="18"/>
                <w:szCs w:val="18"/>
              </w:rPr>
            </w:pPr>
            <w:r>
              <w:rPr>
                <w:rFonts w:ascii="宋体" w:hAnsi="宋体" w:cs="宋体" w:eastAsia="宋体" w:hint="default"/>
                <w:sz w:val="18"/>
                <w:szCs w:val="18"/>
              </w:rPr>
              <w:t>其中：子公司支付给少数股东的股利、利润</w:t>
            </w:r>
          </w:p>
        </w:tc>
        <w:tc>
          <w:tcPr>
            <w:tcW w:w="1860" w:type="dxa"/>
            <w:tcBorders>
              <w:top w:val="single" w:sz="4" w:space="0" w:color="000000"/>
              <w:left w:val="single" w:sz="4" w:space="0" w:color="000000"/>
              <w:bottom w:val="single" w:sz="4" w:space="0" w:color="000000"/>
              <w:right w:val="single" w:sz="4" w:space="0" w:color="000000"/>
            </w:tcBorders>
          </w:tcPr>
          <w:p>
            <w:pPr/>
          </w:p>
        </w:tc>
        <w:tc>
          <w:tcPr>
            <w:tcW w:w="176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2"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2,731,601.12</w:t>
            </w:r>
            <w:r>
              <w:rPr>
                <w:rFonts w:ascii="Times New Roman"/>
                <w:sz w:val="18"/>
              </w:rPr>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2,179,620.00</w:t>
            </w:r>
          </w:p>
        </w:tc>
      </w:tr>
      <w:tr>
        <w:trPr>
          <w:trHeight w:val="402" w:hRule="exact"/>
        </w:trPr>
        <w:tc>
          <w:tcPr>
            <w:tcW w:w="59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68,679,636.30</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101,775,020.84</w:t>
            </w:r>
            <w:r>
              <w:rPr>
                <w:rFonts w:ascii="Times New Roman"/>
                <w:sz w:val="18"/>
              </w:rPr>
            </w:r>
          </w:p>
        </w:tc>
      </w:tr>
      <w:tr>
        <w:trPr>
          <w:trHeight w:val="402" w:hRule="exact"/>
        </w:trPr>
        <w:tc>
          <w:tcPr>
            <w:tcW w:w="59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15,461,408.70</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-77,263,140.84</w:t>
            </w:r>
          </w:p>
        </w:tc>
      </w:tr>
      <w:tr>
        <w:trPr>
          <w:trHeight w:val="402" w:hRule="exact"/>
        </w:trPr>
        <w:tc>
          <w:tcPr>
            <w:tcW w:w="59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四、汇率变动对现金及现金等价物的影响</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356,300.77</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692,084.49</w:t>
            </w:r>
          </w:p>
        </w:tc>
      </w:tr>
      <w:tr>
        <w:trPr>
          <w:trHeight w:val="402" w:hRule="exact"/>
        </w:trPr>
        <w:tc>
          <w:tcPr>
            <w:tcW w:w="59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518,203,323.84</w:t>
            </w:r>
            <w:r>
              <w:rPr>
                <w:rFonts w:ascii="Times New Roman"/>
                <w:sz w:val="18"/>
              </w:rPr>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23,128,691.86</w:t>
            </w:r>
          </w:p>
        </w:tc>
      </w:tr>
      <w:tr>
        <w:trPr>
          <w:trHeight w:val="402" w:hRule="exact"/>
        </w:trPr>
        <w:tc>
          <w:tcPr>
            <w:tcW w:w="59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82"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277,134,433.78</w:t>
            </w:r>
            <w:r>
              <w:rPr>
                <w:rFonts w:ascii="Times New Roman"/>
                <w:sz w:val="18"/>
              </w:rPr>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254,005,741.92</w:t>
            </w:r>
            <w:r>
              <w:rPr>
                <w:rFonts w:ascii="Times New Roman"/>
                <w:sz w:val="18"/>
              </w:rPr>
            </w:r>
          </w:p>
        </w:tc>
      </w:tr>
      <w:tr>
        <w:trPr>
          <w:trHeight w:val="402" w:hRule="exact"/>
        </w:trPr>
        <w:tc>
          <w:tcPr>
            <w:tcW w:w="59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795,337,757.62</w:t>
            </w:r>
            <w:r>
              <w:rPr>
                <w:rFonts w:ascii="Times New Roman"/>
                <w:sz w:val="18"/>
              </w:rPr>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277,134,433.78</w:t>
            </w:r>
            <w:r>
              <w:rPr>
                <w:rFonts w:ascii="Times New Roman"/>
                <w:sz w:val="18"/>
              </w:rPr>
            </w:r>
          </w:p>
        </w:tc>
      </w:tr>
    </w:tbl>
    <w:p>
      <w:pPr>
        <w:spacing w:line="240" w:lineRule="auto" w:before="11"/>
        <w:rPr>
          <w:rFonts w:ascii="Times New Roman" w:hAnsi="Times New Roman" w:cs="Times New Roman" w:eastAsia="Times New Roman" w:hint="default"/>
          <w:sz w:val="21"/>
          <w:szCs w:val="21"/>
        </w:rPr>
      </w:pPr>
    </w:p>
    <w:p>
      <w:pPr>
        <w:pStyle w:val="Heading4"/>
        <w:spacing w:line="240" w:lineRule="auto" w:before="36"/>
        <w:ind w:right="986"/>
        <w:jc w:val="left"/>
        <w:rPr>
          <w:b w:val="0"/>
          <w:bCs w:val="0"/>
        </w:rPr>
      </w:pPr>
      <w:bookmarkStart w:name="6、母公司现金流量表" w:id="164"/>
      <w:bookmarkEnd w:id="164"/>
      <w:r>
        <w:rPr>
          <w:b w:val="0"/>
          <w:bCs w:val="0"/>
        </w:rPr>
      </w:r>
      <w:r>
        <w:rPr>
          <w:rFonts w:ascii="Times New Roman" w:hAnsi="Times New Roman" w:cs="Times New Roman" w:eastAsia="Times New Roman" w:hint="default"/>
        </w:rPr>
        <w:t>6</w:t>
      </w:r>
      <w:r>
        <w:rPr/>
        <w:t>、母公司现金流量表</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5905"/>
        <w:gridCol w:w="1871"/>
        <w:gridCol w:w="1781"/>
      </w:tblGrid>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8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5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7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1871"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81"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1,325,017,030.68</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1,035,592,970.72</w:t>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5"/>
              <w:jc w:val="right"/>
              <w:rPr>
                <w:rFonts w:ascii="Times New Roman" w:hAnsi="Times New Roman" w:cs="Times New Roman" w:eastAsia="Times New Roman" w:hint="default"/>
                <w:sz w:val="18"/>
                <w:szCs w:val="18"/>
              </w:rPr>
            </w:pPr>
            <w:r>
              <w:rPr>
                <w:rFonts w:ascii="Times New Roman"/>
                <w:spacing w:val="-1"/>
                <w:sz w:val="18"/>
              </w:rPr>
              <w:t>28,335,822.69</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35,705,234.55</w:t>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78,485,013.84</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27,148,986.70</w:t>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5"/>
              <w:jc w:val="right"/>
              <w:rPr>
                <w:rFonts w:ascii="Times New Roman" w:hAnsi="Times New Roman" w:cs="Times New Roman" w:eastAsia="Times New Roman" w:hint="default"/>
                <w:sz w:val="18"/>
                <w:szCs w:val="18"/>
              </w:rPr>
            </w:pPr>
            <w:r>
              <w:rPr>
                <w:rFonts w:ascii="Times New Roman"/>
                <w:spacing w:val="-1"/>
                <w:sz w:val="18"/>
              </w:rPr>
              <w:t>1,431,837,867.21</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1,098,447,191.97</w:t>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766,221,659.13</w:t>
            </w:r>
            <w:r>
              <w:rPr>
                <w:rFonts w:ascii="Times New Roman"/>
                <w:sz w:val="18"/>
              </w:rPr>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619,191,833.36</w:t>
            </w:r>
            <w:r>
              <w:rPr>
                <w:rFonts w:ascii="Times New Roman"/>
                <w:sz w:val="18"/>
              </w:rPr>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4"/>
              <w:jc w:val="right"/>
              <w:rPr>
                <w:rFonts w:ascii="Times New Roman" w:hAnsi="Times New Roman" w:cs="Times New Roman" w:eastAsia="Times New Roman" w:hint="default"/>
                <w:sz w:val="18"/>
                <w:szCs w:val="18"/>
              </w:rPr>
            </w:pPr>
            <w:r>
              <w:rPr>
                <w:rFonts w:ascii="Times New Roman"/>
                <w:spacing w:val="-1"/>
                <w:sz w:val="18"/>
              </w:rPr>
              <w:t>307,101,862.02</w:t>
            </w:r>
            <w:r>
              <w:rPr>
                <w:rFonts w:ascii="Times New Roman"/>
                <w:sz w:val="18"/>
              </w:rPr>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281,080,015.37</w:t>
            </w:r>
            <w:r>
              <w:rPr>
                <w:rFonts w:ascii="Times New Roman"/>
                <w:sz w:val="18"/>
              </w:rPr>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89,670,068.76</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89,876,124.25</w:t>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4"/>
              <w:jc w:val="right"/>
              <w:rPr>
                <w:rFonts w:ascii="Times New Roman" w:hAnsi="Times New Roman" w:cs="Times New Roman" w:eastAsia="Times New Roman" w:hint="default"/>
                <w:sz w:val="18"/>
                <w:szCs w:val="18"/>
              </w:rPr>
            </w:pPr>
            <w:r>
              <w:rPr>
                <w:rFonts w:ascii="Times New Roman"/>
                <w:spacing w:val="-1"/>
                <w:sz w:val="18"/>
              </w:rPr>
              <w:t>170,328,887.25</w:t>
            </w:r>
            <w:r>
              <w:rPr>
                <w:rFonts w:ascii="Times New Roman"/>
                <w:sz w:val="18"/>
              </w:rPr>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79,380,639.43</w:t>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1,333,322,477.16</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1,069,528,612.41</w:t>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5"/>
              <w:jc w:val="right"/>
              <w:rPr>
                <w:rFonts w:ascii="Times New Roman" w:hAnsi="Times New Roman" w:cs="Times New Roman" w:eastAsia="Times New Roman" w:hint="default"/>
                <w:sz w:val="18"/>
                <w:szCs w:val="18"/>
              </w:rPr>
            </w:pPr>
            <w:r>
              <w:rPr>
                <w:rFonts w:ascii="Times New Roman"/>
                <w:spacing w:val="-1"/>
                <w:sz w:val="18"/>
              </w:rPr>
              <w:t>98,515,390.05</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28,918,579.56</w:t>
            </w:r>
            <w:r>
              <w:rPr>
                <w:rFonts w:ascii="Times New Roman"/>
                <w:sz w:val="18"/>
              </w:rPr>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1871"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81"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4"/>
              <w:jc w:val="right"/>
              <w:rPr>
                <w:rFonts w:ascii="Times New Roman" w:hAnsi="Times New Roman" w:cs="Times New Roman" w:eastAsia="Times New Roman" w:hint="default"/>
                <w:sz w:val="18"/>
                <w:szCs w:val="18"/>
              </w:rPr>
            </w:pPr>
            <w:r>
              <w:rPr>
                <w:rFonts w:ascii="Times New Roman"/>
                <w:spacing w:val="-1"/>
                <w:sz w:val="18"/>
              </w:rPr>
              <w:t>681,479,559.80</w:t>
            </w:r>
            <w:r>
              <w:rPr>
                <w:rFonts w:ascii="Times New Roman"/>
                <w:sz w:val="18"/>
              </w:rPr>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623,240,419.32</w:t>
            </w:r>
            <w:r>
              <w:rPr>
                <w:rFonts w:ascii="Times New Roman"/>
                <w:sz w:val="18"/>
              </w:rPr>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6,147,277.12</w:t>
            </w:r>
            <w:r>
              <w:rPr>
                <w:rFonts w:ascii="Times New Roman"/>
                <w:sz w:val="18"/>
              </w:rPr>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107,186,658.28</w:t>
            </w:r>
            <w:r>
              <w:rPr>
                <w:rFonts w:ascii="Times New Roman"/>
                <w:sz w:val="18"/>
              </w:rPr>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1871" w:type="dxa"/>
            <w:tcBorders>
              <w:top w:val="single" w:sz="4" w:space="0" w:color="000000"/>
              <w:left w:val="single" w:sz="10" w:space="0" w:color="D4D4D4"/>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1871" w:type="dxa"/>
            <w:tcBorders>
              <w:top w:val="single" w:sz="4" w:space="0" w:color="000000"/>
              <w:left w:val="single" w:sz="10" w:space="0" w:color="D4D4D4"/>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4"/>
              <w:jc w:val="right"/>
              <w:rPr>
                <w:rFonts w:ascii="Times New Roman" w:hAnsi="Times New Roman" w:cs="Times New Roman" w:eastAsia="Times New Roman" w:hint="default"/>
                <w:sz w:val="18"/>
                <w:szCs w:val="18"/>
              </w:rPr>
            </w:pPr>
            <w:r>
              <w:rPr>
                <w:rFonts w:ascii="Times New Roman"/>
                <w:spacing w:val="-1"/>
                <w:sz w:val="18"/>
              </w:rPr>
              <w:t>7,576,919.00</w:t>
            </w:r>
            <w:r>
              <w:rPr>
                <w:rFonts w:ascii="Times New Roman"/>
                <w:sz w:val="18"/>
              </w:rPr>
            </w:r>
          </w:p>
        </w:tc>
        <w:tc>
          <w:tcPr>
            <w:tcW w:w="178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5905"/>
        <w:gridCol w:w="1871"/>
        <w:gridCol w:w="1781"/>
      </w:tblGrid>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695,203,755.92</w:t>
            </w:r>
            <w:r>
              <w:rPr>
                <w:rFonts w:ascii="Times New Roman"/>
                <w:sz w:val="18"/>
              </w:rPr>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730,427,077.60</w:t>
            </w:r>
            <w:r>
              <w:rPr>
                <w:rFonts w:ascii="Times New Roman"/>
                <w:sz w:val="18"/>
              </w:rPr>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5"/>
              <w:jc w:val="right"/>
              <w:rPr>
                <w:rFonts w:ascii="Times New Roman" w:hAnsi="Times New Roman" w:cs="Times New Roman" w:eastAsia="Times New Roman" w:hint="default"/>
                <w:sz w:val="18"/>
                <w:szCs w:val="18"/>
              </w:rPr>
            </w:pPr>
            <w:r>
              <w:rPr>
                <w:rFonts w:ascii="Times New Roman"/>
                <w:spacing w:val="-1"/>
                <w:sz w:val="18"/>
              </w:rPr>
              <w:t>112,387,742.92</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200,295,385.67</w:t>
            </w:r>
            <w:r>
              <w:rPr>
                <w:rFonts w:ascii="Times New Roman"/>
                <w:sz w:val="18"/>
              </w:rPr>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455,944,400.00</w:t>
            </w:r>
            <w:r>
              <w:rPr>
                <w:rFonts w:ascii="Times New Roman"/>
                <w:sz w:val="18"/>
              </w:rPr>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520,859,000.00</w:t>
            </w:r>
            <w:r>
              <w:rPr>
                <w:rFonts w:ascii="Times New Roman"/>
                <w:sz w:val="18"/>
              </w:rPr>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1871" w:type="dxa"/>
            <w:tcBorders>
              <w:top w:val="single" w:sz="4" w:space="0" w:color="000000"/>
              <w:left w:val="single" w:sz="10" w:space="0" w:color="D4D4D4"/>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1871" w:type="dxa"/>
            <w:tcBorders>
              <w:top w:val="single" w:sz="4" w:space="0" w:color="000000"/>
              <w:left w:val="single" w:sz="10" w:space="0" w:color="D4D4D4"/>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4"/>
              <w:jc w:val="right"/>
              <w:rPr>
                <w:rFonts w:ascii="Times New Roman" w:hAnsi="Times New Roman" w:cs="Times New Roman" w:eastAsia="Times New Roman" w:hint="default"/>
                <w:sz w:val="18"/>
                <w:szCs w:val="18"/>
              </w:rPr>
            </w:pPr>
            <w:r>
              <w:rPr>
                <w:rFonts w:ascii="Times New Roman"/>
                <w:spacing w:val="-1"/>
                <w:sz w:val="18"/>
              </w:rPr>
              <w:t>568,332,142.92</w:t>
            </w:r>
            <w:r>
              <w:rPr>
                <w:rFonts w:ascii="Times New Roman"/>
                <w:sz w:val="18"/>
              </w:rPr>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721,154,385.67</w:t>
            </w:r>
            <w:r>
              <w:rPr>
                <w:rFonts w:ascii="Times New Roman"/>
                <w:sz w:val="18"/>
              </w:rPr>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126,871,613.00</w:t>
            </w:r>
            <w:r>
              <w:rPr>
                <w:rFonts w:ascii="Times New Roman"/>
                <w:sz w:val="18"/>
              </w:rPr>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9,272,691.93</w:t>
            </w:r>
            <w:r>
              <w:rPr>
                <w:rFonts w:ascii="Times New Roman"/>
                <w:sz w:val="18"/>
              </w:rPr>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1871"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81"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81,891,045.00</w:t>
            </w:r>
          </w:p>
        </w:tc>
        <w:tc>
          <w:tcPr>
            <w:tcW w:w="1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1871" w:type="dxa"/>
            <w:tcBorders>
              <w:top w:val="single" w:sz="4" w:space="0" w:color="000000"/>
              <w:left w:val="single" w:sz="10" w:space="0" w:color="D4D4D4"/>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18,631,080.00</w:t>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1871" w:type="dxa"/>
            <w:tcBorders>
              <w:top w:val="single" w:sz="4" w:space="0" w:color="000000"/>
              <w:left w:val="single" w:sz="10" w:space="0" w:color="D4D4D4"/>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5,880,800.00</w:t>
            </w:r>
            <w:r>
              <w:rPr>
                <w:rFonts w:ascii="Times New Roman"/>
                <w:sz w:val="18"/>
              </w:rPr>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5"/>
              <w:jc w:val="right"/>
              <w:rPr>
                <w:rFonts w:ascii="Times New Roman" w:hAnsi="Times New Roman" w:cs="Times New Roman" w:eastAsia="Times New Roman" w:hint="default"/>
                <w:sz w:val="18"/>
                <w:szCs w:val="18"/>
              </w:rPr>
            </w:pPr>
            <w:r>
              <w:rPr>
                <w:rFonts w:ascii="Times New Roman"/>
                <w:spacing w:val="-1"/>
                <w:sz w:val="18"/>
              </w:rPr>
              <w:t>81,891,045.00</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24,511,880.00</w:t>
            </w:r>
            <w:r>
              <w:rPr>
                <w:rFonts w:ascii="Times New Roman"/>
                <w:sz w:val="18"/>
              </w:rPr>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1,487,470.96</w:t>
            </w:r>
            <w:r>
              <w:rPr>
                <w:rFonts w:ascii="Times New Roman"/>
                <w:sz w:val="18"/>
              </w:rPr>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120,625.14</w:t>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5"/>
              <w:jc w:val="right"/>
              <w:rPr>
                <w:rFonts w:ascii="Times New Roman" w:hAnsi="Times New Roman" w:cs="Times New Roman" w:eastAsia="Times New Roman" w:hint="default"/>
                <w:sz w:val="18"/>
                <w:szCs w:val="18"/>
              </w:rPr>
            </w:pPr>
            <w:r>
              <w:rPr>
                <w:rFonts w:ascii="Times New Roman"/>
                <w:spacing w:val="-1"/>
                <w:sz w:val="18"/>
              </w:rPr>
              <w:t>64,453,218.08</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99,414,051.04</w:t>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2,731,601.12</w:t>
            </w:r>
            <w:r>
              <w:rPr>
                <w:rFonts w:ascii="Times New Roman"/>
                <w:sz w:val="18"/>
              </w:rPr>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2,179,620.00</w:t>
            </w:r>
            <w:r>
              <w:rPr>
                <w:rFonts w:ascii="Times New Roman"/>
                <w:sz w:val="18"/>
              </w:rPr>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68,672,290.16</w:t>
            </w:r>
            <w:r>
              <w:rPr>
                <w:rFonts w:ascii="Times New Roman"/>
                <w:sz w:val="18"/>
              </w:rPr>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101,714,296.18</w:t>
            </w:r>
            <w:r>
              <w:rPr>
                <w:rFonts w:ascii="Times New Roman"/>
                <w:sz w:val="18"/>
              </w:rPr>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13,218,754.84</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-77,202,416.18</w:t>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四、汇率变动对现金及现金等价物的影响</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4"/>
              <w:jc w:val="right"/>
              <w:rPr>
                <w:rFonts w:ascii="Times New Roman" w:hAnsi="Times New Roman" w:cs="Times New Roman" w:eastAsia="Times New Roman" w:hint="default"/>
                <w:sz w:val="18"/>
                <w:szCs w:val="18"/>
              </w:rPr>
            </w:pPr>
            <w:r>
              <w:rPr>
                <w:rFonts w:ascii="Times New Roman"/>
                <w:sz w:val="18"/>
              </w:rPr>
              <w:t>314,673.65</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525,803.28</w:t>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238,920,431.54</w:t>
            </w:r>
            <w:r>
              <w:rPr>
                <w:rFonts w:ascii="Times New Roman"/>
                <w:sz w:val="18"/>
              </w:rPr>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-38,485,341.41</w:t>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5"/>
              <w:jc w:val="right"/>
              <w:rPr>
                <w:rFonts w:ascii="Times New Roman" w:hAnsi="Times New Roman" w:cs="Times New Roman" w:eastAsia="Times New Roman" w:hint="default"/>
                <w:sz w:val="18"/>
                <w:szCs w:val="18"/>
              </w:rPr>
            </w:pPr>
            <w:r>
              <w:rPr>
                <w:rFonts w:ascii="Times New Roman"/>
                <w:spacing w:val="-1"/>
                <w:sz w:val="18"/>
              </w:rPr>
              <w:t>117,750,974.96</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156,236,316.37</w:t>
            </w:r>
            <w:r>
              <w:rPr>
                <w:rFonts w:ascii="Times New Roman"/>
                <w:sz w:val="18"/>
              </w:rPr>
            </w:r>
          </w:p>
        </w:tc>
      </w:tr>
      <w:tr>
        <w:trPr>
          <w:trHeight w:val="402" w:hRule="exact"/>
        </w:trPr>
        <w:tc>
          <w:tcPr>
            <w:tcW w:w="5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187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356,671,406.50</w:t>
            </w:r>
            <w:r>
              <w:rPr>
                <w:rFonts w:ascii="Times New Roman"/>
                <w:sz w:val="18"/>
              </w:rPr>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117,750,974.96</w:t>
            </w:r>
          </w:p>
        </w:tc>
      </w:tr>
    </w:tbl>
    <w:p>
      <w:pPr>
        <w:spacing w:line="240" w:lineRule="auto" w:before="4"/>
        <w:rPr>
          <w:rFonts w:ascii="宋体" w:hAnsi="宋体" w:cs="宋体" w:eastAsia="宋体" w:hint="default"/>
          <w:sz w:val="19"/>
          <w:szCs w:val="19"/>
        </w:rPr>
      </w:pPr>
    </w:p>
    <w:p>
      <w:pPr>
        <w:pStyle w:val="Heading4"/>
        <w:spacing w:line="240" w:lineRule="auto" w:before="36"/>
        <w:ind w:right="986"/>
        <w:jc w:val="left"/>
        <w:rPr>
          <w:b w:val="0"/>
          <w:bCs w:val="0"/>
        </w:rPr>
      </w:pPr>
      <w:bookmarkStart w:name="7、合并所有者权益变动表" w:id="165"/>
      <w:bookmarkEnd w:id="165"/>
      <w:r>
        <w:rPr>
          <w:b w:val="0"/>
          <w:bCs w:val="0"/>
        </w:rPr>
      </w:r>
      <w:r>
        <w:rPr>
          <w:rFonts w:ascii="Times New Roman" w:hAnsi="Times New Roman" w:cs="Times New Roman" w:eastAsia="Times New Roman" w:hint="default"/>
        </w:rPr>
        <w:t>7</w:t>
      </w:r>
      <w:r>
        <w:rPr/>
        <w:t>、合并所有者权益变动表</w:t>
      </w:r>
      <w:r>
        <w:rPr>
          <w:b w:val="0"/>
          <w:bCs w:val="0"/>
        </w:rPr>
      </w:r>
    </w:p>
    <w:p>
      <w:pPr>
        <w:spacing w:line="240" w:lineRule="auto" w:before="10"/>
        <w:rPr>
          <w:rFonts w:ascii="宋体" w:hAnsi="宋体" w:cs="宋体" w:eastAsia="宋体" w:hint="default"/>
          <w:b/>
          <w:bCs/>
          <w:sz w:val="22"/>
          <w:szCs w:val="22"/>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17"/>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241"/>
        <w:gridCol w:w="494"/>
        <w:gridCol w:w="466"/>
        <w:gridCol w:w="466"/>
        <w:gridCol w:w="468"/>
        <w:gridCol w:w="583"/>
        <w:gridCol w:w="586"/>
        <w:gridCol w:w="583"/>
        <w:gridCol w:w="583"/>
        <w:gridCol w:w="583"/>
        <w:gridCol w:w="583"/>
        <w:gridCol w:w="586"/>
        <w:gridCol w:w="583"/>
        <w:gridCol w:w="583"/>
        <w:gridCol w:w="586"/>
        <w:gridCol w:w="578"/>
      </w:tblGrid>
      <w:tr>
        <w:trPr>
          <w:trHeight w:val="401" w:hRule="exact"/>
        </w:trPr>
        <w:tc>
          <w:tcPr>
            <w:tcW w:w="1241" w:type="dxa"/>
            <w:vMerge w:val="restart"/>
            <w:tcBorders>
              <w:top w:val="single" w:sz="4" w:space="0" w:color="000000"/>
              <w:left w:val="single" w:sz="4" w:space="0" w:color="000000"/>
              <w:right w:val="single" w:sz="4" w:space="0" w:color="000000"/>
            </w:tcBorders>
            <w:shd w:val="clear" w:color="auto" w:fill="D4D4D4"/>
          </w:tcPr>
          <w:p>
            <w:pPr/>
          </w:p>
        </w:tc>
        <w:tc>
          <w:tcPr>
            <w:tcW w:w="8311" w:type="dxa"/>
            <w:gridSpan w:val="15"/>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96" w:hRule="exact"/>
        </w:trPr>
        <w:tc>
          <w:tcPr>
            <w:tcW w:w="1241" w:type="dxa"/>
            <w:vMerge/>
            <w:tcBorders>
              <w:left w:val="single" w:sz="4" w:space="0" w:color="000000"/>
              <w:right w:val="single" w:sz="4" w:space="0" w:color="000000"/>
            </w:tcBorders>
            <w:shd w:val="clear" w:color="auto" w:fill="D4D4D4"/>
          </w:tcPr>
          <w:p>
            <w:pPr/>
          </w:p>
        </w:tc>
        <w:tc>
          <w:tcPr>
            <w:tcW w:w="7147" w:type="dxa"/>
            <w:gridSpan w:val="13"/>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586" w:type="dxa"/>
            <w:vMerge w:val="restart"/>
            <w:tcBorders>
              <w:top w:val="single" w:sz="4" w:space="0" w:color="000000"/>
              <w:left w:val="single" w:sz="4" w:space="0" w:color="000000"/>
              <w:right w:val="single" w:sz="4" w:space="0" w:color="000000"/>
            </w:tcBorders>
            <w:shd w:val="clear" w:color="auto" w:fill="D4D4D4"/>
          </w:tcPr>
          <w:p>
            <w:pPr/>
          </w:p>
        </w:tc>
        <w:tc>
          <w:tcPr>
            <w:tcW w:w="578" w:type="dxa"/>
            <w:tcBorders>
              <w:top w:val="single" w:sz="4" w:space="0" w:color="000000"/>
              <w:left w:val="single" w:sz="4" w:space="0" w:color="000000"/>
              <w:bottom w:val="nil" w:sz="6" w:space="0" w:color="auto"/>
              <w:right w:val="single" w:sz="4" w:space="0" w:color="000000"/>
            </w:tcBorders>
            <w:shd w:val="clear" w:color="auto" w:fill="D4D4D4"/>
          </w:tcPr>
          <w:p>
            <w:pPr/>
          </w:p>
        </w:tc>
      </w:tr>
      <w:tr>
        <w:trPr>
          <w:trHeight w:val="156" w:hRule="exact"/>
        </w:trPr>
        <w:tc>
          <w:tcPr>
            <w:tcW w:w="1241" w:type="dxa"/>
            <w:vMerge/>
            <w:tcBorders>
              <w:left w:val="single" w:sz="4" w:space="0" w:color="000000"/>
              <w:right w:val="single" w:sz="4" w:space="0" w:color="000000"/>
            </w:tcBorders>
            <w:shd w:val="clear" w:color="auto" w:fill="D4D4D4"/>
          </w:tcPr>
          <w:p>
            <w:pPr/>
          </w:p>
        </w:tc>
        <w:tc>
          <w:tcPr>
            <w:tcW w:w="7147" w:type="dxa"/>
            <w:gridSpan w:val="13"/>
            <w:vMerge/>
            <w:tcBorders>
              <w:left w:val="single" w:sz="4" w:space="0" w:color="000000"/>
              <w:right w:val="single" w:sz="4" w:space="0" w:color="000000"/>
            </w:tcBorders>
            <w:shd w:val="clear" w:color="auto" w:fill="D4D4D4"/>
          </w:tcPr>
          <w:p>
            <w:pPr/>
          </w:p>
        </w:tc>
        <w:tc>
          <w:tcPr>
            <w:tcW w:w="586" w:type="dxa"/>
            <w:vMerge/>
            <w:tcBorders>
              <w:left w:val="single" w:sz="4" w:space="0" w:color="000000"/>
              <w:bottom w:val="nil" w:sz="6" w:space="0" w:color="auto"/>
              <w:right w:val="single" w:sz="4" w:space="0" w:color="000000"/>
            </w:tcBorders>
            <w:shd w:val="clear" w:color="auto" w:fill="D4D4D4"/>
          </w:tcPr>
          <w:p>
            <w:pPr/>
          </w:p>
        </w:tc>
        <w:tc>
          <w:tcPr>
            <w:tcW w:w="578"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49"/>
              <w:ind w:left="105" w:right="101"/>
              <w:jc w:val="both"/>
              <w:rPr>
                <w:rFonts w:ascii="宋体" w:hAnsi="宋体" w:cs="宋体" w:eastAsia="宋体" w:hint="default"/>
                <w:sz w:val="18"/>
                <w:szCs w:val="18"/>
              </w:rPr>
            </w:pPr>
            <w:r>
              <w:rPr>
                <w:rFonts w:ascii="宋体" w:hAnsi="宋体" w:cs="宋体" w:eastAsia="宋体" w:hint="default"/>
                <w:sz w:val="18"/>
                <w:szCs w:val="18"/>
              </w:rPr>
              <w:t>所有 者权 益合 计</w:t>
            </w:r>
          </w:p>
        </w:tc>
      </w:tr>
      <w:tr>
        <w:trPr>
          <w:trHeight w:val="151" w:hRule="exact"/>
        </w:trPr>
        <w:tc>
          <w:tcPr>
            <w:tcW w:w="1241" w:type="dxa"/>
            <w:vMerge/>
            <w:tcBorders>
              <w:left w:val="single" w:sz="4" w:space="0" w:color="000000"/>
              <w:bottom w:val="nil" w:sz="6" w:space="0" w:color="auto"/>
              <w:right w:val="single" w:sz="4" w:space="0" w:color="000000"/>
            </w:tcBorders>
            <w:shd w:val="clear" w:color="auto" w:fill="D4D4D4"/>
          </w:tcPr>
          <w:p>
            <w:pPr/>
          </w:p>
        </w:tc>
        <w:tc>
          <w:tcPr>
            <w:tcW w:w="7147" w:type="dxa"/>
            <w:gridSpan w:val="13"/>
            <w:vMerge/>
            <w:tcBorders>
              <w:left w:val="single" w:sz="4" w:space="0" w:color="000000"/>
              <w:bottom w:val="single" w:sz="4" w:space="0" w:color="000000"/>
              <w:right w:val="single" w:sz="4" w:space="0" w:color="000000"/>
            </w:tcBorders>
            <w:shd w:val="clear" w:color="auto" w:fill="D4D4D4"/>
          </w:tcPr>
          <w:p>
            <w:pPr/>
          </w:p>
        </w:tc>
        <w:tc>
          <w:tcPr>
            <w:tcW w:w="586"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49"/>
              <w:ind w:left="110" w:right="103"/>
              <w:jc w:val="both"/>
              <w:rPr>
                <w:rFonts w:ascii="宋体" w:hAnsi="宋体" w:cs="宋体" w:eastAsia="宋体" w:hint="default"/>
                <w:sz w:val="18"/>
                <w:szCs w:val="18"/>
              </w:rPr>
            </w:pPr>
            <w:r>
              <w:rPr>
                <w:rFonts w:ascii="宋体" w:hAnsi="宋体" w:cs="宋体" w:eastAsia="宋体" w:hint="default"/>
                <w:sz w:val="18"/>
                <w:szCs w:val="18"/>
              </w:rPr>
              <w:t>少数 股东 权益</w:t>
            </w:r>
          </w:p>
        </w:tc>
        <w:tc>
          <w:tcPr>
            <w:tcW w:w="578" w:type="dxa"/>
            <w:vMerge/>
            <w:tcBorders>
              <w:left w:val="single" w:sz="4" w:space="0" w:color="000000"/>
              <w:right w:val="single" w:sz="4" w:space="0" w:color="000000"/>
            </w:tcBorders>
            <w:shd w:val="clear" w:color="auto" w:fill="D4D4D4"/>
          </w:tcPr>
          <w:p>
            <w:pPr/>
          </w:p>
        </w:tc>
      </w:tr>
      <w:tr>
        <w:trPr>
          <w:trHeight w:val="204" w:hRule="exact"/>
        </w:trPr>
        <w:tc>
          <w:tcPr>
            <w:tcW w:w="1241"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8"/>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494" w:type="dxa"/>
            <w:vMerge w:val="restart"/>
            <w:tcBorders>
              <w:top w:val="single" w:sz="4" w:space="0" w:color="000000"/>
              <w:left w:val="single" w:sz="4" w:space="0" w:color="000000"/>
              <w:right w:val="single" w:sz="4" w:space="0" w:color="000000"/>
            </w:tcBorders>
            <w:shd w:val="clear" w:color="auto" w:fill="D4D4D4"/>
          </w:tcPr>
          <w:p>
            <w:pPr/>
          </w:p>
        </w:tc>
        <w:tc>
          <w:tcPr>
            <w:tcW w:w="1399" w:type="dxa"/>
            <w:gridSpan w:val="3"/>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left="155"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583" w:type="dxa"/>
            <w:tcBorders>
              <w:top w:val="single" w:sz="4" w:space="0" w:color="000000"/>
              <w:left w:val="single" w:sz="4" w:space="0" w:color="000000"/>
              <w:bottom w:val="nil" w:sz="6" w:space="0" w:color="auto"/>
              <w:right w:val="single" w:sz="4" w:space="0" w:color="000000"/>
            </w:tcBorders>
            <w:shd w:val="clear" w:color="auto" w:fill="D4D4D4"/>
          </w:tcPr>
          <w:p>
            <w:pPr/>
          </w:p>
        </w:tc>
        <w:tc>
          <w:tcPr>
            <w:tcW w:w="586" w:type="dxa"/>
            <w:tcBorders>
              <w:top w:val="single" w:sz="4" w:space="0" w:color="000000"/>
              <w:left w:val="single" w:sz="4" w:space="0" w:color="000000"/>
              <w:bottom w:val="nil" w:sz="6" w:space="0" w:color="auto"/>
              <w:right w:val="single" w:sz="4" w:space="0" w:color="000000"/>
            </w:tcBorders>
            <w:shd w:val="clear" w:color="auto" w:fill="D4D4D4"/>
          </w:tcPr>
          <w:p>
            <w:pPr/>
          </w:p>
        </w:tc>
        <w:tc>
          <w:tcPr>
            <w:tcW w:w="583"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92"/>
              <w:ind w:left="107" w:right="103"/>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583" w:type="dxa"/>
            <w:tcBorders>
              <w:top w:val="single" w:sz="4" w:space="0" w:color="000000"/>
              <w:left w:val="single" w:sz="4" w:space="0" w:color="000000"/>
              <w:bottom w:val="nil" w:sz="6" w:space="0" w:color="auto"/>
              <w:right w:val="single" w:sz="4" w:space="0" w:color="000000"/>
            </w:tcBorders>
            <w:shd w:val="clear" w:color="auto" w:fill="D4D4D4"/>
          </w:tcPr>
          <w:p>
            <w:pPr/>
          </w:p>
        </w:tc>
        <w:tc>
          <w:tcPr>
            <w:tcW w:w="583" w:type="dxa"/>
            <w:tcBorders>
              <w:top w:val="single" w:sz="4" w:space="0" w:color="000000"/>
              <w:left w:val="single" w:sz="4" w:space="0" w:color="000000"/>
              <w:bottom w:val="nil" w:sz="6" w:space="0" w:color="auto"/>
              <w:right w:val="single" w:sz="4" w:space="0" w:color="000000"/>
            </w:tcBorders>
            <w:shd w:val="clear" w:color="auto" w:fill="D4D4D4"/>
          </w:tcPr>
          <w:p>
            <w:pPr/>
          </w:p>
        </w:tc>
        <w:tc>
          <w:tcPr>
            <w:tcW w:w="583"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92"/>
              <w:ind w:left="107" w:right="103"/>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586"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92"/>
              <w:ind w:left="110" w:right="103"/>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583" w:type="dxa"/>
            <w:vMerge w:val="restart"/>
            <w:tcBorders>
              <w:top w:val="single" w:sz="4" w:space="0" w:color="000000"/>
              <w:left w:val="single" w:sz="4" w:space="0" w:color="000000"/>
              <w:right w:val="single" w:sz="4" w:space="0" w:color="000000"/>
            </w:tcBorders>
            <w:shd w:val="clear" w:color="auto" w:fill="D4D4D4"/>
          </w:tcPr>
          <w:p>
            <w:pPr/>
          </w:p>
        </w:tc>
        <w:tc>
          <w:tcPr>
            <w:tcW w:w="583" w:type="dxa"/>
            <w:vMerge w:val="restart"/>
            <w:tcBorders>
              <w:top w:val="single" w:sz="4" w:space="0" w:color="000000"/>
              <w:left w:val="single" w:sz="4" w:space="0" w:color="000000"/>
              <w:right w:val="single" w:sz="4" w:space="0" w:color="000000"/>
            </w:tcBorders>
            <w:shd w:val="clear" w:color="auto" w:fill="D4D4D4"/>
          </w:tcPr>
          <w:p>
            <w:pPr/>
          </w:p>
        </w:tc>
        <w:tc>
          <w:tcPr>
            <w:tcW w:w="586" w:type="dxa"/>
            <w:vMerge/>
            <w:tcBorders>
              <w:left w:val="single" w:sz="4" w:space="0" w:color="000000"/>
              <w:right w:val="single" w:sz="4" w:space="0" w:color="000000"/>
            </w:tcBorders>
            <w:shd w:val="clear" w:color="auto" w:fill="D4D4D4"/>
          </w:tcPr>
          <w:p>
            <w:pPr/>
          </w:p>
        </w:tc>
        <w:tc>
          <w:tcPr>
            <w:tcW w:w="578" w:type="dxa"/>
            <w:vMerge/>
            <w:tcBorders>
              <w:left w:val="single" w:sz="4" w:space="0" w:color="000000"/>
              <w:right w:val="single" w:sz="4" w:space="0" w:color="000000"/>
            </w:tcBorders>
            <w:shd w:val="clear" w:color="auto" w:fill="D4D4D4"/>
          </w:tcPr>
          <w:p>
            <w:pPr/>
          </w:p>
        </w:tc>
      </w:tr>
      <w:tr>
        <w:trPr>
          <w:trHeight w:val="165" w:hRule="exact"/>
        </w:trPr>
        <w:tc>
          <w:tcPr>
            <w:tcW w:w="1241" w:type="dxa"/>
            <w:vMerge/>
            <w:tcBorders>
              <w:left w:val="single" w:sz="4" w:space="0" w:color="000000"/>
              <w:bottom w:val="nil" w:sz="6" w:space="0" w:color="auto"/>
              <w:right w:val="single" w:sz="4" w:space="0" w:color="000000"/>
            </w:tcBorders>
            <w:shd w:val="clear" w:color="auto" w:fill="D4D4D4"/>
          </w:tcPr>
          <w:p>
            <w:pPr/>
          </w:p>
        </w:tc>
        <w:tc>
          <w:tcPr>
            <w:tcW w:w="494" w:type="dxa"/>
            <w:vMerge/>
            <w:tcBorders>
              <w:left w:val="single" w:sz="4" w:space="0" w:color="000000"/>
              <w:bottom w:val="nil" w:sz="6" w:space="0" w:color="auto"/>
              <w:right w:val="single" w:sz="4" w:space="0" w:color="000000"/>
            </w:tcBorders>
            <w:shd w:val="clear" w:color="auto" w:fill="D4D4D4"/>
          </w:tcPr>
          <w:p>
            <w:pPr/>
          </w:p>
        </w:tc>
        <w:tc>
          <w:tcPr>
            <w:tcW w:w="1399" w:type="dxa"/>
            <w:gridSpan w:val="3"/>
            <w:vMerge/>
            <w:tcBorders>
              <w:left w:val="single" w:sz="4" w:space="0" w:color="000000"/>
              <w:bottom w:val="single" w:sz="4" w:space="0" w:color="000000"/>
              <w:right w:val="single" w:sz="4" w:space="0" w:color="000000"/>
            </w:tcBorders>
            <w:shd w:val="clear" w:color="auto" w:fill="D4D4D4"/>
          </w:tcPr>
          <w:p>
            <w:pPr/>
          </w:p>
        </w:tc>
        <w:tc>
          <w:tcPr>
            <w:tcW w:w="583"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49"/>
              <w:ind w:left="108" w:right="103"/>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586"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49"/>
              <w:ind w:left="107" w:right="34" w:hanging="84"/>
              <w:jc w:val="left"/>
              <w:rPr>
                <w:rFonts w:ascii="宋体" w:hAnsi="宋体" w:cs="宋体" w:eastAsia="宋体" w:hint="default"/>
                <w:sz w:val="18"/>
                <w:szCs w:val="18"/>
              </w:rPr>
            </w:pPr>
            <w:r>
              <w:rPr>
                <w:rFonts w:ascii="宋体" w:hAnsi="宋体" w:cs="宋体" w:eastAsia="宋体" w:hint="default"/>
                <w:spacing w:val="-9"/>
                <w:sz w:val="18"/>
                <w:szCs w:val="18"/>
              </w:rPr>
              <w:t>减：库</w:t>
            </w:r>
            <w:r>
              <w:rPr>
                <w:rFonts w:ascii="宋体" w:hAnsi="宋体" w:cs="宋体" w:eastAsia="宋体" w:hint="default"/>
                <w:spacing w:val="-13"/>
                <w:sz w:val="18"/>
                <w:szCs w:val="18"/>
              </w:rPr>
              <w:t> </w:t>
            </w:r>
            <w:r>
              <w:rPr>
                <w:rFonts w:ascii="宋体" w:hAnsi="宋体" w:cs="宋体" w:eastAsia="宋体" w:hint="default"/>
                <w:sz w:val="18"/>
                <w:szCs w:val="18"/>
              </w:rPr>
              <w:t>存股</w:t>
            </w:r>
          </w:p>
        </w:tc>
        <w:tc>
          <w:tcPr>
            <w:tcW w:w="583" w:type="dxa"/>
            <w:vMerge/>
            <w:tcBorders>
              <w:left w:val="single" w:sz="4" w:space="0" w:color="000000"/>
              <w:right w:val="single" w:sz="4" w:space="0" w:color="000000"/>
            </w:tcBorders>
            <w:shd w:val="clear" w:color="auto" w:fill="D4D4D4"/>
          </w:tcPr>
          <w:p>
            <w:pPr/>
          </w:p>
        </w:tc>
        <w:tc>
          <w:tcPr>
            <w:tcW w:w="583"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49"/>
              <w:ind w:left="107" w:right="103"/>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583"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49"/>
              <w:ind w:left="107" w:right="103"/>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583" w:type="dxa"/>
            <w:vMerge/>
            <w:tcBorders>
              <w:left w:val="single" w:sz="4" w:space="0" w:color="000000"/>
              <w:right w:val="single" w:sz="4" w:space="0" w:color="000000"/>
            </w:tcBorders>
            <w:shd w:val="clear" w:color="auto" w:fill="D4D4D4"/>
          </w:tcPr>
          <w:p>
            <w:pPr/>
          </w:p>
        </w:tc>
        <w:tc>
          <w:tcPr>
            <w:tcW w:w="586" w:type="dxa"/>
            <w:vMerge/>
            <w:tcBorders>
              <w:left w:val="single" w:sz="4" w:space="0" w:color="000000"/>
              <w:right w:val="single" w:sz="4" w:space="0" w:color="000000"/>
            </w:tcBorders>
            <w:shd w:val="clear" w:color="auto" w:fill="D4D4D4"/>
          </w:tcPr>
          <w:p>
            <w:pPr/>
          </w:p>
        </w:tc>
        <w:tc>
          <w:tcPr>
            <w:tcW w:w="583" w:type="dxa"/>
            <w:vMerge/>
            <w:tcBorders>
              <w:left w:val="single" w:sz="4" w:space="0" w:color="000000"/>
              <w:bottom w:val="nil" w:sz="6" w:space="0" w:color="auto"/>
              <w:right w:val="single" w:sz="4" w:space="0" w:color="000000"/>
            </w:tcBorders>
            <w:shd w:val="clear" w:color="auto" w:fill="D4D4D4"/>
          </w:tcPr>
          <w:p>
            <w:pPr/>
          </w:p>
        </w:tc>
        <w:tc>
          <w:tcPr>
            <w:tcW w:w="583" w:type="dxa"/>
            <w:vMerge/>
            <w:tcBorders>
              <w:left w:val="single" w:sz="4" w:space="0" w:color="000000"/>
              <w:bottom w:val="nil" w:sz="6" w:space="0" w:color="auto"/>
              <w:right w:val="single" w:sz="4" w:space="0" w:color="000000"/>
            </w:tcBorders>
            <w:shd w:val="clear" w:color="auto" w:fill="D4D4D4"/>
          </w:tcPr>
          <w:p>
            <w:pPr/>
          </w:p>
        </w:tc>
        <w:tc>
          <w:tcPr>
            <w:tcW w:w="586" w:type="dxa"/>
            <w:vMerge/>
            <w:tcBorders>
              <w:left w:val="single" w:sz="4" w:space="0" w:color="000000"/>
              <w:right w:val="single" w:sz="4" w:space="0" w:color="000000"/>
            </w:tcBorders>
            <w:shd w:val="clear" w:color="auto" w:fill="D4D4D4"/>
          </w:tcPr>
          <w:p>
            <w:pPr/>
          </w:p>
        </w:tc>
        <w:tc>
          <w:tcPr>
            <w:tcW w:w="578" w:type="dxa"/>
            <w:vMerge/>
            <w:tcBorders>
              <w:left w:val="single" w:sz="4" w:space="0" w:color="000000"/>
              <w:right w:val="single" w:sz="4" w:space="0" w:color="000000"/>
            </w:tcBorders>
            <w:shd w:val="clear" w:color="auto" w:fill="D4D4D4"/>
          </w:tcPr>
          <w:p>
            <w:pPr/>
          </w:p>
        </w:tc>
      </w:tr>
      <w:tr>
        <w:trPr>
          <w:trHeight w:val="193" w:hRule="exact"/>
        </w:trPr>
        <w:tc>
          <w:tcPr>
            <w:tcW w:w="1241" w:type="dxa"/>
            <w:vMerge w:val="restart"/>
            <w:tcBorders>
              <w:top w:val="nil" w:sz="6" w:space="0" w:color="auto"/>
              <w:left w:val="single" w:sz="4" w:space="0" w:color="000000"/>
              <w:right w:val="single" w:sz="4" w:space="0" w:color="000000"/>
            </w:tcBorders>
            <w:shd w:val="clear" w:color="auto" w:fill="D4D4D4"/>
          </w:tcPr>
          <w:p>
            <w:pPr/>
          </w:p>
        </w:tc>
        <w:tc>
          <w:tcPr>
            <w:tcW w:w="494"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0"/>
              <w:ind w:left="6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466"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80"/>
              <w:ind w:left="139" w:right="47" w:hanging="92"/>
              <w:jc w:val="left"/>
              <w:rPr>
                <w:rFonts w:ascii="宋体" w:hAnsi="宋体" w:cs="宋体" w:eastAsia="宋体" w:hint="default"/>
                <w:sz w:val="18"/>
                <w:szCs w:val="18"/>
              </w:rPr>
            </w:pPr>
            <w:r>
              <w:rPr>
                <w:rFonts w:ascii="宋体" w:hAnsi="宋体" w:cs="宋体" w:eastAsia="宋体" w:hint="default"/>
                <w:sz w:val="18"/>
                <w:szCs w:val="18"/>
              </w:rPr>
              <w:t>优先 股</w:t>
            </w:r>
          </w:p>
        </w:tc>
        <w:tc>
          <w:tcPr>
            <w:tcW w:w="466"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80"/>
              <w:ind w:left="139" w:right="47" w:hanging="92"/>
              <w:jc w:val="left"/>
              <w:rPr>
                <w:rFonts w:ascii="宋体" w:hAnsi="宋体" w:cs="宋体" w:eastAsia="宋体" w:hint="default"/>
                <w:sz w:val="18"/>
                <w:szCs w:val="18"/>
              </w:rPr>
            </w:pPr>
            <w:r>
              <w:rPr>
                <w:rFonts w:ascii="宋体" w:hAnsi="宋体" w:cs="宋体" w:eastAsia="宋体" w:hint="default"/>
                <w:sz w:val="18"/>
                <w:szCs w:val="18"/>
              </w:rPr>
              <w:t>永续 债</w:t>
            </w:r>
          </w:p>
        </w:tc>
        <w:tc>
          <w:tcPr>
            <w:tcW w:w="468" w:type="dxa"/>
            <w:tcBorders>
              <w:top w:val="single" w:sz="4" w:space="0" w:color="000000"/>
              <w:left w:val="single" w:sz="4" w:space="0" w:color="000000"/>
              <w:bottom w:val="nil" w:sz="6" w:space="0" w:color="auto"/>
              <w:right w:val="single" w:sz="4" w:space="0" w:color="000000"/>
            </w:tcBorders>
            <w:shd w:val="clear" w:color="auto" w:fill="D4D4D4"/>
          </w:tcPr>
          <w:p>
            <w:pPr/>
          </w:p>
        </w:tc>
        <w:tc>
          <w:tcPr>
            <w:tcW w:w="583" w:type="dxa"/>
            <w:vMerge/>
            <w:tcBorders>
              <w:left w:val="single" w:sz="4" w:space="0" w:color="000000"/>
              <w:right w:val="single" w:sz="4" w:space="0" w:color="000000"/>
            </w:tcBorders>
            <w:shd w:val="clear" w:color="auto" w:fill="D4D4D4"/>
          </w:tcPr>
          <w:p>
            <w:pPr/>
          </w:p>
        </w:tc>
        <w:tc>
          <w:tcPr>
            <w:tcW w:w="586" w:type="dxa"/>
            <w:vMerge/>
            <w:tcBorders>
              <w:left w:val="single" w:sz="4" w:space="0" w:color="000000"/>
              <w:right w:val="single" w:sz="4" w:space="0" w:color="000000"/>
            </w:tcBorders>
            <w:shd w:val="clear" w:color="auto" w:fill="D4D4D4"/>
          </w:tcPr>
          <w:p>
            <w:pPr/>
          </w:p>
        </w:tc>
        <w:tc>
          <w:tcPr>
            <w:tcW w:w="583" w:type="dxa"/>
            <w:vMerge/>
            <w:tcBorders>
              <w:left w:val="single" w:sz="4" w:space="0" w:color="000000"/>
              <w:right w:val="single" w:sz="4" w:space="0" w:color="000000"/>
            </w:tcBorders>
            <w:shd w:val="clear" w:color="auto" w:fill="D4D4D4"/>
          </w:tcPr>
          <w:p>
            <w:pPr/>
          </w:p>
        </w:tc>
        <w:tc>
          <w:tcPr>
            <w:tcW w:w="583" w:type="dxa"/>
            <w:vMerge/>
            <w:tcBorders>
              <w:left w:val="single" w:sz="4" w:space="0" w:color="000000"/>
              <w:right w:val="single" w:sz="4" w:space="0" w:color="000000"/>
            </w:tcBorders>
            <w:shd w:val="clear" w:color="auto" w:fill="D4D4D4"/>
          </w:tcPr>
          <w:p>
            <w:pPr/>
          </w:p>
        </w:tc>
        <w:tc>
          <w:tcPr>
            <w:tcW w:w="583" w:type="dxa"/>
            <w:vMerge/>
            <w:tcBorders>
              <w:left w:val="single" w:sz="4" w:space="0" w:color="000000"/>
              <w:right w:val="single" w:sz="4" w:space="0" w:color="000000"/>
            </w:tcBorders>
            <w:shd w:val="clear" w:color="auto" w:fill="D4D4D4"/>
          </w:tcPr>
          <w:p>
            <w:pPr/>
          </w:p>
        </w:tc>
        <w:tc>
          <w:tcPr>
            <w:tcW w:w="583" w:type="dxa"/>
            <w:vMerge/>
            <w:tcBorders>
              <w:left w:val="single" w:sz="4" w:space="0" w:color="000000"/>
              <w:right w:val="single" w:sz="4" w:space="0" w:color="000000"/>
            </w:tcBorders>
            <w:shd w:val="clear" w:color="auto" w:fill="D4D4D4"/>
          </w:tcPr>
          <w:p>
            <w:pPr/>
          </w:p>
        </w:tc>
        <w:tc>
          <w:tcPr>
            <w:tcW w:w="586" w:type="dxa"/>
            <w:vMerge/>
            <w:tcBorders>
              <w:left w:val="single" w:sz="4" w:space="0" w:color="000000"/>
              <w:right w:val="single" w:sz="4" w:space="0" w:color="000000"/>
            </w:tcBorders>
            <w:shd w:val="clear" w:color="auto" w:fill="D4D4D4"/>
          </w:tcPr>
          <w:p>
            <w:pPr/>
          </w:p>
        </w:tc>
        <w:tc>
          <w:tcPr>
            <w:tcW w:w="583"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0"/>
              <w:ind w:left="10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83"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0"/>
              <w:ind w:left="107"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586" w:type="dxa"/>
            <w:vMerge/>
            <w:tcBorders>
              <w:left w:val="single" w:sz="4" w:space="0" w:color="000000"/>
              <w:right w:val="single" w:sz="4" w:space="0" w:color="000000"/>
            </w:tcBorders>
            <w:shd w:val="clear" w:color="auto" w:fill="D4D4D4"/>
          </w:tcPr>
          <w:p>
            <w:pPr/>
          </w:p>
        </w:tc>
        <w:tc>
          <w:tcPr>
            <w:tcW w:w="578" w:type="dxa"/>
            <w:vMerge/>
            <w:tcBorders>
              <w:left w:val="single" w:sz="4" w:space="0" w:color="000000"/>
              <w:right w:val="single" w:sz="4" w:space="0" w:color="000000"/>
            </w:tcBorders>
            <w:shd w:val="clear" w:color="auto" w:fill="D4D4D4"/>
          </w:tcPr>
          <w:p>
            <w:pPr/>
          </w:p>
        </w:tc>
      </w:tr>
      <w:tr>
        <w:trPr>
          <w:trHeight w:val="192" w:hRule="exact"/>
        </w:trPr>
        <w:tc>
          <w:tcPr>
            <w:tcW w:w="1241" w:type="dxa"/>
            <w:vMerge/>
            <w:tcBorders>
              <w:left w:val="single" w:sz="4" w:space="0" w:color="000000"/>
              <w:right w:val="single" w:sz="4" w:space="0" w:color="000000"/>
            </w:tcBorders>
            <w:shd w:val="clear" w:color="auto" w:fill="D4D4D4"/>
          </w:tcPr>
          <w:p>
            <w:pPr/>
          </w:p>
        </w:tc>
        <w:tc>
          <w:tcPr>
            <w:tcW w:w="494" w:type="dxa"/>
            <w:vMerge/>
            <w:tcBorders>
              <w:left w:val="single" w:sz="4" w:space="0" w:color="000000"/>
              <w:bottom w:val="nil" w:sz="6" w:space="0" w:color="auto"/>
              <w:right w:val="single" w:sz="4" w:space="0" w:color="000000"/>
            </w:tcBorders>
            <w:shd w:val="clear" w:color="auto" w:fill="D4D4D4"/>
          </w:tcPr>
          <w:p>
            <w:pPr/>
          </w:p>
        </w:tc>
        <w:tc>
          <w:tcPr>
            <w:tcW w:w="466" w:type="dxa"/>
            <w:vMerge/>
            <w:tcBorders>
              <w:left w:val="single" w:sz="4" w:space="0" w:color="000000"/>
              <w:right w:val="single" w:sz="4" w:space="0" w:color="000000"/>
            </w:tcBorders>
            <w:shd w:val="clear" w:color="auto" w:fill="D4D4D4"/>
          </w:tcPr>
          <w:p>
            <w:pPr/>
          </w:p>
        </w:tc>
        <w:tc>
          <w:tcPr>
            <w:tcW w:w="466" w:type="dxa"/>
            <w:vMerge/>
            <w:tcBorders>
              <w:left w:val="single" w:sz="4" w:space="0" w:color="000000"/>
              <w:right w:val="single" w:sz="4" w:space="0" w:color="000000"/>
            </w:tcBorders>
            <w:shd w:val="clear" w:color="auto" w:fill="D4D4D4"/>
          </w:tcPr>
          <w:p>
            <w:pPr/>
          </w:p>
        </w:tc>
        <w:tc>
          <w:tcPr>
            <w:tcW w:w="468"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5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83" w:type="dxa"/>
            <w:vMerge/>
            <w:tcBorders>
              <w:left w:val="single" w:sz="4" w:space="0" w:color="000000"/>
              <w:right w:val="single" w:sz="4" w:space="0" w:color="000000"/>
            </w:tcBorders>
            <w:shd w:val="clear" w:color="auto" w:fill="D4D4D4"/>
          </w:tcPr>
          <w:p>
            <w:pPr/>
          </w:p>
        </w:tc>
        <w:tc>
          <w:tcPr>
            <w:tcW w:w="586" w:type="dxa"/>
            <w:vMerge/>
            <w:tcBorders>
              <w:left w:val="single" w:sz="4" w:space="0" w:color="000000"/>
              <w:right w:val="single" w:sz="4" w:space="0" w:color="000000"/>
            </w:tcBorders>
            <w:shd w:val="clear" w:color="auto" w:fill="D4D4D4"/>
          </w:tcPr>
          <w:p>
            <w:pPr/>
          </w:p>
        </w:tc>
        <w:tc>
          <w:tcPr>
            <w:tcW w:w="583" w:type="dxa"/>
            <w:vMerge/>
            <w:tcBorders>
              <w:left w:val="single" w:sz="4" w:space="0" w:color="000000"/>
              <w:right w:val="single" w:sz="4" w:space="0" w:color="000000"/>
            </w:tcBorders>
            <w:shd w:val="clear" w:color="auto" w:fill="D4D4D4"/>
          </w:tcPr>
          <w:p>
            <w:pPr/>
          </w:p>
        </w:tc>
        <w:tc>
          <w:tcPr>
            <w:tcW w:w="583" w:type="dxa"/>
            <w:vMerge/>
            <w:tcBorders>
              <w:left w:val="single" w:sz="4" w:space="0" w:color="000000"/>
              <w:right w:val="single" w:sz="4" w:space="0" w:color="000000"/>
            </w:tcBorders>
            <w:shd w:val="clear" w:color="auto" w:fill="D4D4D4"/>
          </w:tcPr>
          <w:p>
            <w:pPr/>
          </w:p>
        </w:tc>
        <w:tc>
          <w:tcPr>
            <w:tcW w:w="583" w:type="dxa"/>
            <w:vMerge/>
            <w:tcBorders>
              <w:left w:val="single" w:sz="4" w:space="0" w:color="000000"/>
              <w:right w:val="single" w:sz="4" w:space="0" w:color="000000"/>
            </w:tcBorders>
            <w:shd w:val="clear" w:color="auto" w:fill="D4D4D4"/>
          </w:tcPr>
          <w:p>
            <w:pPr/>
          </w:p>
        </w:tc>
        <w:tc>
          <w:tcPr>
            <w:tcW w:w="583" w:type="dxa"/>
            <w:vMerge/>
            <w:tcBorders>
              <w:left w:val="single" w:sz="4" w:space="0" w:color="000000"/>
              <w:right w:val="single" w:sz="4" w:space="0" w:color="000000"/>
            </w:tcBorders>
            <w:shd w:val="clear" w:color="auto" w:fill="D4D4D4"/>
          </w:tcPr>
          <w:p>
            <w:pPr/>
          </w:p>
        </w:tc>
        <w:tc>
          <w:tcPr>
            <w:tcW w:w="586" w:type="dxa"/>
            <w:vMerge/>
            <w:tcBorders>
              <w:left w:val="single" w:sz="4" w:space="0" w:color="000000"/>
              <w:right w:val="single" w:sz="4" w:space="0" w:color="000000"/>
            </w:tcBorders>
            <w:shd w:val="clear" w:color="auto" w:fill="D4D4D4"/>
          </w:tcPr>
          <w:p>
            <w:pPr/>
          </w:p>
        </w:tc>
        <w:tc>
          <w:tcPr>
            <w:tcW w:w="583" w:type="dxa"/>
            <w:vMerge/>
            <w:tcBorders>
              <w:left w:val="single" w:sz="4" w:space="0" w:color="000000"/>
              <w:bottom w:val="nil" w:sz="6" w:space="0" w:color="auto"/>
              <w:right w:val="single" w:sz="4" w:space="0" w:color="000000"/>
            </w:tcBorders>
            <w:shd w:val="clear" w:color="auto" w:fill="D4D4D4"/>
          </w:tcPr>
          <w:p>
            <w:pPr/>
          </w:p>
        </w:tc>
        <w:tc>
          <w:tcPr>
            <w:tcW w:w="583" w:type="dxa"/>
            <w:vMerge/>
            <w:tcBorders>
              <w:left w:val="single" w:sz="4" w:space="0" w:color="000000"/>
              <w:bottom w:val="nil" w:sz="6" w:space="0" w:color="auto"/>
              <w:right w:val="single" w:sz="4" w:space="0" w:color="000000"/>
            </w:tcBorders>
            <w:shd w:val="clear" w:color="auto" w:fill="D4D4D4"/>
          </w:tcPr>
          <w:p>
            <w:pPr/>
          </w:p>
        </w:tc>
        <w:tc>
          <w:tcPr>
            <w:tcW w:w="586" w:type="dxa"/>
            <w:vMerge/>
            <w:tcBorders>
              <w:left w:val="single" w:sz="4" w:space="0" w:color="000000"/>
              <w:right w:val="single" w:sz="4" w:space="0" w:color="000000"/>
            </w:tcBorders>
            <w:shd w:val="clear" w:color="auto" w:fill="D4D4D4"/>
          </w:tcPr>
          <w:p>
            <w:pPr/>
          </w:p>
        </w:tc>
        <w:tc>
          <w:tcPr>
            <w:tcW w:w="578" w:type="dxa"/>
            <w:vMerge/>
            <w:tcBorders>
              <w:left w:val="single" w:sz="4" w:space="0" w:color="000000"/>
              <w:right w:val="single" w:sz="4" w:space="0" w:color="000000"/>
            </w:tcBorders>
            <w:shd w:val="clear" w:color="auto" w:fill="D4D4D4"/>
          </w:tcPr>
          <w:p>
            <w:pPr/>
          </w:p>
        </w:tc>
      </w:tr>
      <w:tr>
        <w:trPr>
          <w:trHeight w:val="133" w:hRule="exact"/>
        </w:trPr>
        <w:tc>
          <w:tcPr>
            <w:tcW w:w="1241" w:type="dxa"/>
            <w:vMerge/>
            <w:tcBorders>
              <w:left w:val="single" w:sz="4" w:space="0" w:color="000000"/>
              <w:right w:val="single" w:sz="4" w:space="0" w:color="000000"/>
            </w:tcBorders>
            <w:shd w:val="clear" w:color="auto" w:fill="D4D4D4"/>
          </w:tcPr>
          <w:p>
            <w:pPr/>
          </w:p>
        </w:tc>
        <w:tc>
          <w:tcPr>
            <w:tcW w:w="494" w:type="dxa"/>
            <w:vMerge w:val="restart"/>
            <w:tcBorders>
              <w:top w:val="nil" w:sz="6" w:space="0" w:color="auto"/>
              <w:left w:val="single" w:sz="4" w:space="0" w:color="000000"/>
              <w:right w:val="single" w:sz="4" w:space="0" w:color="000000"/>
            </w:tcBorders>
            <w:shd w:val="clear" w:color="auto" w:fill="D4D4D4"/>
          </w:tcPr>
          <w:p>
            <w:pPr/>
          </w:p>
        </w:tc>
        <w:tc>
          <w:tcPr>
            <w:tcW w:w="466" w:type="dxa"/>
            <w:vMerge/>
            <w:tcBorders>
              <w:left w:val="single" w:sz="4" w:space="0" w:color="000000"/>
              <w:right w:val="single" w:sz="4" w:space="0" w:color="000000"/>
            </w:tcBorders>
            <w:shd w:val="clear" w:color="auto" w:fill="D4D4D4"/>
          </w:tcPr>
          <w:p>
            <w:pPr/>
          </w:p>
        </w:tc>
        <w:tc>
          <w:tcPr>
            <w:tcW w:w="466" w:type="dxa"/>
            <w:vMerge/>
            <w:tcBorders>
              <w:left w:val="single" w:sz="4" w:space="0" w:color="000000"/>
              <w:right w:val="single" w:sz="4" w:space="0" w:color="000000"/>
            </w:tcBorders>
            <w:shd w:val="clear" w:color="auto" w:fill="D4D4D4"/>
          </w:tcPr>
          <w:p>
            <w:pPr/>
          </w:p>
        </w:tc>
        <w:tc>
          <w:tcPr>
            <w:tcW w:w="468" w:type="dxa"/>
            <w:vMerge/>
            <w:tcBorders>
              <w:left w:val="single" w:sz="4" w:space="0" w:color="000000"/>
              <w:bottom w:val="nil" w:sz="6" w:space="0" w:color="auto"/>
              <w:right w:val="single" w:sz="4" w:space="0" w:color="000000"/>
            </w:tcBorders>
            <w:shd w:val="clear" w:color="auto" w:fill="D4D4D4"/>
          </w:tcPr>
          <w:p>
            <w:pPr/>
          </w:p>
        </w:tc>
        <w:tc>
          <w:tcPr>
            <w:tcW w:w="583" w:type="dxa"/>
            <w:vMerge/>
            <w:tcBorders>
              <w:left w:val="single" w:sz="4" w:space="0" w:color="000000"/>
              <w:bottom w:val="nil" w:sz="6" w:space="0" w:color="auto"/>
              <w:right w:val="single" w:sz="4" w:space="0" w:color="000000"/>
            </w:tcBorders>
            <w:shd w:val="clear" w:color="auto" w:fill="D4D4D4"/>
          </w:tcPr>
          <w:p>
            <w:pPr/>
          </w:p>
        </w:tc>
        <w:tc>
          <w:tcPr>
            <w:tcW w:w="586" w:type="dxa"/>
            <w:vMerge/>
            <w:tcBorders>
              <w:left w:val="single" w:sz="4" w:space="0" w:color="000000"/>
              <w:bottom w:val="nil" w:sz="6" w:space="0" w:color="auto"/>
              <w:right w:val="single" w:sz="4" w:space="0" w:color="000000"/>
            </w:tcBorders>
            <w:shd w:val="clear" w:color="auto" w:fill="D4D4D4"/>
          </w:tcPr>
          <w:p>
            <w:pPr/>
          </w:p>
        </w:tc>
        <w:tc>
          <w:tcPr>
            <w:tcW w:w="583" w:type="dxa"/>
            <w:vMerge/>
            <w:tcBorders>
              <w:left w:val="single" w:sz="4" w:space="0" w:color="000000"/>
              <w:right w:val="single" w:sz="4" w:space="0" w:color="000000"/>
            </w:tcBorders>
            <w:shd w:val="clear" w:color="auto" w:fill="D4D4D4"/>
          </w:tcPr>
          <w:p>
            <w:pPr/>
          </w:p>
        </w:tc>
        <w:tc>
          <w:tcPr>
            <w:tcW w:w="583" w:type="dxa"/>
            <w:vMerge/>
            <w:tcBorders>
              <w:left w:val="single" w:sz="4" w:space="0" w:color="000000"/>
              <w:bottom w:val="nil" w:sz="6" w:space="0" w:color="auto"/>
              <w:right w:val="single" w:sz="4" w:space="0" w:color="000000"/>
            </w:tcBorders>
            <w:shd w:val="clear" w:color="auto" w:fill="D4D4D4"/>
          </w:tcPr>
          <w:p>
            <w:pPr/>
          </w:p>
        </w:tc>
        <w:tc>
          <w:tcPr>
            <w:tcW w:w="583" w:type="dxa"/>
            <w:vMerge/>
            <w:tcBorders>
              <w:left w:val="single" w:sz="4" w:space="0" w:color="000000"/>
              <w:bottom w:val="nil" w:sz="6" w:space="0" w:color="auto"/>
              <w:right w:val="single" w:sz="4" w:space="0" w:color="000000"/>
            </w:tcBorders>
            <w:shd w:val="clear" w:color="auto" w:fill="D4D4D4"/>
          </w:tcPr>
          <w:p>
            <w:pPr/>
          </w:p>
        </w:tc>
        <w:tc>
          <w:tcPr>
            <w:tcW w:w="583" w:type="dxa"/>
            <w:vMerge/>
            <w:tcBorders>
              <w:left w:val="single" w:sz="4" w:space="0" w:color="000000"/>
              <w:right w:val="single" w:sz="4" w:space="0" w:color="000000"/>
            </w:tcBorders>
            <w:shd w:val="clear" w:color="auto" w:fill="D4D4D4"/>
          </w:tcPr>
          <w:p>
            <w:pPr/>
          </w:p>
        </w:tc>
        <w:tc>
          <w:tcPr>
            <w:tcW w:w="586" w:type="dxa"/>
            <w:vMerge/>
            <w:tcBorders>
              <w:left w:val="single" w:sz="4" w:space="0" w:color="000000"/>
              <w:right w:val="single" w:sz="4" w:space="0" w:color="000000"/>
            </w:tcBorders>
            <w:shd w:val="clear" w:color="auto" w:fill="D4D4D4"/>
          </w:tcPr>
          <w:p>
            <w:pPr/>
          </w:p>
        </w:tc>
        <w:tc>
          <w:tcPr>
            <w:tcW w:w="583" w:type="dxa"/>
            <w:vMerge w:val="restart"/>
            <w:tcBorders>
              <w:top w:val="nil" w:sz="6" w:space="0" w:color="auto"/>
              <w:left w:val="single" w:sz="4" w:space="0" w:color="000000"/>
              <w:right w:val="single" w:sz="4" w:space="0" w:color="000000"/>
            </w:tcBorders>
            <w:shd w:val="clear" w:color="auto" w:fill="D4D4D4"/>
          </w:tcPr>
          <w:p>
            <w:pPr/>
          </w:p>
        </w:tc>
        <w:tc>
          <w:tcPr>
            <w:tcW w:w="583" w:type="dxa"/>
            <w:vMerge w:val="restart"/>
            <w:tcBorders>
              <w:top w:val="nil" w:sz="6" w:space="0" w:color="auto"/>
              <w:left w:val="single" w:sz="4" w:space="0" w:color="000000"/>
              <w:right w:val="single" w:sz="4" w:space="0" w:color="000000"/>
            </w:tcBorders>
            <w:shd w:val="clear" w:color="auto" w:fill="D4D4D4"/>
          </w:tcPr>
          <w:p>
            <w:pPr/>
          </w:p>
        </w:tc>
        <w:tc>
          <w:tcPr>
            <w:tcW w:w="586" w:type="dxa"/>
            <w:vMerge/>
            <w:tcBorders>
              <w:left w:val="single" w:sz="4" w:space="0" w:color="000000"/>
              <w:bottom w:val="nil" w:sz="6" w:space="0" w:color="auto"/>
              <w:right w:val="single" w:sz="4" w:space="0" w:color="000000"/>
            </w:tcBorders>
            <w:shd w:val="clear" w:color="auto" w:fill="D4D4D4"/>
          </w:tcPr>
          <w:p>
            <w:pPr/>
          </w:p>
        </w:tc>
        <w:tc>
          <w:tcPr>
            <w:tcW w:w="578" w:type="dxa"/>
            <w:vMerge/>
            <w:tcBorders>
              <w:left w:val="single" w:sz="4" w:space="0" w:color="000000"/>
              <w:right w:val="single" w:sz="4" w:space="0" w:color="000000"/>
            </w:tcBorders>
            <w:shd w:val="clear" w:color="auto" w:fill="D4D4D4"/>
          </w:tcPr>
          <w:p>
            <w:pPr/>
          </w:p>
        </w:tc>
      </w:tr>
      <w:tr>
        <w:trPr>
          <w:trHeight w:val="122" w:hRule="exact"/>
        </w:trPr>
        <w:tc>
          <w:tcPr>
            <w:tcW w:w="1241" w:type="dxa"/>
            <w:vMerge/>
            <w:tcBorders>
              <w:left w:val="single" w:sz="4" w:space="0" w:color="000000"/>
              <w:right w:val="single" w:sz="4" w:space="0" w:color="000000"/>
            </w:tcBorders>
            <w:shd w:val="clear" w:color="auto" w:fill="D4D4D4"/>
          </w:tcPr>
          <w:p>
            <w:pPr/>
          </w:p>
        </w:tc>
        <w:tc>
          <w:tcPr>
            <w:tcW w:w="494" w:type="dxa"/>
            <w:vMerge/>
            <w:tcBorders>
              <w:left w:val="single" w:sz="4" w:space="0" w:color="000000"/>
              <w:right w:val="single" w:sz="4" w:space="0" w:color="000000"/>
            </w:tcBorders>
            <w:shd w:val="clear" w:color="auto" w:fill="D4D4D4"/>
          </w:tcPr>
          <w:p>
            <w:pPr/>
          </w:p>
        </w:tc>
        <w:tc>
          <w:tcPr>
            <w:tcW w:w="466" w:type="dxa"/>
            <w:vMerge/>
            <w:tcBorders>
              <w:left w:val="single" w:sz="4" w:space="0" w:color="000000"/>
              <w:right w:val="single" w:sz="4" w:space="0" w:color="000000"/>
            </w:tcBorders>
            <w:shd w:val="clear" w:color="auto" w:fill="D4D4D4"/>
          </w:tcPr>
          <w:p>
            <w:pPr/>
          </w:p>
        </w:tc>
        <w:tc>
          <w:tcPr>
            <w:tcW w:w="466" w:type="dxa"/>
            <w:vMerge/>
            <w:tcBorders>
              <w:left w:val="single" w:sz="4" w:space="0" w:color="000000"/>
              <w:right w:val="single" w:sz="4" w:space="0" w:color="000000"/>
            </w:tcBorders>
            <w:shd w:val="clear" w:color="auto" w:fill="D4D4D4"/>
          </w:tcPr>
          <w:p>
            <w:pPr/>
          </w:p>
        </w:tc>
        <w:tc>
          <w:tcPr>
            <w:tcW w:w="468" w:type="dxa"/>
            <w:vMerge w:val="restart"/>
            <w:tcBorders>
              <w:top w:val="nil" w:sz="6" w:space="0" w:color="auto"/>
              <w:left w:val="single" w:sz="4" w:space="0" w:color="000000"/>
              <w:right w:val="single" w:sz="4" w:space="0" w:color="000000"/>
            </w:tcBorders>
            <w:shd w:val="clear" w:color="auto" w:fill="D4D4D4"/>
          </w:tcPr>
          <w:p>
            <w:pPr/>
          </w:p>
        </w:tc>
        <w:tc>
          <w:tcPr>
            <w:tcW w:w="583" w:type="dxa"/>
            <w:vMerge w:val="restart"/>
            <w:tcBorders>
              <w:top w:val="nil" w:sz="6" w:space="0" w:color="auto"/>
              <w:left w:val="single" w:sz="4" w:space="0" w:color="000000"/>
              <w:right w:val="single" w:sz="4" w:space="0" w:color="000000"/>
            </w:tcBorders>
            <w:shd w:val="clear" w:color="auto" w:fill="D4D4D4"/>
          </w:tcPr>
          <w:p>
            <w:pPr/>
          </w:p>
        </w:tc>
        <w:tc>
          <w:tcPr>
            <w:tcW w:w="586" w:type="dxa"/>
            <w:vMerge w:val="restart"/>
            <w:tcBorders>
              <w:top w:val="nil" w:sz="6" w:space="0" w:color="auto"/>
              <w:left w:val="single" w:sz="4" w:space="0" w:color="000000"/>
              <w:right w:val="single" w:sz="4" w:space="0" w:color="000000"/>
            </w:tcBorders>
            <w:shd w:val="clear" w:color="auto" w:fill="D4D4D4"/>
          </w:tcPr>
          <w:p>
            <w:pPr/>
          </w:p>
        </w:tc>
        <w:tc>
          <w:tcPr>
            <w:tcW w:w="583" w:type="dxa"/>
            <w:vMerge/>
            <w:tcBorders>
              <w:left w:val="single" w:sz="4" w:space="0" w:color="000000"/>
              <w:right w:val="single" w:sz="4" w:space="0" w:color="000000"/>
            </w:tcBorders>
            <w:shd w:val="clear" w:color="auto" w:fill="D4D4D4"/>
          </w:tcPr>
          <w:p>
            <w:pPr/>
          </w:p>
        </w:tc>
        <w:tc>
          <w:tcPr>
            <w:tcW w:w="583" w:type="dxa"/>
            <w:vMerge w:val="restart"/>
            <w:tcBorders>
              <w:top w:val="nil" w:sz="6" w:space="0" w:color="auto"/>
              <w:left w:val="single" w:sz="4" w:space="0" w:color="000000"/>
              <w:right w:val="single" w:sz="4" w:space="0" w:color="000000"/>
            </w:tcBorders>
            <w:shd w:val="clear" w:color="auto" w:fill="D4D4D4"/>
          </w:tcPr>
          <w:p>
            <w:pPr/>
          </w:p>
        </w:tc>
        <w:tc>
          <w:tcPr>
            <w:tcW w:w="583" w:type="dxa"/>
            <w:vMerge w:val="restart"/>
            <w:tcBorders>
              <w:top w:val="nil" w:sz="6" w:space="0" w:color="auto"/>
              <w:left w:val="single" w:sz="4" w:space="0" w:color="000000"/>
              <w:right w:val="single" w:sz="4" w:space="0" w:color="000000"/>
            </w:tcBorders>
            <w:shd w:val="clear" w:color="auto" w:fill="D4D4D4"/>
          </w:tcPr>
          <w:p>
            <w:pPr/>
          </w:p>
        </w:tc>
        <w:tc>
          <w:tcPr>
            <w:tcW w:w="583" w:type="dxa"/>
            <w:vMerge/>
            <w:tcBorders>
              <w:left w:val="single" w:sz="4" w:space="0" w:color="000000"/>
              <w:right w:val="single" w:sz="4" w:space="0" w:color="000000"/>
            </w:tcBorders>
            <w:shd w:val="clear" w:color="auto" w:fill="D4D4D4"/>
          </w:tcPr>
          <w:p>
            <w:pPr/>
          </w:p>
        </w:tc>
        <w:tc>
          <w:tcPr>
            <w:tcW w:w="586" w:type="dxa"/>
            <w:vMerge/>
            <w:tcBorders>
              <w:left w:val="single" w:sz="4" w:space="0" w:color="000000"/>
              <w:right w:val="single" w:sz="4" w:space="0" w:color="000000"/>
            </w:tcBorders>
            <w:shd w:val="clear" w:color="auto" w:fill="D4D4D4"/>
          </w:tcPr>
          <w:p>
            <w:pPr/>
          </w:p>
        </w:tc>
        <w:tc>
          <w:tcPr>
            <w:tcW w:w="583" w:type="dxa"/>
            <w:vMerge/>
            <w:tcBorders>
              <w:left w:val="single" w:sz="4" w:space="0" w:color="000000"/>
              <w:right w:val="single" w:sz="4" w:space="0" w:color="000000"/>
            </w:tcBorders>
            <w:shd w:val="clear" w:color="auto" w:fill="D4D4D4"/>
          </w:tcPr>
          <w:p>
            <w:pPr/>
          </w:p>
        </w:tc>
        <w:tc>
          <w:tcPr>
            <w:tcW w:w="583" w:type="dxa"/>
            <w:vMerge/>
            <w:tcBorders>
              <w:left w:val="single" w:sz="4" w:space="0" w:color="000000"/>
              <w:right w:val="single" w:sz="4" w:space="0" w:color="000000"/>
            </w:tcBorders>
            <w:shd w:val="clear" w:color="auto" w:fill="D4D4D4"/>
          </w:tcPr>
          <w:p>
            <w:pPr/>
          </w:p>
        </w:tc>
        <w:tc>
          <w:tcPr>
            <w:tcW w:w="586" w:type="dxa"/>
            <w:vMerge w:val="restart"/>
            <w:tcBorders>
              <w:top w:val="nil" w:sz="6" w:space="0" w:color="auto"/>
              <w:left w:val="single" w:sz="4" w:space="0" w:color="000000"/>
              <w:right w:val="single" w:sz="4" w:space="0" w:color="000000"/>
            </w:tcBorders>
            <w:shd w:val="clear" w:color="auto" w:fill="D4D4D4"/>
          </w:tcPr>
          <w:p>
            <w:pPr/>
          </w:p>
        </w:tc>
        <w:tc>
          <w:tcPr>
            <w:tcW w:w="578" w:type="dxa"/>
            <w:vMerge/>
            <w:tcBorders>
              <w:left w:val="single" w:sz="4" w:space="0" w:color="000000"/>
              <w:bottom w:val="nil" w:sz="6" w:space="0" w:color="auto"/>
              <w:right w:val="single" w:sz="4" w:space="0" w:color="000000"/>
            </w:tcBorders>
            <w:shd w:val="clear" w:color="auto" w:fill="D4D4D4"/>
          </w:tcPr>
          <w:p>
            <w:pPr/>
          </w:p>
        </w:tc>
      </w:tr>
      <w:tr>
        <w:trPr>
          <w:trHeight w:val="96" w:hRule="exact"/>
        </w:trPr>
        <w:tc>
          <w:tcPr>
            <w:tcW w:w="1241" w:type="dxa"/>
            <w:vMerge/>
            <w:tcBorders>
              <w:left w:val="single" w:sz="4" w:space="0" w:color="000000"/>
              <w:bottom w:val="single" w:sz="4" w:space="0" w:color="000000"/>
              <w:right w:val="single" w:sz="4" w:space="0" w:color="000000"/>
            </w:tcBorders>
            <w:shd w:val="clear" w:color="auto" w:fill="D4D4D4"/>
          </w:tcPr>
          <w:p>
            <w:pPr/>
          </w:p>
        </w:tc>
        <w:tc>
          <w:tcPr>
            <w:tcW w:w="494" w:type="dxa"/>
            <w:vMerge/>
            <w:tcBorders>
              <w:left w:val="single" w:sz="4" w:space="0" w:color="000000"/>
              <w:bottom w:val="single" w:sz="4" w:space="0" w:color="000000"/>
              <w:right w:val="single" w:sz="4" w:space="0" w:color="000000"/>
            </w:tcBorders>
            <w:shd w:val="clear" w:color="auto" w:fill="D4D4D4"/>
          </w:tcPr>
          <w:p>
            <w:pPr/>
          </w:p>
        </w:tc>
        <w:tc>
          <w:tcPr>
            <w:tcW w:w="466" w:type="dxa"/>
            <w:vMerge/>
            <w:tcBorders>
              <w:left w:val="single" w:sz="4" w:space="0" w:color="000000"/>
              <w:bottom w:val="single" w:sz="4" w:space="0" w:color="000000"/>
              <w:right w:val="single" w:sz="4" w:space="0" w:color="000000"/>
            </w:tcBorders>
            <w:shd w:val="clear" w:color="auto" w:fill="D4D4D4"/>
          </w:tcPr>
          <w:p>
            <w:pPr/>
          </w:p>
        </w:tc>
        <w:tc>
          <w:tcPr>
            <w:tcW w:w="466" w:type="dxa"/>
            <w:vMerge/>
            <w:tcBorders>
              <w:left w:val="single" w:sz="4" w:space="0" w:color="000000"/>
              <w:bottom w:val="single" w:sz="4" w:space="0" w:color="000000"/>
              <w:right w:val="single" w:sz="4" w:space="0" w:color="000000"/>
            </w:tcBorders>
            <w:shd w:val="clear" w:color="auto" w:fill="D4D4D4"/>
          </w:tcPr>
          <w:p>
            <w:pPr/>
          </w:p>
        </w:tc>
        <w:tc>
          <w:tcPr>
            <w:tcW w:w="468" w:type="dxa"/>
            <w:vMerge/>
            <w:tcBorders>
              <w:left w:val="single" w:sz="4" w:space="0" w:color="000000"/>
              <w:bottom w:val="single" w:sz="4" w:space="0" w:color="000000"/>
              <w:right w:val="single" w:sz="4" w:space="0" w:color="000000"/>
            </w:tcBorders>
            <w:shd w:val="clear" w:color="auto" w:fill="D4D4D4"/>
          </w:tcPr>
          <w:p>
            <w:pPr/>
          </w:p>
        </w:tc>
        <w:tc>
          <w:tcPr>
            <w:tcW w:w="583" w:type="dxa"/>
            <w:vMerge/>
            <w:tcBorders>
              <w:left w:val="single" w:sz="4" w:space="0" w:color="000000"/>
              <w:bottom w:val="single" w:sz="4" w:space="0" w:color="000000"/>
              <w:right w:val="single" w:sz="4" w:space="0" w:color="000000"/>
            </w:tcBorders>
            <w:shd w:val="clear" w:color="auto" w:fill="D4D4D4"/>
          </w:tcPr>
          <w:p>
            <w:pPr/>
          </w:p>
        </w:tc>
        <w:tc>
          <w:tcPr>
            <w:tcW w:w="586" w:type="dxa"/>
            <w:vMerge/>
            <w:tcBorders>
              <w:left w:val="single" w:sz="4" w:space="0" w:color="000000"/>
              <w:bottom w:val="single" w:sz="4" w:space="0" w:color="000000"/>
              <w:right w:val="single" w:sz="4" w:space="0" w:color="000000"/>
            </w:tcBorders>
            <w:shd w:val="clear" w:color="auto" w:fill="D4D4D4"/>
          </w:tcPr>
          <w:p>
            <w:pPr/>
          </w:p>
        </w:tc>
        <w:tc>
          <w:tcPr>
            <w:tcW w:w="583" w:type="dxa"/>
            <w:vMerge/>
            <w:tcBorders>
              <w:left w:val="single" w:sz="4" w:space="0" w:color="000000"/>
              <w:bottom w:val="single" w:sz="4" w:space="0" w:color="000000"/>
              <w:right w:val="single" w:sz="4" w:space="0" w:color="000000"/>
            </w:tcBorders>
            <w:shd w:val="clear" w:color="auto" w:fill="D4D4D4"/>
          </w:tcPr>
          <w:p>
            <w:pPr/>
          </w:p>
        </w:tc>
        <w:tc>
          <w:tcPr>
            <w:tcW w:w="583" w:type="dxa"/>
            <w:vMerge/>
            <w:tcBorders>
              <w:left w:val="single" w:sz="4" w:space="0" w:color="000000"/>
              <w:bottom w:val="single" w:sz="4" w:space="0" w:color="000000"/>
              <w:right w:val="single" w:sz="4" w:space="0" w:color="000000"/>
            </w:tcBorders>
            <w:shd w:val="clear" w:color="auto" w:fill="D4D4D4"/>
          </w:tcPr>
          <w:p>
            <w:pPr/>
          </w:p>
        </w:tc>
        <w:tc>
          <w:tcPr>
            <w:tcW w:w="583" w:type="dxa"/>
            <w:vMerge/>
            <w:tcBorders>
              <w:left w:val="single" w:sz="4" w:space="0" w:color="000000"/>
              <w:bottom w:val="single" w:sz="4" w:space="0" w:color="000000"/>
              <w:right w:val="single" w:sz="4" w:space="0" w:color="000000"/>
            </w:tcBorders>
            <w:shd w:val="clear" w:color="auto" w:fill="D4D4D4"/>
          </w:tcPr>
          <w:p>
            <w:pPr/>
          </w:p>
        </w:tc>
        <w:tc>
          <w:tcPr>
            <w:tcW w:w="583" w:type="dxa"/>
            <w:vMerge/>
            <w:tcBorders>
              <w:left w:val="single" w:sz="4" w:space="0" w:color="000000"/>
              <w:bottom w:val="single" w:sz="4" w:space="0" w:color="000000"/>
              <w:right w:val="single" w:sz="4" w:space="0" w:color="000000"/>
            </w:tcBorders>
            <w:shd w:val="clear" w:color="auto" w:fill="D4D4D4"/>
          </w:tcPr>
          <w:p>
            <w:pPr/>
          </w:p>
        </w:tc>
        <w:tc>
          <w:tcPr>
            <w:tcW w:w="586" w:type="dxa"/>
            <w:vMerge/>
            <w:tcBorders>
              <w:left w:val="single" w:sz="4" w:space="0" w:color="000000"/>
              <w:bottom w:val="single" w:sz="4" w:space="0" w:color="000000"/>
              <w:right w:val="single" w:sz="4" w:space="0" w:color="000000"/>
            </w:tcBorders>
            <w:shd w:val="clear" w:color="auto" w:fill="D4D4D4"/>
          </w:tcPr>
          <w:p>
            <w:pPr/>
          </w:p>
        </w:tc>
        <w:tc>
          <w:tcPr>
            <w:tcW w:w="583" w:type="dxa"/>
            <w:vMerge/>
            <w:tcBorders>
              <w:left w:val="single" w:sz="4" w:space="0" w:color="000000"/>
              <w:bottom w:val="single" w:sz="4" w:space="0" w:color="000000"/>
              <w:right w:val="single" w:sz="4" w:space="0" w:color="000000"/>
            </w:tcBorders>
            <w:shd w:val="clear" w:color="auto" w:fill="D4D4D4"/>
          </w:tcPr>
          <w:p>
            <w:pPr/>
          </w:p>
        </w:tc>
        <w:tc>
          <w:tcPr>
            <w:tcW w:w="583" w:type="dxa"/>
            <w:vMerge/>
            <w:tcBorders>
              <w:left w:val="single" w:sz="4" w:space="0" w:color="000000"/>
              <w:bottom w:val="single" w:sz="4" w:space="0" w:color="000000"/>
              <w:right w:val="single" w:sz="4" w:space="0" w:color="000000"/>
            </w:tcBorders>
            <w:shd w:val="clear" w:color="auto" w:fill="D4D4D4"/>
          </w:tcPr>
          <w:p>
            <w:pPr/>
          </w:p>
        </w:tc>
        <w:tc>
          <w:tcPr>
            <w:tcW w:w="586" w:type="dxa"/>
            <w:vMerge/>
            <w:tcBorders>
              <w:left w:val="single" w:sz="4" w:space="0" w:color="000000"/>
              <w:bottom w:val="single" w:sz="4" w:space="0" w:color="000000"/>
              <w:right w:val="single" w:sz="4" w:space="0" w:color="000000"/>
            </w:tcBorders>
            <w:shd w:val="clear" w:color="auto" w:fill="D4D4D4"/>
          </w:tcPr>
          <w:p>
            <w:pPr/>
          </w:p>
        </w:tc>
        <w:tc>
          <w:tcPr>
            <w:tcW w:w="578" w:type="dxa"/>
            <w:tcBorders>
              <w:top w:val="nil" w:sz="6" w:space="0" w:color="auto"/>
              <w:left w:val="single" w:sz="4" w:space="0" w:color="000000"/>
              <w:bottom w:val="single" w:sz="4" w:space="0" w:color="000000"/>
              <w:right w:val="single" w:sz="4" w:space="0" w:color="000000"/>
            </w:tcBorders>
            <w:shd w:val="clear" w:color="auto" w:fill="D4D4D4"/>
          </w:tcPr>
          <w:p>
            <w:pPr/>
          </w:p>
        </w:tc>
      </w:tr>
      <w:tr>
        <w:trPr>
          <w:trHeight w:val="161" w:hRule="exact"/>
        </w:trPr>
        <w:tc>
          <w:tcPr>
            <w:tcW w:w="1241" w:type="dxa"/>
            <w:tcBorders>
              <w:top w:val="single" w:sz="4" w:space="0" w:color="000000"/>
              <w:left w:val="single" w:sz="4" w:space="0" w:color="000000"/>
              <w:bottom w:val="nil" w:sz="6" w:space="0" w:color="auto"/>
              <w:right w:val="single" w:sz="4" w:space="0" w:color="000000"/>
            </w:tcBorders>
            <w:shd w:val="clear" w:color="auto" w:fill="D4D4D4"/>
          </w:tcPr>
          <w:p>
            <w:pPr/>
          </w:p>
        </w:tc>
        <w:tc>
          <w:tcPr>
            <w:tcW w:w="494" w:type="dxa"/>
            <w:vMerge w:val="restart"/>
            <w:tcBorders>
              <w:top w:val="single" w:sz="4" w:space="0" w:color="000000"/>
              <w:left w:val="single" w:sz="9" w:space="0" w:color="D4D4D4"/>
              <w:right w:val="single" w:sz="4" w:space="0" w:color="000000"/>
            </w:tcBorders>
          </w:tcPr>
          <w:p>
            <w:pPr>
              <w:pStyle w:val="TableParagraph"/>
              <w:spacing w:line="240" w:lineRule="auto" w:before="91"/>
              <w:ind w:left="49" w:right="0"/>
              <w:jc w:val="left"/>
              <w:rPr>
                <w:rFonts w:ascii="Times New Roman" w:hAnsi="Times New Roman" w:cs="Times New Roman" w:eastAsia="Times New Roman" w:hint="default"/>
                <w:sz w:val="18"/>
                <w:szCs w:val="18"/>
              </w:rPr>
            </w:pPr>
            <w:r>
              <w:rPr>
                <w:rFonts w:ascii="Times New Roman"/>
                <w:sz w:val="18"/>
              </w:rPr>
              <w:t>794,8</w:t>
            </w:r>
          </w:p>
          <w:p>
            <w:pPr>
              <w:pStyle w:val="TableParagraph"/>
              <w:spacing w:line="240" w:lineRule="auto" w:before="102"/>
              <w:ind w:left="49" w:right="0"/>
              <w:jc w:val="left"/>
              <w:rPr>
                <w:rFonts w:ascii="Times New Roman" w:hAnsi="Times New Roman" w:cs="Times New Roman" w:eastAsia="Times New Roman" w:hint="default"/>
                <w:sz w:val="18"/>
                <w:szCs w:val="18"/>
              </w:rPr>
            </w:pPr>
            <w:r>
              <w:rPr>
                <w:rFonts w:ascii="Times New Roman"/>
                <w:sz w:val="18"/>
              </w:rPr>
              <w:t>32,80</w:t>
            </w:r>
          </w:p>
          <w:p>
            <w:pPr>
              <w:pStyle w:val="TableParagraph"/>
              <w:spacing w:line="240" w:lineRule="auto" w:before="105"/>
              <w:ind w:left="140" w:right="0"/>
              <w:jc w:val="left"/>
              <w:rPr>
                <w:rFonts w:ascii="Times New Roman" w:hAnsi="Times New Roman" w:cs="Times New Roman" w:eastAsia="Times New Roman" w:hint="default"/>
                <w:sz w:val="18"/>
                <w:szCs w:val="18"/>
              </w:rPr>
            </w:pPr>
            <w:r>
              <w:rPr>
                <w:rFonts w:ascii="Times New Roman"/>
                <w:sz w:val="18"/>
              </w:rPr>
              <w:t>9.00</w:t>
            </w:r>
          </w:p>
        </w:tc>
        <w:tc>
          <w:tcPr>
            <w:tcW w:w="466"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582,32</w:t>
            </w:r>
          </w:p>
          <w:p>
            <w:pPr>
              <w:pStyle w:val="TableParagraph"/>
              <w:spacing w:line="240" w:lineRule="auto" w:before="102"/>
              <w:ind w:left="100" w:right="0"/>
              <w:jc w:val="left"/>
              <w:rPr>
                <w:rFonts w:ascii="Times New Roman" w:hAnsi="Times New Roman" w:cs="Times New Roman" w:eastAsia="Times New Roman" w:hint="default"/>
                <w:sz w:val="18"/>
                <w:szCs w:val="18"/>
              </w:rPr>
            </w:pPr>
            <w:r>
              <w:rPr>
                <w:rFonts w:ascii="Times New Roman"/>
                <w:sz w:val="18"/>
              </w:rPr>
              <w:t>5,767.</w:t>
            </w:r>
          </w:p>
          <w:p>
            <w:pPr>
              <w:pStyle w:val="TableParagraph"/>
              <w:spacing w:line="240" w:lineRule="auto" w:before="105"/>
              <w:ind w:left="372" w:right="0"/>
              <w:jc w:val="left"/>
              <w:rPr>
                <w:rFonts w:ascii="Times New Roman" w:hAnsi="Times New Roman" w:cs="Times New Roman" w:eastAsia="Times New Roman" w:hint="default"/>
                <w:sz w:val="18"/>
                <w:szCs w:val="18"/>
              </w:rPr>
            </w:pPr>
            <w:r>
              <w:rPr>
                <w:rFonts w:ascii="Times New Roman"/>
                <w:sz w:val="18"/>
              </w:rPr>
              <w:t>41</w:t>
            </w:r>
          </w:p>
        </w:tc>
        <w:tc>
          <w:tcPr>
            <w:tcW w:w="586"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34,813</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,142.0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583" w:type="dxa"/>
            <w:vMerge w:val="restart"/>
            <w:tcBorders>
              <w:top w:val="single" w:sz="22" w:space="0" w:color="D4D4D4"/>
              <w:left w:val="single" w:sz="4" w:space="0" w:color="000000"/>
              <w:right w:val="single" w:sz="4" w:space="0" w:color="000000"/>
            </w:tcBorders>
          </w:tcPr>
          <w:p>
            <w:pPr>
              <w:pStyle w:val="TableParagraph"/>
              <w:spacing w:line="240" w:lineRule="auto" w:before="68"/>
              <w:ind w:left="57" w:right="0"/>
              <w:jc w:val="left"/>
              <w:rPr>
                <w:rFonts w:ascii="Times New Roman" w:hAnsi="Times New Roman" w:cs="Times New Roman" w:eastAsia="Times New Roman" w:hint="default"/>
                <w:sz w:val="18"/>
                <w:szCs w:val="18"/>
              </w:rPr>
            </w:pPr>
            <w:r>
              <w:rPr>
                <w:rFonts w:ascii="Times New Roman"/>
                <w:sz w:val="18"/>
              </w:rPr>
              <w:t>131,69</w:t>
            </w:r>
          </w:p>
          <w:p>
            <w:pPr>
              <w:pStyle w:val="TableParagraph"/>
              <w:spacing w:line="240" w:lineRule="auto" w:before="102"/>
              <w:ind w:left="100" w:right="0"/>
              <w:jc w:val="left"/>
              <w:rPr>
                <w:rFonts w:ascii="Times New Roman" w:hAnsi="Times New Roman" w:cs="Times New Roman" w:eastAsia="Times New Roman" w:hint="default"/>
                <w:sz w:val="18"/>
                <w:szCs w:val="18"/>
              </w:rPr>
            </w:pPr>
            <w:r>
              <w:rPr>
                <w:rFonts w:ascii="Times New Roman"/>
                <w:sz w:val="18"/>
              </w:rPr>
              <w:t>2,509.</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57</w:t>
            </w:r>
          </w:p>
        </w:tc>
        <w:tc>
          <w:tcPr>
            <w:tcW w:w="583"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97,552</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,177.9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583" w:type="dxa"/>
            <w:vMerge w:val="restart"/>
            <w:tcBorders>
              <w:top w:val="single" w:sz="22" w:space="0" w:color="D4D4D4"/>
              <w:left w:val="single" w:sz="4" w:space="0" w:color="000000"/>
              <w:right w:val="single" w:sz="4" w:space="0" w:color="000000"/>
            </w:tcBorders>
          </w:tcPr>
          <w:p>
            <w:pPr/>
          </w:p>
        </w:tc>
        <w:tc>
          <w:tcPr>
            <w:tcW w:w="586" w:type="dxa"/>
            <w:vMerge w:val="restart"/>
            <w:tcBorders>
              <w:top w:val="single" w:sz="22" w:space="0" w:color="D4D4D4"/>
              <w:left w:val="single" w:sz="4" w:space="0" w:color="000000"/>
              <w:right w:val="single" w:sz="4" w:space="0" w:color="000000"/>
            </w:tcBorders>
          </w:tcPr>
          <w:p>
            <w:pPr>
              <w:pStyle w:val="TableParagraph"/>
              <w:spacing w:line="240" w:lineRule="auto" w:before="68"/>
              <w:ind w:left="59" w:right="0"/>
              <w:jc w:val="left"/>
              <w:rPr>
                <w:rFonts w:ascii="Times New Roman" w:hAnsi="Times New Roman" w:cs="Times New Roman" w:eastAsia="Times New Roman" w:hint="default"/>
                <w:sz w:val="18"/>
                <w:szCs w:val="18"/>
              </w:rPr>
            </w:pPr>
            <w:r>
              <w:rPr>
                <w:rFonts w:ascii="Times New Roman"/>
                <w:sz w:val="18"/>
              </w:rPr>
              <w:t>979,09</w:t>
            </w:r>
          </w:p>
          <w:p>
            <w:pPr>
              <w:pStyle w:val="TableParagraph"/>
              <w:spacing w:line="240" w:lineRule="auto" w:before="102"/>
              <w:ind w:left="103" w:right="0"/>
              <w:jc w:val="left"/>
              <w:rPr>
                <w:rFonts w:ascii="Times New Roman" w:hAnsi="Times New Roman" w:cs="Times New Roman" w:eastAsia="Times New Roman" w:hint="default"/>
                <w:sz w:val="18"/>
                <w:szCs w:val="18"/>
              </w:rPr>
            </w:pPr>
            <w:r>
              <w:rPr>
                <w:rFonts w:ascii="Times New Roman"/>
                <w:sz w:val="18"/>
              </w:rPr>
              <w:t>4,436.</w:t>
            </w:r>
          </w:p>
          <w:p>
            <w:pPr>
              <w:pStyle w:val="TableParagraph"/>
              <w:spacing w:line="240" w:lineRule="auto" w:before="105"/>
              <w:ind w:left="374" w:right="0"/>
              <w:jc w:val="left"/>
              <w:rPr>
                <w:rFonts w:ascii="Times New Roman" w:hAnsi="Times New Roman" w:cs="Times New Roman" w:eastAsia="Times New Roman" w:hint="default"/>
                <w:sz w:val="18"/>
                <w:szCs w:val="18"/>
              </w:rPr>
            </w:pPr>
            <w:r>
              <w:rPr>
                <w:rFonts w:ascii="Times New Roman"/>
                <w:sz w:val="18"/>
              </w:rPr>
              <w:t>87</w:t>
            </w:r>
          </w:p>
        </w:tc>
        <w:tc>
          <w:tcPr>
            <w:tcW w:w="583"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91"/>
              <w:ind w:left="82" w:right="0"/>
              <w:jc w:val="center"/>
              <w:rPr>
                <w:rFonts w:ascii="Times New Roman" w:hAnsi="Times New Roman" w:cs="Times New Roman" w:eastAsia="Times New Roman" w:hint="default"/>
                <w:sz w:val="18"/>
                <w:szCs w:val="18"/>
              </w:rPr>
            </w:pPr>
            <w:r>
              <w:rPr>
                <w:rFonts w:ascii="Times New Roman"/>
                <w:sz w:val="18"/>
              </w:rPr>
              <w:t>2,550,</w:t>
            </w:r>
          </w:p>
          <w:p>
            <w:pPr>
              <w:pStyle w:val="TableParagraph"/>
              <w:spacing w:line="240" w:lineRule="auto" w:before="102"/>
              <w:ind w:left="35" w:right="0"/>
              <w:jc w:val="center"/>
              <w:rPr>
                <w:rFonts w:ascii="Times New Roman" w:hAnsi="Times New Roman" w:cs="Times New Roman" w:eastAsia="Times New Roman" w:hint="default"/>
                <w:sz w:val="18"/>
                <w:szCs w:val="18"/>
              </w:rPr>
            </w:pPr>
            <w:r>
              <w:rPr>
                <w:rFonts w:ascii="Times New Roman"/>
                <w:sz w:val="18"/>
              </w:rPr>
              <w:t>684,55</w:t>
            </w:r>
          </w:p>
          <w:p>
            <w:pPr>
              <w:pStyle w:val="TableParagraph"/>
              <w:spacing w:line="240" w:lineRule="auto" w:before="105"/>
              <w:ind w:left="217" w:right="0"/>
              <w:jc w:val="center"/>
              <w:rPr>
                <w:rFonts w:ascii="Times New Roman" w:hAnsi="Times New Roman" w:cs="Times New Roman" w:eastAsia="Times New Roman" w:hint="default"/>
                <w:sz w:val="18"/>
                <w:szCs w:val="18"/>
              </w:rPr>
            </w:pPr>
            <w:r>
              <w:rPr>
                <w:rFonts w:ascii="Times New Roman"/>
                <w:sz w:val="18"/>
              </w:rPr>
              <w:t>8.80</w:t>
            </w:r>
          </w:p>
        </w:tc>
        <w:tc>
          <w:tcPr>
            <w:tcW w:w="586"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22,434</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,451.9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578" w:type="dxa"/>
            <w:vMerge w:val="restart"/>
            <w:tcBorders>
              <w:top w:val="single" w:sz="40" w:space="0" w:color="D4D4D4"/>
              <w:left w:val="single" w:sz="4" w:space="0" w:color="000000"/>
              <w:right w:val="single" w:sz="4" w:space="0" w:color="000000"/>
            </w:tcBorders>
          </w:tcPr>
          <w:p>
            <w:pPr>
              <w:pStyle w:val="TableParagraph"/>
              <w:spacing w:line="240" w:lineRule="auto" w:before="45"/>
              <w:ind w:left="77" w:right="0"/>
              <w:jc w:val="center"/>
              <w:rPr>
                <w:rFonts w:ascii="Times New Roman" w:hAnsi="Times New Roman" w:cs="Times New Roman" w:eastAsia="Times New Roman" w:hint="default"/>
                <w:sz w:val="18"/>
                <w:szCs w:val="18"/>
              </w:rPr>
            </w:pPr>
            <w:r>
              <w:rPr>
                <w:rFonts w:ascii="Times New Roman"/>
                <w:sz w:val="18"/>
              </w:rPr>
              <w:t>2,573,</w:t>
            </w:r>
          </w:p>
          <w:p>
            <w:pPr>
              <w:pStyle w:val="TableParagraph"/>
              <w:spacing w:line="240" w:lineRule="auto" w:before="102"/>
              <w:ind w:left="38" w:right="0"/>
              <w:jc w:val="center"/>
              <w:rPr>
                <w:rFonts w:ascii="Times New Roman" w:hAnsi="Times New Roman" w:cs="Times New Roman" w:eastAsia="Times New Roman" w:hint="default"/>
                <w:sz w:val="18"/>
                <w:szCs w:val="18"/>
              </w:rPr>
            </w:pPr>
            <w:r>
              <w:rPr>
                <w:rFonts w:ascii="Times New Roman"/>
                <w:sz w:val="18"/>
              </w:rPr>
              <w:t>119,01</w:t>
            </w:r>
          </w:p>
          <w:p>
            <w:pPr>
              <w:pStyle w:val="TableParagraph"/>
              <w:spacing w:line="240" w:lineRule="auto" w:before="105"/>
              <w:ind w:left="211" w:right="0"/>
              <w:jc w:val="center"/>
              <w:rPr>
                <w:rFonts w:ascii="Times New Roman" w:hAnsi="Times New Roman" w:cs="Times New Roman" w:eastAsia="Times New Roman" w:hint="default"/>
                <w:sz w:val="18"/>
                <w:szCs w:val="18"/>
              </w:rPr>
            </w:pPr>
            <w:r>
              <w:rPr>
                <w:rFonts w:ascii="Times New Roman"/>
                <w:sz w:val="18"/>
              </w:rPr>
              <w:t>0.75</w:t>
            </w:r>
          </w:p>
        </w:tc>
      </w:tr>
      <w:tr>
        <w:trPr>
          <w:trHeight w:val="703" w:hRule="exact"/>
        </w:trPr>
        <w:tc>
          <w:tcPr>
            <w:tcW w:w="124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314" w:lineRule="auto" w:before="49"/>
              <w:ind w:left="12" w:right="19"/>
              <w:jc w:val="left"/>
              <w:rPr>
                <w:rFonts w:ascii="宋体" w:hAnsi="宋体" w:cs="宋体" w:eastAsia="宋体" w:hint="default"/>
                <w:sz w:val="18"/>
                <w:szCs w:val="18"/>
              </w:rPr>
            </w:pPr>
            <w:r>
              <w:rPr>
                <w:rFonts w:ascii="宋体" w:hAnsi="宋体" w:cs="宋体" w:eastAsia="宋体" w:hint="default"/>
                <w:spacing w:val="-9"/>
                <w:sz w:val="18"/>
                <w:szCs w:val="18"/>
              </w:rPr>
              <w:t>一、上年期末余</w:t>
            </w:r>
            <w:r>
              <w:rPr>
                <w:rFonts w:ascii="宋体" w:hAnsi="宋体" w:cs="宋体" w:eastAsia="宋体" w:hint="default"/>
                <w:sz w:val="18"/>
                <w:szCs w:val="18"/>
              </w:rPr>
              <w:t> 额</w:t>
            </w:r>
          </w:p>
        </w:tc>
        <w:tc>
          <w:tcPr>
            <w:tcW w:w="494" w:type="dxa"/>
            <w:vMerge/>
            <w:tcBorders>
              <w:left w:val="single" w:sz="9" w:space="0" w:color="D4D4D4"/>
              <w:right w:val="single" w:sz="4" w:space="0" w:color="000000"/>
            </w:tcBorders>
          </w:tcPr>
          <w:p>
            <w:pPr/>
          </w:p>
        </w:tc>
        <w:tc>
          <w:tcPr>
            <w:tcW w:w="466"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161" w:hRule="exact"/>
        </w:trPr>
        <w:tc>
          <w:tcPr>
            <w:tcW w:w="1241" w:type="dxa"/>
            <w:tcBorders>
              <w:top w:val="nil" w:sz="6" w:space="0" w:color="auto"/>
              <w:left w:val="single" w:sz="4" w:space="0" w:color="000000"/>
              <w:bottom w:val="single" w:sz="4" w:space="0" w:color="000000"/>
              <w:right w:val="single" w:sz="4" w:space="0" w:color="000000"/>
            </w:tcBorders>
            <w:shd w:val="clear" w:color="auto" w:fill="D4D4D4"/>
          </w:tcPr>
          <w:p>
            <w:pPr/>
          </w:p>
        </w:tc>
        <w:tc>
          <w:tcPr>
            <w:tcW w:w="494" w:type="dxa"/>
            <w:vMerge/>
            <w:tcBorders>
              <w:left w:val="single" w:sz="9" w:space="0" w:color="D4D4D4"/>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52"/>
        <w:gridCol w:w="494"/>
        <w:gridCol w:w="466"/>
        <w:gridCol w:w="466"/>
        <w:gridCol w:w="468"/>
        <w:gridCol w:w="583"/>
        <w:gridCol w:w="586"/>
        <w:gridCol w:w="583"/>
        <w:gridCol w:w="583"/>
        <w:gridCol w:w="583"/>
        <w:gridCol w:w="583"/>
        <w:gridCol w:w="586"/>
        <w:gridCol w:w="583"/>
        <w:gridCol w:w="583"/>
        <w:gridCol w:w="586"/>
        <w:gridCol w:w="578"/>
      </w:tblGrid>
      <w:tr>
        <w:trPr>
          <w:trHeight w:val="1025"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2" w:right="19" w:firstLine="360"/>
              <w:jc w:val="left"/>
              <w:rPr>
                <w:rFonts w:ascii="宋体" w:hAnsi="宋体" w:cs="宋体" w:eastAsia="宋体" w:hint="default"/>
                <w:sz w:val="18"/>
                <w:szCs w:val="18"/>
              </w:rPr>
            </w:pPr>
            <w:r>
              <w:rPr>
                <w:rFonts w:ascii="宋体" w:hAnsi="宋体" w:cs="宋体" w:eastAsia="宋体" w:hint="default"/>
                <w:spacing w:val="-13"/>
                <w:sz w:val="18"/>
                <w:szCs w:val="18"/>
              </w:rPr>
              <w:t>加：会计政</w:t>
            </w:r>
            <w:r>
              <w:rPr>
                <w:rFonts w:ascii="宋体" w:hAnsi="宋体" w:cs="宋体" w:eastAsia="宋体" w:hint="default"/>
                <w:sz w:val="18"/>
                <w:szCs w:val="18"/>
              </w:rPr>
              <w:t> 策变更</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28,407</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,841.7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5" w:right="0"/>
              <w:jc w:val="center"/>
              <w:rPr>
                <w:rFonts w:ascii="Times New Roman" w:hAnsi="Times New Roman" w:cs="Times New Roman" w:eastAsia="Times New Roman" w:hint="default"/>
                <w:sz w:val="18"/>
                <w:szCs w:val="18"/>
              </w:rPr>
            </w:pPr>
            <w:r>
              <w:rPr>
                <w:rFonts w:ascii="Times New Roman"/>
                <w:sz w:val="18"/>
              </w:rPr>
              <w:t>143,56</w:t>
            </w:r>
          </w:p>
          <w:p>
            <w:pPr>
              <w:pStyle w:val="TableParagraph"/>
              <w:spacing w:line="240" w:lineRule="auto" w:before="105"/>
              <w:ind w:left="215" w:right="0"/>
              <w:jc w:val="center"/>
              <w:rPr>
                <w:rFonts w:ascii="Times New Roman" w:hAnsi="Times New Roman" w:cs="Times New Roman" w:eastAsia="Times New Roman" w:hint="default"/>
                <w:sz w:val="18"/>
                <w:szCs w:val="18"/>
              </w:rPr>
            </w:pPr>
            <w:r>
              <w:rPr>
                <w:rFonts w:ascii="Times New Roman"/>
                <w:sz w:val="18"/>
              </w:rPr>
              <w:t>9.70</w:t>
            </w: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1,292,</w:t>
            </w:r>
          </w:p>
          <w:p>
            <w:pPr>
              <w:pStyle w:val="TableParagraph"/>
              <w:spacing w:line="240" w:lineRule="auto" w:before="105"/>
              <w:ind w:left="59" w:right="0"/>
              <w:jc w:val="left"/>
              <w:rPr>
                <w:rFonts w:ascii="Times New Roman" w:hAnsi="Times New Roman" w:cs="Times New Roman" w:eastAsia="Times New Roman" w:hint="default"/>
                <w:sz w:val="18"/>
                <w:szCs w:val="18"/>
              </w:rPr>
            </w:pPr>
            <w:r>
              <w:rPr>
                <w:rFonts w:ascii="Times New Roman"/>
                <w:sz w:val="18"/>
              </w:rPr>
              <w:t>127.34</w:t>
            </w: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29,843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,538.8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29,843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,538.8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r>
      <w:tr>
        <w:trPr>
          <w:trHeight w:val="715"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1"/>
              <w:ind w:left="22" w:right="137" w:firstLine="720"/>
              <w:jc w:val="left"/>
              <w:rPr>
                <w:rFonts w:ascii="宋体" w:hAnsi="宋体" w:cs="宋体" w:eastAsia="宋体" w:hint="default"/>
                <w:sz w:val="18"/>
                <w:szCs w:val="18"/>
              </w:rPr>
            </w:pPr>
            <w:r>
              <w:rPr>
                <w:rFonts w:ascii="宋体" w:hAnsi="宋体" w:cs="宋体" w:eastAsia="宋体" w:hint="default"/>
                <w:sz w:val="18"/>
                <w:szCs w:val="18"/>
              </w:rPr>
              <w:t>前期 差错更正</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2" w:right="137" w:firstLine="720"/>
              <w:jc w:val="both"/>
              <w:rPr>
                <w:rFonts w:ascii="宋体" w:hAnsi="宋体" w:cs="宋体" w:eastAsia="宋体" w:hint="default"/>
                <w:sz w:val="18"/>
                <w:szCs w:val="18"/>
              </w:rPr>
            </w:pPr>
            <w:r>
              <w:rPr>
                <w:rFonts w:ascii="宋体" w:hAnsi="宋体" w:cs="宋体" w:eastAsia="宋体" w:hint="default"/>
                <w:sz w:val="18"/>
                <w:szCs w:val="18"/>
              </w:rPr>
              <w:t>同一 控制下企业合 并</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4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2" w:right="19"/>
              <w:jc w:val="left"/>
              <w:rPr>
                <w:rFonts w:ascii="宋体" w:hAnsi="宋体" w:cs="宋体" w:eastAsia="宋体" w:hint="default"/>
                <w:sz w:val="18"/>
                <w:szCs w:val="18"/>
              </w:rPr>
            </w:pPr>
            <w:r>
              <w:rPr>
                <w:rFonts w:ascii="宋体" w:hAnsi="宋体" w:cs="宋体" w:eastAsia="宋体" w:hint="default"/>
                <w:spacing w:val="-9"/>
                <w:sz w:val="18"/>
                <w:szCs w:val="18"/>
              </w:rPr>
              <w:t>二、本年期初余</w:t>
            </w:r>
            <w:r>
              <w:rPr>
                <w:rFonts w:ascii="宋体" w:hAnsi="宋体" w:cs="宋体" w:eastAsia="宋体" w:hint="default"/>
                <w:sz w:val="18"/>
                <w:szCs w:val="18"/>
              </w:rPr>
              <w:t> 额</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5" w:right="0"/>
              <w:jc w:val="left"/>
              <w:rPr>
                <w:rFonts w:ascii="Times New Roman" w:hAnsi="Times New Roman" w:cs="Times New Roman" w:eastAsia="Times New Roman" w:hint="default"/>
                <w:sz w:val="18"/>
                <w:szCs w:val="18"/>
              </w:rPr>
            </w:pPr>
            <w:r>
              <w:rPr>
                <w:rFonts w:ascii="Times New Roman"/>
                <w:sz w:val="18"/>
              </w:rPr>
              <w:t>794,8</w:t>
            </w:r>
          </w:p>
          <w:p>
            <w:pPr>
              <w:pStyle w:val="TableParagraph"/>
              <w:spacing w:line="240" w:lineRule="auto" w:before="105"/>
              <w:ind w:left="55" w:right="0"/>
              <w:jc w:val="left"/>
              <w:rPr>
                <w:rFonts w:ascii="Times New Roman" w:hAnsi="Times New Roman" w:cs="Times New Roman" w:eastAsia="Times New Roman" w:hint="default"/>
                <w:sz w:val="18"/>
                <w:szCs w:val="18"/>
              </w:rPr>
            </w:pPr>
            <w:r>
              <w:rPr>
                <w:rFonts w:ascii="Times New Roman"/>
                <w:sz w:val="18"/>
              </w:rPr>
              <w:t>32,80</w:t>
            </w:r>
          </w:p>
          <w:p>
            <w:pPr>
              <w:pStyle w:val="TableParagraph"/>
              <w:spacing w:line="240" w:lineRule="auto" w:before="105"/>
              <w:ind w:left="146" w:right="0"/>
              <w:jc w:val="left"/>
              <w:rPr>
                <w:rFonts w:ascii="Times New Roman" w:hAnsi="Times New Roman" w:cs="Times New Roman" w:eastAsia="Times New Roman" w:hint="default"/>
                <w:sz w:val="18"/>
                <w:szCs w:val="18"/>
              </w:rPr>
            </w:pPr>
            <w:r>
              <w:rPr>
                <w:rFonts w:ascii="Times New Roman"/>
                <w:sz w:val="18"/>
              </w:rPr>
              <w:t>9.00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582,32</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5,767.</w:t>
            </w:r>
          </w:p>
          <w:p>
            <w:pPr>
              <w:pStyle w:val="TableParagraph"/>
              <w:spacing w:line="240" w:lineRule="auto" w:before="105"/>
              <w:ind w:left="372" w:right="0"/>
              <w:jc w:val="left"/>
              <w:rPr>
                <w:rFonts w:ascii="Times New Roman" w:hAnsi="Times New Roman" w:cs="Times New Roman" w:eastAsia="Times New Roman" w:hint="default"/>
                <w:sz w:val="18"/>
                <w:szCs w:val="18"/>
              </w:rPr>
            </w:pPr>
            <w:r>
              <w:rPr>
                <w:rFonts w:ascii="Times New Roman"/>
                <w:sz w:val="18"/>
              </w:rPr>
              <w:t>41</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34,813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,142.0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160,10</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0,351.</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33</w:t>
            </w: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97,695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,747.6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980,38</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6,564.</w:t>
            </w:r>
          </w:p>
          <w:p>
            <w:pPr>
              <w:pStyle w:val="TableParagraph"/>
              <w:spacing w:line="240" w:lineRule="auto" w:before="105"/>
              <w:ind w:left="374" w:right="0"/>
              <w:jc w:val="left"/>
              <w:rPr>
                <w:rFonts w:ascii="Times New Roman" w:hAnsi="Times New Roman" w:cs="Times New Roman" w:eastAsia="Times New Roman" w:hint="default"/>
                <w:sz w:val="18"/>
                <w:szCs w:val="18"/>
              </w:rPr>
            </w:pPr>
            <w:r>
              <w:rPr>
                <w:rFonts w:ascii="Times New Roman"/>
                <w:sz w:val="18"/>
              </w:rPr>
              <w:t>21</w:t>
            </w: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2" w:right="0"/>
              <w:jc w:val="center"/>
              <w:rPr>
                <w:rFonts w:ascii="Times New Roman" w:hAnsi="Times New Roman" w:cs="Times New Roman" w:eastAsia="Times New Roman" w:hint="default"/>
                <w:sz w:val="18"/>
                <w:szCs w:val="18"/>
              </w:rPr>
            </w:pPr>
            <w:r>
              <w:rPr>
                <w:rFonts w:ascii="Times New Roman"/>
                <w:sz w:val="18"/>
              </w:rPr>
              <w:t>2,580,</w:t>
            </w:r>
          </w:p>
          <w:p>
            <w:pPr>
              <w:pStyle w:val="TableParagraph"/>
              <w:spacing w:line="240" w:lineRule="auto" w:before="105"/>
              <w:ind w:left="35" w:right="0"/>
              <w:jc w:val="center"/>
              <w:rPr>
                <w:rFonts w:ascii="Times New Roman" w:hAnsi="Times New Roman" w:cs="Times New Roman" w:eastAsia="Times New Roman" w:hint="default"/>
                <w:sz w:val="18"/>
                <w:szCs w:val="18"/>
              </w:rPr>
            </w:pPr>
            <w:r>
              <w:rPr>
                <w:rFonts w:ascii="Times New Roman"/>
                <w:sz w:val="18"/>
              </w:rPr>
              <w:t>528,09</w:t>
            </w:r>
          </w:p>
          <w:p>
            <w:pPr>
              <w:pStyle w:val="TableParagraph"/>
              <w:spacing w:line="240" w:lineRule="auto" w:before="105"/>
              <w:ind w:left="215" w:right="0"/>
              <w:jc w:val="center"/>
              <w:rPr>
                <w:rFonts w:ascii="Times New Roman" w:hAnsi="Times New Roman" w:cs="Times New Roman" w:eastAsia="Times New Roman" w:hint="default"/>
                <w:sz w:val="18"/>
                <w:szCs w:val="18"/>
              </w:rPr>
            </w:pPr>
            <w:r>
              <w:rPr>
                <w:rFonts w:ascii="Times New Roman"/>
                <w:sz w:val="18"/>
              </w:rPr>
              <w:t>7.60</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22,434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,451.9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7" w:right="0"/>
              <w:jc w:val="center"/>
              <w:rPr>
                <w:rFonts w:ascii="Times New Roman" w:hAnsi="Times New Roman" w:cs="Times New Roman" w:eastAsia="Times New Roman" w:hint="default"/>
                <w:sz w:val="18"/>
                <w:szCs w:val="18"/>
              </w:rPr>
            </w:pPr>
            <w:r>
              <w:rPr>
                <w:rFonts w:ascii="Times New Roman"/>
                <w:sz w:val="18"/>
              </w:rPr>
              <w:t>2,602,</w:t>
            </w:r>
          </w:p>
          <w:p>
            <w:pPr>
              <w:pStyle w:val="TableParagraph"/>
              <w:spacing w:line="240" w:lineRule="auto" w:before="105"/>
              <w:ind w:left="31" w:right="0"/>
              <w:jc w:val="center"/>
              <w:rPr>
                <w:rFonts w:ascii="Times New Roman" w:hAnsi="Times New Roman" w:cs="Times New Roman" w:eastAsia="Times New Roman" w:hint="default"/>
                <w:sz w:val="18"/>
                <w:szCs w:val="18"/>
              </w:rPr>
            </w:pPr>
            <w:r>
              <w:rPr>
                <w:rFonts w:ascii="Times New Roman"/>
                <w:sz w:val="18"/>
              </w:rPr>
              <w:t>962,54</w:t>
            </w:r>
          </w:p>
          <w:p>
            <w:pPr>
              <w:pStyle w:val="TableParagraph"/>
              <w:spacing w:line="240" w:lineRule="auto" w:before="105"/>
              <w:ind w:left="211" w:right="0"/>
              <w:jc w:val="center"/>
              <w:rPr>
                <w:rFonts w:ascii="Times New Roman" w:hAnsi="Times New Roman" w:cs="Times New Roman" w:eastAsia="Times New Roman" w:hint="default"/>
                <w:sz w:val="18"/>
                <w:szCs w:val="18"/>
              </w:rPr>
            </w:pPr>
            <w:r>
              <w:rPr>
                <w:rFonts w:ascii="Times New Roman"/>
                <w:sz w:val="18"/>
              </w:rPr>
              <w:t>9.55</w:t>
            </w:r>
          </w:p>
        </w:tc>
      </w:tr>
      <w:tr>
        <w:trPr>
          <w:trHeight w:val="1027"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1"/>
              <w:ind w:left="22" w:right="19"/>
              <w:jc w:val="both"/>
              <w:rPr>
                <w:rFonts w:ascii="宋体" w:hAnsi="宋体" w:cs="宋体" w:eastAsia="宋体" w:hint="default"/>
                <w:sz w:val="18"/>
                <w:szCs w:val="18"/>
              </w:rPr>
            </w:pPr>
            <w:r>
              <w:rPr>
                <w:rFonts w:ascii="宋体" w:hAnsi="宋体" w:cs="宋体" w:eastAsia="宋体" w:hint="default"/>
                <w:spacing w:val="-9"/>
                <w:sz w:val="18"/>
                <w:szCs w:val="18"/>
              </w:rPr>
              <w:t>三、本期增减变</w:t>
            </w:r>
            <w:r>
              <w:rPr>
                <w:rFonts w:ascii="宋体" w:hAnsi="宋体" w:cs="宋体" w:eastAsia="宋体" w:hint="default"/>
                <w:sz w:val="18"/>
                <w:szCs w:val="18"/>
              </w:rPr>
              <w:t> </w:t>
            </w:r>
            <w:r>
              <w:rPr>
                <w:rFonts w:ascii="宋体" w:hAnsi="宋体" w:cs="宋体" w:eastAsia="宋体" w:hint="default"/>
                <w:spacing w:val="-9"/>
                <w:sz w:val="18"/>
                <w:szCs w:val="18"/>
              </w:rPr>
              <w:t>动金额（减少以</w:t>
            </w:r>
            <w:r>
              <w:rPr>
                <w:rFonts w:ascii="宋体" w:hAnsi="宋体" w:cs="宋体" w:eastAsia="宋体" w:hint="default"/>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5" w:right="0"/>
              <w:jc w:val="left"/>
              <w:rPr>
                <w:rFonts w:ascii="Times New Roman" w:hAnsi="Times New Roman" w:cs="Times New Roman" w:eastAsia="Times New Roman" w:hint="default"/>
                <w:sz w:val="18"/>
                <w:szCs w:val="18"/>
              </w:rPr>
            </w:pPr>
            <w:r>
              <w:rPr>
                <w:rFonts w:ascii="Times New Roman"/>
                <w:sz w:val="18"/>
              </w:rPr>
              <w:t>9,160</w:t>
            </w:r>
          </w:p>
          <w:p>
            <w:pPr>
              <w:pStyle w:val="TableParagraph"/>
              <w:spacing w:line="240" w:lineRule="auto" w:before="102"/>
              <w:ind w:left="79" w:right="0"/>
              <w:jc w:val="center"/>
              <w:rPr>
                <w:rFonts w:ascii="Times New Roman" w:hAnsi="Times New Roman" w:cs="Times New Roman" w:eastAsia="Times New Roman" w:hint="default"/>
                <w:sz w:val="18"/>
                <w:szCs w:val="18"/>
              </w:rPr>
            </w:pPr>
            <w:r>
              <w:rPr>
                <w:rFonts w:ascii="Times New Roman"/>
                <w:sz w:val="18"/>
              </w:rPr>
              <w:t>,908.</w:t>
            </w:r>
          </w:p>
          <w:p>
            <w:pPr>
              <w:pStyle w:val="TableParagraph"/>
              <w:spacing w:line="240" w:lineRule="auto" w:before="105"/>
              <w:ind w:left="259" w:right="0"/>
              <w:jc w:val="center"/>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91,066</w:t>
            </w:r>
          </w:p>
          <w:p>
            <w:pPr>
              <w:pStyle w:val="TableParagraph"/>
              <w:spacing w:line="240" w:lineRule="auto" w:before="102"/>
              <w:ind w:left="26" w:right="0"/>
              <w:jc w:val="left"/>
              <w:rPr>
                <w:rFonts w:ascii="Times New Roman" w:hAnsi="Times New Roman" w:cs="Times New Roman" w:eastAsia="Times New Roman" w:hint="default"/>
                <w:sz w:val="18"/>
                <w:szCs w:val="18"/>
              </w:rPr>
            </w:pPr>
            <w:r>
              <w:rPr>
                <w:rFonts w:ascii="Times New Roman"/>
                <w:spacing w:val="-3"/>
                <w:sz w:val="18"/>
              </w:rPr>
              <w:t>,111.61</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45,969</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,823.0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99,914</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,938.2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13,520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,850.3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9" w:right="0"/>
              <w:jc w:val="left"/>
              <w:rPr>
                <w:rFonts w:ascii="Times New Roman" w:hAnsi="Times New Roman" w:cs="Times New Roman" w:eastAsia="Times New Roman" w:hint="default"/>
                <w:sz w:val="18"/>
                <w:szCs w:val="18"/>
              </w:rPr>
            </w:pPr>
            <w:r>
              <w:rPr>
                <w:rFonts w:ascii="Times New Roman"/>
                <w:sz w:val="18"/>
              </w:rPr>
              <w:t>212,56</w:t>
            </w:r>
          </w:p>
          <w:p>
            <w:pPr>
              <w:pStyle w:val="TableParagraph"/>
              <w:spacing w:line="240" w:lineRule="auto" w:before="102"/>
              <w:ind w:left="103" w:right="0"/>
              <w:jc w:val="left"/>
              <w:rPr>
                <w:rFonts w:ascii="Times New Roman" w:hAnsi="Times New Roman" w:cs="Times New Roman" w:eastAsia="Times New Roman" w:hint="default"/>
                <w:sz w:val="18"/>
                <w:szCs w:val="18"/>
              </w:rPr>
            </w:pPr>
            <w:r>
              <w:rPr>
                <w:rFonts w:ascii="Times New Roman"/>
                <w:sz w:val="18"/>
              </w:rPr>
              <w:t>8,098.</w:t>
            </w:r>
          </w:p>
          <w:p>
            <w:pPr>
              <w:pStyle w:val="TableParagraph"/>
              <w:spacing w:line="240" w:lineRule="auto" w:before="105"/>
              <w:ind w:left="374" w:right="0"/>
              <w:jc w:val="left"/>
              <w:rPr>
                <w:rFonts w:ascii="Times New Roman" w:hAnsi="Times New Roman" w:cs="Times New Roman" w:eastAsia="Times New Roman" w:hint="default"/>
                <w:sz w:val="18"/>
                <w:szCs w:val="18"/>
              </w:rPr>
            </w:pPr>
            <w:r>
              <w:rPr>
                <w:rFonts w:ascii="Times New Roman"/>
                <w:sz w:val="18"/>
              </w:rPr>
              <w:t>12</w:t>
            </w: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7" w:right="0"/>
              <w:jc w:val="left"/>
              <w:rPr>
                <w:rFonts w:ascii="Times New Roman" w:hAnsi="Times New Roman" w:cs="Times New Roman" w:eastAsia="Times New Roman" w:hint="default"/>
                <w:sz w:val="18"/>
                <w:szCs w:val="18"/>
              </w:rPr>
            </w:pPr>
            <w:r>
              <w:rPr>
                <w:rFonts w:ascii="Times New Roman"/>
                <w:sz w:val="18"/>
              </w:rPr>
              <w:t>380,26</w:t>
            </w:r>
          </w:p>
          <w:p>
            <w:pPr>
              <w:pStyle w:val="TableParagraph"/>
              <w:spacing w:line="240" w:lineRule="auto" w:before="102"/>
              <w:ind w:left="100" w:right="0"/>
              <w:jc w:val="left"/>
              <w:rPr>
                <w:rFonts w:ascii="Times New Roman" w:hAnsi="Times New Roman" w:cs="Times New Roman" w:eastAsia="Times New Roman" w:hint="default"/>
                <w:sz w:val="18"/>
                <w:szCs w:val="18"/>
              </w:rPr>
            </w:pPr>
            <w:r>
              <w:rPr>
                <w:rFonts w:ascii="Times New Roman"/>
                <w:sz w:val="18"/>
              </w:rPr>
              <w:t>1,083.</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28</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1,229,</w:t>
            </w:r>
          </w:p>
          <w:p>
            <w:pPr>
              <w:pStyle w:val="TableParagraph"/>
              <w:spacing w:line="240" w:lineRule="auto" w:before="102"/>
              <w:ind w:left="59" w:right="0"/>
              <w:jc w:val="left"/>
              <w:rPr>
                <w:rFonts w:ascii="Times New Roman" w:hAnsi="Times New Roman" w:cs="Times New Roman" w:eastAsia="Times New Roman" w:hint="default"/>
                <w:sz w:val="18"/>
                <w:szCs w:val="18"/>
              </w:rPr>
            </w:pPr>
            <w:r>
              <w:rPr>
                <w:rFonts w:ascii="Times New Roman"/>
                <w:sz w:val="18"/>
              </w:rPr>
              <w:t>058.03</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2" w:right="0"/>
              <w:jc w:val="left"/>
              <w:rPr>
                <w:rFonts w:ascii="Times New Roman" w:hAnsi="Times New Roman" w:cs="Times New Roman" w:eastAsia="Times New Roman" w:hint="default"/>
                <w:sz w:val="18"/>
                <w:szCs w:val="18"/>
              </w:rPr>
            </w:pPr>
            <w:r>
              <w:rPr>
                <w:rFonts w:ascii="Times New Roman"/>
                <w:sz w:val="18"/>
              </w:rPr>
              <w:t>381,49</w:t>
            </w:r>
          </w:p>
          <w:p>
            <w:pPr>
              <w:pStyle w:val="TableParagraph"/>
              <w:spacing w:line="240" w:lineRule="auto" w:before="102"/>
              <w:ind w:left="95" w:right="0"/>
              <w:jc w:val="left"/>
              <w:rPr>
                <w:rFonts w:ascii="Times New Roman" w:hAnsi="Times New Roman" w:cs="Times New Roman" w:eastAsia="Times New Roman" w:hint="default"/>
                <w:sz w:val="18"/>
                <w:szCs w:val="18"/>
              </w:rPr>
            </w:pPr>
            <w:r>
              <w:rPr>
                <w:rFonts w:ascii="Times New Roman"/>
                <w:sz w:val="18"/>
              </w:rPr>
              <w:t>0,141.</w:t>
            </w:r>
          </w:p>
          <w:p>
            <w:pPr>
              <w:pStyle w:val="TableParagraph"/>
              <w:spacing w:line="240" w:lineRule="auto" w:before="105"/>
              <w:ind w:left="367" w:right="0"/>
              <w:jc w:val="left"/>
              <w:rPr>
                <w:rFonts w:ascii="Times New Roman" w:hAnsi="Times New Roman" w:cs="Times New Roman" w:eastAsia="Times New Roman" w:hint="default"/>
                <w:sz w:val="18"/>
                <w:szCs w:val="18"/>
              </w:rPr>
            </w:pPr>
            <w:r>
              <w:rPr>
                <w:rFonts w:ascii="Times New Roman"/>
                <w:sz w:val="18"/>
              </w:rPr>
              <w:t>31</w:t>
            </w:r>
          </w:p>
        </w:tc>
      </w:tr>
      <w:tr>
        <w:trPr>
          <w:trHeight w:val="1025"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2" w:right="19"/>
              <w:jc w:val="left"/>
              <w:rPr>
                <w:rFonts w:ascii="宋体" w:hAnsi="宋体" w:cs="宋体" w:eastAsia="宋体" w:hint="default"/>
                <w:sz w:val="18"/>
                <w:szCs w:val="18"/>
              </w:rPr>
            </w:pPr>
            <w:r>
              <w:rPr>
                <w:rFonts w:ascii="宋体" w:hAnsi="宋体" w:cs="宋体" w:eastAsia="宋体" w:hint="default"/>
                <w:spacing w:val="-9"/>
                <w:sz w:val="18"/>
                <w:szCs w:val="18"/>
              </w:rPr>
              <w:t>（一）综合收益</w:t>
            </w:r>
            <w:r>
              <w:rPr>
                <w:rFonts w:ascii="宋体" w:hAnsi="宋体" w:cs="宋体" w:eastAsia="宋体" w:hint="default"/>
                <w:sz w:val="18"/>
                <w:szCs w:val="18"/>
              </w:rPr>
              <w:t> 总额</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99,914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,938.2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289,67</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5,573.</w:t>
            </w:r>
          </w:p>
          <w:p>
            <w:pPr>
              <w:pStyle w:val="TableParagraph"/>
              <w:spacing w:line="240" w:lineRule="auto" w:before="105"/>
              <w:ind w:left="374" w:right="0"/>
              <w:jc w:val="left"/>
              <w:rPr>
                <w:rFonts w:ascii="Times New Roman" w:hAnsi="Times New Roman" w:cs="Times New Roman" w:eastAsia="Times New Roman" w:hint="default"/>
                <w:sz w:val="18"/>
                <w:szCs w:val="18"/>
              </w:rPr>
            </w:pPr>
            <w:r>
              <w:rPr>
                <w:rFonts w:ascii="Times New Roman"/>
                <w:sz w:val="18"/>
              </w:rPr>
              <w:t>16</w:t>
            </w: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389,59</w:t>
            </w:r>
          </w:p>
          <w:p>
            <w:pPr>
              <w:pStyle w:val="TableParagraph"/>
              <w:spacing w:line="240" w:lineRule="auto" w:before="105"/>
              <w:ind w:left="107" w:right="0"/>
              <w:jc w:val="left"/>
              <w:rPr>
                <w:rFonts w:ascii="Times New Roman" w:hAnsi="Times New Roman" w:cs="Times New Roman" w:eastAsia="Times New Roman" w:hint="default"/>
                <w:sz w:val="18"/>
                <w:szCs w:val="18"/>
              </w:rPr>
            </w:pPr>
            <w:r>
              <w:rPr>
                <w:rFonts w:ascii="Times New Roman"/>
                <w:sz w:val="18"/>
              </w:rPr>
              <w:t>0,511.</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39</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-966,3</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76.02</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 w:right="0"/>
              <w:jc w:val="left"/>
              <w:rPr>
                <w:rFonts w:ascii="Times New Roman" w:hAnsi="Times New Roman" w:cs="Times New Roman" w:eastAsia="Times New Roman" w:hint="default"/>
                <w:sz w:val="18"/>
                <w:szCs w:val="18"/>
              </w:rPr>
            </w:pPr>
            <w:r>
              <w:rPr>
                <w:rFonts w:ascii="Times New Roman"/>
                <w:sz w:val="18"/>
              </w:rPr>
              <w:t>388,62</w:t>
            </w:r>
          </w:p>
          <w:p>
            <w:pPr>
              <w:pStyle w:val="TableParagraph"/>
              <w:spacing w:line="240" w:lineRule="auto" w:before="105"/>
              <w:ind w:left="95" w:right="0"/>
              <w:jc w:val="left"/>
              <w:rPr>
                <w:rFonts w:ascii="Times New Roman" w:hAnsi="Times New Roman" w:cs="Times New Roman" w:eastAsia="Times New Roman" w:hint="default"/>
                <w:sz w:val="18"/>
                <w:szCs w:val="18"/>
              </w:rPr>
            </w:pPr>
            <w:r>
              <w:rPr>
                <w:rFonts w:ascii="Times New Roman"/>
                <w:sz w:val="18"/>
              </w:rPr>
              <w:t>4,135.</w:t>
            </w:r>
          </w:p>
          <w:p>
            <w:pPr>
              <w:pStyle w:val="TableParagraph"/>
              <w:spacing w:line="240" w:lineRule="auto" w:before="105"/>
              <w:ind w:left="367" w:right="0"/>
              <w:jc w:val="left"/>
              <w:rPr>
                <w:rFonts w:ascii="Times New Roman" w:hAnsi="Times New Roman" w:cs="Times New Roman" w:eastAsia="Times New Roman" w:hint="default"/>
                <w:sz w:val="18"/>
                <w:szCs w:val="18"/>
              </w:rPr>
            </w:pPr>
            <w:r>
              <w:rPr>
                <w:rFonts w:ascii="Times New Roman"/>
                <w:sz w:val="18"/>
              </w:rPr>
              <w:t>37</w:t>
            </w:r>
          </w:p>
        </w:tc>
      </w:tr>
      <w:tr>
        <w:trPr>
          <w:trHeight w:val="1027"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4" w:lineRule="auto"/>
              <w:ind w:left="22" w:right="19"/>
              <w:jc w:val="left"/>
              <w:rPr>
                <w:rFonts w:ascii="宋体" w:hAnsi="宋体" w:cs="宋体" w:eastAsia="宋体" w:hint="default"/>
                <w:sz w:val="18"/>
                <w:szCs w:val="18"/>
              </w:rPr>
            </w:pPr>
            <w:r>
              <w:rPr>
                <w:rFonts w:ascii="宋体" w:hAnsi="宋体" w:cs="宋体" w:eastAsia="宋体" w:hint="default"/>
                <w:spacing w:val="-9"/>
                <w:sz w:val="18"/>
                <w:szCs w:val="18"/>
              </w:rPr>
              <w:t>（二）所有者投</w:t>
            </w:r>
            <w:r>
              <w:rPr>
                <w:rFonts w:ascii="宋体" w:hAnsi="宋体" w:cs="宋体" w:eastAsia="宋体" w:hint="default"/>
                <w:sz w:val="18"/>
                <w:szCs w:val="18"/>
              </w:rPr>
              <w:t> 入和减少资本</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5" w:right="0"/>
              <w:jc w:val="left"/>
              <w:rPr>
                <w:rFonts w:ascii="Times New Roman" w:hAnsi="Times New Roman" w:cs="Times New Roman" w:eastAsia="Times New Roman" w:hint="default"/>
                <w:sz w:val="18"/>
                <w:szCs w:val="18"/>
              </w:rPr>
            </w:pPr>
            <w:r>
              <w:rPr>
                <w:rFonts w:ascii="Times New Roman"/>
                <w:sz w:val="18"/>
              </w:rPr>
              <w:t>9,160</w:t>
            </w:r>
          </w:p>
          <w:p>
            <w:pPr>
              <w:pStyle w:val="TableParagraph"/>
              <w:spacing w:line="240" w:lineRule="auto" w:before="102"/>
              <w:ind w:left="79" w:right="0"/>
              <w:jc w:val="center"/>
              <w:rPr>
                <w:rFonts w:ascii="Times New Roman" w:hAnsi="Times New Roman" w:cs="Times New Roman" w:eastAsia="Times New Roman" w:hint="default"/>
                <w:sz w:val="18"/>
                <w:szCs w:val="18"/>
              </w:rPr>
            </w:pPr>
            <w:r>
              <w:rPr>
                <w:rFonts w:ascii="Times New Roman"/>
                <w:sz w:val="18"/>
              </w:rPr>
              <w:t>,908.</w:t>
            </w:r>
          </w:p>
          <w:p>
            <w:pPr>
              <w:pStyle w:val="TableParagraph"/>
              <w:spacing w:line="240" w:lineRule="auto" w:before="105"/>
              <w:ind w:left="259" w:right="0"/>
              <w:jc w:val="center"/>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91,066</w:t>
            </w:r>
          </w:p>
          <w:p>
            <w:pPr>
              <w:pStyle w:val="TableParagraph"/>
              <w:spacing w:line="240" w:lineRule="auto" w:before="102"/>
              <w:ind w:left="26" w:right="0"/>
              <w:jc w:val="left"/>
              <w:rPr>
                <w:rFonts w:ascii="Times New Roman" w:hAnsi="Times New Roman" w:cs="Times New Roman" w:eastAsia="Times New Roman" w:hint="default"/>
                <w:sz w:val="18"/>
                <w:szCs w:val="18"/>
              </w:rPr>
            </w:pPr>
            <w:r>
              <w:rPr>
                <w:rFonts w:ascii="Times New Roman"/>
                <w:spacing w:val="-3"/>
                <w:sz w:val="18"/>
              </w:rPr>
              <w:t>,111.61</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45,969</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,823.0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54,257</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,196.6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2,195,</w:t>
            </w:r>
          </w:p>
          <w:p>
            <w:pPr>
              <w:pStyle w:val="TableParagraph"/>
              <w:spacing w:line="240" w:lineRule="auto" w:before="102"/>
              <w:ind w:left="59" w:right="0"/>
              <w:jc w:val="left"/>
              <w:rPr>
                <w:rFonts w:ascii="Times New Roman" w:hAnsi="Times New Roman" w:cs="Times New Roman" w:eastAsia="Times New Roman" w:hint="default"/>
                <w:sz w:val="18"/>
                <w:szCs w:val="18"/>
              </w:rPr>
            </w:pPr>
            <w:r>
              <w:rPr>
                <w:rFonts w:ascii="Times New Roman"/>
                <w:sz w:val="18"/>
              </w:rPr>
              <w:t>434.05</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56,452</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,630.6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r>
      <w:tr>
        <w:trPr>
          <w:trHeight w:val="1025"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00" w:lineRule="auto"/>
              <w:ind w:left="22" w:right="4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 的普通股</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5" w:right="0"/>
              <w:jc w:val="left"/>
              <w:rPr>
                <w:rFonts w:ascii="Times New Roman" w:hAnsi="Times New Roman" w:cs="Times New Roman" w:eastAsia="Times New Roman" w:hint="default"/>
                <w:sz w:val="18"/>
                <w:szCs w:val="18"/>
              </w:rPr>
            </w:pPr>
            <w:r>
              <w:rPr>
                <w:rFonts w:ascii="Times New Roman"/>
                <w:sz w:val="18"/>
              </w:rPr>
              <w:t>9,160</w:t>
            </w:r>
          </w:p>
          <w:p>
            <w:pPr>
              <w:pStyle w:val="TableParagraph"/>
              <w:spacing w:line="240" w:lineRule="auto" w:before="105"/>
              <w:ind w:left="79" w:right="0"/>
              <w:jc w:val="center"/>
              <w:rPr>
                <w:rFonts w:ascii="Times New Roman" w:hAnsi="Times New Roman" w:cs="Times New Roman" w:eastAsia="Times New Roman" w:hint="default"/>
                <w:sz w:val="18"/>
                <w:szCs w:val="18"/>
              </w:rPr>
            </w:pPr>
            <w:r>
              <w:rPr>
                <w:rFonts w:ascii="Times New Roman"/>
                <w:sz w:val="18"/>
              </w:rPr>
              <w:t>,908.</w:t>
            </w:r>
          </w:p>
          <w:p>
            <w:pPr>
              <w:pStyle w:val="TableParagraph"/>
              <w:spacing w:line="240" w:lineRule="auto" w:before="105"/>
              <w:ind w:left="259" w:right="0"/>
              <w:jc w:val="center"/>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69,550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,729.3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2"/>
                <w:sz w:val="18"/>
              </w:rPr>
              <w:t>78,711</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,637.3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2,345,</w:t>
            </w:r>
          </w:p>
          <w:p>
            <w:pPr>
              <w:pStyle w:val="TableParagraph"/>
              <w:spacing w:line="240" w:lineRule="auto" w:before="105"/>
              <w:ind w:left="59" w:right="0"/>
              <w:jc w:val="left"/>
              <w:rPr>
                <w:rFonts w:ascii="Times New Roman" w:hAnsi="Times New Roman" w:cs="Times New Roman" w:eastAsia="Times New Roman" w:hint="default"/>
                <w:sz w:val="18"/>
                <w:szCs w:val="18"/>
              </w:rPr>
            </w:pPr>
            <w:r>
              <w:rPr>
                <w:rFonts w:ascii="Times New Roman"/>
                <w:sz w:val="18"/>
              </w:rPr>
              <w:t>474.90</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81,057</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pacing w:val="-2"/>
                <w:sz w:val="18"/>
              </w:rPr>
              <w:t>,112.2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r>
      <w:tr>
        <w:trPr>
          <w:trHeight w:val="1027"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7" w:lineRule="auto" w:before="51"/>
              <w:ind w:left="22" w:right="4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 具持有者投入 资本</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9" w:lineRule="auto" w:before="49"/>
              <w:ind w:left="22" w:right="4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 入所有者权益 的金额</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21,515</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,382.2</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45,969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,823.0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6" w:right="0"/>
              <w:jc w:val="left"/>
              <w:rPr>
                <w:rFonts w:ascii="Times New Roman" w:hAnsi="Times New Roman" w:cs="Times New Roman" w:eastAsia="Times New Roman" w:hint="default"/>
                <w:sz w:val="18"/>
                <w:szCs w:val="18"/>
              </w:rPr>
            </w:pPr>
            <w:r>
              <w:rPr>
                <w:rFonts w:ascii="Times New Roman"/>
                <w:sz w:val="18"/>
              </w:rPr>
              <w:t>-24,45</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4,440.</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75</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-150,0</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40.85</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1" w:right="0"/>
              <w:jc w:val="left"/>
              <w:rPr>
                <w:rFonts w:ascii="Times New Roman" w:hAnsi="Times New Roman" w:cs="Times New Roman" w:eastAsia="Times New Roman" w:hint="default"/>
                <w:sz w:val="18"/>
                <w:szCs w:val="18"/>
              </w:rPr>
            </w:pPr>
            <w:r>
              <w:rPr>
                <w:rFonts w:ascii="Times New Roman"/>
                <w:sz w:val="18"/>
              </w:rPr>
              <w:t>-24,60</w:t>
            </w:r>
          </w:p>
          <w:p>
            <w:pPr>
              <w:pStyle w:val="TableParagraph"/>
              <w:spacing w:line="240" w:lineRule="auto" w:before="105"/>
              <w:ind w:left="95" w:right="0"/>
              <w:jc w:val="left"/>
              <w:rPr>
                <w:rFonts w:ascii="Times New Roman" w:hAnsi="Times New Roman" w:cs="Times New Roman" w:eastAsia="Times New Roman" w:hint="default"/>
                <w:sz w:val="18"/>
                <w:szCs w:val="18"/>
              </w:rPr>
            </w:pPr>
            <w:r>
              <w:rPr>
                <w:rFonts w:ascii="Times New Roman"/>
                <w:sz w:val="18"/>
              </w:rPr>
              <w:t>4,481.</w:t>
            </w:r>
          </w:p>
          <w:p>
            <w:pPr>
              <w:pStyle w:val="TableParagraph"/>
              <w:spacing w:line="240" w:lineRule="auto" w:before="105"/>
              <w:ind w:left="367" w:right="0"/>
              <w:jc w:val="left"/>
              <w:rPr>
                <w:rFonts w:ascii="Times New Roman" w:hAnsi="Times New Roman" w:cs="Times New Roman" w:eastAsia="Times New Roman" w:hint="default"/>
                <w:sz w:val="18"/>
                <w:szCs w:val="18"/>
              </w:rPr>
            </w:pPr>
            <w:r>
              <w:rPr>
                <w:rFonts w:ascii="Times New Roman"/>
                <w:sz w:val="18"/>
              </w:rPr>
              <w:t>60</w:t>
            </w:r>
          </w:p>
        </w:tc>
      </w:tr>
      <w:tr>
        <w:trPr>
          <w:trHeight w:val="403"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宋体" w:hAnsi="宋体" w:cs="宋体" w:eastAsia="宋体" w:hint="default"/>
                <w:spacing w:val="-9"/>
                <w:sz w:val="18"/>
                <w:szCs w:val="18"/>
              </w:rPr>
              <w:t>（三）利润分配</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13,520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,850.3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-77,10</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7,475.</w:t>
            </w:r>
          </w:p>
          <w:p>
            <w:pPr>
              <w:pStyle w:val="TableParagraph"/>
              <w:spacing w:line="240" w:lineRule="auto" w:before="105"/>
              <w:ind w:left="374" w:right="0"/>
              <w:jc w:val="left"/>
              <w:rPr>
                <w:rFonts w:ascii="Times New Roman" w:hAnsi="Times New Roman" w:cs="Times New Roman" w:eastAsia="Times New Roman" w:hint="default"/>
                <w:sz w:val="18"/>
                <w:szCs w:val="18"/>
              </w:rPr>
            </w:pPr>
            <w:r>
              <w:rPr>
                <w:rFonts w:ascii="Times New Roman"/>
                <w:sz w:val="18"/>
              </w:rPr>
              <w:t>04</w:t>
            </w: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6" w:right="0"/>
              <w:jc w:val="left"/>
              <w:rPr>
                <w:rFonts w:ascii="Times New Roman" w:hAnsi="Times New Roman" w:cs="Times New Roman" w:eastAsia="Times New Roman" w:hint="default"/>
                <w:sz w:val="18"/>
                <w:szCs w:val="18"/>
              </w:rPr>
            </w:pPr>
            <w:r>
              <w:rPr>
                <w:rFonts w:ascii="Times New Roman"/>
                <w:sz w:val="18"/>
              </w:rPr>
              <w:t>-63,58</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6,624.</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72</w:t>
            </w: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1" w:right="0"/>
              <w:jc w:val="left"/>
              <w:rPr>
                <w:rFonts w:ascii="Times New Roman" w:hAnsi="Times New Roman" w:cs="Times New Roman" w:eastAsia="Times New Roman" w:hint="default"/>
                <w:sz w:val="18"/>
                <w:szCs w:val="18"/>
              </w:rPr>
            </w:pPr>
            <w:r>
              <w:rPr>
                <w:rFonts w:ascii="Times New Roman"/>
                <w:sz w:val="18"/>
              </w:rPr>
              <w:t>-63,58</w:t>
            </w:r>
          </w:p>
          <w:p>
            <w:pPr>
              <w:pStyle w:val="TableParagraph"/>
              <w:spacing w:line="240" w:lineRule="auto" w:before="105"/>
              <w:ind w:left="95" w:right="0"/>
              <w:jc w:val="left"/>
              <w:rPr>
                <w:rFonts w:ascii="Times New Roman" w:hAnsi="Times New Roman" w:cs="Times New Roman" w:eastAsia="Times New Roman" w:hint="default"/>
                <w:sz w:val="18"/>
                <w:szCs w:val="18"/>
              </w:rPr>
            </w:pPr>
            <w:r>
              <w:rPr>
                <w:rFonts w:ascii="Times New Roman"/>
                <w:sz w:val="18"/>
              </w:rPr>
              <w:t>6,624.</w:t>
            </w:r>
          </w:p>
          <w:p>
            <w:pPr>
              <w:pStyle w:val="TableParagraph"/>
              <w:spacing w:line="240" w:lineRule="auto" w:before="105"/>
              <w:ind w:left="367" w:right="0"/>
              <w:jc w:val="left"/>
              <w:rPr>
                <w:rFonts w:ascii="Times New Roman" w:hAnsi="Times New Roman" w:cs="Times New Roman" w:eastAsia="Times New Roman" w:hint="default"/>
                <w:sz w:val="18"/>
                <w:szCs w:val="18"/>
              </w:rPr>
            </w:pPr>
            <w:r>
              <w:rPr>
                <w:rFonts w:ascii="Times New Roman"/>
                <w:sz w:val="18"/>
              </w:rPr>
              <w:t>72</w:t>
            </w:r>
          </w:p>
        </w:tc>
      </w:tr>
      <w:tr>
        <w:trPr>
          <w:trHeight w:val="1027"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97" w:lineRule="auto"/>
              <w:ind w:left="22" w:right="4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 积</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13,520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,850.3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8" w:right="0"/>
              <w:jc w:val="left"/>
              <w:rPr>
                <w:rFonts w:ascii="Times New Roman" w:hAnsi="Times New Roman" w:cs="Times New Roman" w:eastAsia="Times New Roman" w:hint="default"/>
                <w:sz w:val="18"/>
                <w:szCs w:val="18"/>
              </w:rPr>
            </w:pPr>
            <w:r>
              <w:rPr>
                <w:rFonts w:ascii="Times New Roman"/>
                <w:sz w:val="18"/>
              </w:rPr>
              <w:t>-13,52</w:t>
            </w:r>
          </w:p>
          <w:p>
            <w:pPr>
              <w:pStyle w:val="TableParagraph"/>
              <w:spacing w:line="240" w:lineRule="auto" w:before="102"/>
              <w:ind w:left="103" w:right="0"/>
              <w:jc w:val="left"/>
              <w:rPr>
                <w:rFonts w:ascii="Times New Roman" w:hAnsi="Times New Roman" w:cs="Times New Roman" w:eastAsia="Times New Roman" w:hint="default"/>
                <w:sz w:val="18"/>
                <w:szCs w:val="18"/>
              </w:rPr>
            </w:pPr>
            <w:r>
              <w:rPr>
                <w:rFonts w:ascii="Times New Roman"/>
                <w:sz w:val="18"/>
              </w:rPr>
              <w:t>0,850.</w:t>
            </w:r>
          </w:p>
          <w:p>
            <w:pPr>
              <w:pStyle w:val="TableParagraph"/>
              <w:spacing w:line="240" w:lineRule="auto" w:before="105"/>
              <w:ind w:left="374" w:right="0"/>
              <w:jc w:val="left"/>
              <w:rPr>
                <w:rFonts w:ascii="Times New Roman" w:hAnsi="Times New Roman" w:cs="Times New Roman" w:eastAsia="Times New Roman" w:hint="default"/>
                <w:sz w:val="18"/>
                <w:szCs w:val="18"/>
              </w:rPr>
            </w:pPr>
            <w:r>
              <w:rPr>
                <w:rFonts w:ascii="Times New Roman"/>
                <w:sz w:val="18"/>
              </w:rPr>
              <w:t>32</w:t>
            </w: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0" w:lineRule="auto" w:before="49"/>
              <w:ind w:left="22" w:right="4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 险准备</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52"/>
        <w:gridCol w:w="494"/>
        <w:gridCol w:w="466"/>
        <w:gridCol w:w="466"/>
        <w:gridCol w:w="468"/>
        <w:gridCol w:w="583"/>
        <w:gridCol w:w="586"/>
        <w:gridCol w:w="583"/>
        <w:gridCol w:w="583"/>
        <w:gridCol w:w="583"/>
        <w:gridCol w:w="583"/>
        <w:gridCol w:w="586"/>
        <w:gridCol w:w="583"/>
        <w:gridCol w:w="583"/>
        <w:gridCol w:w="586"/>
        <w:gridCol w:w="578"/>
      </w:tblGrid>
      <w:tr>
        <w:trPr>
          <w:trHeight w:val="1025"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00" w:lineRule="auto"/>
              <w:ind w:left="22" w:right="19"/>
              <w:jc w:val="left"/>
              <w:rPr>
                <w:rFonts w:ascii="宋体" w:hAnsi="宋体" w:cs="宋体" w:eastAsia="宋体" w:hint="default"/>
                <w:sz w:val="18"/>
                <w:szCs w:val="18"/>
              </w:rPr>
            </w:pPr>
            <w:r>
              <w:rPr>
                <w:rFonts w:ascii="Times New Roman" w:hAnsi="Times New Roman" w:cs="Times New Roman" w:eastAsia="Times New Roman" w:hint="default"/>
                <w:spacing w:val="-20"/>
                <w:sz w:val="18"/>
                <w:szCs w:val="18"/>
              </w:rPr>
              <w:t>3</w:t>
            </w:r>
            <w:r>
              <w:rPr>
                <w:rFonts w:ascii="宋体" w:hAnsi="宋体" w:cs="宋体" w:eastAsia="宋体" w:hint="default"/>
                <w:spacing w:val="-20"/>
                <w:sz w:val="18"/>
                <w:szCs w:val="18"/>
              </w:rPr>
              <w:t>．对所有者（或</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股东）的分配</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-63,58</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6,624.</w:t>
            </w:r>
          </w:p>
          <w:p>
            <w:pPr>
              <w:pStyle w:val="TableParagraph"/>
              <w:spacing w:line="240" w:lineRule="auto" w:before="105"/>
              <w:ind w:left="374" w:right="0"/>
              <w:jc w:val="left"/>
              <w:rPr>
                <w:rFonts w:ascii="Times New Roman" w:hAnsi="Times New Roman" w:cs="Times New Roman" w:eastAsia="Times New Roman" w:hint="default"/>
                <w:sz w:val="18"/>
                <w:szCs w:val="18"/>
              </w:rPr>
            </w:pPr>
            <w:r>
              <w:rPr>
                <w:rFonts w:ascii="Times New Roman"/>
                <w:sz w:val="18"/>
              </w:rPr>
              <w:t>72</w:t>
            </w: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6" w:right="0"/>
              <w:jc w:val="left"/>
              <w:rPr>
                <w:rFonts w:ascii="Times New Roman" w:hAnsi="Times New Roman" w:cs="Times New Roman" w:eastAsia="Times New Roman" w:hint="default"/>
                <w:sz w:val="18"/>
                <w:szCs w:val="18"/>
              </w:rPr>
            </w:pPr>
            <w:r>
              <w:rPr>
                <w:rFonts w:ascii="Times New Roman"/>
                <w:sz w:val="18"/>
              </w:rPr>
              <w:t>-63,58</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6,624.</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72</w:t>
            </w: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1" w:right="0"/>
              <w:jc w:val="left"/>
              <w:rPr>
                <w:rFonts w:ascii="Times New Roman" w:hAnsi="Times New Roman" w:cs="Times New Roman" w:eastAsia="Times New Roman" w:hint="default"/>
                <w:sz w:val="18"/>
                <w:szCs w:val="18"/>
              </w:rPr>
            </w:pPr>
            <w:r>
              <w:rPr>
                <w:rFonts w:ascii="Times New Roman"/>
                <w:sz w:val="18"/>
              </w:rPr>
              <w:t>-63,58</w:t>
            </w:r>
          </w:p>
          <w:p>
            <w:pPr>
              <w:pStyle w:val="TableParagraph"/>
              <w:spacing w:line="240" w:lineRule="auto" w:before="105"/>
              <w:ind w:left="95" w:right="0"/>
              <w:jc w:val="left"/>
              <w:rPr>
                <w:rFonts w:ascii="Times New Roman" w:hAnsi="Times New Roman" w:cs="Times New Roman" w:eastAsia="Times New Roman" w:hint="default"/>
                <w:sz w:val="18"/>
                <w:szCs w:val="18"/>
              </w:rPr>
            </w:pPr>
            <w:r>
              <w:rPr>
                <w:rFonts w:ascii="Times New Roman"/>
                <w:sz w:val="18"/>
              </w:rPr>
              <w:t>6,624.</w:t>
            </w:r>
          </w:p>
          <w:p>
            <w:pPr>
              <w:pStyle w:val="TableParagraph"/>
              <w:spacing w:line="240" w:lineRule="auto" w:before="105"/>
              <w:ind w:left="367" w:right="0"/>
              <w:jc w:val="left"/>
              <w:rPr>
                <w:rFonts w:ascii="Times New Roman" w:hAnsi="Times New Roman" w:cs="Times New Roman" w:eastAsia="Times New Roman" w:hint="default"/>
                <w:sz w:val="18"/>
                <w:szCs w:val="18"/>
              </w:rPr>
            </w:pPr>
            <w:r>
              <w:rPr>
                <w:rFonts w:ascii="Times New Roman"/>
                <w:sz w:val="18"/>
              </w:rPr>
              <w:t>72</w:t>
            </w:r>
          </w:p>
        </w:tc>
      </w:tr>
      <w:tr>
        <w:trPr>
          <w:trHeight w:val="403"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2" w:right="19"/>
              <w:jc w:val="left"/>
              <w:rPr>
                <w:rFonts w:ascii="宋体" w:hAnsi="宋体" w:cs="宋体" w:eastAsia="宋体" w:hint="default"/>
                <w:sz w:val="18"/>
                <w:szCs w:val="18"/>
              </w:rPr>
            </w:pPr>
            <w:r>
              <w:rPr>
                <w:rFonts w:ascii="宋体" w:hAnsi="宋体" w:cs="宋体" w:eastAsia="宋体" w:hint="default"/>
                <w:spacing w:val="-9"/>
                <w:sz w:val="18"/>
                <w:szCs w:val="18"/>
              </w:rPr>
              <w:t>（四）所有者权</w:t>
            </w:r>
            <w:r>
              <w:rPr>
                <w:rFonts w:ascii="宋体" w:hAnsi="宋体" w:cs="宋体" w:eastAsia="宋体" w:hint="default"/>
                <w:sz w:val="18"/>
                <w:szCs w:val="18"/>
              </w:rPr>
              <w:t> 益内部结转</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7" w:lineRule="auto" w:before="51"/>
              <w:ind w:left="22" w:right="4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 增资本（或股 本）</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9" w:lineRule="auto" w:before="49"/>
              <w:ind w:left="22" w:right="4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 增资本（或股 本）</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97" w:lineRule="auto" w:before="51"/>
              <w:ind w:left="22" w:right="4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 补亏损</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9" w:lineRule="auto" w:before="49"/>
              <w:ind w:left="22" w:right="47"/>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 划变动额结转 留存收益</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7" w:lineRule="auto" w:before="51"/>
              <w:ind w:left="22" w:right="47"/>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．其他综合收 益结转留存收 益</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
                <w:sz w:val="18"/>
                <w:szCs w:val="18"/>
              </w:rPr>
              <w:t>（五）专项储备</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4" w:lineRule="auto"/>
              <w:ind w:left="22" w:right="19"/>
              <w:jc w:val="left"/>
              <w:rPr>
                <w:rFonts w:ascii="宋体" w:hAnsi="宋体" w:cs="宋体" w:eastAsia="宋体" w:hint="default"/>
                <w:sz w:val="18"/>
                <w:szCs w:val="18"/>
              </w:rPr>
            </w:pPr>
            <w:r>
              <w:rPr>
                <w:rFonts w:ascii="宋体" w:hAnsi="宋体" w:cs="宋体" w:eastAsia="宋体" w:hint="default"/>
                <w:spacing w:val="-9"/>
                <w:sz w:val="18"/>
                <w:szCs w:val="18"/>
              </w:rPr>
              <w:t>四、本期期末余</w:t>
            </w:r>
            <w:r>
              <w:rPr>
                <w:rFonts w:ascii="宋体" w:hAnsi="宋体" w:cs="宋体" w:eastAsia="宋体" w:hint="default"/>
                <w:sz w:val="18"/>
                <w:szCs w:val="18"/>
              </w:rPr>
              <w:t> 额</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5" w:right="0"/>
              <w:jc w:val="left"/>
              <w:rPr>
                <w:rFonts w:ascii="Times New Roman" w:hAnsi="Times New Roman" w:cs="Times New Roman" w:eastAsia="Times New Roman" w:hint="default"/>
                <w:sz w:val="18"/>
                <w:szCs w:val="18"/>
              </w:rPr>
            </w:pPr>
            <w:r>
              <w:rPr>
                <w:rFonts w:ascii="Times New Roman"/>
                <w:sz w:val="18"/>
              </w:rPr>
              <w:t>803,9</w:t>
            </w:r>
          </w:p>
          <w:p>
            <w:pPr>
              <w:pStyle w:val="TableParagraph"/>
              <w:spacing w:line="240" w:lineRule="auto" w:before="102"/>
              <w:ind w:left="55" w:right="0"/>
              <w:jc w:val="left"/>
              <w:rPr>
                <w:rFonts w:ascii="Times New Roman" w:hAnsi="Times New Roman" w:cs="Times New Roman" w:eastAsia="Times New Roman" w:hint="default"/>
                <w:sz w:val="18"/>
                <w:szCs w:val="18"/>
              </w:rPr>
            </w:pPr>
            <w:r>
              <w:rPr>
                <w:rFonts w:ascii="Times New Roman"/>
                <w:sz w:val="18"/>
              </w:rPr>
              <w:t>93,71</w:t>
            </w:r>
          </w:p>
          <w:p>
            <w:pPr>
              <w:pStyle w:val="TableParagraph"/>
              <w:spacing w:line="240" w:lineRule="auto" w:before="105"/>
              <w:ind w:left="146" w:right="0"/>
              <w:jc w:val="left"/>
              <w:rPr>
                <w:rFonts w:ascii="Times New Roman" w:hAnsi="Times New Roman" w:cs="Times New Roman" w:eastAsia="Times New Roman" w:hint="default"/>
                <w:sz w:val="18"/>
                <w:szCs w:val="18"/>
              </w:rPr>
            </w:pPr>
            <w:r>
              <w:rPr>
                <w:rFonts w:ascii="Times New Roman"/>
                <w:sz w:val="18"/>
              </w:rPr>
              <w:t>7.00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7" w:right="0"/>
              <w:jc w:val="left"/>
              <w:rPr>
                <w:rFonts w:ascii="Times New Roman" w:hAnsi="Times New Roman" w:cs="Times New Roman" w:eastAsia="Times New Roman" w:hint="default"/>
                <w:sz w:val="18"/>
                <w:szCs w:val="18"/>
              </w:rPr>
            </w:pPr>
            <w:r>
              <w:rPr>
                <w:rFonts w:ascii="Times New Roman"/>
                <w:sz w:val="18"/>
              </w:rPr>
              <w:t>673,39</w:t>
            </w:r>
          </w:p>
          <w:p>
            <w:pPr>
              <w:pStyle w:val="TableParagraph"/>
              <w:spacing w:line="240" w:lineRule="auto" w:before="102"/>
              <w:ind w:left="100" w:right="0"/>
              <w:jc w:val="left"/>
              <w:rPr>
                <w:rFonts w:ascii="Times New Roman" w:hAnsi="Times New Roman" w:cs="Times New Roman" w:eastAsia="Times New Roman" w:hint="default"/>
                <w:sz w:val="18"/>
                <w:szCs w:val="18"/>
              </w:rPr>
            </w:pPr>
            <w:r>
              <w:rPr>
                <w:rFonts w:ascii="Times New Roman"/>
                <w:sz w:val="18"/>
              </w:rPr>
              <w:t>1,879.</w:t>
            </w:r>
          </w:p>
          <w:p>
            <w:pPr>
              <w:pStyle w:val="TableParagraph"/>
              <w:spacing w:line="240" w:lineRule="auto" w:before="105"/>
              <w:ind w:left="372" w:right="0"/>
              <w:jc w:val="left"/>
              <w:rPr>
                <w:rFonts w:ascii="Times New Roman" w:hAnsi="Times New Roman" w:cs="Times New Roman" w:eastAsia="Times New Roman" w:hint="default"/>
                <w:sz w:val="18"/>
                <w:szCs w:val="18"/>
              </w:rPr>
            </w:pPr>
            <w:r>
              <w:rPr>
                <w:rFonts w:ascii="Times New Roman"/>
                <w:sz w:val="18"/>
              </w:rPr>
              <w:t>02</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80,782</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,965.0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7" w:right="0"/>
              <w:jc w:val="left"/>
              <w:rPr>
                <w:rFonts w:ascii="Times New Roman" w:hAnsi="Times New Roman" w:cs="Times New Roman" w:eastAsia="Times New Roman" w:hint="default"/>
                <w:sz w:val="18"/>
                <w:szCs w:val="18"/>
              </w:rPr>
            </w:pPr>
            <w:r>
              <w:rPr>
                <w:rFonts w:ascii="Times New Roman"/>
                <w:sz w:val="18"/>
              </w:rPr>
              <w:t>260,01</w:t>
            </w:r>
          </w:p>
          <w:p>
            <w:pPr>
              <w:pStyle w:val="TableParagraph"/>
              <w:spacing w:line="240" w:lineRule="auto" w:before="102"/>
              <w:ind w:left="100" w:right="0"/>
              <w:jc w:val="left"/>
              <w:rPr>
                <w:rFonts w:ascii="Times New Roman" w:hAnsi="Times New Roman" w:cs="Times New Roman" w:eastAsia="Times New Roman" w:hint="default"/>
                <w:sz w:val="18"/>
                <w:szCs w:val="18"/>
              </w:rPr>
            </w:pPr>
            <w:r>
              <w:rPr>
                <w:rFonts w:ascii="Times New Roman"/>
                <w:sz w:val="18"/>
              </w:rPr>
              <w:t>5,289.</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56</w:t>
            </w: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9" w:right="0"/>
              <w:jc w:val="left"/>
              <w:rPr>
                <w:rFonts w:ascii="Times New Roman" w:hAnsi="Times New Roman" w:cs="Times New Roman" w:eastAsia="Times New Roman" w:hint="default"/>
                <w:sz w:val="18"/>
                <w:szCs w:val="18"/>
              </w:rPr>
            </w:pPr>
            <w:r>
              <w:rPr>
                <w:rFonts w:ascii="Times New Roman"/>
                <w:sz w:val="18"/>
              </w:rPr>
              <w:t>111,21</w:t>
            </w:r>
          </w:p>
          <w:p>
            <w:pPr>
              <w:pStyle w:val="TableParagraph"/>
              <w:spacing w:line="240" w:lineRule="auto" w:before="102"/>
              <w:ind w:left="100" w:right="0"/>
              <w:jc w:val="left"/>
              <w:rPr>
                <w:rFonts w:ascii="Times New Roman" w:hAnsi="Times New Roman" w:cs="Times New Roman" w:eastAsia="Times New Roman" w:hint="default"/>
                <w:sz w:val="18"/>
                <w:szCs w:val="18"/>
              </w:rPr>
            </w:pPr>
            <w:r>
              <w:rPr>
                <w:rFonts w:ascii="Times New Roman"/>
                <w:sz w:val="18"/>
              </w:rPr>
              <w:t>6,597.</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97</w:t>
            </w: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4" w:right="0"/>
              <w:jc w:val="center"/>
              <w:rPr>
                <w:rFonts w:ascii="Times New Roman" w:hAnsi="Times New Roman" w:cs="Times New Roman" w:eastAsia="Times New Roman" w:hint="default"/>
                <w:sz w:val="18"/>
                <w:szCs w:val="18"/>
              </w:rPr>
            </w:pPr>
            <w:r>
              <w:rPr>
                <w:rFonts w:ascii="Times New Roman"/>
                <w:sz w:val="18"/>
              </w:rPr>
              <w:t>1,192,</w:t>
            </w:r>
          </w:p>
          <w:p>
            <w:pPr>
              <w:pStyle w:val="TableParagraph"/>
              <w:spacing w:line="240" w:lineRule="auto" w:before="102"/>
              <w:ind w:left="38" w:right="0"/>
              <w:jc w:val="center"/>
              <w:rPr>
                <w:rFonts w:ascii="Times New Roman" w:hAnsi="Times New Roman" w:cs="Times New Roman" w:eastAsia="Times New Roman" w:hint="default"/>
                <w:sz w:val="18"/>
                <w:szCs w:val="18"/>
              </w:rPr>
            </w:pPr>
            <w:r>
              <w:rPr>
                <w:rFonts w:ascii="Times New Roman"/>
                <w:sz w:val="18"/>
              </w:rPr>
              <w:t>954,66</w:t>
            </w:r>
          </w:p>
          <w:p>
            <w:pPr>
              <w:pStyle w:val="TableParagraph"/>
              <w:spacing w:line="240" w:lineRule="auto" w:before="105"/>
              <w:ind w:left="218" w:right="0"/>
              <w:jc w:val="center"/>
              <w:rPr>
                <w:rFonts w:ascii="Times New Roman" w:hAnsi="Times New Roman" w:cs="Times New Roman" w:eastAsia="Times New Roman" w:hint="default"/>
                <w:sz w:val="18"/>
                <w:szCs w:val="18"/>
              </w:rPr>
            </w:pPr>
            <w:r>
              <w:rPr>
                <w:rFonts w:ascii="Times New Roman"/>
                <w:sz w:val="18"/>
              </w:rPr>
              <w:t>2.33</w:t>
            </w: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2" w:right="0"/>
              <w:jc w:val="center"/>
              <w:rPr>
                <w:rFonts w:ascii="Times New Roman" w:hAnsi="Times New Roman" w:cs="Times New Roman" w:eastAsia="Times New Roman" w:hint="default"/>
                <w:sz w:val="18"/>
                <w:szCs w:val="18"/>
              </w:rPr>
            </w:pPr>
            <w:r>
              <w:rPr>
                <w:rFonts w:ascii="Times New Roman"/>
                <w:sz w:val="18"/>
              </w:rPr>
              <w:t>2,960,</w:t>
            </w:r>
          </w:p>
          <w:p>
            <w:pPr>
              <w:pStyle w:val="TableParagraph"/>
              <w:spacing w:line="240" w:lineRule="auto" w:before="102"/>
              <w:ind w:left="35" w:right="0"/>
              <w:jc w:val="center"/>
              <w:rPr>
                <w:rFonts w:ascii="Times New Roman" w:hAnsi="Times New Roman" w:cs="Times New Roman" w:eastAsia="Times New Roman" w:hint="default"/>
                <w:sz w:val="18"/>
                <w:szCs w:val="18"/>
              </w:rPr>
            </w:pPr>
            <w:r>
              <w:rPr>
                <w:rFonts w:ascii="Times New Roman"/>
                <w:sz w:val="18"/>
              </w:rPr>
              <w:t>789,18</w:t>
            </w:r>
          </w:p>
          <w:p>
            <w:pPr>
              <w:pStyle w:val="TableParagraph"/>
              <w:spacing w:line="240" w:lineRule="auto" w:before="105"/>
              <w:ind w:left="215" w:right="0"/>
              <w:jc w:val="center"/>
              <w:rPr>
                <w:rFonts w:ascii="Times New Roman" w:hAnsi="Times New Roman" w:cs="Times New Roman" w:eastAsia="Times New Roman" w:hint="default"/>
                <w:sz w:val="18"/>
                <w:szCs w:val="18"/>
              </w:rPr>
            </w:pPr>
            <w:r>
              <w:rPr>
                <w:rFonts w:ascii="Times New Roman"/>
                <w:sz w:val="18"/>
              </w:rPr>
              <w:t>0.88</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23,663</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,509.9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7" w:right="0"/>
              <w:jc w:val="center"/>
              <w:rPr>
                <w:rFonts w:ascii="Times New Roman" w:hAnsi="Times New Roman" w:cs="Times New Roman" w:eastAsia="Times New Roman" w:hint="default"/>
                <w:sz w:val="18"/>
                <w:szCs w:val="18"/>
              </w:rPr>
            </w:pPr>
            <w:r>
              <w:rPr>
                <w:rFonts w:ascii="Times New Roman"/>
                <w:sz w:val="18"/>
              </w:rPr>
              <w:t>2,984,</w:t>
            </w:r>
          </w:p>
          <w:p>
            <w:pPr>
              <w:pStyle w:val="TableParagraph"/>
              <w:spacing w:line="240" w:lineRule="auto" w:before="102"/>
              <w:ind w:left="31" w:right="0"/>
              <w:jc w:val="center"/>
              <w:rPr>
                <w:rFonts w:ascii="Times New Roman" w:hAnsi="Times New Roman" w:cs="Times New Roman" w:eastAsia="Times New Roman" w:hint="default"/>
                <w:sz w:val="18"/>
                <w:szCs w:val="18"/>
              </w:rPr>
            </w:pPr>
            <w:r>
              <w:rPr>
                <w:rFonts w:ascii="Times New Roman"/>
                <w:sz w:val="18"/>
              </w:rPr>
              <w:t>452,69</w:t>
            </w:r>
          </w:p>
          <w:p>
            <w:pPr>
              <w:pStyle w:val="TableParagraph"/>
              <w:spacing w:line="240" w:lineRule="auto" w:before="105"/>
              <w:ind w:left="211" w:right="0"/>
              <w:jc w:val="center"/>
              <w:rPr>
                <w:rFonts w:ascii="Times New Roman" w:hAnsi="Times New Roman" w:cs="Times New Roman" w:eastAsia="Times New Roman" w:hint="default"/>
                <w:sz w:val="18"/>
                <w:szCs w:val="18"/>
              </w:rPr>
            </w:pPr>
            <w:r>
              <w:rPr>
                <w:rFonts w:ascii="Times New Roman"/>
                <w:sz w:val="18"/>
              </w:rPr>
              <w:t>0.86</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5"/>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200"/>
        <w:gridCol w:w="490"/>
        <w:gridCol w:w="449"/>
        <w:gridCol w:w="449"/>
        <w:gridCol w:w="492"/>
        <w:gridCol w:w="576"/>
        <w:gridCol w:w="576"/>
        <w:gridCol w:w="578"/>
        <w:gridCol w:w="576"/>
        <w:gridCol w:w="576"/>
        <w:gridCol w:w="578"/>
        <w:gridCol w:w="588"/>
        <w:gridCol w:w="566"/>
        <w:gridCol w:w="569"/>
        <w:gridCol w:w="641"/>
        <w:gridCol w:w="653"/>
      </w:tblGrid>
      <w:tr>
        <w:trPr>
          <w:trHeight w:val="403" w:hRule="exact"/>
        </w:trPr>
        <w:tc>
          <w:tcPr>
            <w:tcW w:w="1200" w:type="dxa"/>
            <w:vMerge w:val="restart"/>
            <w:tcBorders>
              <w:top w:val="single" w:sz="4" w:space="0" w:color="000000"/>
              <w:left w:val="single" w:sz="4" w:space="0" w:color="000000"/>
              <w:right w:val="single" w:sz="4" w:space="0" w:color="000000"/>
            </w:tcBorders>
            <w:shd w:val="clear" w:color="auto" w:fill="D4D4D4"/>
          </w:tcPr>
          <w:p>
            <w:pPr/>
          </w:p>
        </w:tc>
        <w:tc>
          <w:tcPr>
            <w:tcW w:w="8357" w:type="dxa"/>
            <w:gridSpan w:val="15"/>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w:t>
            </w:r>
          </w:p>
        </w:tc>
      </w:tr>
      <w:tr>
        <w:trPr>
          <w:trHeight w:val="250" w:hRule="exact"/>
        </w:trPr>
        <w:tc>
          <w:tcPr>
            <w:tcW w:w="1200" w:type="dxa"/>
            <w:vMerge/>
            <w:tcBorders>
              <w:left w:val="single" w:sz="4" w:space="0" w:color="000000"/>
              <w:right w:val="single" w:sz="4" w:space="0" w:color="000000"/>
            </w:tcBorders>
            <w:shd w:val="clear" w:color="auto" w:fill="D4D4D4"/>
          </w:tcPr>
          <w:p>
            <w:pPr/>
          </w:p>
        </w:tc>
        <w:tc>
          <w:tcPr>
            <w:tcW w:w="7063" w:type="dxa"/>
            <w:gridSpan w:val="13"/>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41" w:type="dxa"/>
            <w:vMerge w:val="restart"/>
            <w:tcBorders>
              <w:top w:val="single" w:sz="4" w:space="0" w:color="000000"/>
              <w:left w:val="single" w:sz="4" w:space="0" w:color="000000"/>
              <w:right w:val="single" w:sz="4" w:space="0" w:color="000000"/>
            </w:tcBorders>
            <w:shd w:val="clear" w:color="auto" w:fill="D4D4D4"/>
          </w:tcPr>
          <w:p>
            <w:pPr/>
          </w:p>
        </w:tc>
        <w:tc>
          <w:tcPr>
            <w:tcW w:w="653" w:type="dxa"/>
            <w:tcBorders>
              <w:top w:val="single" w:sz="4" w:space="0" w:color="000000"/>
              <w:left w:val="single" w:sz="4" w:space="0" w:color="000000"/>
              <w:bottom w:val="nil" w:sz="6" w:space="0" w:color="auto"/>
              <w:right w:val="single" w:sz="4" w:space="0" w:color="000000"/>
            </w:tcBorders>
            <w:shd w:val="clear" w:color="auto" w:fill="D4D4D4"/>
          </w:tcPr>
          <w:p>
            <w:pPr/>
          </w:p>
        </w:tc>
      </w:tr>
      <w:tr>
        <w:trPr>
          <w:trHeight w:val="151" w:hRule="exact"/>
        </w:trPr>
        <w:tc>
          <w:tcPr>
            <w:tcW w:w="1200" w:type="dxa"/>
            <w:vMerge/>
            <w:tcBorders>
              <w:left w:val="single" w:sz="4" w:space="0" w:color="000000"/>
              <w:bottom w:val="single" w:sz="4" w:space="0" w:color="FFFFFF"/>
              <w:right w:val="single" w:sz="4" w:space="0" w:color="000000"/>
            </w:tcBorders>
            <w:shd w:val="clear" w:color="auto" w:fill="D4D4D4"/>
          </w:tcPr>
          <w:p>
            <w:pPr/>
          </w:p>
        </w:tc>
        <w:tc>
          <w:tcPr>
            <w:tcW w:w="7063" w:type="dxa"/>
            <w:gridSpan w:val="13"/>
            <w:vMerge/>
            <w:tcBorders>
              <w:left w:val="single" w:sz="4" w:space="0" w:color="000000"/>
              <w:bottom w:val="single" w:sz="4" w:space="0" w:color="FFFFFF"/>
              <w:right w:val="single" w:sz="4" w:space="0" w:color="000000"/>
            </w:tcBorders>
            <w:shd w:val="clear" w:color="auto" w:fill="D4D4D4"/>
          </w:tcPr>
          <w:p>
            <w:pPr/>
          </w:p>
        </w:tc>
        <w:tc>
          <w:tcPr>
            <w:tcW w:w="641" w:type="dxa"/>
            <w:vMerge/>
            <w:tcBorders>
              <w:left w:val="single" w:sz="4" w:space="0" w:color="000000"/>
              <w:bottom w:val="single" w:sz="4" w:space="0" w:color="FFFFFF"/>
              <w:right w:val="single" w:sz="4" w:space="0" w:color="000000"/>
            </w:tcBorders>
            <w:shd w:val="clear" w:color="auto" w:fill="D4D4D4"/>
          </w:tcPr>
          <w:p>
            <w:pPr/>
          </w:p>
        </w:tc>
        <w:tc>
          <w:tcPr>
            <w:tcW w:w="653"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49"/>
              <w:ind w:left="52" w:right="48"/>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206" w:hRule="exact"/>
        </w:trPr>
        <w:tc>
          <w:tcPr>
            <w:tcW w:w="1200" w:type="dxa"/>
            <w:vMerge w:val="restart"/>
            <w:tcBorders>
              <w:top w:val="single" w:sz="4" w:space="0" w:color="FFFFFF"/>
              <w:left w:val="single" w:sz="4" w:space="0" w:color="000000"/>
              <w:right w:val="single" w:sz="4" w:space="0" w:color="000000"/>
            </w:tcBorders>
            <w:shd w:val="clear" w:color="auto" w:fill="D4D4D4"/>
          </w:tcPr>
          <w:p>
            <w:pPr>
              <w:pStyle w:val="TableParagraph"/>
              <w:spacing w:line="240" w:lineRule="auto" w:before="5"/>
              <w:ind w:right="7"/>
              <w:jc w:val="center"/>
              <w:rPr>
                <w:rFonts w:ascii="宋体" w:hAnsi="宋体" w:cs="宋体" w:eastAsia="宋体" w:hint="default"/>
                <w:sz w:val="18"/>
                <w:szCs w:val="18"/>
              </w:rPr>
            </w:pPr>
            <w:r>
              <w:rPr>
                <w:rFonts w:ascii="宋体" w:hAnsi="宋体" w:cs="宋体" w:eastAsia="宋体" w:hint="default"/>
                <w:sz w:val="18"/>
                <w:szCs w:val="18"/>
              </w:rPr>
              <w:t>项目</w:t>
            </w:r>
          </w:p>
        </w:tc>
        <w:tc>
          <w:tcPr>
            <w:tcW w:w="490" w:type="dxa"/>
            <w:vMerge w:val="restart"/>
            <w:tcBorders>
              <w:top w:val="single" w:sz="4" w:space="0" w:color="FFFFFF"/>
              <w:left w:val="single" w:sz="4" w:space="0" w:color="000000"/>
              <w:right w:val="single" w:sz="4" w:space="0" w:color="000000"/>
            </w:tcBorders>
            <w:shd w:val="clear" w:color="auto" w:fill="D4D4D4"/>
          </w:tcPr>
          <w:p>
            <w:pPr/>
          </w:p>
        </w:tc>
        <w:tc>
          <w:tcPr>
            <w:tcW w:w="1390" w:type="dxa"/>
            <w:gridSpan w:val="3"/>
            <w:vMerge w:val="restart"/>
            <w:tcBorders>
              <w:top w:val="single" w:sz="4" w:space="0" w:color="FFFFFF"/>
              <w:left w:val="single" w:sz="4" w:space="0" w:color="000000"/>
              <w:right w:val="single" w:sz="4" w:space="0" w:color="000000"/>
            </w:tcBorders>
            <w:shd w:val="clear" w:color="auto" w:fill="D4D4D4"/>
          </w:tcPr>
          <w:p>
            <w:pPr>
              <w:pStyle w:val="TableParagraph"/>
              <w:spacing w:line="240" w:lineRule="auto" w:before="49"/>
              <w:ind w:left="148"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576" w:type="dxa"/>
            <w:tcBorders>
              <w:top w:val="single" w:sz="4" w:space="0" w:color="FFFFFF"/>
              <w:left w:val="single" w:sz="4" w:space="0" w:color="000000"/>
              <w:bottom w:val="nil" w:sz="6" w:space="0" w:color="auto"/>
              <w:right w:val="single" w:sz="4" w:space="0" w:color="000000"/>
            </w:tcBorders>
            <w:shd w:val="clear" w:color="auto" w:fill="D4D4D4"/>
          </w:tcPr>
          <w:p>
            <w:pPr/>
          </w:p>
        </w:tc>
        <w:tc>
          <w:tcPr>
            <w:tcW w:w="576" w:type="dxa"/>
            <w:tcBorders>
              <w:top w:val="single" w:sz="4" w:space="0" w:color="FFFFFF"/>
              <w:left w:val="single" w:sz="4" w:space="0" w:color="000000"/>
              <w:bottom w:val="nil" w:sz="6" w:space="0" w:color="auto"/>
              <w:right w:val="single" w:sz="4" w:space="0" w:color="000000"/>
            </w:tcBorders>
            <w:shd w:val="clear" w:color="auto" w:fill="D4D4D4"/>
          </w:tcPr>
          <w:p>
            <w:pPr/>
          </w:p>
        </w:tc>
        <w:tc>
          <w:tcPr>
            <w:tcW w:w="578" w:type="dxa"/>
            <w:vMerge w:val="restart"/>
            <w:tcBorders>
              <w:top w:val="single" w:sz="4" w:space="0" w:color="FFFFFF"/>
              <w:left w:val="single" w:sz="4" w:space="0" w:color="000000"/>
              <w:right w:val="single" w:sz="4" w:space="0" w:color="000000"/>
            </w:tcBorders>
            <w:shd w:val="clear" w:color="auto" w:fill="D4D4D4"/>
          </w:tcPr>
          <w:p>
            <w:pPr>
              <w:pStyle w:val="TableParagraph"/>
              <w:spacing w:line="316" w:lineRule="auto" w:before="94"/>
              <w:ind w:left="103" w:right="103"/>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576" w:type="dxa"/>
            <w:tcBorders>
              <w:top w:val="single" w:sz="4" w:space="0" w:color="FFFFFF"/>
              <w:left w:val="single" w:sz="4" w:space="0" w:color="000000"/>
              <w:bottom w:val="nil" w:sz="6" w:space="0" w:color="auto"/>
              <w:right w:val="single" w:sz="4" w:space="0" w:color="000000"/>
            </w:tcBorders>
            <w:shd w:val="clear" w:color="auto" w:fill="D4D4D4"/>
          </w:tcPr>
          <w:p>
            <w:pPr/>
          </w:p>
        </w:tc>
        <w:tc>
          <w:tcPr>
            <w:tcW w:w="576" w:type="dxa"/>
            <w:tcBorders>
              <w:top w:val="single" w:sz="4" w:space="0" w:color="FFFFFF"/>
              <w:left w:val="single" w:sz="4" w:space="0" w:color="000000"/>
              <w:bottom w:val="nil" w:sz="6" w:space="0" w:color="auto"/>
              <w:right w:val="single" w:sz="4" w:space="0" w:color="000000"/>
            </w:tcBorders>
            <w:shd w:val="clear" w:color="auto" w:fill="D4D4D4"/>
          </w:tcPr>
          <w:p>
            <w:pPr/>
          </w:p>
        </w:tc>
        <w:tc>
          <w:tcPr>
            <w:tcW w:w="578" w:type="dxa"/>
            <w:vMerge w:val="restart"/>
            <w:tcBorders>
              <w:top w:val="single" w:sz="4" w:space="0" w:color="FFFFFF"/>
              <w:left w:val="single" w:sz="4" w:space="0" w:color="000000"/>
              <w:right w:val="single" w:sz="4" w:space="0" w:color="000000"/>
            </w:tcBorders>
            <w:shd w:val="clear" w:color="auto" w:fill="D4D4D4"/>
          </w:tcPr>
          <w:p>
            <w:pPr>
              <w:pStyle w:val="TableParagraph"/>
              <w:spacing w:line="316" w:lineRule="auto" w:before="94"/>
              <w:ind w:left="103" w:right="103"/>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588" w:type="dxa"/>
            <w:vMerge w:val="restart"/>
            <w:tcBorders>
              <w:top w:val="single" w:sz="4" w:space="0" w:color="FFFFFF"/>
              <w:left w:val="single" w:sz="4" w:space="0" w:color="000000"/>
              <w:right w:val="single" w:sz="4" w:space="0" w:color="000000"/>
            </w:tcBorders>
            <w:shd w:val="clear" w:color="auto" w:fill="D4D4D4"/>
          </w:tcPr>
          <w:p>
            <w:pPr>
              <w:pStyle w:val="TableParagraph"/>
              <w:spacing w:line="316" w:lineRule="auto" w:before="94"/>
              <w:ind w:left="110" w:right="107"/>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566" w:type="dxa"/>
            <w:vMerge w:val="restart"/>
            <w:tcBorders>
              <w:top w:val="single" w:sz="4" w:space="0" w:color="FFFFFF"/>
              <w:left w:val="single" w:sz="4" w:space="0" w:color="000000"/>
              <w:right w:val="single" w:sz="4" w:space="0" w:color="000000"/>
            </w:tcBorders>
            <w:shd w:val="clear" w:color="auto" w:fill="D4D4D4"/>
          </w:tcPr>
          <w:p>
            <w:pPr/>
          </w:p>
        </w:tc>
        <w:tc>
          <w:tcPr>
            <w:tcW w:w="569" w:type="dxa"/>
            <w:vMerge w:val="restart"/>
            <w:tcBorders>
              <w:top w:val="single" w:sz="4" w:space="0" w:color="FFFFFF"/>
              <w:left w:val="single" w:sz="4" w:space="0" w:color="000000"/>
              <w:right w:val="single" w:sz="4" w:space="0" w:color="000000"/>
            </w:tcBorders>
            <w:shd w:val="clear" w:color="auto" w:fill="D4D4D4"/>
          </w:tcPr>
          <w:p>
            <w:pPr/>
          </w:p>
        </w:tc>
        <w:tc>
          <w:tcPr>
            <w:tcW w:w="641" w:type="dxa"/>
            <w:vMerge w:val="restart"/>
            <w:tcBorders>
              <w:top w:val="single" w:sz="4" w:space="0" w:color="FFFFFF"/>
              <w:left w:val="single" w:sz="4" w:space="0" w:color="000000"/>
              <w:right w:val="single" w:sz="4" w:space="0" w:color="000000"/>
            </w:tcBorders>
            <w:shd w:val="clear" w:color="auto" w:fill="D4D4D4"/>
          </w:tcPr>
          <w:p>
            <w:pPr>
              <w:pStyle w:val="TableParagraph"/>
              <w:spacing w:line="316" w:lineRule="auto" w:before="49"/>
              <w:ind w:left="47" w:right="41"/>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3" w:type="dxa"/>
            <w:vMerge/>
            <w:tcBorders>
              <w:left w:val="single" w:sz="4" w:space="0" w:color="000000"/>
              <w:right w:val="single" w:sz="4" w:space="0" w:color="000000"/>
            </w:tcBorders>
            <w:shd w:val="clear" w:color="auto" w:fill="D4D4D4"/>
          </w:tcPr>
          <w:p>
            <w:pPr/>
          </w:p>
        </w:tc>
      </w:tr>
      <w:tr>
        <w:trPr>
          <w:trHeight w:val="165" w:hRule="exact"/>
        </w:trPr>
        <w:tc>
          <w:tcPr>
            <w:tcW w:w="1200" w:type="dxa"/>
            <w:vMerge/>
            <w:tcBorders>
              <w:left w:val="single" w:sz="4" w:space="0" w:color="000000"/>
              <w:bottom w:val="nil" w:sz="6" w:space="0" w:color="auto"/>
              <w:right w:val="single" w:sz="4" w:space="0" w:color="000000"/>
            </w:tcBorders>
            <w:shd w:val="clear" w:color="auto" w:fill="D4D4D4"/>
          </w:tcPr>
          <w:p>
            <w:pPr/>
          </w:p>
        </w:tc>
        <w:tc>
          <w:tcPr>
            <w:tcW w:w="490" w:type="dxa"/>
            <w:vMerge/>
            <w:tcBorders>
              <w:left w:val="single" w:sz="4" w:space="0" w:color="000000"/>
              <w:bottom w:val="nil" w:sz="6" w:space="0" w:color="auto"/>
              <w:right w:val="single" w:sz="4" w:space="0" w:color="000000"/>
            </w:tcBorders>
            <w:shd w:val="clear" w:color="auto" w:fill="D4D4D4"/>
          </w:tcPr>
          <w:p>
            <w:pPr/>
          </w:p>
        </w:tc>
        <w:tc>
          <w:tcPr>
            <w:tcW w:w="1390" w:type="dxa"/>
            <w:gridSpan w:val="3"/>
            <w:vMerge/>
            <w:tcBorders>
              <w:left w:val="single" w:sz="4" w:space="0" w:color="000000"/>
              <w:bottom w:val="single" w:sz="4" w:space="0" w:color="000000"/>
              <w:right w:val="single" w:sz="4" w:space="0" w:color="000000"/>
            </w:tcBorders>
            <w:shd w:val="clear" w:color="auto" w:fill="D4D4D4"/>
          </w:tcPr>
          <w:p>
            <w:pPr/>
          </w:p>
        </w:tc>
        <w:tc>
          <w:tcPr>
            <w:tcW w:w="576"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49"/>
              <w:ind w:left="103" w:right="101"/>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576"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49"/>
              <w:ind w:left="103" w:right="38" w:hanging="80"/>
              <w:jc w:val="left"/>
              <w:rPr>
                <w:rFonts w:ascii="宋体" w:hAnsi="宋体" w:cs="宋体" w:eastAsia="宋体" w:hint="default"/>
                <w:sz w:val="18"/>
                <w:szCs w:val="18"/>
              </w:rPr>
            </w:pPr>
            <w:r>
              <w:rPr>
                <w:rFonts w:ascii="宋体" w:hAnsi="宋体" w:cs="宋体" w:eastAsia="宋体" w:hint="default"/>
                <w:spacing w:val="-14"/>
                <w:sz w:val="18"/>
                <w:szCs w:val="18"/>
              </w:rPr>
              <w:t>减：库</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存股</w:t>
            </w:r>
          </w:p>
        </w:tc>
        <w:tc>
          <w:tcPr>
            <w:tcW w:w="578" w:type="dxa"/>
            <w:vMerge/>
            <w:tcBorders>
              <w:left w:val="single" w:sz="4" w:space="0" w:color="000000"/>
              <w:right w:val="single" w:sz="4" w:space="0" w:color="000000"/>
            </w:tcBorders>
            <w:shd w:val="clear" w:color="auto" w:fill="D4D4D4"/>
          </w:tcPr>
          <w:p>
            <w:pPr/>
          </w:p>
        </w:tc>
        <w:tc>
          <w:tcPr>
            <w:tcW w:w="576"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49"/>
              <w:ind w:left="103" w:right="101"/>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576"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49"/>
              <w:ind w:left="103" w:right="101"/>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578" w:type="dxa"/>
            <w:vMerge/>
            <w:tcBorders>
              <w:left w:val="single" w:sz="4" w:space="0" w:color="000000"/>
              <w:right w:val="single" w:sz="4" w:space="0" w:color="000000"/>
            </w:tcBorders>
            <w:shd w:val="clear" w:color="auto" w:fill="D4D4D4"/>
          </w:tcPr>
          <w:p>
            <w:pPr/>
          </w:p>
        </w:tc>
        <w:tc>
          <w:tcPr>
            <w:tcW w:w="588" w:type="dxa"/>
            <w:vMerge/>
            <w:tcBorders>
              <w:left w:val="single" w:sz="4" w:space="0" w:color="000000"/>
              <w:right w:val="single" w:sz="4" w:space="0" w:color="000000"/>
            </w:tcBorders>
            <w:shd w:val="clear" w:color="auto" w:fill="D4D4D4"/>
          </w:tcPr>
          <w:p>
            <w:pPr/>
          </w:p>
        </w:tc>
        <w:tc>
          <w:tcPr>
            <w:tcW w:w="566" w:type="dxa"/>
            <w:vMerge/>
            <w:tcBorders>
              <w:left w:val="single" w:sz="4" w:space="0" w:color="000000"/>
              <w:bottom w:val="nil" w:sz="6" w:space="0" w:color="auto"/>
              <w:right w:val="single" w:sz="4" w:space="0" w:color="000000"/>
            </w:tcBorders>
            <w:shd w:val="clear" w:color="auto" w:fill="D4D4D4"/>
          </w:tcPr>
          <w:p>
            <w:pPr/>
          </w:p>
        </w:tc>
        <w:tc>
          <w:tcPr>
            <w:tcW w:w="569" w:type="dxa"/>
            <w:vMerge/>
            <w:tcBorders>
              <w:left w:val="single" w:sz="4" w:space="0" w:color="000000"/>
              <w:bottom w:val="nil" w:sz="6" w:space="0" w:color="auto"/>
              <w:right w:val="single" w:sz="4" w:space="0" w:color="000000"/>
            </w:tcBorders>
            <w:shd w:val="clear" w:color="auto" w:fill="D4D4D4"/>
          </w:tcPr>
          <w:p>
            <w:pPr/>
          </w:p>
        </w:tc>
        <w:tc>
          <w:tcPr>
            <w:tcW w:w="641" w:type="dxa"/>
            <w:vMerge/>
            <w:tcBorders>
              <w:left w:val="single" w:sz="4" w:space="0" w:color="000000"/>
              <w:right w:val="single" w:sz="4" w:space="0" w:color="000000"/>
            </w:tcBorders>
            <w:shd w:val="clear" w:color="auto" w:fill="D4D4D4"/>
          </w:tcPr>
          <w:p>
            <w:pPr/>
          </w:p>
        </w:tc>
        <w:tc>
          <w:tcPr>
            <w:tcW w:w="653" w:type="dxa"/>
            <w:vMerge/>
            <w:tcBorders>
              <w:left w:val="single" w:sz="4" w:space="0" w:color="000000"/>
              <w:right w:val="single" w:sz="4" w:space="0" w:color="000000"/>
            </w:tcBorders>
            <w:shd w:val="clear" w:color="auto" w:fill="D4D4D4"/>
          </w:tcPr>
          <w:p>
            <w:pPr/>
          </w:p>
        </w:tc>
      </w:tr>
      <w:tr>
        <w:trPr>
          <w:trHeight w:val="193" w:hRule="exact"/>
        </w:trPr>
        <w:tc>
          <w:tcPr>
            <w:tcW w:w="1200" w:type="dxa"/>
            <w:vMerge w:val="restart"/>
            <w:tcBorders>
              <w:top w:val="nil" w:sz="6" w:space="0" w:color="auto"/>
              <w:left w:val="single" w:sz="4" w:space="0" w:color="000000"/>
              <w:right w:val="single" w:sz="4" w:space="0" w:color="000000"/>
            </w:tcBorders>
            <w:shd w:val="clear" w:color="auto" w:fill="D4D4D4"/>
          </w:tcPr>
          <w:p>
            <w:pPr/>
          </w:p>
        </w:tc>
        <w:tc>
          <w:tcPr>
            <w:tcW w:w="490"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0"/>
              <w:ind w:left="59"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449" w:type="dxa"/>
            <w:vMerge w:val="restart"/>
            <w:tcBorders>
              <w:top w:val="single" w:sz="4" w:space="0" w:color="000000"/>
              <w:left w:val="single" w:sz="4" w:space="0" w:color="000000"/>
              <w:right w:val="single" w:sz="4" w:space="0" w:color="000000"/>
            </w:tcBorders>
            <w:shd w:val="clear" w:color="auto" w:fill="D4D4D4"/>
          </w:tcPr>
          <w:p>
            <w:pPr>
              <w:pStyle w:val="TableParagraph"/>
              <w:spacing w:line="314" w:lineRule="auto" w:before="80"/>
              <w:ind w:left="129" w:right="36" w:hanging="89"/>
              <w:jc w:val="left"/>
              <w:rPr>
                <w:rFonts w:ascii="宋体" w:hAnsi="宋体" w:cs="宋体" w:eastAsia="宋体" w:hint="default"/>
                <w:sz w:val="18"/>
                <w:szCs w:val="18"/>
              </w:rPr>
            </w:pPr>
            <w:r>
              <w:rPr>
                <w:rFonts w:ascii="宋体" w:hAnsi="宋体" w:cs="宋体" w:eastAsia="宋体" w:hint="default"/>
                <w:sz w:val="18"/>
                <w:szCs w:val="18"/>
              </w:rPr>
              <w:t>优先 股</w:t>
            </w:r>
          </w:p>
        </w:tc>
        <w:tc>
          <w:tcPr>
            <w:tcW w:w="449" w:type="dxa"/>
            <w:vMerge w:val="restart"/>
            <w:tcBorders>
              <w:top w:val="single" w:sz="4" w:space="0" w:color="000000"/>
              <w:left w:val="single" w:sz="4" w:space="0" w:color="000000"/>
              <w:right w:val="single" w:sz="4" w:space="0" w:color="000000"/>
            </w:tcBorders>
            <w:shd w:val="clear" w:color="auto" w:fill="D4D4D4"/>
          </w:tcPr>
          <w:p>
            <w:pPr>
              <w:pStyle w:val="TableParagraph"/>
              <w:spacing w:line="314" w:lineRule="auto" w:before="80"/>
              <w:ind w:left="129" w:right="36" w:hanging="89"/>
              <w:jc w:val="left"/>
              <w:rPr>
                <w:rFonts w:ascii="宋体" w:hAnsi="宋体" w:cs="宋体" w:eastAsia="宋体" w:hint="default"/>
                <w:sz w:val="18"/>
                <w:szCs w:val="18"/>
              </w:rPr>
            </w:pPr>
            <w:r>
              <w:rPr>
                <w:rFonts w:ascii="宋体" w:hAnsi="宋体" w:cs="宋体" w:eastAsia="宋体" w:hint="default"/>
                <w:sz w:val="18"/>
                <w:szCs w:val="18"/>
              </w:rPr>
              <w:t>永续 债</w:t>
            </w:r>
          </w:p>
        </w:tc>
        <w:tc>
          <w:tcPr>
            <w:tcW w:w="492" w:type="dxa"/>
            <w:tcBorders>
              <w:top w:val="single" w:sz="4" w:space="0" w:color="000000"/>
              <w:left w:val="single" w:sz="4" w:space="0" w:color="000000"/>
              <w:bottom w:val="nil" w:sz="6" w:space="0" w:color="auto"/>
              <w:right w:val="single" w:sz="4" w:space="0" w:color="000000"/>
            </w:tcBorders>
            <w:shd w:val="clear" w:color="auto" w:fill="D4D4D4"/>
          </w:tcPr>
          <w:p>
            <w:pPr/>
          </w:p>
        </w:tc>
        <w:tc>
          <w:tcPr>
            <w:tcW w:w="576" w:type="dxa"/>
            <w:vMerge/>
            <w:tcBorders>
              <w:left w:val="single" w:sz="4" w:space="0" w:color="000000"/>
              <w:right w:val="single" w:sz="4" w:space="0" w:color="000000"/>
            </w:tcBorders>
            <w:shd w:val="clear" w:color="auto" w:fill="D4D4D4"/>
          </w:tcPr>
          <w:p>
            <w:pPr/>
          </w:p>
        </w:tc>
        <w:tc>
          <w:tcPr>
            <w:tcW w:w="576" w:type="dxa"/>
            <w:vMerge/>
            <w:tcBorders>
              <w:left w:val="single" w:sz="4" w:space="0" w:color="000000"/>
              <w:right w:val="single" w:sz="4" w:space="0" w:color="000000"/>
            </w:tcBorders>
            <w:shd w:val="clear" w:color="auto" w:fill="D4D4D4"/>
          </w:tcPr>
          <w:p>
            <w:pPr/>
          </w:p>
        </w:tc>
        <w:tc>
          <w:tcPr>
            <w:tcW w:w="578" w:type="dxa"/>
            <w:vMerge/>
            <w:tcBorders>
              <w:left w:val="single" w:sz="4" w:space="0" w:color="000000"/>
              <w:right w:val="single" w:sz="4" w:space="0" w:color="000000"/>
            </w:tcBorders>
            <w:shd w:val="clear" w:color="auto" w:fill="D4D4D4"/>
          </w:tcPr>
          <w:p>
            <w:pPr/>
          </w:p>
        </w:tc>
        <w:tc>
          <w:tcPr>
            <w:tcW w:w="576" w:type="dxa"/>
            <w:vMerge/>
            <w:tcBorders>
              <w:left w:val="single" w:sz="4" w:space="0" w:color="000000"/>
              <w:right w:val="single" w:sz="4" w:space="0" w:color="000000"/>
            </w:tcBorders>
            <w:shd w:val="clear" w:color="auto" w:fill="D4D4D4"/>
          </w:tcPr>
          <w:p>
            <w:pPr/>
          </w:p>
        </w:tc>
        <w:tc>
          <w:tcPr>
            <w:tcW w:w="576" w:type="dxa"/>
            <w:vMerge/>
            <w:tcBorders>
              <w:left w:val="single" w:sz="4" w:space="0" w:color="000000"/>
              <w:right w:val="single" w:sz="4" w:space="0" w:color="000000"/>
            </w:tcBorders>
            <w:shd w:val="clear" w:color="auto" w:fill="D4D4D4"/>
          </w:tcPr>
          <w:p>
            <w:pPr/>
          </w:p>
        </w:tc>
        <w:tc>
          <w:tcPr>
            <w:tcW w:w="578" w:type="dxa"/>
            <w:vMerge/>
            <w:tcBorders>
              <w:left w:val="single" w:sz="4" w:space="0" w:color="000000"/>
              <w:right w:val="single" w:sz="4" w:space="0" w:color="000000"/>
            </w:tcBorders>
            <w:shd w:val="clear" w:color="auto" w:fill="D4D4D4"/>
          </w:tcPr>
          <w:p>
            <w:pPr/>
          </w:p>
        </w:tc>
        <w:tc>
          <w:tcPr>
            <w:tcW w:w="588" w:type="dxa"/>
            <w:vMerge/>
            <w:tcBorders>
              <w:left w:val="single" w:sz="4" w:space="0" w:color="000000"/>
              <w:right w:val="single" w:sz="4" w:space="0" w:color="000000"/>
            </w:tcBorders>
            <w:shd w:val="clear" w:color="auto" w:fill="D4D4D4"/>
          </w:tcPr>
          <w:p>
            <w:pPr/>
          </w:p>
        </w:tc>
        <w:tc>
          <w:tcPr>
            <w:tcW w:w="566"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0"/>
              <w:ind w:left="9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9"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0"/>
              <w:ind w:left="98"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641" w:type="dxa"/>
            <w:vMerge/>
            <w:tcBorders>
              <w:left w:val="single" w:sz="4" w:space="0" w:color="000000"/>
              <w:right w:val="single" w:sz="4" w:space="0" w:color="000000"/>
            </w:tcBorders>
            <w:shd w:val="clear" w:color="auto" w:fill="D4D4D4"/>
          </w:tcPr>
          <w:p>
            <w:pPr/>
          </w:p>
        </w:tc>
        <w:tc>
          <w:tcPr>
            <w:tcW w:w="653" w:type="dxa"/>
            <w:vMerge/>
            <w:tcBorders>
              <w:left w:val="single" w:sz="4" w:space="0" w:color="000000"/>
              <w:right w:val="single" w:sz="4" w:space="0" w:color="000000"/>
            </w:tcBorders>
            <w:shd w:val="clear" w:color="auto" w:fill="D4D4D4"/>
          </w:tcPr>
          <w:p>
            <w:pPr/>
          </w:p>
        </w:tc>
      </w:tr>
      <w:tr>
        <w:trPr>
          <w:trHeight w:val="190" w:hRule="exact"/>
        </w:trPr>
        <w:tc>
          <w:tcPr>
            <w:tcW w:w="1200" w:type="dxa"/>
            <w:vMerge/>
            <w:tcBorders>
              <w:left w:val="single" w:sz="4" w:space="0" w:color="000000"/>
              <w:right w:val="single" w:sz="4" w:space="0" w:color="000000"/>
            </w:tcBorders>
            <w:shd w:val="clear" w:color="auto" w:fill="D4D4D4"/>
          </w:tcPr>
          <w:p>
            <w:pPr/>
          </w:p>
        </w:tc>
        <w:tc>
          <w:tcPr>
            <w:tcW w:w="490" w:type="dxa"/>
            <w:vMerge/>
            <w:tcBorders>
              <w:left w:val="single" w:sz="4" w:space="0" w:color="000000"/>
              <w:bottom w:val="nil" w:sz="6" w:space="0" w:color="auto"/>
              <w:right w:val="single" w:sz="4" w:space="0" w:color="000000"/>
            </w:tcBorders>
            <w:shd w:val="clear" w:color="auto" w:fill="D4D4D4"/>
          </w:tcPr>
          <w:p>
            <w:pPr/>
          </w:p>
        </w:tc>
        <w:tc>
          <w:tcPr>
            <w:tcW w:w="449" w:type="dxa"/>
            <w:vMerge/>
            <w:tcBorders>
              <w:left w:val="single" w:sz="4" w:space="0" w:color="000000"/>
              <w:right w:val="single" w:sz="4" w:space="0" w:color="000000"/>
            </w:tcBorders>
            <w:shd w:val="clear" w:color="auto" w:fill="D4D4D4"/>
          </w:tcPr>
          <w:p>
            <w:pPr/>
          </w:p>
        </w:tc>
        <w:tc>
          <w:tcPr>
            <w:tcW w:w="449" w:type="dxa"/>
            <w:vMerge/>
            <w:tcBorders>
              <w:left w:val="single" w:sz="4" w:space="0" w:color="000000"/>
              <w:right w:val="single" w:sz="4" w:space="0" w:color="000000"/>
            </w:tcBorders>
            <w:shd w:val="clear" w:color="auto" w:fill="D4D4D4"/>
          </w:tcPr>
          <w:p>
            <w:pPr/>
          </w:p>
        </w:tc>
        <w:tc>
          <w:tcPr>
            <w:tcW w:w="492"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5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76" w:type="dxa"/>
            <w:vMerge/>
            <w:tcBorders>
              <w:left w:val="single" w:sz="4" w:space="0" w:color="000000"/>
              <w:right w:val="single" w:sz="4" w:space="0" w:color="000000"/>
            </w:tcBorders>
            <w:shd w:val="clear" w:color="auto" w:fill="D4D4D4"/>
          </w:tcPr>
          <w:p>
            <w:pPr/>
          </w:p>
        </w:tc>
        <w:tc>
          <w:tcPr>
            <w:tcW w:w="576" w:type="dxa"/>
            <w:vMerge/>
            <w:tcBorders>
              <w:left w:val="single" w:sz="4" w:space="0" w:color="000000"/>
              <w:right w:val="single" w:sz="4" w:space="0" w:color="000000"/>
            </w:tcBorders>
            <w:shd w:val="clear" w:color="auto" w:fill="D4D4D4"/>
          </w:tcPr>
          <w:p>
            <w:pPr/>
          </w:p>
        </w:tc>
        <w:tc>
          <w:tcPr>
            <w:tcW w:w="578" w:type="dxa"/>
            <w:vMerge/>
            <w:tcBorders>
              <w:left w:val="single" w:sz="4" w:space="0" w:color="000000"/>
              <w:right w:val="single" w:sz="4" w:space="0" w:color="000000"/>
            </w:tcBorders>
            <w:shd w:val="clear" w:color="auto" w:fill="D4D4D4"/>
          </w:tcPr>
          <w:p>
            <w:pPr/>
          </w:p>
        </w:tc>
        <w:tc>
          <w:tcPr>
            <w:tcW w:w="576" w:type="dxa"/>
            <w:vMerge/>
            <w:tcBorders>
              <w:left w:val="single" w:sz="4" w:space="0" w:color="000000"/>
              <w:right w:val="single" w:sz="4" w:space="0" w:color="000000"/>
            </w:tcBorders>
            <w:shd w:val="clear" w:color="auto" w:fill="D4D4D4"/>
          </w:tcPr>
          <w:p>
            <w:pPr/>
          </w:p>
        </w:tc>
        <w:tc>
          <w:tcPr>
            <w:tcW w:w="576" w:type="dxa"/>
            <w:vMerge/>
            <w:tcBorders>
              <w:left w:val="single" w:sz="4" w:space="0" w:color="000000"/>
              <w:right w:val="single" w:sz="4" w:space="0" w:color="000000"/>
            </w:tcBorders>
            <w:shd w:val="clear" w:color="auto" w:fill="D4D4D4"/>
          </w:tcPr>
          <w:p>
            <w:pPr/>
          </w:p>
        </w:tc>
        <w:tc>
          <w:tcPr>
            <w:tcW w:w="578" w:type="dxa"/>
            <w:vMerge/>
            <w:tcBorders>
              <w:left w:val="single" w:sz="4" w:space="0" w:color="000000"/>
              <w:right w:val="single" w:sz="4" w:space="0" w:color="000000"/>
            </w:tcBorders>
            <w:shd w:val="clear" w:color="auto" w:fill="D4D4D4"/>
          </w:tcPr>
          <w:p>
            <w:pPr/>
          </w:p>
        </w:tc>
        <w:tc>
          <w:tcPr>
            <w:tcW w:w="588" w:type="dxa"/>
            <w:vMerge/>
            <w:tcBorders>
              <w:left w:val="single" w:sz="4" w:space="0" w:color="000000"/>
              <w:right w:val="single" w:sz="4" w:space="0" w:color="000000"/>
            </w:tcBorders>
            <w:shd w:val="clear" w:color="auto" w:fill="D4D4D4"/>
          </w:tcPr>
          <w:p>
            <w:pPr/>
          </w:p>
        </w:tc>
        <w:tc>
          <w:tcPr>
            <w:tcW w:w="566" w:type="dxa"/>
            <w:vMerge/>
            <w:tcBorders>
              <w:left w:val="single" w:sz="4" w:space="0" w:color="000000"/>
              <w:bottom w:val="nil" w:sz="6" w:space="0" w:color="auto"/>
              <w:right w:val="single" w:sz="4" w:space="0" w:color="000000"/>
            </w:tcBorders>
            <w:shd w:val="clear" w:color="auto" w:fill="D4D4D4"/>
          </w:tcPr>
          <w:p>
            <w:pPr/>
          </w:p>
        </w:tc>
        <w:tc>
          <w:tcPr>
            <w:tcW w:w="569" w:type="dxa"/>
            <w:vMerge/>
            <w:tcBorders>
              <w:left w:val="single" w:sz="4" w:space="0" w:color="000000"/>
              <w:bottom w:val="nil" w:sz="6" w:space="0" w:color="auto"/>
              <w:right w:val="single" w:sz="4" w:space="0" w:color="000000"/>
            </w:tcBorders>
            <w:shd w:val="clear" w:color="auto" w:fill="D4D4D4"/>
          </w:tcPr>
          <w:p>
            <w:pPr/>
          </w:p>
        </w:tc>
        <w:tc>
          <w:tcPr>
            <w:tcW w:w="641" w:type="dxa"/>
            <w:vMerge/>
            <w:tcBorders>
              <w:left w:val="single" w:sz="4" w:space="0" w:color="000000"/>
              <w:bottom w:val="nil" w:sz="6" w:space="0" w:color="auto"/>
              <w:right w:val="single" w:sz="4" w:space="0" w:color="000000"/>
            </w:tcBorders>
            <w:shd w:val="clear" w:color="auto" w:fill="D4D4D4"/>
          </w:tcPr>
          <w:p>
            <w:pPr/>
          </w:p>
        </w:tc>
        <w:tc>
          <w:tcPr>
            <w:tcW w:w="653" w:type="dxa"/>
            <w:vMerge/>
            <w:tcBorders>
              <w:left w:val="single" w:sz="4" w:space="0" w:color="000000"/>
              <w:right w:val="single" w:sz="4" w:space="0" w:color="000000"/>
            </w:tcBorders>
            <w:shd w:val="clear" w:color="auto" w:fill="D4D4D4"/>
          </w:tcPr>
          <w:p>
            <w:pPr/>
          </w:p>
        </w:tc>
      </w:tr>
      <w:tr>
        <w:trPr>
          <w:trHeight w:val="134" w:hRule="exact"/>
        </w:trPr>
        <w:tc>
          <w:tcPr>
            <w:tcW w:w="1200" w:type="dxa"/>
            <w:vMerge/>
            <w:tcBorders>
              <w:left w:val="single" w:sz="4" w:space="0" w:color="000000"/>
              <w:right w:val="single" w:sz="4" w:space="0" w:color="000000"/>
            </w:tcBorders>
            <w:shd w:val="clear" w:color="auto" w:fill="D4D4D4"/>
          </w:tcPr>
          <w:p>
            <w:pPr/>
          </w:p>
        </w:tc>
        <w:tc>
          <w:tcPr>
            <w:tcW w:w="490" w:type="dxa"/>
            <w:vMerge w:val="restart"/>
            <w:tcBorders>
              <w:top w:val="nil" w:sz="6" w:space="0" w:color="auto"/>
              <w:left w:val="single" w:sz="4" w:space="0" w:color="000000"/>
              <w:right w:val="single" w:sz="4" w:space="0" w:color="000000"/>
            </w:tcBorders>
            <w:shd w:val="clear" w:color="auto" w:fill="D4D4D4"/>
          </w:tcPr>
          <w:p>
            <w:pPr/>
          </w:p>
        </w:tc>
        <w:tc>
          <w:tcPr>
            <w:tcW w:w="449" w:type="dxa"/>
            <w:vMerge/>
            <w:tcBorders>
              <w:left w:val="single" w:sz="4" w:space="0" w:color="000000"/>
              <w:right w:val="single" w:sz="4" w:space="0" w:color="000000"/>
            </w:tcBorders>
            <w:shd w:val="clear" w:color="auto" w:fill="D4D4D4"/>
          </w:tcPr>
          <w:p>
            <w:pPr/>
          </w:p>
        </w:tc>
        <w:tc>
          <w:tcPr>
            <w:tcW w:w="449" w:type="dxa"/>
            <w:vMerge/>
            <w:tcBorders>
              <w:left w:val="single" w:sz="4" w:space="0" w:color="000000"/>
              <w:right w:val="single" w:sz="4" w:space="0" w:color="000000"/>
            </w:tcBorders>
            <w:shd w:val="clear" w:color="auto" w:fill="D4D4D4"/>
          </w:tcPr>
          <w:p>
            <w:pPr/>
          </w:p>
        </w:tc>
        <w:tc>
          <w:tcPr>
            <w:tcW w:w="492" w:type="dxa"/>
            <w:vMerge/>
            <w:tcBorders>
              <w:left w:val="single" w:sz="4" w:space="0" w:color="000000"/>
              <w:bottom w:val="nil" w:sz="6" w:space="0" w:color="auto"/>
              <w:right w:val="single" w:sz="4" w:space="0" w:color="000000"/>
            </w:tcBorders>
            <w:shd w:val="clear" w:color="auto" w:fill="D4D4D4"/>
          </w:tcPr>
          <w:p>
            <w:pPr/>
          </w:p>
        </w:tc>
        <w:tc>
          <w:tcPr>
            <w:tcW w:w="576" w:type="dxa"/>
            <w:vMerge/>
            <w:tcBorders>
              <w:left w:val="single" w:sz="4" w:space="0" w:color="000000"/>
              <w:bottom w:val="nil" w:sz="6" w:space="0" w:color="auto"/>
              <w:right w:val="single" w:sz="4" w:space="0" w:color="000000"/>
            </w:tcBorders>
            <w:shd w:val="clear" w:color="auto" w:fill="D4D4D4"/>
          </w:tcPr>
          <w:p>
            <w:pPr/>
          </w:p>
        </w:tc>
        <w:tc>
          <w:tcPr>
            <w:tcW w:w="576" w:type="dxa"/>
            <w:vMerge/>
            <w:tcBorders>
              <w:left w:val="single" w:sz="4" w:space="0" w:color="000000"/>
              <w:bottom w:val="nil" w:sz="6" w:space="0" w:color="auto"/>
              <w:right w:val="single" w:sz="4" w:space="0" w:color="000000"/>
            </w:tcBorders>
            <w:shd w:val="clear" w:color="auto" w:fill="D4D4D4"/>
          </w:tcPr>
          <w:p>
            <w:pPr/>
          </w:p>
        </w:tc>
        <w:tc>
          <w:tcPr>
            <w:tcW w:w="578" w:type="dxa"/>
            <w:vMerge/>
            <w:tcBorders>
              <w:left w:val="single" w:sz="4" w:space="0" w:color="000000"/>
              <w:right w:val="single" w:sz="4" w:space="0" w:color="000000"/>
            </w:tcBorders>
            <w:shd w:val="clear" w:color="auto" w:fill="D4D4D4"/>
          </w:tcPr>
          <w:p>
            <w:pPr/>
          </w:p>
        </w:tc>
        <w:tc>
          <w:tcPr>
            <w:tcW w:w="576" w:type="dxa"/>
            <w:vMerge/>
            <w:tcBorders>
              <w:left w:val="single" w:sz="4" w:space="0" w:color="000000"/>
              <w:bottom w:val="nil" w:sz="6" w:space="0" w:color="auto"/>
              <w:right w:val="single" w:sz="4" w:space="0" w:color="000000"/>
            </w:tcBorders>
            <w:shd w:val="clear" w:color="auto" w:fill="D4D4D4"/>
          </w:tcPr>
          <w:p>
            <w:pPr/>
          </w:p>
        </w:tc>
        <w:tc>
          <w:tcPr>
            <w:tcW w:w="576" w:type="dxa"/>
            <w:vMerge/>
            <w:tcBorders>
              <w:left w:val="single" w:sz="4" w:space="0" w:color="000000"/>
              <w:bottom w:val="nil" w:sz="6" w:space="0" w:color="auto"/>
              <w:right w:val="single" w:sz="4" w:space="0" w:color="000000"/>
            </w:tcBorders>
            <w:shd w:val="clear" w:color="auto" w:fill="D4D4D4"/>
          </w:tcPr>
          <w:p>
            <w:pPr/>
          </w:p>
        </w:tc>
        <w:tc>
          <w:tcPr>
            <w:tcW w:w="578" w:type="dxa"/>
            <w:vMerge/>
            <w:tcBorders>
              <w:left w:val="single" w:sz="4" w:space="0" w:color="000000"/>
              <w:right w:val="single" w:sz="4" w:space="0" w:color="000000"/>
            </w:tcBorders>
            <w:shd w:val="clear" w:color="auto" w:fill="D4D4D4"/>
          </w:tcPr>
          <w:p>
            <w:pPr/>
          </w:p>
        </w:tc>
        <w:tc>
          <w:tcPr>
            <w:tcW w:w="588" w:type="dxa"/>
            <w:vMerge/>
            <w:tcBorders>
              <w:left w:val="single" w:sz="4" w:space="0" w:color="000000"/>
              <w:right w:val="single" w:sz="4" w:space="0" w:color="000000"/>
            </w:tcBorders>
            <w:shd w:val="clear" w:color="auto" w:fill="D4D4D4"/>
          </w:tcPr>
          <w:p>
            <w:pPr/>
          </w:p>
        </w:tc>
        <w:tc>
          <w:tcPr>
            <w:tcW w:w="566" w:type="dxa"/>
            <w:vMerge w:val="restart"/>
            <w:tcBorders>
              <w:top w:val="nil" w:sz="6" w:space="0" w:color="auto"/>
              <w:left w:val="single" w:sz="4" w:space="0" w:color="000000"/>
              <w:right w:val="single" w:sz="4" w:space="0" w:color="000000"/>
            </w:tcBorders>
            <w:shd w:val="clear" w:color="auto" w:fill="D4D4D4"/>
          </w:tcPr>
          <w:p>
            <w:pPr/>
          </w:p>
        </w:tc>
        <w:tc>
          <w:tcPr>
            <w:tcW w:w="569" w:type="dxa"/>
            <w:vMerge w:val="restart"/>
            <w:tcBorders>
              <w:top w:val="nil" w:sz="6" w:space="0" w:color="auto"/>
              <w:left w:val="single" w:sz="4" w:space="0" w:color="000000"/>
              <w:right w:val="single" w:sz="4" w:space="0" w:color="000000"/>
            </w:tcBorders>
            <w:shd w:val="clear" w:color="auto" w:fill="D4D4D4"/>
          </w:tcPr>
          <w:p>
            <w:pPr/>
          </w:p>
        </w:tc>
        <w:tc>
          <w:tcPr>
            <w:tcW w:w="641" w:type="dxa"/>
            <w:vMerge w:val="restart"/>
            <w:tcBorders>
              <w:top w:val="nil" w:sz="6" w:space="0" w:color="auto"/>
              <w:left w:val="single" w:sz="4" w:space="0" w:color="000000"/>
              <w:right w:val="single" w:sz="4" w:space="0" w:color="000000"/>
            </w:tcBorders>
            <w:shd w:val="clear" w:color="auto" w:fill="D4D4D4"/>
          </w:tcPr>
          <w:p>
            <w:pPr/>
          </w:p>
        </w:tc>
        <w:tc>
          <w:tcPr>
            <w:tcW w:w="653" w:type="dxa"/>
            <w:vMerge/>
            <w:tcBorders>
              <w:left w:val="single" w:sz="4" w:space="0" w:color="000000"/>
              <w:bottom w:val="nil" w:sz="6" w:space="0" w:color="auto"/>
              <w:right w:val="single" w:sz="4" w:space="0" w:color="000000"/>
            </w:tcBorders>
            <w:shd w:val="clear" w:color="auto" w:fill="D4D4D4"/>
          </w:tcPr>
          <w:p>
            <w:pPr/>
          </w:p>
        </w:tc>
      </w:tr>
      <w:tr>
        <w:trPr>
          <w:trHeight w:val="217" w:hRule="exact"/>
        </w:trPr>
        <w:tc>
          <w:tcPr>
            <w:tcW w:w="1200" w:type="dxa"/>
            <w:vMerge/>
            <w:tcBorders>
              <w:left w:val="single" w:sz="4" w:space="0" w:color="000000"/>
              <w:bottom w:val="single" w:sz="4" w:space="0" w:color="000000"/>
              <w:right w:val="single" w:sz="4" w:space="0" w:color="000000"/>
            </w:tcBorders>
            <w:shd w:val="clear" w:color="auto" w:fill="D4D4D4"/>
          </w:tcPr>
          <w:p>
            <w:pPr/>
          </w:p>
        </w:tc>
        <w:tc>
          <w:tcPr>
            <w:tcW w:w="490" w:type="dxa"/>
            <w:vMerge/>
            <w:tcBorders>
              <w:left w:val="single" w:sz="4" w:space="0" w:color="000000"/>
              <w:bottom w:val="single" w:sz="4" w:space="0" w:color="000000"/>
              <w:right w:val="single" w:sz="4" w:space="0" w:color="000000"/>
            </w:tcBorders>
            <w:shd w:val="clear" w:color="auto" w:fill="D4D4D4"/>
          </w:tcPr>
          <w:p>
            <w:pPr/>
          </w:p>
        </w:tc>
        <w:tc>
          <w:tcPr>
            <w:tcW w:w="449" w:type="dxa"/>
            <w:vMerge/>
            <w:tcBorders>
              <w:left w:val="single" w:sz="4" w:space="0" w:color="000000"/>
              <w:bottom w:val="single" w:sz="4" w:space="0" w:color="000000"/>
              <w:right w:val="single" w:sz="4" w:space="0" w:color="000000"/>
            </w:tcBorders>
            <w:shd w:val="clear" w:color="auto" w:fill="D4D4D4"/>
          </w:tcPr>
          <w:p>
            <w:pPr/>
          </w:p>
        </w:tc>
        <w:tc>
          <w:tcPr>
            <w:tcW w:w="449" w:type="dxa"/>
            <w:vMerge/>
            <w:tcBorders>
              <w:left w:val="single" w:sz="4" w:space="0" w:color="000000"/>
              <w:bottom w:val="single" w:sz="4" w:space="0" w:color="000000"/>
              <w:right w:val="single" w:sz="4" w:space="0" w:color="000000"/>
            </w:tcBorders>
            <w:shd w:val="clear" w:color="auto" w:fill="D4D4D4"/>
          </w:tcPr>
          <w:p>
            <w:pPr/>
          </w:p>
        </w:tc>
        <w:tc>
          <w:tcPr>
            <w:tcW w:w="492" w:type="dxa"/>
            <w:tcBorders>
              <w:top w:val="nil" w:sz="6" w:space="0" w:color="auto"/>
              <w:left w:val="single" w:sz="4" w:space="0" w:color="000000"/>
              <w:bottom w:val="single" w:sz="4" w:space="0" w:color="000000"/>
              <w:right w:val="single" w:sz="4" w:space="0" w:color="000000"/>
            </w:tcBorders>
            <w:shd w:val="clear" w:color="auto" w:fill="D4D4D4"/>
          </w:tcPr>
          <w:p>
            <w:pPr/>
          </w:p>
        </w:tc>
        <w:tc>
          <w:tcPr>
            <w:tcW w:w="576" w:type="dxa"/>
            <w:tcBorders>
              <w:top w:val="nil" w:sz="6" w:space="0" w:color="auto"/>
              <w:left w:val="single" w:sz="4" w:space="0" w:color="000000"/>
              <w:bottom w:val="single" w:sz="4" w:space="0" w:color="000000"/>
              <w:right w:val="single" w:sz="4" w:space="0" w:color="000000"/>
            </w:tcBorders>
            <w:shd w:val="clear" w:color="auto" w:fill="D4D4D4"/>
          </w:tcPr>
          <w:p>
            <w:pPr/>
          </w:p>
        </w:tc>
        <w:tc>
          <w:tcPr>
            <w:tcW w:w="576" w:type="dxa"/>
            <w:tcBorders>
              <w:top w:val="nil" w:sz="6" w:space="0" w:color="auto"/>
              <w:left w:val="single" w:sz="4" w:space="0" w:color="000000"/>
              <w:bottom w:val="single" w:sz="4" w:space="0" w:color="000000"/>
              <w:right w:val="single" w:sz="4" w:space="0" w:color="000000"/>
            </w:tcBorders>
            <w:shd w:val="clear" w:color="auto" w:fill="D4D4D4"/>
          </w:tcPr>
          <w:p>
            <w:pPr/>
          </w:p>
        </w:tc>
        <w:tc>
          <w:tcPr>
            <w:tcW w:w="578" w:type="dxa"/>
            <w:vMerge/>
            <w:tcBorders>
              <w:left w:val="single" w:sz="4" w:space="0" w:color="000000"/>
              <w:bottom w:val="single" w:sz="4" w:space="0" w:color="000000"/>
              <w:right w:val="single" w:sz="4" w:space="0" w:color="000000"/>
            </w:tcBorders>
            <w:shd w:val="clear" w:color="auto" w:fill="D4D4D4"/>
          </w:tcPr>
          <w:p>
            <w:pPr/>
          </w:p>
        </w:tc>
        <w:tc>
          <w:tcPr>
            <w:tcW w:w="576" w:type="dxa"/>
            <w:tcBorders>
              <w:top w:val="nil" w:sz="6" w:space="0" w:color="auto"/>
              <w:left w:val="single" w:sz="4" w:space="0" w:color="000000"/>
              <w:bottom w:val="single" w:sz="4" w:space="0" w:color="000000"/>
              <w:right w:val="single" w:sz="4" w:space="0" w:color="000000"/>
            </w:tcBorders>
            <w:shd w:val="clear" w:color="auto" w:fill="D4D4D4"/>
          </w:tcPr>
          <w:p>
            <w:pPr/>
          </w:p>
        </w:tc>
        <w:tc>
          <w:tcPr>
            <w:tcW w:w="576" w:type="dxa"/>
            <w:tcBorders>
              <w:top w:val="nil" w:sz="6" w:space="0" w:color="auto"/>
              <w:left w:val="single" w:sz="4" w:space="0" w:color="000000"/>
              <w:bottom w:val="single" w:sz="4" w:space="0" w:color="000000"/>
              <w:right w:val="single" w:sz="4" w:space="0" w:color="000000"/>
            </w:tcBorders>
            <w:shd w:val="clear" w:color="auto" w:fill="D4D4D4"/>
          </w:tcPr>
          <w:p>
            <w:pPr/>
          </w:p>
        </w:tc>
        <w:tc>
          <w:tcPr>
            <w:tcW w:w="578" w:type="dxa"/>
            <w:vMerge/>
            <w:tcBorders>
              <w:left w:val="single" w:sz="4" w:space="0" w:color="000000"/>
              <w:bottom w:val="single" w:sz="4" w:space="0" w:color="000000"/>
              <w:right w:val="single" w:sz="4" w:space="0" w:color="000000"/>
            </w:tcBorders>
            <w:shd w:val="clear" w:color="auto" w:fill="D4D4D4"/>
          </w:tcPr>
          <w:p>
            <w:pPr/>
          </w:p>
        </w:tc>
        <w:tc>
          <w:tcPr>
            <w:tcW w:w="588" w:type="dxa"/>
            <w:vMerge/>
            <w:tcBorders>
              <w:left w:val="single" w:sz="4" w:space="0" w:color="000000"/>
              <w:bottom w:val="single" w:sz="4" w:space="0" w:color="000000"/>
              <w:right w:val="single" w:sz="4" w:space="0" w:color="000000"/>
            </w:tcBorders>
            <w:shd w:val="clear" w:color="auto" w:fill="D4D4D4"/>
          </w:tcPr>
          <w:p>
            <w:pPr/>
          </w:p>
        </w:tc>
        <w:tc>
          <w:tcPr>
            <w:tcW w:w="566" w:type="dxa"/>
            <w:vMerge/>
            <w:tcBorders>
              <w:left w:val="single" w:sz="4" w:space="0" w:color="000000"/>
              <w:bottom w:val="single" w:sz="4" w:space="0" w:color="000000"/>
              <w:right w:val="single" w:sz="4" w:space="0" w:color="000000"/>
            </w:tcBorders>
            <w:shd w:val="clear" w:color="auto" w:fill="D4D4D4"/>
          </w:tcPr>
          <w:p>
            <w:pPr/>
          </w:p>
        </w:tc>
        <w:tc>
          <w:tcPr>
            <w:tcW w:w="569" w:type="dxa"/>
            <w:vMerge/>
            <w:tcBorders>
              <w:left w:val="single" w:sz="4" w:space="0" w:color="000000"/>
              <w:bottom w:val="single" w:sz="4" w:space="0" w:color="000000"/>
              <w:right w:val="single" w:sz="4" w:space="0" w:color="000000"/>
            </w:tcBorders>
            <w:shd w:val="clear" w:color="auto" w:fill="D4D4D4"/>
          </w:tcPr>
          <w:p>
            <w:pPr/>
          </w:p>
        </w:tc>
        <w:tc>
          <w:tcPr>
            <w:tcW w:w="641" w:type="dxa"/>
            <w:vMerge/>
            <w:tcBorders>
              <w:left w:val="single" w:sz="4" w:space="0" w:color="000000"/>
              <w:bottom w:val="single" w:sz="4" w:space="0" w:color="000000"/>
              <w:right w:val="single" w:sz="4" w:space="0" w:color="000000"/>
            </w:tcBorders>
            <w:shd w:val="clear" w:color="auto" w:fill="D4D4D4"/>
          </w:tcPr>
          <w:p>
            <w:pPr/>
          </w:p>
        </w:tc>
        <w:tc>
          <w:tcPr>
            <w:tcW w:w="653" w:type="dxa"/>
            <w:tcBorders>
              <w:top w:val="nil" w:sz="6" w:space="0" w:color="auto"/>
              <w:left w:val="single" w:sz="4" w:space="0" w:color="000000"/>
              <w:bottom w:val="single" w:sz="4" w:space="0" w:color="000000"/>
              <w:right w:val="single" w:sz="4" w:space="0" w:color="000000"/>
            </w:tcBorders>
            <w:shd w:val="clear" w:color="auto" w:fill="D4D4D4"/>
          </w:tcPr>
          <w:p>
            <w:pPr/>
          </w:p>
        </w:tc>
      </w:tr>
      <w:tr>
        <w:trPr>
          <w:trHeight w:val="161" w:hRule="exact"/>
        </w:trPr>
        <w:tc>
          <w:tcPr>
            <w:tcW w:w="1200" w:type="dxa"/>
            <w:tcBorders>
              <w:top w:val="single" w:sz="4" w:space="0" w:color="000000"/>
              <w:left w:val="single" w:sz="4" w:space="0" w:color="000000"/>
              <w:bottom w:val="nil" w:sz="6" w:space="0" w:color="auto"/>
              <w:right w:val="single" w:sz="4" w:space="0" w:color="000000"/>
            </w:tcBorders>
            <w:shd w:val="clear" w:color="auto" w:fill="D4D4D4"/>
          </w:tcPr>
          <w:p>
            <w:pPr/>
          </w:p>
        </w:tc>
        <w:tc>
          <w:tcPr>
            <w:tcW w:w="490" w:type="dxa"/>
            <w:vMerge w:val="restart"/>
            <w:tcBorders>
              <w:top w:val="single" w:sz="4" w:space="0" w:color="000000"/>
              <w:left w:val="single" w:sz="9" w:space="0" w:color="D4D4D4"/>
              <w:right w:val="single" w:sz="4" w:space="0" w:color="000000"/>
            </w:tcBorders>
          </w:tcPr>
          <w:p>
            <w:pPr>
              <w:pStyle w:val="TableParagraph"/>
              <w:spacing w:line="240" w:lineRule="auto" w:before="91"/>
              <w:ind w:left="46" w:right="0"/>
              <w:jc w:val="left"/>
              <w:rPr>
                <w:rFonts w:ascii="Times New Roman" w:hAnsi="Times New Roman" w:cs="Times New Roman" w:eastAsia="Times New Roman" w:hint="default"/>
                <w:sz w:val="18"/>
                <w:szCs w:val="18"/>
              </w:rPr>
            </w:pPr>
            <w:r>
              <w:rPr>
                <w:rFonts w:ascii="Times New Roman"/>
                <w:sz w:val="18"/>
              </w:rPr>
              <w:t>497,0</w:t>
            </w:r>
          </w:p>
          <w:p>
            <w:pPr>
              <w:pStyle w:val="TableParagraph"/>
              <w:spacing w:line="240" w:lineRule="auto" w:before="105"/>
              <w:ind w:left="46" w:right="0"/>
              <w:jc w:val="left"/>
              <w:rPr>
                <w:rFonts w:ascii="Times New Roman" w:hAnsi="Times New Roman" w:cs="Times New Roman" w:eastAsia="Times New Roman" w:hint="default"/>
                <w:sz w:val="18"/>
                <w:szCs w:val="18"/>
              </w:rPr>
            </w:pPr>
            <w:r>
              <w:rPr>
                <w:rFonts w:ascii="Times New Roman"/>
                <w:sz w:val="18"/>
              </w:rPr>
              <w:t>30,70</w:t>
            </w:r>
          </w:p>
          <w:p>
            <w:pPr>
              <w:pStyle w:val="TableParagraph"/>
              <w:spacing w:line="240" w:lineRule="auto" w:before="105"/>
              <w:ind w:left="138" w:right="0"/>
              <w:jc w:val="left"/>
              <w:rPr>
                <w:rFonts w:ascii="Times New Roman" w:hAnsi="Times New Roman" w:cs="Times New Roman" w:eastAsia="Times New Roman" w:hint="default"/>
                <w:sz w:val="18"/>
                <w:szCs w:val="18"/>
              </w:rPr>
            </w:pPr>
            <w:r>
              <w:rPr>
                <w:rFonts w:ascii="Times New Roman"/>
                <w:sz w:val="18"/>
              </w:rPr>
              <w:t>6.00</w:t>
            </w: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2"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867,21</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8,308.</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83</w:t>
            </w:r>
          </w:p>
        </w:tc>
        <w:tc>
          <w:tcPr>
            <w:tcW w:w="576"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73,899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,618.0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78" w:type="dxa"/>
            <w:vMerge w:val="restart"/>
            <w:tcBorders>
              <w:top w:val="single" w:sz="22" w:space="0" w:color="D4D4D4"/>
              <w:left w:val="single" w:sz="4" w:space="0" w:color="000000"/>
              <w:right w:val="single" w:sz="4" w:space="0" w:color="000000"/>
            </w:tcBorders>
          </w:tcPr>
          <w:p>
            <w:pPr>
              <w:pStyle w:val="TableParagraph"/>
              <w:spacing w:line="240" w:lineRule="auto" w:before="68"/>
              <w:ind w:left="50" w:right="0"/>
              <w:jc w:val="left"/>
              <w:rPr>
                <w:rFonts w:ascii="Times New Roman" w:hAnsi="Times New Roman" w:cs="Times New Roman" w:eastAsia="Times New Roman" w:hint="default"/>
                <w:sz w:val="18"/>
                <w:szCs w:val="18"/>
              </w:rPr>
            </w:pPr>
            <w:r>
              <w:rPr>
                <w:rFonts w:ascii="Times New Roman"/>
                <w:sz w:val="18"/>
              </w:rPr>
              <w:t>163,47</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9,285.</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00</w:t>
            </w:r>
          </w:p>
        </w:tc>
        <w:tc>
          <w:tcPr>
            <w:tcW w:w="576"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75,039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,885.3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578" w:type="dxa"/>
            <w:vMerge w:val="restart"/>
            <w:tcBorders>
              <w:top w:val="single" w:sz="22" w:space="0" w:color="D4D4D4"/>
              <w:left w:val="single" w:sz="4" w:space="0" w:color="000000"/>
              <w:right w:val="single" w:sz="4" w:space="0" w:color="000000"/>
            </w:tcBorders>
          </w:tcPr>
          <w:p>
            <w:pPr/>
          </w:p>
        </w:tc>
        <w:tc>
          <w:tcPr>
            <w:tcW w:w="588" w:type="dxa"/>
            <w:vMerge w:val="restart"/>
            <w:tcBorders>
              <w:top w:val="single" w:sz="22" w:space="0" w:color="D4D4D4"/>
              <w:left w:val="single" w:sz="4" w:space="0" w:color="000000"/>
              <w:right w:val="single" w:sz="4" w:space="0" w:color="000000"/>
            </w:tcBorders>
          </w:tcPr>
          <w:p>
            <w:pPr>
              <w:pStyle w:val="TableParagraph"/>
              <w:spacing w:line="240" w:lineRule="auto" w:before="68"/>
              <w:ind w:left="62" w:right="0"/>
              <w:jc w:val="left"/>
              <w:rPr>
                <w:rFonts w:ascii="Times New Roman" w:hAnsi="Times New Roman" w:cs="Times New Roman" w:eastAsia="Times New Roman" w:hint="default"/>
                <w:sz w:val="18"/>
                <w:szCs w:val="18"/>
              </w:rPr>
            </w:pPr>
            <w:r>
              <w:rPr>
                <w:rFonts w:ascii="Times New Roman"/>
                <w:sz w:val="18"/>
              </w:rPr>
              <w:t>797,75</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2,846.</w:t>
            </w:r>
          </w:p>
          <w:p>
            <w:pPr>
              <w:pStyle w:val="TableParagraph"/>
              <w:spacing w:line="240" w:lineRule="auto" w:before="105"/>
              <w:ind w:left="376" w:right="0"/>
              <w:jc w:val="left"/>
              <w:rPr>
                <w:rFonts w:ascii="Times New Roman" w:hAnsi="Times New Roman" w:cs="Times New Roman" w:eastAsia="Times New Roman" w:hint="default"/>
                <w:sz w:val="18"/>
                <w:szCs w:val="18"/>
              </w:rPr>
            </w:pPr>
            <w:r>
              <w:rPr>
                <w:rFonts w:ascii="Times New Roman"/>
                <w:sz w:val="18"/>
              </w:rPr>
              <w:t>82</w:t>
            </w:r>
          </w:p>
        </w:tc>
        <w:tc>
          <w:tcPr>
            <w:tcW w:w="566" w:type="dxa"/>
            <w:vMerge w:val="restart"/>
            <w:tcBorders>
              <w:top w:val="single" w:sz="4" w:space="0" w:color="000000"/>
              <w:left w:val="single" w:sz="4" w:space="0" w:color="000000"/>
              <w:right w:val="single" w:sz="4" w:space="0" w:color="000000"/>
            </w:tcBorders>
          </w:tcPr>
          <w:p>
            <w:pPr/>
          </w:p>
        </w:tc>
        <w:tc>
          <w:tcPr>
            <w:tcW w:w="569" w:type="dxa"/>
            <w:vMerge w:val="restart"/>
            <w:tcBorders>
              <w:top w:val="single" w:sz="4" w:space="0" w:color="000000"/>
              <w:left w:val="single" w:sz="4" w:space="0" w:color="000000"/>
              <w:right w:val="single" w:sz="4" w:space="0" w:color="000000"/>
            </w:tcBorders>
          </w:tcPr>
          <w:p>
            <w:pPr>
              <w:pStyle w:val="TableParagraph"/>
              <w:spacing w:line="240" w:lineRule="auto" w:before="91"/>
              <w:ind w:left="63" w:right="0"/>
              <w:jc w:val="center"/>
              <w:rPr>
                <w:rFonts w:ascii="Times New Roman" w:hAnsi="Times New Roman" w:cs="Times New Roman" w:eastAsia="Times New Roman" w:hint="default"/>
                <w:sz w:val="18"/>
                <w:szCs w:val="18"/>
              </w:rPr>
            </w:pPr>
            <w:r>
              <w:rPr>
                <w:rFonts w:ascii="Times New Roman"/>
                <w:sz w:val="18"/>
              </w:rPr>
              <w:t>2,326,</w:t>
            </w:r>
          </w:p>
          <w:p>
            <w:pPr>
              <w:pStyle w:val="TableParagraph"/>
              <w:spacing w:line="240" w:lineRule="auto" w:before="105"/>
              <w:ind w:left="16" w:right="0"/>
              <w:jc w:val="center"/>
              <w:rPr>
                <w:rFonts w:ascii="Times New Roman" w:hAnsi="Times New Roman" w:cs="Times New Roman" w:eastAsia="Times New Roman" w:hint="default"/>
                <w:sz w:val="18"/>
                <w:szCs w:val="18"/>
              </w:rPr>
            </w:pPr>
            <w:r>
              <w:rPr>
                <w:rFonts w:ascii="Times New Roman"/>
                <w:sz w:val="18"/>
              </w:rPr>
              <w:t>621,41</w:t>
            </w:r>
          </w:p>
          <w:p>
            <w:pPr>
              <w:pStyle w:val="TableParagraph"/>
              <w:spacing w:line="240" w:lineRule="auto" w:before="105"/>
              <w:ind w:left="196" w:right="0"/>
              <w:jc w:val="center"/>
              <w:rPr>
                <w:rFonts w:ascii="Times New Roman" w:hAnsi="Times New Roman" w:cs="Times New Roman" w:eastAsia="Times New Roman" w:hint="default"/>
                <w:sz w:val="18"/>
                <w:szCs w:val="18"/>
              </w:rPr>
            </w:pPr>
            <w:r>
              <w:rPr>
                <w:rFonts w:ascii="Times New Roman"/>
                <w:sz w:val="18"/>
              </w:rPr>
              <w:t>4.02</w:t>
            </w:r>
          </w:p>
        </w:tc>
        <w:tc>
          <w:tcPr>
            <w:tcW w:w="64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23,778,</w:t>
            </w:r>
          </w:p>
          <w:p>
            <w:pPr>
              <w:pStyle w:val="TableParagraph"/>
              <w:spacing w:line="240" w:lineRule="auto" w:before="105"/>
              <w:ind w:left="117" w:right="0"/>
              <w:jc w:val="left"/>
              <w:rPr>
                <w:rFonts w:ascii="Times New Roman" w:hAnsi="Times New Roman" w:cs="Times New Roman" w:eastAsia="Times New Roman" w:hint="default"/>
                <w:sz w:val="18"/>
                <w:szCs w:val="18"/>
              </w:rPr>
            </w:pPr>
            <w:r>
              <w:rPr>
                <w:rFonts w:ascii="Times New Roman"/>
                <w:sz w:val="18"/>
              </w:rPr>
              <w:t>879.42</w:t>
            </w:r>
          </w:p>
        </w:tc>
        <w:tc>
          <w:tcPr>
            <w:tcW w:w="653"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2,350,4</w:t>
            </w:r>
          </w:p>
          <w:p>
            <w:pPr>
              <w:pStyle w:val="TableParagraph"/>
              <w:spacing w:line="240" w:lineRule="auto" w:before="105"/>
              <w:ind w:right="16"/>
              <w:jc w:val="right"/>
              <w:rPr>
                <w:rFonts w:ascii="Times New Roman" w:hAnsi="Times New Roman" w:cs="Times New Roman" w:eastAsia="Times New Roman" w:hint="default"/>
                <w:sz w:val="18"/>
                <w:szCs w:val="18"/>
              </w:rPr>
            </w:pPr>
            <w:r>
              <w:rPr>
                <w:rFonts w:ascii="Times New Roman"/>
                <w:sz w:val="18"/>
              </w:rPr>
              <w:t>00,293.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44</w:t>
            </w:r>
          </w:p>
        </w:tc>
      </w:tr>
      <w:tr>
        <w:trPr>
          <w:trHeight w:val="706" w:hRule="exact"/>
        </w:trPr>
        <w:tc>
          <w:tcPr>
            <w:tcW w:w="1200"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316" w:lineRule="auto" w:before="49"/>
              <w:ind w:left="12" w:right="96"/>
              <w:jc w:val="left"/>
              <w:rPr>
                <w:rFonts w:ascii="宋体" w:hAnsi="宋体" w:cs="宋体" w:eastAsia="宋体" w:hint="default"/>
                <w:sz w:val="18"/>
                <w:szCs w:val="18"/>
              </w:rPr>
            </w:pPr>
            <w:r>
              <w:rPr>
                <w:rFonts w:ascii="宋体" w:hAnsi="宋体" w:cs="宋体" w:eastAsia="宋体" w:hint="default"/>
                <w:sz w:val="18"/>
                <w:szCs w:val="18"/>
              </w:rPr>
              <w:t>一、上年期末 余额</w:t>
            </w:r>
          </w:p>
        </w:tc>
        <w:tc>
          <w:tcPr>
            <w:tcW w:w="490" w:type="dxa"/>
            <w:vMerge/>
            <w:tcBorders>
              <w:left w:val="single" w:sz="9" w:space="0" w:color="D4D4D4"/>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2"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588"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569" w:type="dxa"/>
            <w:vMerge/>
            <w:tcBorders>
              <w:left w:val="single" w:sz="4" w:space="0" w:color="000000"/>
              <w:right w:val="single" w:sz="4" w:space="0" w:color="000000"/>
            </w:tcBorders>
          </w:tcPr>
          <w:p>
            <w:pPr/>
          </w:p>
        </w:tc>
        <w:tc>
          <w:tcPr>
            <w:tcW w:w="641" w:type="dxa"/>
            <w:vMerge/>
            <w:tcBorders>
              <w:left w:val="single" w:sz="4" w:space="0" w:color="000000"/>
              <w:right w:val="single" w:sz="4" w:space="0" w:color="000000"/>
            </w:tcBorders>
          </w:tcPr>
          <w:p>
            <w:pPr/>
          </w:p>
        </w:tc>
        <w:tc>
          <w:tcPr>
            <w:tcW w:w="653" w:type="dxa"/>
            <w:vMerge/>
            <w:tcBorders>
              <w:left w:val="single" w:sz="4" w:space="0" w:color="000000"/>
              <w:right w:val="single" w:sz="4" w:space="0" w:color="000000"/>
            </w:tcBorders>
          </w:tcPr>
          <w:p>
            <w:pPr/>
          </w:p>
        </w:tc>
      </w:tr>
      <w:tr>
        <w:trPr>
          <w:trHeight w:val="161" w:hRule="exact"/>
        </w:trPr>
        <w:tc>
          <w:tcPr>
            <w:tcW w:w="1200" w:type="dxa"/>
            <w:tcBorders>
              <w:top w:val="nil" w:sz="6" w:space="0" w:color="auto"/>
              <w:left w:val="single" w:sz="4" w:space="0" w:color="000000"/>
              <w:bottom w:val="single" w:sz="4" w:space="0" w:color="000000"/>
              <w:right w:val="single" w:sz="4" w:space="0" w:color="000000"/>
            </w:tcBorders>
            <w:shd w:val="clear" w:color="auto" w:fill="D4D4D4"/>
          </w:tcPr>
          <w:p>
            <w:pPr/>
          </w:p>
        </w:tc>
        <w:tc>
          <w:tcPr>
            <w:tcW w:w="490" w:type="dxa"/>
            <w:vMerge/>
            <w:tcBorders>
              <w:left w:val="single" w:sz="9" w:space="0" w:color="D4D4D4"/>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2"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588" w:type="dxa"/>
            <w:vMerge/>
            <w:tcBorders>
              <w:left w:val="single" w:sz="4" w:space="0" w:color="000000"/>
              <w:bottom w:val="single" w:sz="4" w:space="0" w:color="000000"/>
              <w:right w:val="single" w:sz="4" w:space="0" w:color="000000"/>
            </w:tcBorders>
          </w:tcPr>
          <w:p>
            <w:pPr/>
          </w:p>
        </w:tc>
        <w:tc>
          <w:tcPr>
            <w:tcW w:w="566" w:type="dxa"/>
            <w:vMerge/>
            <w:tcBorders>
              <w:left w:val="single" w:sz="4" w:space="0" w:color="000000"/>
              <w:bottom w:val="single" w:sz="4" w:space="0" w:color="000000"/>
              <w:right w:val="single" w:sz="4" w:space="0" w:color="000000"/>
            </w:tcBorders>
          </w:tcPr>
          <w:p>
            <w:pPr/>
          </w:p>
        </w:tc>
        <w:tc>
          <w:tcPr>
            <w:tcW w:w="569" w:type="dxa"/>
            <w:vMerge/>
            <w:tcBorders>
              <w:left w:val="single" w:sz="4" w:space="0" w:color="000000"/>
              <w:bottom w:val="single" w:sz="4" w:space="0" w:color="000000"/>
              <w:right w:val="single" w:sz="4" w:space="0" w:color="000000"/>
            </w:tcBorders>
          </w:tcPr>
          <w:p>
            <w:pPr/>
          </w:p>
        </w:tc>
        <w:tc>
          <w:tcPr>
            <w:tcW w:w="641" w:type="dxa"/>
            <w:vMerge/>
            <w:tcBorders>
              <w:left w:val="single" w:sz="4" w:space="0" w:color="000000"/>
              <w:bottom w:val="single" w:sz="4" w:space="0" w:color="000000"/>
              <w:right w:val="single" w:sz="4" w:space="0" w:color="000000"/>
            </w:tcBorders>
          </w:tcPr>
          <w:p>
            <w:pPr/>
          </w:p>
        </w:tc>
        <w:tc>
          <w:tcPr>
            <w:tcW w:w="653"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11"/>
        <w:gridCol w:w="490"/>
        <w:gridCol w:w="449"/>
        <w:gridCol w:w="449"/>
        <w:gridCol w:w="492"/>
        <w:gridCol w:w="576"/>
        <w:gridCol w:w="576"/>
        <w:gridCol w:w="578"/>
        <w:gridCol w:w="576"/>
        <w:gridCol w:w="576"/>
        <w:gridCol w:w="578"/>
        <w:gridCol w:w="588"/>
        <w:gridCol w:w="566"/>
        <w:gridCol w:w="569"/>
        <w:gridCol w:w="641"/>
        <w:gridCol w:w="653"/>
      </w:tblGrid>
      <w:tr>
        <w:trPr>
          <w:trHeight w:val="713"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2" w:right="96" w:firstLine="360"/>
              <w:jc w:val="left"/>
              <w:rPr>
                <w:rFonts w:ascii="宋体" w:hAnsi="宋体" w:cs="宋体" w:eastAsia="宋体" w:hint="default"/>
                <w:sz w:val="18"/>
                <w:szCs w:val="18"/>
              </w:rPr>
            </w:pPr>
            <w:r>
              <w:rPr>
                <w:rFonts w:ascii="宋体" w:hAnsi="宋体" w:cs="宋体" w:eastAsia="宋体" w:hint="default"/>
                <w:sz w:val="18"/>
                <w:szCs w:val="18"/>
              </w:rPr>
              <w:t>加：会计 政策变更</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1"/>
              <w:ind w:left="22" w:right="96" w:firstLine="720"/>
              <w:jc w:val="left"/>
              <w:rPr>
                <w:rFonts w:ascii="宋体" w:hAnsi="宋体" w:cs="宋体" w:eastAsia="宋体" w:hint="default"/>
                <w:sz w:val="18"/>
                <w:szCs w:val="18"/>
              </w:rPr>
            </w:pPr>
            <w:r>
              <w:rPr>
                <w:rFonts w:ascii="宋体" w:hAnsi="宋体" w:cs="宋体" w:eastAsia="宋体" w:hint="default"/>
                <w:sz w:val="18"/>
                <w:szCs w:val="18"/>
              </w:rPr>
              <w:t>前期 差错更正</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2" w:right="96" w:firstLine="720"/>
              <w:jc w:val="both"/>
              <w:rPr>
                <w:rFonts w:ascii="宋体" w:hAnsi="宋体" w:cs="宋体" w:eastAsia="宋体" w:hint="default"/>
                <w:sz w:val="18"/>
                <w:szCs w:val="18"/>
              </w:rPr>
            </w:pPr>
            <w:r>
              <w:rPr>
                <w:rFonts w:ascii="宋体" w:hAnsi="宋体" w:cs="宋体" w:eastAsia="宋体" w:hint="default"/>
                <w:sz w:val="18"/>
                <w:szCs w:val="18"/>
              </w:rPr>
              <w:t>同一 控制下企业合 并</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4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2" w:right="96"/>
              <w:jc w:val="left"/>
              <w:rPr>
                <w:rFonts w:ascii="宋体" w:hAnsi="宋体" w:cs="宋体" w:eastAsia="宋体" w:hint="default"/>
                <w:sz w:val="18"/>
                <w:szCs w:val="18"/>
              </w:rPr>
            </w:pPr>
            <w:r>
              <w:rPr>
                <w:rFonts w:ascii="宋体" w:hAnsi="宋体" w:cs="宋体" w:eastAsia="宋体" w:hint="default"/>
                <w:sz w:val="18"/>
                <w:szCs w:val="18"/>
              </w:rPr>
              <w:t>二、本年期初 余额</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 w:right="0"/>
              <w:jc w:val="left"/>
              <w:rPr>
                <w:rFonts w:ascii="Times New Roman" w:hAnsi="Times New Roman" w:cs="Times New Roman" w:eastAsia="Times New Roman" w:hint="default"/>
                <w:sz w:val="18"/>
                <w:szCs w:val="18"/>
              </w:rPr>
            </w:pPr>
            <w:r>
              <w:rPr>
                <w:rFonts w:ascii="Times New Roman"/>
                <w:sz w:val="18"/>
              </w:rPr>
              <w:t>497,0</w:t>
            </w:r>
          </w:p>
          <w:p>
            <w:pPr>
              <w:pStyle w:val="TableParagraph"/>
              <w:spacing w:line="240" w:lineRule="auto" w:before="105"/>
              <w:ind w:left="52" w:right="0"/>
              <w:jc w:val="left"/>
              <w:rPr>
                <w:rFonts w:ascii="Times New Roman" w:hAnsi="Times New Roman" w:cs="Times New Roman" w:eastAsia="Times New Roman" w:hint="default"/>
                <w:sz w:val="18"/>
                <w:szCs w:val="18"/>
              </w:rPr>
            </w:pPr>
            <w:r>
              <w:rPr>
                <w:rFonts w:ascii="Times New Roman"/>
                <w:sz w:val="18"/>
              </w:rPr>
              <w:t>30,70</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6.00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867,21</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8,308.</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83</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73,899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,618.0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163,47</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9,285.</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00</w:t>
            </w: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75,039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,885.3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2" w:right="0"/>
              <w:jc w:val="left"/>
              <w:rPr>
                <w:rFonts w:ascii="Times New Roman" w:hAnsi="Times New Roman" w:cs="Times New Roman" w:eastAsia="Times New Roman" w:hint="default"/>
                <w:sz w:val="18"/>
                <w:szCs w:val="18"/>
              </w:rPr>
            </w:pPr>
            <w:r>
              <w:rPr>
                <w:rFonts w:ascii="Times New Roman"/>
                <w:sz w:val="18"/>
              </w:rPr>
              <w:t>797,75</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2,846.</w:t>
            </w:r>
          </w:p>
          <w:p>
            <w:pPr>
              <w:pStyle w:val="TableParagraph"/>
              <w:spacing w:line="240" w:lineRule="auto" w:before="105"/>
              <w:ind w:left="376" w:right="0"/>
              <w:jc w:val="left"/>
              <w:rPr>
                <w:rFonts w:ascii="Times New Roman" w:hAnsi="Times New Roman" w:cs="Times New Roman" w:eastAsia="Times New Roman" w:hint="default"/>
                <w:sz w:val="18"/>
                <w:szCs w:val="18"/>
              </w:rPr>
            </w:pPr>
            <w:r>
              <w:rPr>
                <w:rFonts w:ascii="Times New Roman"/>
                <w:sz w:val="18"/>
              </w:rPr>
              <w:t>82</w:t>
            </w: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3" w:right="0"/>
              <w:jc w:val="center"/>
              <w:rPr>
                <w:rFonts w:ascii="Times New Roman" w:hAnsi="Times New Roman" w:cs="Times New Roman" w:eastAsia="Times New Roman" w:hint="default"/>
                <w:sz w:val="18"/>
                <w:szCs w:val="18"/>
              </w:rPr>
            </w:pPr>
            <w:r>
              <w:rPr>
                <w:rFonts w:ascii="Times New Roman"/>
                <w:sz w:val="18"/>
              </w:rPr>
              <w:t>2,326,</w:t>
            </w:r>
          </w:p>
          <w:p>
            <w:pPr>
              <w:pStyle w:val="TableParagraph"/>
              <w:spacing w:line="240" w:lineRule="auto" w:before="105"/>
              <w:ind w:left="16" w:right="0"/>
              <w:jc w:val="center"/>
              <w:rPr>
                <w:rFonts w:ascii="Times New Roman" w:hAnsi="Times New Roman" w:cs="Times New Roman" w:eastAsia="Times New Roman" w:hint="default"/>
                <w:sz w:val="18"/>
                <w:szCs w:val="18"/>
              </w:rPr>
            </w:pPr>
            <w:r>
              <w:rPr>
                <w:rFonts w:ascii="Times New Roman"/>
                <w:sz w:val="18"/>
              </w:rPr>
              <w:t>621,41</w:t>
            </w:r>
          </w:p>
          <w:p>
            <w:pPr>
              <w:pStyle w:val="TableParagraph"/>
              <w:spacing w:line="240" w:lineRule="auto" w:before="105"/>
              <w:ind w:left="196" w:right="0"/>
              <w:jc w:val="center"/>
              <w:rPr>
                <w:rFonts w:ascii="Times New Roman" w:hAnsi="Times New Roman" w:cs="Times New Roman" w:eastAsia="Times New Roman" w:hint="default"/>
                <w:sz w:val="18"/>
                <w:szCs w:val="18"/>
              </w:rPr>
            </w:pPr>
            <w:r>
              <w:rPr>
                <w:rFonts w:ascii="Times New Roman"/>
                <w:sz w:val="18"/>
              </w:rPr>
              <w:t>4.02</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23,778,</w:t>
            </w:r>
          </w:p>
          <w:p>
            <w:pPr>
              <w:pStyle w:val="TableParagraph"/>
              <w:spacing w:line="240" w:lineRule="auto" w:before="105"/>
              <w:ind w:left="117" w:right="0"/>
              <w:jc w:val="left"/>
              <w:rPr>
                <w:rFonts w:ascii="Times New Roman" w:hAnsi="Times New Roman" w:cs="Times New Roman" w:eastAsia="Times New Roman" w:hint="default"/>
                <w:sz w:val="18"/>
                <w:szCs w:val="18"/>
              </w:rPr>
            </w:pPr>
            <w:r>
              <w:rPr>
                <w:rFonts w:ascii="Times New Roman"/>
                <w:sz w:val="18"/>
              </w:rPr>
              <w:t>879.42</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2,350,4</w:t>
            </w:r>
          </w:p>
          <w:p>
            <w:pPr>
              <w:pStyle w:val="TableParagraph"/>
              <w:spacing w:line="240" w:lineRule="auto" w:before="105"/>
              <w:ind w:right="16"/>
              <w:jc w:val="right"/>
              <w:rPr>
                <w:rFonts w:ascii="Times New Roman" w:hAnsi="Times New Roman" w:cs="Times New Roman" w:eastAsia="Times New Roman" w:hint="default"/>
                <w:sz w:val="18"/>
                <w:szCs w:val="18"/>
              </w:rPr>
            </w:pPr>
            <w:r>
              <w:rPr>
                <w:rFonts w:ascii="Times New Roman"/>
                <w:sz w:val="18"/>
              </w:rPr>
              <w:t>00,293.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44</w:t>
            </w:r>
          </w:p>
        </w:tc>
      </w:tr>
      <w:tr>
        <w:trPr>
          <w:trHeight w:val="1339"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2" w:lineRule="auto" w:before="51"/>
              <w:ind w:left="22" w:right="96"/>
              <w:jc w:val="both"/>
              <w:rPr>
                <w:rFonts w:ascii="宋体" w:hAnsi="宋体" w:cs="宋体" w:eastAsia="宋体" w:hint="default"/>
                <w:sz w:val="18"/>
                <w:szCs w:val="18"/>
              </w:rPr>
            </w:pPr>
            <w:r>
              <w:rPr>
                <w:rFonts w:ascii="宋体" w:hAnsi="宋体" w:cs="宋体" w:eastAsia="宋体" w:hint="default"/>
                <w:sz w:val="18"/>
                <w:szCs w:val="18"/>
              </w:rPr>
              <w:t>三、本期增减 变动金额（减 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297,8</w:t>
            </w:r>
          </w:p>
          <w:p>
            <w:pPr>
              <w:pStyle w:val="TableParagraph"/>
              <w:spacing w:line="240" w:lineRule="auto" w:before="102"/>
              <w:ind w:left="52" w:right="0"/>
              <w:jc w:val="left"/>
              <w:rPr>
                <w:rFonts w:ascii="Times New Roman" w:hAnsi="Times New Roman" w:cs="Times New Roman" w:eastAsia="Times New Roman" w:hint="default"/>
                <w:sz w:val="18"/>
                <w:szCs w:val="18"/>
              </w:rPr>
            </w:pPr>
            <w:r>
              <w:rPr>
                <w:rFonts w:ascii="Times New Roman"/>
                <w:sz w:val="18"/>
              </w:rPr>
              <w:t>02,10</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3.00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-284,8</w:t>
            </w:r>
          </w:p>
          <w:p>
            <w:pPr>
              <w:pStyle w:val="TableParagraph"/>
              <w:spacing w:line="240" w:lineRule="auto" w:before="102"/>
              <w:ind w:left="50" w:right="0"/>
              <w:jc w:val="left"/>
              <w:rPr>
                <w:rFonts w:ascii="Times New Roman" w:hAnsi="Times New Roman" w:cs="Times New Roman" w:eastAsia="Times New Roman" w:hint="default"/>
                <w:sz w:val="18"/>
                <w:szCs w:val="18"/>
              </w:rPr>
            </w:pPr>
            <w:r>
              <w:rPr>
                <w:rFonts w:ascii="Times New Roman"/>
                <w:sz w:val="18"/>
              </w:rPr>
              <w:t>92,541</w:t>
            </w:r>
          </w:p>
          <w:p>
            <w:pPr>
              <w:pStyle w:val="TableParagraph"/>
              <w:spacing w:line="240" w:lineRule="auto" w:before="105"/>
              <w:ind w:left="319" w:right="0"/>
              <w:jc w:val="left"/>
              <w:rPr>
                <w:rFonts w:ascii="Times New Roman" w:hAnsi="Times New Roman" w:cs="Times New Roman" w:eastAsia="Times New Roman" w:hint="default"/>
                <w:sz w:val="18"/>
                <w:szCs w:val="18"/>
              </w:rPr>
            </w:pPr>
            <w:r>
              <w:rPr>
                <w:rFonts w:ascii="Times New Roman"/>
                <w:sz w:val="18"/>
              </w:rPr>
              <w:t>.42</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-39,08</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6,476.</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00</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-31,78</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6,775.</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43</w:t>
            </w: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22,512</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,292.5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181,34</w:t>
            </w:r>
          </w:p>
          <w:p>
            <w:pPr>
              <w:pStyle w:val="TableParagraph"/>
              <w:spacing w:line="240" w:lineRule="auto" w:before="102"/>
              <w:ind w:left="105" w:right="0"/>
              <w:jc w:val="left"/>
              <w:rPr>
                <w:rFonts w:ascii="Times New Roman" w:hAnsi="Times New Roman" w:cs="Times New Roman" w:eastAsia="Times New Roman" w:hint="default"/>
                <w:sz w:val="18"/>
                <w:szCs w:val="18"/>
              </w:rPr>
            </w:pPr>
            <w:r>
              <w:rPr>
                <w:rFonts w:ascii="Times New Roman"/>
                <w:sz w:val="18"/>
              </w:rPr>
              <w:t>1,590.</w:t>
            </w:r>
          </w:p>
          <w:p>
            <w:pPr>
              <w:pStyle w:val="TableParagraph"/>
              <w:spacing w:line="240" w:lineRule="auto" w:before="105"/>
              <w:ind w:left="376" w:right="0"/>
              <w:jc w:val="left"/>
              <w:rPr>
                <w:rFonts w:ascii="Times New Roman" w:hAnsi="Times New Roman" w:cs="Times New Roman" w:eastAsia="Times New Roman" w:hint="default"/>
                <w:sz w:val="18"/>
                <w:szCs w:val="18"/>
              </w:rPr>
            </w:pPr>
            <w:r>
              <w:rPr>
                <w:rFonts w:ascii="Times New Roman"/>
                <w:sz w:val="18"/>
              </w:rPr>
              <w:t>05</w:t>
            </w: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224,06</w:t>
            </w:r>
          </w:p>
          <w:p>
            <w:pPr>
              <w:pStyle w:val="TableParagraph"/>
              <w:spacing w:line="240" w:lineRule="auto" w:before="102"/>
              <w:ind w:left="83" w:right="0"/>
              <w:jc w:val="left"/>
              <w:rPr>
                <w:rFonts w:ascii="Times New Roman" w:hAnsi="Times New Roman" w:cs="Times New Roman" w:eastAsia="Times New Roman" w:hint="default"/>
                <w:sz w:val="18"/>
                <w:szCs w:val="18"/>
              </w:rPr>
            </w:pPr>
            <w:r>
              <w:rPr>
                <w:rFonts w:ascii="Times New Roman"/>
                <w:sz w:val="18"/>
              </w:rPr>
              <w:t>3,144.</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78</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-1,344,</w:t>
            </w:r>
          </w:p>
          <w:p>
            <w:pPr>
              <w:pStyle w:val="TableParagraph"/>
              <w:spacing w:line="240" w:lineRule="auto" w:before="102"/>
              <w:ind w:left="117" w:right="0"/>
              <w:jc w:val="left"/>
              <w:rPr>
                <w:rFonts w:ascii="Times New Roman" w:hAnsi="Times New Roman" w:cs="Times New Roman" w:eastAsia="Times New Roman" w:hint="default"/>
                <w:sz w:val="18"/>
                <w:szCs w:val="18"/>
              </w:rPr>
            </w:pPr>
            <w:r>
              <w:rPr>
                <w:rFonts w:ascii="Times New Roman"/>
                <w:sz w:val="18"/>
              </w:rPr>
              <w:t>427.47</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36" w:right="0"/>
              <w:jc w:val="left"/>
              <w:rPr>
                <w:rFonts w:ascii="Times New Roman" w:hAnsi="Times New Roman" w:cs="Times New Roman" w:eastAsia="Times New Roman" w:hint="default"/>
                <w:sz w:val="18"/>
                <w:szCs w:val="18"/>
              </w:rPr>
            </w:pPr>
            <w:r>
              <w:rPr>
                <w:rFonts w:ascii="Times New Roman"/>
                <w:sz w:val="18"/>
              </w:rPr>
              <w:t>222,718</w:t>
            </w:r>
          </w:p>
          <w:p>
            <w:pPr>
              <w:pStyle w:val="TableParagraph"/>
              <w:spacing w:line="240" w:lineRule="auto" w:before="102"/>
              <w:ind w:left="81" w:right="0"/>
              <w:jc w:val="left"/>
              <w:rPr>
                <w:rFonts w:ascii="Times New Roman" w:hAnsi="Times New Roman" w:cs="Times New Roman" w:eastAsia="Times New Roman" w:hint="default"/>
                <w:sz w:val="18"/>
                <w:szCs w:val="18"/>
              </w:rPr>
            </w:pPr>
            <w:r>
              <w:rPr>
                <w:rFonts w:ascii="Times New Roman"/>
                <w:sz w:val="18"/>
              </w:rPr>
              <w:t>,717.31</w:t>
            </w:r>
          </w:p>
        </w:tc>
      </w:tr>
      <w:tr>
        <w:trPr>
          <w:trHeight w:val="1025"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2" w:right="96"/>
              <w:jc w:val="left"/>
              <w:rPr>
                <w:rFonts w:ascii="宋体" w:hAnsi="宋体" w:cs="宋体" w:eastAsia="宋体" w:hint="default"/>
                <w:sz w:val="18"/>
                <w:szCs w:val="18"/>
              </w:rPr>
            </w:pPr>
            <w:r>
              <w:rPr>
                <w:rFonts w:ascii="宋体" w:hAnsi="宋体" w:cs="宋体" w:eastAsia="宋体" w:hint="default"/>
                <w:sz w:val="18"/>
                <w:szCs w:val="18"/>
              </w:rPr>
              <w:t>（一）综合收 益总额</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-31,78</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6,775.</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43</w:t>
            </w: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2" w:right="0"/>
              <w:jc w:val="left"/>
              <w:rPr>
                <w:rFonts w:ascii="Times New Roman" w:hAnsi="Times New Roman" w:cs="Times New Roman" w:eastAsia="Times New Roman" w:hint="default"/>
                <w:sz w:val="18"/>
                <w:szCs w:val="18"/>
              </w:rPr>
            </w:pPr>
            <w:r>
              <w:rPr>
                <w:rFonts w:ascii="Times New Roman"/>
                <w:sz w:val="18"/>
              </w:rPr>
              <w:t>303,21</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4,679.</w:t>
            </w:r>
          </w:p>
          <w:p>
            <w:pPr>
              <w:pStyle w:val="TableParagraph"/>
              <w:spacing w:line="240" w:lineRule="auto" w:before="105"/>
              <w:ind w:left="376" w:right="0"/>
              <w:jc w:val="left"/>
              <w:rPr>
                <w:rFonts w:ascii="Times New Roman" w:hAnsi="Times New Roman" w:cs="Times New Roman" w:eastAsia="Times New Roman" w:hint="default"/>
                <w:sz w:val="18"/>
                <w:szCs w:val="18"/>
              </w:rPr>
            </w:pPr>
            <w:r>
              <w:rPr>
                <w:rFonts w:ascii="Times New Roman"/>
                <w:sz w:val="18"/>
              </w:rPr>
              <w:t>83</w:t>
            </w: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271,42</w:t>
            </w:r>
          </w:p>
          <w:p>
            <w:pPr>
              <w:pStyle w:val="TableParagraph"/>
              <w:spacing w:line="240" w:lineRule="auto" w:before="105"/>
              <w:ind w:left="83" w:right="0"/>
              <w:jc w:val="left"/>
              <w:rPr>
                <w:rFonts w:ascii="Times New Roman" w:hAnsi="Times New Roman" w:cs="Times New Roman" w:eastAsia="Times New Roman" w:hint="default"/>
                <w:sz w:val="18"/>
                <w:szCs w:val="18"/>
              </w:rPr>
            </w:pPr>
            <w:r>
              <w:rPr>
                <w:rFonts w:ascii="Times New Roman"/>
                <w:sz w:val="18"/>
              </w:rPr>
              <w:t>7,904.</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40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-1,118,</w:t>
            </w:r>
          </w:p>
          <w:p>
            <w:pPr>
              <w:pStyle w:val="TableParagraph"/>
              <w:spacing w:line="240" w:lineRule="auto" w:before="105"/>
              <w:ind w:left="117" w:right="0"/>
              <w:jc w:val="left"/>
              <w:rPr>
                <w:rFonts w:ascii="Times New Roman" w:hAnsi="Times New Roman" w:cs="Times New Roman" w:eastAsia="Times New Roman" w:hint="default"/>
                <w:sz w:val="18"/>
                <w:szCs w:val="18"/>
              </w:rPr>
            </w:pPr>
            <w:r>
              <w:rPr>
                <w:rFonts w:ascii="Times New Roman"/>
                <w:sz w:val="18"/>
              </w:rPr>
              <w:t>380.25</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6" w:right="0"/>
              <w:jc w:val="left"/>
              <w:rPr>
                <w:rFonts w:ascii="Times New Roman" w:hAnsi="Times New Roman" w:cs="Times New Roman" w:eastAsia="Times New Roman" w:hint="default"/>
                <w:sz w:val="18"/>
                <w:szCs w:val="18"/>
              </w:rPr>
            </w:pPr>
            <w:r>
              <w:rPr>
                <w:rFonts w:ascii="Times New Roman"/>
                <w:sz w:val="18"/>
              </w:rPr>
              <w:t>270,309</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,524.15</w:t>
            </w:r>
          </w:p>
        </w:tc>
      </w:tr>
      <w:tr>
        <w:trPr>
          <w:trHeight w:val="1027"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1"/>
              <w:ind w:left="22" w:right="96"/>
              <w:jc w:val="both"/>
              <w:rPr>
                <w:rFonts w:ascii="宋体" w:hAnsi="宋体" w:cs="宋体" w:eastAsia="宋体" w:hint="default"/>
                <w:sz w:val="18"/>
                <w:szCs w:val="18"/>
              </w:rPr>
            </w:pPr>
            <w:r>
              <w:rPr>
                <w:rFonts w:ascii="宋体" w:hAnsi="宋体" w:cs="宋体" w:eastAsia="宋体" w:hint="default"/>
                <w:sz w:val="18"/>
                <w:szCs w:val="18"/>
              </w:rPr>
              <w:t>（二）所有者 投入和减少资 本</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-280,</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288.0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15,251</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,928.4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9" w:right="0"/>
              <w:jc w:val="left"/>
              <w:rPr>
                <w:rFonts w:ascii="Times New Roman" w:hAnsi="Times New Roman" w:cs="Times New Roman" w:eastAsia="Times New Roman" w:hint="default"/>
                <w:sz w:val="18"/>
                <w:szCs w:val="18"/>
              </w:rPr>
            </w:pPr>
            <w:r>
              <w:rPr>
                <w:rFonts w:ascii="Times New Roman"/>
                <w:sz w:val="18"/>
              </w:rPr>
              <w:t>-39,08</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6,476.</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00</w:t>
            </w: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54,058</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pacing w:val="-2"/>
                <w:sz w:val="18"/>
              </w:rPr>
              <w:t>,116.4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-226,04</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7.22</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53,832,</w:t>
            </w:r>
          </w:p>
          <w:p>
            <w:pPr>
              <w:pStyle w:val="TableParagraph"/>
              <w:spacing w:line="240" w:lineRule="auto" w:before="102"/>
              <w:ind w:left="127" w:right="0"/>
              <w:jc w:val="left"/>
              <w:rPr>
                <w:rFonts w:ascii="Times New Roman" w:hAnsi="Times New Roman" w:cs="Times New Roman" w:eastAsia="Times New Roman" w:hint="default"/>
                <w:sz w:val="18"/>
                <w:szCs w:val="18"/>
              </w:rPr>
            </w:pPr>
            <w:r>
              <w:rPr>
                <w:rFonts w:ascii="Times New Roman"/>
                <w:sz w:val="18"/>
              </w:rPr>
              <w:t>069.24</w:t>
            </w:r>
          </w:p>
        </w:tc>
      </w:tr>
      <w:tr>
        <w:trPr>
          <w:trHeight w:val="1025"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00" w:lineRule="auto"/>
              <w:ind w:left="22" w:right="19"/>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．所有者投入</w:t>
            </w:r>
            <w:r>
              <w:rPr>
                <w:rFonts w:ascii="宋体" w:hAnsi="宋体" w:cs="宋体" w:eastAsia="宋体" w:hint="default"/>
                <w:sz w:val="18"/>
                <w:szCs w:val="18"/>
              </w:rPr>
              <w:t> 的普通股</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-280,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288.0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6" w:right="0"/>
              <w:jc w:val="left"/>
              <w:rPr>
                <w:rFonts w:ascii="Times New Roman" w:hAnsi="Times New Roman" w:cs="Times New Roman" w:eastAsia="Times New Roman" w:hint="default"/>
                <w:sz w:val="18"/>
                <w:szCs w:val="18"/>
              </w:rPr>
            </w:pPr>
            <w:r>
              <w:rPr>
                <w:rFonts w:ascii="Times New Roman"/>
                <w:sz w:val="18"/>
              </w:rPr>
              <w:t>-2,786,</w:t>
            </w:r>
          </w:p>
          <w:p>
            <w:pPr>
              <w:pStyle w:val="TableParagraph"/>
              <w:spacing w:line="240" w:lineRule="auto" w:before="105"/>
              <w:ind w:left="50" w:right="0"/>
              <w:jc w:val="left"/>
              <w:rPr>
                <w:rFonts w:ascii="Times New Roman" w:hAnsi="Times New Roman" w:cs="Times New Roman" w:eastAsia="Times New Roman" w:hint="default"/>
                <w:sz w:val="18"/>
                <w:szCs w:val="18"/>
              </w:rPr>
            </w:pPr>
            <w:r>
              <w:rPr>
                <w:rFonts w:ascii="Times New Roman"/>
                <w:sz w:val="18"/>
              </w:rPr>
              <w:t>282.00</w:t>
            </w: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-3,066,</w:t>
            </w:r>
          </w:p>
          <w:p>
            <w:pPr>
              <w:pStyle w:val="TableParagraph"/>
              <w:spacing w:line="240" w:lineRule="auto" w:before="105"/>
              <w:ind w:left="40" w:right="0"/>
              <w:jc w:val="left"/>
              <w:rPr>
                <w:rFonts w:ascii="Times New Roman" w:hAnsi="Times New Roman" w:cs="Times New Roman" w:eastAsia="Times New Roman" w:hint="default"/>
                <w:sz w:val="18"/>
                <w:szCs w:val="18"/>
              </w:rPr>
            </w:pPr>
            <w:r>
              <w:rPr>
                <w:rFonts w:ascii="Times New Roman"/>
                <w:sz w:val="18"/>
              </w:rPr>
              <w:t>570.00</w:t>
            </w: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-3,066,</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570.00</w:t>
            </w:r>
          </w:p>
        </w:tc>
      </w:tr>
      <w:tr>
        <w:trPr>
          <w:trHeight w:val="1027"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7" w:lineRule="auto" w:before="51"/>
              <w:ind w:left="22" w:right="19"/>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．其他权益工</w:t>
            </w:r>
            <w:r>
              <w:rPr>
                <w:rFonts w:ascii="宋体" w:hAnsi="宋体" w:cs="宋体" w:eastAsia="宋体" w:hint="default"/>
                <w:sz w:val="18"/>
                <w:szCs w:val="18"/>
              </w:rPr>
              <w:t> 具持有者投入 资本</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9" w:lineRule="auto" w:before="49"/>
              <w:ind w:left="22" w:right="19"/>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．股份支付计</w:t>
            </w:r>
            <w:r>
              <w:rPr>
                <w:rFonts w:ascii="宋体" w:hAnsi="宋体" w:cs="宋体" w:eastAsia="宋体" w:hint="default"/>
                <w:sz w:val="18"/>
                <w:szCs w:val="18"/>
              </w:rPr>
              <w:t> 入所有者权益 的金额</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10,285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,462.7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-39,08</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6,476.</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00</w:t>
            </w: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49,371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,938.7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-226,04</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7.22</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49,145,</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891.48</w:t>
            </w:r>
          </w:p>
        </w:tc>
      </w:tr>
      <w:tr>
        <w:trPr>
          <w:trHeight w:val="715"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3" w:right="0"/>
              <w:jc w:val="left"/>
              <w:rPr>
                <w:rFonts w:ascii="Times New Roman" w:hAnsi="Times New Roman" w:cs="Times New Roman" w:eastAsia="Times New Roman" w:hint="default"/>
                <w:sz w:val="18"/>
                <w:szCs w:val="18"/>
              </w:rPr>
            </w:pPr>
            <w:r>
              <w:rPr>
                <w:rFonts w:ascii="Times New Roman"/>
                <w:sz w:val="18"/>
              </w:rPr>
              <w:t>7,752,</w:t>
            </w:r>
          </w:p>
          <w:p>
            <w:pPr>
              <w:pStyle w:val="TableParagraph"/>
              <w:spacing w:line="240" w:lineRule="auto" w:before="102"/>
              <w:ind w:left="50" w:right="0"/>
              <w:jc w:val="left"/>
              <w:rPr>
                <w:rFonts w:ascii="Times New Roman" w:hAnsi="Times New Roman" w:cs="Times New Roman" w:eastAsia="Times New Roman" w:hint="default"/>
                <w:sz w:val="18"/>
                <w:szCs w:val="18"/>
              </w:rPr>
            </w:pPr>
            <w:r>
              <w:rPr>
                <w:rFonts w:ascii="Times New Roman"/>
                <w:sz w:val="18"/>
              </w:rPr>
              <w:t>747.76</w:t>
            </w: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3" w:right="0"/>
              <w:jc w:val="left"/>
              <w:rPr>
                <w:rFonts w:ascii="Times New Roman" w:hAnsi="Times New Roman" w:cs="Times New Roman" w:eastAsia="Times New Roman" w:hint="default"/>
                <w:sz w:val="18"/>
                <w:szCs w:val="18"/>
              </w:rPr>
            </w:pPr>
            <w:r>
              <w:rPr>
                <w:rFonts w:ascii="Times New Roman"/>
                <w:sz w:val="18"/>
              </w:rPr>
              <w:t>7,752,</w:t>
            </w:r>
          </w:p>
          <w:p>
            <w:pPr>
              <w:pStyle w:val="TableParagraph"/>
              <w:spacing w:line="240" w:lineRule="auto" w:before="102"/>
              <w:ind w:left="40" w:right="0"/>
              <w:jc w:val="left"/>
              <w:rPr>
                <w:rFonts w:ascii="Times New Roman" w:hAnsi="Times New Roman" w:cs="Times New Roman" w:eastAsia="Times New Roman" w:hint="default"/>
                <w:sz w:val="18"/>
                <w:szCs w:val="18"/>
              </w:rPr>
            </w:pPr>
            <w:r>
              <w:rPr>
                <w:rFonts w:ascii="Times New Roman"/>
                <w:sz w:val="18"/>
              </w:rPr>
              <w:t>747.76</w:t>
            </w: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1" w:right="0"/>
              <w:jc w:val="center"/>
              <w:rPr>
                <w:rFonts w:ascii="Times New Roman" w:hAnsi="Times New Roman" w:cs="Times New Roman" w:eastAsia="Times New Roman" w:hint="default"/>
                <w:sz w:val="18"/>
                <w:szCs w:val="18"/>
              </w:rPr>
            </w:pPr>
            <w:r>
              <w:rPr>
                <w:rFonts w:ascii="Times New Roman"/>
                <w:sz w:val="18"/>
              </w:rPr>
              <w:t>7,752,7</w:t>
            </w:r>
          </w:p>
          <w:p>
            <w:pPr>
              <w:pStyle w:val="TableParagraph"/>
              <w:spacing w:line="240" w:lineRule="auto" w:before="102"/>
              <w:ind w:left="197" w:right="0"/>
              <w:jc w:val="center"/>
              <w:rPr>
                <w:rFonts w:ascii="Times New Roman" w:hAnsi="Times New Roman" w:cs="Times New Roman" w:eastAsia="Times New Roman" w:hint="default"/>
                <w:sz w:val="18"/>
                <w:szCs w:val="18"/>
              </w:rPr>
            </w:pPr>
            <w:r>
              <w:rPr>
                <w:rFonts w:ascii="Times New Roman"/>
                <w:sz w:val="18"/>
              </w:rPr>
              <w:t>47.76</w:t>
            </w:r>
          </w:p>
        </w:tc>
      </w:tr>
      <w:tr>
        <w:trPr>
          <w:trHeight w:val="1025"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2" w:right="96"/>
              <w:jc w:val="left"/>
              <w:rPr>
                <w:rFonts w:ascii="宋体" w:hAnsi="宋体" w:cs="宋体" w:eastAsia="宋体" w:hint="default"/>
                <w:sz w:val="18"/>
                <w:szCs w:val="18"/>
              </w:rPr>
            </w:pPr>
            <w:r>
              <w:rPr>
                <w:rFonts w:ascii="宋体" w:hAnsi="宋体" w:cs="宋体" w:eastAsia="宋体" w:hint="default"/>
                <w:sz w:val="18"/>
                <w:szCs w:val="18"/>
              </w:rPr>
              <w:t>（三）利润分 配</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22,512</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,292.5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-121,8</w:t>
            </w:r>
          </w:p>
          <w:p>
            <w:pPr>
              <w:pStyle w:val="TableParagraph"/>
              <w:spacing w:line="240" w:lineRule="auto" w:before="105"/>
              <w:ind w:left="62" w:right="0"/>
              <w:jc w:val="left"/>
              <w:rPr>
                <w:rFonts w:ascii="Times New Roman" w:hAnsi="Times New Roman" w:cs="Times New Roman" w:eastAsia="Times New Roman" w:hint="default"/>
                <w:sz w:val="18"/>
                <w:szCs w:val="18"/>
              </w:rPr>
            </w:pPr>
            <w:r>
              <w:rPr>
                <w:rFonts w:ascii="Times New Roman"/>
                <w:sz w:val="18"/>
              </w:rPr>
              <w:t>73,089</w:t>
            </w:r>
          </w:p>
          <w:p>
            <w:pPr>
              <w:pStyle w:val="TableParagraph"/>
              <w:spacing w:line="240" w:lineRule="auto" w:before="105"/>
              <w:ind w:left="331" w:right="0"/>
              <w:jc w:val="left"/>
              <w:rPr>
                <w:rFonts w:ascii="Times New Roman" w:hAnsi="Times New Roman" w:cs="Times New Roman" w:eastAsia="Times New Roman" w:hint="default"/>
                <w:sz w:val="18"/>
                <w:szCs w:val="18"/>
              </w:rPr>
            </w:pPr>
            <w:r>
              <w:rPr>
                <w:rFonts w:ascii="Times New Roman"/>
                <w:sz w:val="18"/>
              </w:rPr>
              <w:t>.78</w:t>
            </w: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 w:right="0"/>
              <w:jc w:val="left"/>
              <w:rPr>
                <w:rFonts w:ascii="Times New Roman" w:hAnsi="Times New Roman" w:cs="Times New Roman" w:eastAsia="Times New Roman" w:hint="default"/>
                <w:sz w:val="18"/>
                <w:szCs w:val="18"/>
              </w:rPr>
            </w:pPr>
            <w:r>
              <w:rPr>
                <w:rFonts w:ascii="Times New Roman"/>
                <w:sz w:val="18"/>
              </w:rPr>
              <w:t>-99,36</w:t>
            </w:r>
          </w:p>
          <w:p>
            <w:pPr>
              <w:pStyle w:val="TableParagraph"/>
              <w:spacing w:line="240" w:lineRule="auto" w:before="105"/>
              <w:ind w:left="83" w:right="0"/>
              <w:jc w:val="left"/>
              <w:rPr>
                <w:rFonts w:ascii="Times New Roman" w:hAnsi="Times New Roman" w:cs="Times New Roman" w:eastAsia="Times New Roman" w:hint="default"/>
                <w:sz w:val="18"/>
                <w:szCs w:val="18"/>
              </w:rPr>
            </w:pPr>
            <w:r>
              <w:rPr>
                <w:rFonts w:ascii="Times New Roman"/>
                <w:sz w:val="18"/>
              </w:rPr>
              <w:t>0,797.</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20</w:t>
            </w: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-99,360</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,797.20</w:t>
            </w:r>
          </w:p>
        </w:tc>
      </w:tr>
      <w:tr>
        <w:trPr>
          <w:trHeight w:val="1027"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97" w:lineRule="auto"/>
              <w:ind w:left="22" w:right="19"/>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．提取盈余公</w:t>
            </w:r>
            <w:r>
              <w:rPr>
                <w:rFonts w:ascii="宋体" w:hAnsi="宋体" w:cs="宋体" w:eastAsia="宋体" w:hint="default"/>
                <w:sz w:val="18"/>
                <w:szCs w:val="18"/>
              </w:rPr>
              <w:t> 积</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22,512</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,292.5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1" w:right="0"/>
              <w:jc w:val="left"/>
              <w:rPr>
                <w:rFonts w:ascii="Times New Roman" w:hAnsi="Times New Roman" w:cs="Times New Roman" w:eastAsia="Times New Roman" w:hint="default"/>
                <w:sz w:val="18"/>
                <w:szCs w:val="18"/>
              </w:rPr>
            </w:pPr>
            <w:r>
              <w:rPr>
                <w:rFonts w:ascii="Times New Roman"/>
                <w:sz w:val="18"/>
              </w:rPr>
              <w:t>-22,51</w:t>
            </w:r>
          </w:p>
          <w:p>
            <w:pPr>
              <w:pStyle w:val="TableParagraph"/>
              <w:spacing w:line="240" w:lineRule="auto" w:before="102"/>
              <w:ind w:left="105" w:right="0"/>
              <w:jc w:val="left"/>
              <w:rPr>
                <w:rFonts w:ascii="Times New Roman" w:hAnsi="Times New Roman" w:cs="Times New Roman" w:eastAsia="Times New Roman" w:hint="default"/>
                <w:sz w:val="18"/>
                <w:szCs w:val="18"/>
              </w:rPr>
            </w:pPr>
            <w:r>
              <w:rPr>
                <w:rFonts w:ascii="Times New Roman"/>
                <w:sz w:val="18"/>
              </w:rPr>
              <w:t>2,292.</w:t>
            </w:r>
          </w:p>
          <w:p>
            <w:pPr>
              <w:pStyle w:val="TableParagraph"/>
              <w:spacing w:line="240" w:lineRule="auto" w:before="105"/>
              <w:ind w:left="376" w:right="0"/>
              <w:jc w:val="left"/>
              <w:rPr>
                <w:rFonts w:ascii="Times New Roman" w:hAnsi="Times New Roman" w:cs="Times New Roman" w:eastAsia="Times New Roman" w:hint="default"/>
                <w:sz w:val="18"/>
                <w:szCs w:val="18"/>
              </w:rPr>
            </w:pPr>
            <w:r>
              <w:rPr>
                <w:rFonts w:ascii="Times New Roman"/>
                <w:sz w:val="18"/>
              </w:rPr>
              <w:t>58</w:t>
            </w: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0" w:lineRule="auto" w:before="49"/>
              <w:ind w:left="22" w:right="19"/>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．提取一般风</w:t>
            </w:r>
            <w:r>
              <w:rPr>
                <w:rFonts w:ascii="宋体" w:hAnsi="宋体" w:cs="宋体" w:eastAsia="宋体" w:hint="default"/>
                <w:sz w:val="18"/>
                <w:szCs w:val="18"/>
              </w:rPr>
              <w:t> 险准备</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11"/>
        <w:gridCol w:w="490"/>
        <w:gridCol w:w="449"/>
        <w:gridCol w:w="449"/>
        <w:gridCol w:w="492"/>
        <w:gridCol w:w="576"/>
        <w:gridCol w:w="576"/>
        <w:gridCol w:w="578"/>
        <w:gridCol w:w="576"/>
        <w:gridCol w:w="576"/>
        <w:gridCol w:w="578"/>
        <w:gridCol w:w="588"/>
        <w:gridCol w:w="566"/>
        <w:gridCol w:w="569"/>
        <w:gridCol w:w="641"/>
        <w:gridCol w:w="653"/>
      </w:tblGrid>
      <w:tr>
        <w:trPr>
          <w:trHeight w:val="1025"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w:t>
            </w:r>
          </w:p>
          <w:p>
            <w:pPr>
              <w:pStyle w:val="TableParagraph"/>
              <w:spacing w:line="316" w:lineRule="auto" w:before="63"/>
              <w:ind w:left="22" w:right="96"/>
              <w:jc w:val="left"/>
              <w:rPr>
                <w:rFonts w:ascii="宋体" w:hAnsi="宋体" w:cs="宋体" w:eastAsia="宋体" w:hint="default"/>
                <w:sz w:val="18"/>
                <w:szCs w:val="18"/>
              </w:rPr>
            </w:pPr>
            <w:r>
              <w:rPr>
                <w:rFonts w:ascii="宋体" w:hAnsi="宋体" w:cs="宋体" w:eastAsia="宋体" w:hint="default"/>
                <w:sz w:val="18"/>
                <w:szCs w:val="18"/>
              </w:rPr>
              <w:t>（或股东）的 分配</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-99,36</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0,797.</w:t>
            </w:r>
          </w:p>
          <w:p>
            <w:pPr>
              <w:pStyle w:val="TableParagraph"/>
              <w:spacing w:line="240" w:lineRule="auto" w:before="105"/>
              <w:ind w:left="376" w:right="0"/>
              <w:jc w:val="left"/>
              <w:rPr>
                <w:rFonts w:ascii="Times New Roman" w:hAnsi="Times New Roman" w:cs="Times New Roman" w:eastAsia="Times New Roman" w:hint="default"/>
                <w:sz w:val="18"/>
                <w:szCs w:val="18"/>
              </w:rPr>
            </w:pPr>
            <w:r>
              <w:rPr>
                <w:rFonts w:ascii="Times New Roman"/>
                <w:sz w:val="18"/>
              </w:rPr>
              <w:t>20</w:t>
            </w: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 w:right="0"/>
              <w:jc w:val="left"/>
              <w:rPr>
                <w:rFonts w:ascii="Times New Roman" w:hAnsi="Times New Roman" w:cs="Times New Roman" w:eastAsia="Times New Roman" w:hint="default"/>
                <w:sz w:val="18"/>
                <w:szCs w:val="18"/>
              </w:rPr>
            </w:pPr>
            <w:r>
              <w:rPr>
                <w:rFonts w:ascii="Times New Roman"/>
                <w:sz w:val="18"/>
              </w:rPr>
              <w:t>-99,36</w:t>
            </w:r>
          </w:p>
          <w:p>
            <w:pPr>
              <w:pStyle w:val="TableParagraph"/>
              <w:spacing w:line="240" w:lineRule="auto" w:before="105"/>
              <w:ind w:left="83" w:right="0"/>
              <w:jc w:val="left"/>
              <w:rPr>
                <w:rFonts w:ascii="Times New Roman" w:hAnsi="Times New Roman" w:cs="Times New Roman" w:eastAsia="Times New Roman" w:hint="default"/>
                <w:sz w:val="18"/>
                <w:szCs w:val="18"/>
              </w:rPr>
            </w:pPr>
            <w:r>
              <w:rPr>
                <w:rFonts w:ascii="Times New Roman"/>
                <w:sz w:val="18"/>
              </w:rPr>
              <w:t>0,797.</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20</w:t>
            </w: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-99,360</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,797.20</w:t>
            </w:r>
          </w:p>
        </w:tc>
      </w:tr>
      <w:tr>
        <w:trPr>
          <w:trHeight w:val="403"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2" w:right="96"/>
              <w:jc w:val="left"/>
              <w:rPr>
                <w:rFonts w:ascii="宋体" w:hAnsi="宋体" w:cs="宋体" w:eastAsia="宋体" w:hint="default"/>
                <w:sz w:val="18"/>
                <w:szCs w:val="18"/>
              </w:rPr>
            </w:pPr>
            <w:r>
              <w:rPr>
                <w:rFonts w:ascii="宋体" w:hAnsi="宋体" w:cs="宋体" w:eastAsia="宋体" w:hint="default"/>
                <w:sz w:val="18"/>
                <w:szCs w:val="18"/>
              </w:rPr>
              <w:t>（四）所有者 权益内部结转</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 w:right="0"/>
              <w:jc w:val="left"/>
              <w:rPr>
                <w:rFonts w:ascii="Times New Roman" w:hAnsi="Times New Roman" w:cs="Times New Roman" w:eastAsia="Times New Roman" w:hint="default"/>
                <w:sz w:val="18"/>
                <w:szCs w:val="18"/>
              </w:rPr>
            </w:pPr>
            <w:r>
              <w:rPr>
                <w:rFonts w:ascii="Times New Roman"/>
                <w:sz w:val="18"/>
              </w:rPr>
              <w:t>298,0</w:t>
            </w:r>
          </w:p>
          <w:p>
            <w:pPr>
              <w:pStyle w:val="TableParagraph"/>
              <w:spacing w:line="240" w:lineRule="auto" w:before="105"/>
              <w:ind w:left="52" w:right="0"/>
              <w:jc w:val="left"/>
              <w:rPr>
                <w:rFonts w:ascii="Times New Roman" w:hAnsi="Times New Roman" w:cs="Times New Roman" w:eastAsia="Times New Roman" w:hint="default"/>
                <w:sz w:val="18"/>
                <w:szCs w:val="18"/>
              </w:rPr>
            </w:pPr>
            <w:r>
              <w:rPr>
                <w:rFonts w:ascii="Times New Roman"/>
                <w:sz w:val="18"/>
              </w:rPr>
              <w:t>82,39</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1.00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-300,1</w:t>
            </w:r>
          </w:p>
          <w:p>
            <w:pPr>
              <w:pStyle w:val="TableParagraph"/>
              <w:spacing w:line="240" w:lineRule="auto" w:before="105"/>
              <w:ind w:left="50" w:right="0"/>
              <w:jc w:val="left"/>
              <w:rPr>
                <w:rFonts w:ascii="Times New Roman" w:hAnsi="Times New Roman" w:cs="Times New Roman" w:eastAsia="Times New Roman" w:hint="default"/>
                <w:sz w:val="18"/>
                <w:szCs w:val="18"/>
              </w:rPr>
            </w:pPr>
            <w:r>
              <w:rPr>
                <w:rFonts w:ascii="Times New Roman"/>
                <w:sz w:val="18"/>
              </w:rPr>
              <w:t>44,469</w:t>
            </w:r>
          </w:p>
          <w:p>
            <w:pPr>
              <w:pStyle w:val="TableParagraph"/>
              <w:spacing w:line="240" w:lineRule="auto" w:before="105"/>
              <w:ind w:left="319" w:right="0"/>
              <w:jc w:val="left"/>
              <w:rPr>
                <w:rFonts w:ascii="Times New Roman" w:hAnsi="Times New Roman" w:cs="Times New Roman" w:eastAsia="Times New Roman" w:hint="default"/>
                <w:sz w:val="18"/>
                <w:szCs w:val="18"/>
              </w:rPr>
            </w:pPr>
            <w:r>
              <w:rPr>
                <w:rFonts w:ascii="Times New Roman"/>
                <w:sz w:val="18"/>
              </w:rPr>
              <w:t>.88</w:t>
            </w: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-2,062,</w:t>
            </w:r>
          </w:p>
          <w:p>
            <w:pPr>
              <w:pStyle w:val="TableParagraph"/>
              <w:spacing w:line="240" w:lineRule="auto" w:before="105"/>
              <w:ind w:left="40" w:right="0"/>
              <w:jc w:val="left"/>
              <w:rPr>
                <w:rFonts w:ascii="Times New Roman" w:hAnsi="Times New Roman" w:cs="Times New Roman" w:eastAsia="Times New Roman" w:hint="default"/>
                <w:sz w:val="18"/>
                <w:szCs w:val="18"/>
              </w:rPr>
            </w:pPr>
            <w:r>
              <w:rPr>
                <w:rFonts w:ascii="Times New Roman"/>
                <w:sz w:val="18"/>
              </w:rPr>
              <w:t>078.88</w:t>
            </w: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-2,062,</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078.88</w:t>
            </w:r>
          </w:p>
        </w:tc>
      </w:tr>
      <w:tr>
        <w:trPr>
          <w:trHeight w:val="1027"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7" w:lineRule="auto" w:before="51"/>
              <w:ind w:left="22" w:right="19"/>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．资本公积转</w:t>
            </w:r>
            <w:r>
              <w:rPr>
                <w:rFonts w:ascii="宋体" w:hAnsi="宋体" w:cs="宋体" w:eastAsia="宋体" w:hint="default"/>
                <w:sz w:val="18"/>
                <w:szCs w:val="18"/>
              </w:rPr>
              <w:t> 增资本（或股 本）</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2" w:right="0"/>
              <w:jc w:val="left"/>
              <w:rPr>
                <w:rFonts w:ascii="Times New Roman" w:hAnsi="Times New Roman" w:cs="Times New Roman" w:eastAsia="Times New Roman" w:hint="default"/>
                <w:sz w:val="18"/>
                <w:szCs w:val="18"/>
              </w:rPr>
            </w:pPr>
            <w:r>
              <w:rPr>
                <w:rFonts w:ascii="Times New Roman"/>
                <w:sz w:val="18"/>
              </w:rPr>
              <w:t>298,0</w:t>
            </w:r>
          </w:p>
          <w:p>
            <w:pPr>
              <w:pStyle w:val="TableParagraph"/>
              <w:spacing w:line="240" w:lineRule="auto" w:before="102"/>
              <w:ind w:left="52" w:right="0"/>
              <w:jc w:val="left"/>
              <w:rPr>
                <w:rFonts w:ascii="Times New Roman" w:hAnsi="Times New Roman" w:cs="Times New Roman" w:eastAsia="Times New Roman" w:hint="default"/>
                <w:sz w:val="18"/>
                <w:szCs w:val="18"/>
              </w:rPr>
            </w:pPr>
            <w:r>
              <w:rPr>
                <w:rFonts w:ascii="Times New Roman"/>
                <w:sz w:val="18"/>
              </w:rPr>
              <w:t>82,39</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1.00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9" w:right="0"/>
              <w:jc w:val="left"/>
              <w:rPr>
                <w:rFonts w:ascii="Times New Roman" w:hAnsi="Times New Roman" w:cs="Times New Roman" w:eastAsia="Times New Roman" w:hint="default"/>
                <w:sz w:val="18"/>
                <w:szCs w:val="18"/>
              </w:rPr>
            </w:pPr>
            <w:r>
              <w:rPr>
                <w:rFonts w:ascii="Times New Roman"/>
                <w:sz w:val="18"/>
              </w:rPr>
              <w:t>-298,0</w:t>
            </w:r>
          </w:p>
          <w:p>
            <w:pPr>
              <w:pStyle w:val="TableParagraph"/>
              <w:spacing w:line="240" w:lineRule="auto" w:before="102"/>
              <w:ind w:left="50" w:right="0"/>
              <w:jc w:val="left"/>
              <w:rPr>
                <w:rFonts w:ascii="Times New Roman" w:hAnsi="Times New Roman" w:cs="Times New Roman" w:eastAsia="Times New Roman" w:hint="default"/>
                <w:sz w:val="18"/>
                <w:szCs w:val="18"/>
              </w:rPr>
            </w:pPr>
            <w:r>
              <w:rPr>
                <w:rFonts w:ascii="Times New Roman"/>
                <w:sz w:val="18"/>
              </w:rPr>
              <w:t>82,391</w:t>
            </w:r>
          </w:p>
          <w:p>
            <w:pPr>
              <w:pStyle w:val="TableParagraph"/>
              <w:spacing w:line="240" w:lineRule="auto" w:before="105"/>
              <w:ind w:left="319" w:right="0"/>
              <w:jc w:val="left"/>
              <w:rPr>
                <w:rFonts w:ascii="Times New Roman" w:hAnsi="Times New Roman" w:cs="Times New Roman" w:eastAsia="Times New Roman" w:hint="default"/>
                <w:sz w:val="18"/>
                <w:szCs w:val="18"/>
              </w:rPr>
            </w:pPr>
            <w:r>
              <w:rPr>
                <w:rFonts w:ascii="Times New Roman"/>
                <w:sz w:val="18"/>
              </w:rPr>
              <w:t>.00</w:t>
            </w: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9" w:lineRule="auto" w:before="49"/>
              <w:ind w:left="22" w:right="19"/>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．盈余公积转</w:t>
            </w:r>
            <w:r>
              <w:rPr>
                <w:rFonts w:ascii="宋体" w:hAnsi="宋体" w:cs="宋体" w:eastAsia="宋体" w:hint="default"/>
                <w:sz w:val="18"/>
                <w:szCs w:val="18"/>
              </w:rPr>
              <w:t> 增资本（或股 本）</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97" w:lineRule="auto" w:before="51"/>
              <w:ind w:left="22" w:right="19"/>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．盈余公积弥</w:t>
            </w:r>
            <w:r>
              <w:rPr>
                <w:rFonts w:ascii="宋体" w:hAnsi="宋体" w:cs="宋体" w:eastAsia="宋体" w:hint="default"/>
                <w:sz w:val="18"/>
                <w:szCs w:val="18"/>
              </w:rPr>
              <w:t> 补亏损</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9" w:lineRule="auto" w:before="49"/>
              <w:ind w:left="22" w:right="19"/>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．设定受益计</w:t>
            </w:r>
            <w:r>
              <w:rPr>
                <w:rFonts w:ascii="宋体" w:hAnsi="宋体" w:cs="宋体" w:eastAsia="宋体" w:hint="default"/>
                <w:sz w:val="18"/>
                <w:szCs w:val="18"/>
              </w:rPr>
              <w:t> 划变动额结转 留存收益</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7" w:lineRule="auto" w:before="51"/>
              <w:ind w:left="22" w:right="19"/>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．其他综合收</w:t>
            </w:r>
            <w:r>
              <w:rPr>
                <w:rFonts w:ascii="宋体" w:hAnsi="宋体" w:cs="宋体" w:eastAsia="宋体" w:hint="default"/>
                <w:sz w:val="18"/>
                <w:szCs w:val="18"/>
              </w:rPr>
              <w:t> 益结转留存收 益</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 w:right="0"/>
              <w:jc w:val="left"/>
              <w:rPr>
                <w:rFonts w:ascii="Times New Roman" w:hAnsi="Times New Roman" w:cs="Times New Roman" w:eastAsia="Times New Roman" w:hint="default"/>
                <w:sz w:val="18"/>
                <w:szCs w:val="18"/>
              </w:rPr>
            </w:pPr>
            <w:r>
              <w:rPr>
                <w:rFonts w:ascii="Times New Roman"/>
                <w:sz w:val="18"/>
              </w:rPr>
              <w:t>-2,062,</w:t>
            </w:r>
          </w:p>
          <w:p>
            <w:pPr>
              <w:pStyle w:val="TableParagraph"/>
              <w:spacing w:line="240" w:lineRule="auto" w:before="105"/>
              <w:ind w:left="50" w:right="0"/>
              <w:jc w:val="left"/>
              <w:rPr>
                <w:rFonts w:ascii="Times New Roman" w:hAnsi="Times New Roman" w:cs="Times New Roman" w:eastAsia="Times New Roman" w:hint="default"/>
                <w:sz w:val="18"/>
                <w:szCs w:val="18"/>
              </w:rPr>
            </w:pPr>
            <w:r>
              <w:rPr>
                <w:rFonts w:ascii="Times New Roman"/>
                <w:sz w:val="18"/>
              </w:rPr>
              <w:t>078.88</w:t>
            </w: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-2,062,</w:t>
            </w:r>
          </w:p>
          <w:p>
            <w:pPr>
              <w:pStyle w:val="TableParagraph"/>
              <w:spacing w:line="240" w:lineRule="auto" w:before="105"/>
              <w:ind w:left="40" w:right="0"/>
              <w:jc w:val="left"/>
              <w:rPr>
                <w:rFonts w:ascii="Times New Roman" w:hAnsi="Times New Roman" w:cs="Times New Roman" w:eastAsia="Times New Roman" w:hint="default"/>
                <w:sz w:val="18"/>
                <w:szCs w:val="18"/>
              </w:rPr>
            </w:pPr>
            <w:r>
              <w:rPr>
                <w:rFonts w:ascii="Times New Roman"/>
                <w:sz w:val="18"/>
              </w:rPr>
              <w:t>078.88</w:t>
            </w: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2" w:right="0"/>
              <w:jc w:val="left"/>
              <w:rPr>
                <w:rFonts w:ascii="Times New Roman" w:hAnsi="Times New Roman" w:cs="Times New Roman" w:eastAsia="Times New Roman" w:hint="default"/>
                <w:sz w:val="18"/>
                <w:szCs w:val="18"/>
              </w:rPr>
            </w:pPr>
            <w:r>
              <w:rPr>
                <w:rFonts w:ascii="Times New Roman"/>
                <w:sz w:val="18"/>
              </w:rPr>
              <w:t>-2,062,</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078.88</w:t>
            </w:r>
          </w:p>
        </w:tc>
      </w:tr>
      <w:tr>
        <w:trPr>
          <w:trHeight w:val="715"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1"/>
              <w:ind w:left="22" w:right="96"/>
              <w:jc w:val="left"/>
              <w:rPr>
                <w:rFonts w:ascii="宋体" w:hAnsi="宋体" w:cs="宋体" w:eastAsia="宋体" w:hint="default"/>
                <w:sz w:val="18"/>
                <w:szCs w:val="18"/>
              </w:rPr>
            </w:pPr>
            <w:r>
              <w:rPr>
                <w:rFonts w:ascii="宋体" w:hAnsi="宋体" w:cs="宋体" w:eastAsia="宋体" w:hint="default"/>
                <w:sz w:val="18"/>
                <w:szCs w:val="18"/>
              </w:rPr>
              <w:t>（五）专项储 备</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4" w:lineRule="auto"/>
              <w:ind w:left="22" w:right="96"/>
              <w:jc w:val="left"/>
              <w:rPr>
                <w:rFonts w:ascii="宋体" w:hAnsi="宋体" w:cs="宋体" w:eastAsia="宋体" w:hint="default"/>
                <w:sz w:val="18"/>
                <w:szCs w:val="18"/>
              </w:rPr>
            </w:pPr>
            <w:r>
              <w:rPr>
                <w:rFonts w:ascii="宋体" w:hAnsi="宋体" w:cs="宋体" w:eastAsia="宋体" w:hint="default"/>
                <w:sz w:val="18"/>
                <w:szCs w:val="18"/>
              </w:rPr>
              <w:t>四、本期期末 余额</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2" w:right="0"/>
              <w:jc w:val="left"/>
              <w:rPr>
                <w:rFonts w:ascii="Times New Roman" w:hAnsi="Times New Roman" w:cs="Times New Roman" w:eastAsia="Times New Roman" w:hint="default"/>
                <w:sz w:val="18"/>
                <w:szCs w:val="18"/>
              </w:rPr>
            </w:pPr>
            <w:r>
              <w:rPr>
                <w:rFonts w:ascii="Times New Roman"/>
                <w:sz w:val="18"/>
              </w:rPr>
              <w:t>794,8</w:t>
            </w:r>
          </w:p>
          <w:p>
            <w:pPr>
              <w:pStyle w:val="TableParagraph"/>
              <w:spacing w:line="240" w:lineRule="auto" w:before="102"/>
              <w:ind w:left="52" w:right="0"/>
              <w:jc w:val="left"/>
              <w:rPr>
                <w:rFonts w:ascii="Times New Roman" w:hAnsi="Times New Roman" w:cs="Times New Roman" w:eastAsia="Times New Roman" w:hint="default"/>
                <w:sz w:val="18"/>
                <w:szCs w:val="18"/>
              </w:rPr>
            </w:pPr>
            <w:r>
              <w:rPr>
                <w:rFonts w:ascii="Times New Roman"/>
                <w:sz w:val="18"/>
              </w:rPr>
              <w:t>32,80</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9.00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0" w:right="0"/>
              <w:jc w:val="left"/>
              <w:rPr>
                <w:rFonts w:ascii="Times New Roman" w:hAnsi="Times New Roman" w:cs="Times New Roman" w:eastAsia="Times New Roman" w:hint="default"/>
                <w:sz w:val="18"/>
                <w:szCs w:val="18"/>
              </w:rPr>
            </w:pPr>
            <w:r>
              <w:rPr>
                <w:rFonts w:ascii="Times New Roman"/>
                <w:sz w:val="18"/>
              </w:rPr>
              <w:t>582,32</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5,767.</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41</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34,813</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,142.0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0" w:right="0"/>
              <w:jc w:val="left"/>
              <w:rPr>
                <w:rFonts w:ascii="Times New Roman" w:hAnsi="Times New Roman" w:cs="Times New Roman" w:eastAsia="Times New Roman" w:hint="default"/>
                <w:sz w:val="18"/>
                <w:szCs w:val="18"/>
              </w:rPr>
            </w:pPr>
            <w:r>
              <w:rPr>
                <w:rFonts w:ascii="Times New Roman"/>
                <w:sz w:val="18"/>
              </w:rPr>
              <w:t>131,69</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2,509.</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57</w:t>
            </w: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97,552</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,177.9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2" w:right="0"/>
              <w:jc w:val="left"/>
              <w:rPr>
                <w:rFonts w:ascii="Times New Roman" w:hAnsi="Times New Roman" w:cs="Times New Roman" w:eastAsia="Times New Roman" w:hint="default"/>
                <w:sz w:val="18"/>
                <w:szCs w:val="18"/>
              </w:rPr>
            </w:pPr>
            <w:r>
              <w:rPr>
                <w:rFonts w:ascii="Times New Roman"/>
                <w:sz w:val="18"/>
              </w:rPr>
              <w:t>979,09</w:t>
            </w:r>
          </w:p>
          <w:p>
            <w:pPr>
              <w:pStyle w:val="TableParagraph"/>
              <w:spacing w:line="240" w:lineRule="auto" w:before="102"/>
              <w:ind w:left="105" w:right="0"/>
              <w:jc w:val="left"/>
              <w:rPr>
                <w:rFonts w:ascii="Times New Roman" w:hAnsi="Times New Roman" w:cs="Times New Roman" w:eastAsia="Times New Roman" w:hint="default"/>
                <w:sz w:val="18"/>
                <w:szCs w:val="18"/>
              </w:rPr>
            </w:pPr>
            <w:r>
              <w:rPr>
                <w:rFonts w:ascii="Times New Roman"/>
                <w:sz w:val="18"/>
              </w:rPr>
              <w:t>4,436.</w:t>
            </w:r>
          </w:p>
          <w:p>
            <w:pPr>
              <w:pStyle w:val="TableParagraph"/>
              <w:spacing w:line="240" w:lineRule="auto" w:before="105"/>
              <w:ind w:left="376" w:right="0"/>
              <w:jc w:val="left"/>
              <w:rPr>
                <w:rFonts w:ascii="Times New Roman" w:hAnsi="Times New Roman" w:cs="Times New Roman" w:eastAsia="Times New Roman" w:hint="default"/>
                <w:sz w:val="18"/>
                <w:szCs w:val="18"/>
              </w:rPr>
            </w:pPr>
            <w:r>
              <w:rPr>
                <w:rFonts w:ascii="Times New Roman"/>
                <w:sz w:val="18"/>
              </w:rPr>
              <w:t>87</w:t>
            </w: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3" w:right="0"/>
              <w:jc w:val="center"/>
              <w:rPr>
                <w:rFonts w:ascii="Times New Roman" w:hAnsi="Times New Roman" w:cs="Times New Roman" w:eastAsia="Times New Roman" w:hint="default"/>
                <w:sz w:val="18"/>
                <w:szCs w:val="18"/>
              </w:rPr>
            </w:pPr>
            <w:r>
              <w:rPr>
                <w:rFonts w:ascii="Times New Roman"/>
                <w:sz w:val="18"/>
              </w:rPr>
              <w:t>2,550,</w:t>
            </w:r>
          </w:p>
          <w:p>
            <w:pPr>
              <w:pStyle w:val="TableParagraph"/>
              <w:spacing w:line="240" w:lineRule="auto" w:before="102"/>
              <w:ind w:left="16" w:right="0"/>
              <w:jc w:val="center"/>
              <w:rPr>
                <w:rFonts w:ascii="Times New Roman" w:hAnsi="Times New Roman" w:cs="Times New Roman" w:eastAsia="Times New Roman" w:hint="default"/>
                <w:sz w:val="18"/>
                <w:szCs w:val="18"/>
              </w:rPr>
            </w:pPr>
            <w:r>
              <w:rPr>
                <w:rFonts w:ascii="Times New Roman"/>
                <w:sz w:val="18"/>
              </w:rPr>
              <w:t>684,55</w:t>
            </w:r>
          </w:p>
          <w:p>
            <w:pPr>
              <w:pStyle w:val="TableParagraph"/>
              <w:spacing w:line="240" w:lineRule="auto" w:before="105"/>
              <w:ind w:left="196" w:right="0"/>
              <w:jc w:val="center"/>
              <w:rPr>
                <w:rFonts w:ascii="Times New Roman" w:hAnsi="Times New Roman" w:cs="Times New Roman" w:eastAsia="Times New Roman" w:hint="default"/>
                <w:sz w:val="18"/>
                <w:szCs w:val="18"/>
              </w:rPr>
            </w:pPr>
            <w:r>
              <w:rPr>
                <w:rFonts w:ascii="Times New Roman"/>
                <w:sz w:val="18"/>
              </w:rPr>
              <w:t>8.80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22,434,</w:t>
            </w:r>
          </w:p>
          <w:p>
            <w:pPr>
              <w:pStyle w:val="TableParagraph"/>
              <w:spacing w:line="240" w:lineRule="auto" w:before="102"/>
              <w:ind w:left="117" w:right="0"/>
              <w:jc w:val="left"/>
              <w:rPr>
                <w:rFonts w:ascii="Times New Roman" w:hAnsi="Times New Roman" w:cs="Times New Roman" w:eastAsia="Times New Roman" w:hint="default"/>
                <w:sz w:val="18"/>
                <w:szCs w:val="18"/>
              </w:rPr>
            </w:pPr>
            <w:r>
              <w:rPr>
                <w:rFonts w:ascii="Times New Roman"/>
                <w:sz w:val="18"/>
              </w:rPr>
              <w:t>451.95</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1"/>
              <w:jc w:val="right"/>
              <w:rPr>
                <w:rFonts w:ascii="Times New Roman" w:hAnsi="Times New Roman" w:cs="Times New Roman" w:eastAsia="Times New Roman" w:hint="default"/>
                <w:sz w:val="18"/>
                <w:szCs w:val="18"/>
              </w:rPr>
            </w:pPr>
            <w:r>
              <w:rPr>
                <w:rFonts w:ascii="Times New Roman"/>
                <w:spacing w:val="-1"/>
                <w:sz w:val="18"/>
              </w:rPr>
              <w:t>2,573,1</w:t>
            </w:r>
          </w:p>
          <w:p>
            <w:pPr>
              <w:pStyle w:val="TableParagraph"/>
              <w:spacing w:line="240" w:lineRule="auto" w:before="102"/>
              <w:ind w:right="16"/>
              <w:jc w:val="right"/>
              <w:rPr>
                <w:rFonts w:ascii="Times New Roman" w:hAnsi="Times New Roman" w:cs="Times New Roman" w:eastAsia="Times New Roman" w:hint="default"/>
                <w:sz w:val="18"/>
                <w:szCs w:val="18"/>
              </w:rPr>
            </w:pPr>
            <w:r>
              <w:rPr>
                <w:rFonts w:ascii="Times New Roman"/>
                <w:sz w:val="18"/>
              </w:rPr>
              <w:t>19,010.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75</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986"/>
        <w:jc w:val="left"/>
        <w:rPr>
          <w:b w:val="0"/>
          <w:bCs w:val="0"/>
        </w:rPr>
      </w:pPr>
      <w:bookmarkStart w:name="8、母公司所有者权益变动表" w:id="166"/>
      <w:bookmarkEnd w:id="166"/>
      <w:r>
        <w:rPr>
          <w:b w:val="0"/>
          <w:bCs w:val="0"/>
        </w:rPr>
      </w:r>
      <w:r>
        <w:rPr>
          <w:rFonts w:ascii="Times New Roman" w:hAnsi="Times New Roman" w:cs="Times New Roman" w:eastAsia="Times New Roman" w:hint="default"/>
        </w:rPr>
        <w:t>8</w:t>
      </w:r>
      <w:r>
        <w:rPr/>
        <w:t>、母公司所有者权益变动表</w:t>
      </w:r>
      <w:r>
        <w:rPr>
          <w:b w:val="0"/>
          <w:bCs w:val="0"/>
        </w:rPr>
      </w:r>
    </w:p>
    <w:p>
      <w:pPr>
        <w:spacing w:line="240" w:lineRule="auto" w:before="12"/>
        <w:rPr>
          <w:rFonts w:ascii="宋体" w:hAnsi="宋体" w:cs="宋体" w:eastAsia="宋体" w:hint="default"/>
          <w:b/>
          <w:bCs/>
          <w:sz w:val="22"/>
          <w:szCs w:val="22"/>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15"/>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2"/>
        <w:gridCol w:w="706"/>
        <w:gridCol w:w="1447"/>
        <w:gridCol w:w="727"/>
        <w:gridCol w:w="727"/>
        <w:gridCol w:w="725"/>
        <w:gridCol w:w="727"/>
        <w:gridCol w:w="727"/>
        <w:gridCol w:w="614"/>
        <w:gridCol w:w="710"/>
        <w:gridCol w:w="862"/>
      </w:tblGrid>
      <w:tr>
        <w:trPr>
          <w:trHeight w:val="401" w:hRule="exact"/>
        </w:trPr>
        <w:tc>
          <w:tcPr>
            <w:tcW w:w="1592"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7973" w:type="dxa"/>
            <w:gridSpan w:val="10"/>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03" w:hRule="exact"/>
        </w:trPr>
        <w:tc>
          <w:tcPr>
            <w:tcW w:w="1592" w:type="dxa"/>
            <w:vMerge/>
            <w:tcBorders>
              <w:left w:val="single" w:sz="4" w:space="0" w:color="000000"/>
              <w:bottom w:val="single" w:sz="4" w:space="0" w:color="000000"/>
              <w:right w:val="single" w:sz="4" w:space="0" w:color="000000"/>
            </w:tcBorders>
            <w:shd w:val="clear" w:color="auto" w:fill="D4D4D4"/>
          </w:tcPr>
          <w:p>
            <w:pPr/>
          </w:p>
        </w:tc>
        <w:tc>
          <w:tcPr>
            <w:tcW w:w="70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68"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4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79"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2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70"/>
              <w:ind w:left="88" w:right="0"/>
              <w:jc w:val="left"/>
              <w:rPr>
                <w:rFonts w:ascii="宋体" w:hAnsi="宋体" w:cs="宋体" w:eastAsia="宋体" w:hint="default"/>
                <w:sz w:val="18"/>
                <w:szCs w:val="18"/>
              </w:rPr>
            </w:pPr>
            <w:r>
              <w:rPr>
                <w:rFonts w:ascii="宋体" w:hAnsi="宋体" w:cs="宋体" w:eastAsia="宋体" w:hint="default"/>
                <w:sz w:val="18"/>
                <w:szCs w:val="18"/>
              </w:rPr>
              <w:t>资本公</w:t>
            </w:r>
          </w:p>
        </w:tc>
        <w:tc>
          <w:tcPr>
            <w:tcW w:w="72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70"/>
              <w:ind w:left="23" w:right="0"/>
              <w:jc w:val="left"/>
              <w:rPr>
                <w:rFonts w:ascii="宋体" w:hAnsi="宋体" w:cs="宋体" w:eastAsia="宋体" w:hint="default"/>
                <w:sz w:val="18"/>
                <w:szCs w:val="18"/>
              </w:rPr>
            </w:pPr>
            <w:r>
              <w:rPr>
                <w:rFonts w:ascii="宋体" w:hAnsi="宋体" w:cs="宋体" w:eastAsia="宋体" w:hint="default"/>
                <w:spacing w:val="-12"/>
                <w:sz w:val="18"/>
                <w:szCs w:val="18"/>
              </w:rPr>
              <w:t>减：库存</w:t>
            </w:r>
          </w:p>
        </w:tc>
        <w:tc>
          <w:tcPr>
            <w:tcW w:w="7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70"/>
              <w:ind w:left="88" w:right="0"/>
              <w:jc w:val="left"/>
              <w:rPr>
                <w:rFonts w:ascii="宋体" w:hAnsi="宋体" w:cs="宋体" w:eastAsia="宋体" w:hint="default"/>
                <w:sz w:val="18"/>
                <w:szCs w:val="18"/>
              </w:rPr>
            </w:pPr>
            <w:r>
              <w:rPr>
                <w:rFonts w:ascii="宋体" w:hAnsi="宋体" w:cs="宋体" w:eastAsia="宋体" w:hint="default"/>
                <w:sz w:val="18"/>
                <w:szCs w:val="18"/>
              </w:rPr>
              <w:t>其他综</w:t>
            </w:r>
          </w:p>
        </w:tc>
        <w:tc>
          <w:tcPr>
            <w:tcW w:w="72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70"/>
              <w:ind w:left="88" w:right="0"/>
              <w:jc w:val="left"/>
              <w:rPr>
                <w:rFonts w:ascii="宋体" w:hAnsi="宋体" w:cs="宋体" w:eastAsia="宋体" w:hint="default"/>
                <w:sz w:val="18"/>
                <w:szCs w:val="18"/>
              </w:rPr>
            </w:pPr>
            <w:r>
              <w:rPr>
                <w:rFonts w:ascii="宋体" w:hAnsi="宋体" w:cs="宋体" w:eastAsia="宋体" w:hint="default"/>
                <w:sz w:val="18"/>
                <w:szCs w:val="18"/>
              </w:rPr>
              <w:t>专项储</w:t>
            </w:r>
          </w:p>
        </w:tc>
        <w:tc>
          <w:tcPr>
            <w:tcW w:w="72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70"/>
              <w:ind w:left="88" w:right="0"/>
              <w:jc w:val="left"/>
              <w:rPr>
                <w:rFonts w:ascii="宋体" w:hAnsi="宋体" w:cs="宋体" w:eastAsia="宋体" w:hint="default"/>
                <w:sz w:val="18"/>
                <w:szCs w:val="18"/>
              </w:rPr>
            </w:pPr>
            <w:r>
              <w:rPr>
                <w:rFonts w:ascii="宋体" w:hAnsi="宋体" w:cs="宋体" w:eastAsia="宋体" w:hint="default"/>
                <w:sz w:val="18"/>
                <w:szCs w:val="18"/>
              </w:rPr>
              <w:t>盈余公</w:t>
            </w:r>
          </w:p>
        </w:tc>
        <w:tc>
          <w:tcPr>
            <w:tcW w:w="61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70"/>
              <w:ind w:left="33" w:right="0"/>
              <w:jc w:val="left"/>
              <w:rPr>
                <w:rFonts w:ascii="宋体" w:hAnsi="宋体" w:cs="宋体" w:eastAsia="宋体" w:hint="default"/>
                <w:sz w:val="18"/>
                <w:szCs w:val="18"/>
              </w:rPr>
            </w:pPr>
            <w:r>
              <w:rPr>
                <w:rFonts w:ascii="宋体" w:hAnsi="宋体" w:cs="宋体" w:eastAsia="宋体" w:hint="default"/>
                <w:sz w:val="18"/>
                <w:szCs w:val="18"/>
              </w:rPr>
              <w:t>未分配</w:t>
            </w:r>
          </w:p>
        </w:tc>
        <w:tc>
          <w:tcPr>
            <w:tcW w:w="71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7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6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70"/>
              <w:ind w:left="67" w:right="0"/>
              <w:jc w:val="left"/>
              <w:rPr>
                <w:rFonts w:ascii="宋体" w:hAnsi="宋体" w:cs="宋体" w:eastAsia="宋体" w:hint="default"/>
                <w:sz w:val="18"/>
                <w:szCs w:val="18"/>
              </w:rPr>
            </w:pPr>
            <w:r>
              <w:rPr>
                <w:rFonts w:ascii="宋体" w:hAnsi="宋体" w:cs="宋体" w:eastAsia="宋体" w:hint="default"/>
                <w:sz w:val="18"/>
                <w:szCs w:val="18"/>
              </w:rPr>
              <w:t>所有者权</w:t>
            </w:r>
          </w:p>
        </w:tc>
      </w:tr>
    </w:tbl>
    <w:p>
      <w:pPr>
        <w:spacing w:after="0" w:line="240"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1571"/>
        <w:gridCol w:w="716"/>
        <w:gridCol w:w="554"/>
        <w:gridCol w:w="526"/>
        <w:gridCol w:w="367"/>
        <w:gridCol w:w="727"/>
        <w:gridCol w:w="727"/>
        <w:gridCol w:w="725"/>
        <w:gridCol w:w="727"/>
        <w:gridCol w:w="727"/>
        <w:gridCol w:w="614"/>
        <w:gridCol w:w="710"/>
        <w:gridCol w:w="862"/>
      </w:tblGrid>
      <w:tr>
        <w:trPr>
          <w:trHeight w:val="358" w:hRule="exact"/>
        </w:trPr>
        <w:tc>
          <w:tcPr>
            <w:tcW w:w="1571" w:type="dxa"/>
            <w:vMerge w:val="restart"/>
            <w:tcBorders>
              <w:top w:val="single" w:sz="4" w:space="0" w:color="000000"/>
              <w:left w:val="single" w:sz="4" w:space="0" w:color="000000"/>
              <w:right w:val="single" w:sz="4" w:space="0" w:color="000000"/>
            </w:tcBorders>
            <w:shd w:val="clear" w:color="auto" w:fill="D4D4D4"/>
          </w:tcPr>
          <w:p>
            <w:pPr/>
          </w:p>
        </w:tc>
        <w:tc>
          <w:tcPr>
            <w:tcW w:w="716" w:type="dxa"/>
            <w:vMerge w:val="restart"/>
            <w:tcBorders>
              <w:top w:val="single" w:sz="4" w:space="0" w:color="000000"/>
              <w:left w:val="single" w:sz="4" w:space="0" w:color="000000"/>
              <w:right w:val="single" w:sz="4" w:space="0" w:color="000000"/>
            </w:tcBorders>
            <w:shd w:val="clear" w:color="auto" w:fill="D4D4D4"/>
          </w:tcPr>
          <w:p>
            <w:pPr/>
          </w:p>
        </w:tc>
        <w:tc>
          <w:tcPr>
            <w:tcW w:w="554"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182" w:right="89" w:hanging="89"/>
              <w:jc w:val="left"/>
              <w:rPr>
                <w:rFonts w:ascii="宋体" w:hAnsi="宋体" w:cs="宋体" w:eastAsia="宋体" w:hint="default"/>
                <w:sz w:val="18"/>
                <w:szCs w:val="18"/>
              </w:rPr>
            </w:pPr>
            <w:r>
              <w:rPr>
                <w:rFonts w:ascii="宋体" w:hAnsi="宋体" w:cs="宋体" w:eastAsia="宋体" w:hint="default"/>
                <w:sz w:val="18"/>
                <w:szCs w:val="18"/>
              </w:rPr>
              <w:t>优先 股</w:t>
            </w:r>
          </w:p>
        </w:tc>
        <w:tc>
          <w:tcPr>
            <w:tcW w:w="526"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168" w:right="77" w:hanging="92"/>
              <w:jc w:val="left"/>
              <w:rPr>
                <w:rFonts w:ascii="宋体" w:hAnsi="宋体" w:cs="宋体" w:eastAsia="宋体" w:hint="default"/>
                <w:sz w:val="18"/>
                <w:szCs w:val="18"/>
              </w:rPr>
            </w:pPr>
            <w:r>
              <w:rPr>
                <w:rFonts w:ascii="宋体" w:hAnsi="宋体" w:cs="宋体" w:eastAsia="宋体" w:hint="default"/>
                <w:sz w:val="18"/>
                <w:szCs w:val="18"/>
              </w:rPr>
              <w:t>永续 债</w:t>
            </w:r>
          </w:p>
        </w:tc>
        <w:tc>
          <w:tcPr>
            <w:tcW w:w="367"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88" w:right="86"/>
              <w:jc w:val="left"/>
              <w:rPr>
                <w:rFonts w:ascii="宋体" w:hAnsi="宋体" w:cs="宋体" w:eastAsia="宋体" w:hint="default"/>
                <w:sz w:val="18"/>
                <w:szCs w:val="18"/>
              </w:rPr>
            </w:pPr>
            <w:r>
              <w:rPr>
                <w:rFonts w:ascii="宋体" w:hAnsi="宋体" w:cs="宋体" w:eastAsia="宋体" w:hint="default"/>
                <w:sz w:val="18"/>
                <w:szCs w:val="18"/>
              </w:rPr>
              <w:t>其 他</w:t>
            </w:r>
          </w:p>
        </w:tc>
        <w:tc>
          <w:tcPr>
            <w:tcW w:w="727" w:type="dxa"/>
            <w:tcBorders>
              <w:top w:val="single" w:sz="4" w:space="0" w:color="000000"/>
              <w:left w:val="single" w:sz="4" w:space="0" w:color="000000"/>
              <w:bottom w:val="nil" w:sz="6" w:space="0" w:color="auto"/>
              <w:right w:val="single" w:sz="4" w:space="0" w:color="000000"/>
            </w:tcBorders>
            <w:shd w:val="clear" w:color="auto" w:fill="D4D4D4"/>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积</w:t>
            </w:r>
          </w:p>
        </w:tc>
        <w:tc>
          <w:tcPr>
            <w:tcW w:w="727" w:type="dxa"/>
            <w:tcBorders>
              <w:top w:val="single" w:sz="4" w:space="0" w:color="000000"/>
              <w:left w:val="single" w:sz="4" w:space="0" w:color="000000"/>
              <w:bottom w:val="nil" w:sz="6" w:space="0" w:color="auto"/>
              <w:right w:val="single" w:sz="4" w:space="0" w:color="000000"/>
            </w:tcBorders>
            <w:shd w:val="clear" w:color="auto" w:fill="D4D4D4"/>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股</w:t>
            </w:r>
          </w:p>
        </w:tc>
        <w:tc>
          <w:tcPr>
            <w:tcW w:w="725" w:type="dxa"/>
            <w:tcBorders>
              <w:top w:val="single" w:sz="4" w:space="0" w:color="000000"/>
              <w:left w:val="single" w:sz="4" w:space="0" w:color="000000"/>
              <w:bottom w:val="nil" w:sz="6" w:space="0" w:color="auto"/>
              <w:right w:val="single" w:sz="4" w:space="0" w:color="000000"/>
            </w:tcBorders>
            <w:shd w:val="clear" w:color="auto" w:fill="D4D4D4"/>
          </w:tcPr>
          <w:p>
            <w:pPr>
              <w:pStyle w:val="TableParagraph"/>
              <w:spacing w:line="240" w:lineRule="auto" w:before="8"/>
              <w:ind w:left="88" w:right="0"/>
              <w:jc w:val="left"/>
              <w:rPr>
                <w:rFonts w:ascii="宋体" w:hAnsi="宋体" w:cs="宋体" w:eastAsia="宋体" w:hint="default"/>
                <w:sz w:val="18"/>
                <w:szCs w:val="18"/>
              </w:rPr>
            </w:pPr>
            <w:r>
              <w:rPr>
                <w:rFonts w:ascii="宋体" w:hAnsi="宋体" w:cs="宋体" w:eastAsia="宋体" w:hint="default"/>
                <w:sz w:val="18"/>
                <w:szCs w:val="18"/>
              </w:rPr>
              <w:t>合收益</w:t>
            </w:r>
          </w:p>
        </w:tc>
        <w:tc>
          <w:tcPr>
            <w:tcW w:w="727" w:type="dxa"/>
            <w:tcBorders>
              <w:top w:val="single" w:sz="4" w:space="0" w:color="000000"/>
              <w:left w:val="single" w:sz="4" w:space="0" w:color="000000"/>
              <w:bottom w:val="nil" w:sz="6" w:space="0" w:color="auto"/>
              <w:right w:val="single" w:sz="4" w:space="0" w:color="000000"/>
            </w:tcBorders>
            <w:shd w:val="clear" w:color="auto" w:fill="D4D4D4"/>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备</w:t>
            </w:r>
          </w:p>
        </w:tc>
        <w:tc>
          <w:tcPr>
            <w:tcW w:w="727" w:type="dxa"/>
            <w:tcBorders>
              <w:top w:val="single" w:sz="4" w:space="0" w:color="000000"/>
              <w:left w:val="single" w:sz="4" w:space="0" w:color="000000"/>
              <w:bottom w:val="nil" w:sz="6" w:space="0" w:color="auto"/>
              <w:right w:val="single" w:sz="4" w:space="0" w:color="000000"/>
            </w:tcBorders>
            <w:shd w:val="clear" w:color="auto" w:fill="D4D4D4"/>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积</w:t>
            </w:r>
          </w:p>
        </w:tc>
        <w:tc>
          <w:tcPr>
            <w:tcW w:w="614" w:type="dxa"/>
            <w:tcBorders>
              <w:top w:val="single" w:sz="4" w:space="0" w:color="000000"/>
              <w:left w:val="single" w:sz="4" w:space="0" w:color="000000"/>
              <w:bottom w:val="nil" w:sz="6" w:space="0" w:color="auto"/>
              <w:right w:val="single" w:sz="4" w:space="0" w:color="000000"/>
            </w:tcBorders>
            <w:shd w:val="clear" w:color="auto" w:fill="D4D4D4"/>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利润</w:t>
            </w:r>
          </w:p>
        </w:tc>
        <w:tc>
          <w:tcPr>
            <w:tcW w:w="710" w:type="dxa"/>
            <w:vMerge w:val="restart"/>
            <w:tcBorders>
              <w:top w:val="single" w:sz="4" w:space="0" w:color="000000"/>
              <w:left w:val="single" w:sz="4" w:space="0" w:color="000000"/>
              <w:right w:val="single" w:sz="4" w:space="0" w:color="000000"/>
            </w:tcBorders>
            <w:shd w:val="clear" w:color="auto" w:fill="D4D4D4"/>
          </w:tcPr>
          <w:p>
            <w:pPr/>
          </w:p>
        </w:tc>
        <w:tc>
          <w:tcPr>
            <w:tcW w:w="862" w:type="dxa"/>
            <w:vMerge w:val="restart"/>
            <w:tcBorders>
              <w:top w:val="single" w:sz="4" w:space="0" w:color="000000"/>
              <w:left w:val="single" w:sz="4" w:space="0" w:color="000000"/>
              <w:right w:val="single" w:sz="4" w:space="0" w:color="000000"/>
            </w:tcBorders>
          </w:tcPr>
          <w:p>
            <w:pPr>
              <w:pStyle w:val="TableParagraph"/>
              <w:spacing w:line="240" w:lineRule="auto" w:before="8"/>
              <w:ind w:left="156" w:right="0"/>
              <w:jc w:val="left"/>
              <w:rPr>
                <w:rFonts w:ascii="宋体" w:hAnsi="宋体" w:cs="宋体" w:eastAsia="宋体" w:hint="default"/>
                <w:sz w:val="18"/>
                <w:szCs w:val="18"/>
              </w:rPr>
            </w:pPr>
            <w:r>
              <w:rPr>
                <w:rFonts w:ascii="宋体" w:hAnsi="宋体" w:cs="宋体" w:eastAsia="宋体" w:hint="default"/>
                <w:sz w:val="18"/>
                <w:szCs w:val="18"/>
              </w:rPr>
              <w:t>益合计</w:t>
            </w:r>
          </w:p>
        </w:tc>
      </w:tr>
      <w:tr>
        <w:trPr>
          <w:trHeight w:val="355" w:hRule="exact"/>
        </w:trPr>
        <w:tc>
          <w:tcPr>
            <w:tcW w:w="1571" w:type="dxa"/>
            <w:vMerge/>
            <w:tcBorders>
              <w:left w:val="single" w:sz="4" w:space="0" w:color="000000"/>
              <w:bottom w:val="single" w:sz="4" w:space="0" w:color="000000"/>
              <w:right w:val="single" w:sz="4" w:space="0" w:color="000000"/>
            </w:tcBorders>
            <w:shd w:val="clear" w:color="auto" w:fill="D4D4D4"/>
          </w:tcPr>
          <w:p>
            <w:pPr/>
          </w:p>
        </w:tc>
        <w:tc>
          <w:tcPr>
            <w:tcW w:w="716" w:type="dxa"/>
            <w:vMerge/>
            <w:tcBorders>
              <w:left w:val="single" w:sz="4" w:space="0" w:color="000000"/>
              <w:bottom w:val="single" w:sz="4" w:space="0" w:color="000000"/>
              <w:right w:val="single" w:sz="4" w:space="0" w:color="000000"/>
            </w:tcBorders>
            <w:shd w:val="clear" w:color="auto" w:fill="D4D4D4"/>
          </w:tcPr>
          <w:p>
            <w:pPr/>
          </w:p>
        </w:tc>
        <w:tc>
          <w:tcPr>
            <w:tcW w:w="554" w:type="dxa"/>
            <w:vMerge/>
            <w:tcBorders>
              <w:left w:val="single" w:sz="4" w:space="0" w:color="000000"/>
              <w:bottom w:val="single" w:sz="4" w:space="0" w:color="000000"/>
              <w:right w:val="single" w:sz="4" w:space="0" w:color="000000"/>
            </w:tcBorders>
            <w:shd w:val="clear" w:color="auto" w:fill="D4D4D4"/>
          </w:tcPr>
          <w:p>
            <w:pPr/>
          </w:p>
        </w:tc>
        <w:tc>
          <w:tcPr>
            <w:tcW w:w="526" w:type="dxa"/>
            <w:vMerge/>
            <w:tcBorders>
              <w:left w:val="single" w:sz="4" w:space="0" w:color="000000"/>
              <w:bottom w:val="single" w:sz="4" w:space="0" w:color="000000"/>
              <w:right w:val="single" w:sz="4" w:space="0" w:color="000000"/>
            </w:tcBorders>
            <w:shd w:val="clear" w:color="auto" w:fill="D4D4D4"/>
          </w:tcPr>
          <w:p>
            <w:pPr/>
          </w:p>
        </w:tc>
        <w:tc>
          <w:tcPr>
            <w:tcW w:w="367" w:type="dxa"/>
            <w:vMerge/>
            <w:tcBorders>
              <w:left w:val="single" w:sz="4" w:space="0" w:color="000000"/>
              <w:bottom w:val="single" w:sz="4" w:space="0" w:color="000000"/>
              <w:right w:val="single" w:sz="4" w:space="0" w:color="000000"/>
            </w:tcBorders>
            <w:shd w:val="clear" w:color="auto" w:fill="D4D4D4"/>
          </w:tcPr>
          <w:p>
            <w:pPr/>
          </w:p>
        </w:tc>
        <w:tc>
          <w:tcPr>
            <w:tcW w:w="727" w:type="dxa"/>
            <w:tcBorders>
              <w:top w:val="nil" w:sz="6" w:space="0" w:color="auto"/>
              <w:left w:val="single" w:sz="4" w:space="0" w:color="000000"/>
              <w:bottom w:val="single" w:sz="4" w:space="0" w:color="000000"/>
              <w:right w:val="single" w:sz="4" w:space="0" w:color="000000"/>
            </w:tcBorders>
            <w:shd w:val="clear" w:color="auto" w:fill="D4D4D4"/>
          </w:tcPr>
          <w:p>
            <w:pPr/>
          </w:p>
        </w:tc>
        <w:tc>
          <w:tcPr>
            <w:tcW w:w="727" w:type="dxa"/>
            <w:tcBorders>
              <w:top w:val="nil" w:sz="6" w:space="0" w:color="auto"/>
              <w:left w:val="single" w:sz="4" w:space="0" w:color="000000"/>
              <w:bottom w:val="single" w:sz="4" w:space="0" w:color="000000"/>
              <w:right w:val="single" w:sz="4" w:space="0" w:color="000000"/>
            </w:tcBorders>
            <w:shd w:val="clear" w:color="auto" w:fill="D4D4D4"/>
          </w:tcPr>
          <w:p>
            <w:pPr/>
          </w:p>
        </w:tc>
        <w:tc>
          <w:tcPr>
            <w:tcW w:w="725" w:type="dxa"/>
            <w:tcBorders>
              <w:top w:val="nil" w:sz="6" w:space="0" w:color="auto"/>
              <w:left w:val="single" w:sz="4" w:space="0" w:color="000000"/>
              <w:bottom w:val="single" w:sz="4" w:space="0" w:color="000000"/>
              <w:right w:val="single" w:sz="4" w:space="0" w:color="000000"/>
            </w:tcBorders>
            <w:shd w:val="clear" w:color="auto" w:fill="D4D4D4"/>
          </w:tcPr>
          <w:p>
            <w:pPr/>
          </w:p>
        </w:tc>
        <w:tc>
          <w:tcPr>
            <w:tcW w:w="727" w:type="dxa"/>
            <w:tcBorders>
              <w:top w:val="nil" w:sz="6" w:space="0" w:color="auto"/>
              <w:left w:val="single" w:sz="4" w:space="0" w:color="000000"/>
              <w:bottom w:val="single" w:sz="4" w:space="0" w:color="000000"/>
              <w:right w:val="single" w:sz="4" w:space="0" w:color="000000"/>
            </w:tcBorders>
            <w:shd w:val="clear" w:color="auto" w:fill="D4D4D4"/>
          </w:tcPr>
          <w:p>
            <w:pPr/>
          </w:p>
        </w:tc>
        <w:tc>
          <w:tcPr>
            <w:tcW w:w="727" w:type="dxa"/>
            <w:tcBorders>
              <w:top w:val="nil" w:sz="6" w:space="0" w:color="auto"/>
              <w:left w:val="single" w:sz="4" w:space="0" w:color="000000"/>
              <w:bottom w:val="single" w:sz="4" w:space="0" w:color="000000"/>
              <w:right w:val="single" w:sz="4" w:space="0" w:color="000000"/>
            </w:tcBorders>
            <w:shd w:val="clear" w:color="auto" w:fill="D4D4D4"/>
          </w:tcPr>
          <w:p>
            <w:pPr/>
          </w:p>
        </w:tc>
        <w:tc>
          <w:tcPr>
            <w:tcW w:w="614" w:type="dxa"/>
            <w:tcBorders>
              <w:top w:val="nil" w:sz="6" w:space="0" w:color="auto"/>
              <w:left w:val="single" w:sz="4" w:space="0" w:color="000000"/>
              <w:bottom w:val="single" w:sz="4" w:space="0" w:color="000000"/>
              <w:right w:val="single" w:sz="4" w:space="0" w:color="000000"/>
            </w:tcBorders>
            <w:shd w:val="clear" w:color="auto" w:fill="D4D4D4"/>
          </w:tcPr>
          <w:p>
            <w:pPr/>
          </w:p>
        </w:tc>
        <w:tc>
          <w:tcPr>
            <w:tcW w:w="710" w:type="dxa"/>
            <w:vMerge/>
            <w:tcBorders>
              <w:left w:val="single" w:sz="4" w:space="0" w:color="000000"/>
              <w:bottom w:val="single" w:sz="4" w:space="0" w:color="000000"/>
              <w:right w:val="single" w:sz="4" w:space="0" w:color="000000"/>
            </w:tcBorders>
            <w:shd w:val="clear" w:color="auto" w:fill="D4D4D4"/>
          </w:tcPr>
          <w:p>
            <w:pPr/>
          </w:p>
        </w:tc>
        <w:tc>
          <w:tcPr>
            <w:tcW w:w="862" w:type="dxa"/>
            <w:vMerge/>
            <w:tcBorders>
              <w:left w:val="single" w:sz="4" w:space="0" w:color="000000"/>
              <w:bottom w:val="single" w:sz="4" w:space="0" w:color="000000"/>
              <w:right w:val="single" w:sz="4" w:space="0" w:color="000000"/>
            </w:tcBorders>
          </w:tcPr>
          <w:p>
            <w:pPr/>
          </w:p>
        </w:tc>
      </w:tr>
      <w:tr>
        <w:trPr>
          <w:trHeight w:val="319" w:hRule="exact"/>
        </w:trPr>
        <w:tc>
          <w:tcPr>
            <w:tcW w:w="1571" w:type="dxa"/>
            <w:tcBorders>
              <w:top w:val="single" w:sz="4" w:space="0" w:color="000000"/>
              <w:left w:val="single" w:sz="4" w:space="0" w:color="000000"/>
              <w:bottom w:val="nil" w:sz="6" w:space="0" w:color="auto"/>
              <w:right w:val="single" w:sz="4" w:space="0" w:color="000000"/>
            </w:tcBorders>
            <w:shd w:val="clear" w:color="auto" w:fill="D4D4D4"/>
          </w:tcPr>
          <w:p>
            <w:pPr/>
          </w:p>
        </w:tc>
        <w:tc>
          <w:tcPr>
            <w:tcW w:w="716" w:type="dxa"/>
            <w:vMerge w:val="restart"/>
            <w:tcBorders>
              <w:top w:val="single" w:sz="4" w:space="0" w:color="000000"/>
              <w:left w:val="single" w:sz="10" w:space="0" w:color="D4D4D4"/>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23" w:right="0"/>
              <w:jc w:val="center"/>
              <w:rPr>
                <w:rFonts w:ascii="Times New Roman" w:hAnsi="Times New Roman" w:cs="Times New Roman" w:eastAsia="Times New Roman" w:hint="default"/>
                <w:sz w:val="18"/>
                <w:szCs w:val="18"/>
              </w:rPr>
            </w:pPr>
            <w:r>
              <w:rPr>
                <w:rFonts w:ascii="Times New Roman"/>
                <w:sz w:val="18"/>
              </w:rPr>
              <w:t>794,832,</w:t>
            </w:r>
          </w:p>
          <w:p>
            <w:pPr>
              <w:pStyle w:val="TableParagraph"/>
              <w:spacing w:line="240" w:lineRule="auto" w:before="102"/>
              <w:ind w:left="157" w:right="0"/>
              <w:jc w:val="center"/>
              <w:rPr>
                <w:rFonts w:ascii="Times New Roman" w:hAnsi="Times New Roman" w:cs="Times New Roman" w:eastAsia="Times New Roman" w:hint="default"/>
                <w:sz w:val="18"/>
                <w:szCs w:val="18"/>
              </w:rPr>
            </w:pPr>
            <w:r>
              <w:rPr>
                <w:rFonts w:ascii="Times New Roman"/>
                <w:sz w:val="18"/>
              </w:rPr>
              <w:t>809.00</w:t>
            </w:r>
          </w:p>
        </w:tc>
        <w:tc>
          <w:tcPr>
            <w:tcW w:w="554" w:type="dxa"/>
            <w:vMerge w:val="restart"/>
            <w:tcBorders>
              <w:top w:val="single" w:sz="4" w:space="0" w:color="000000"/>
              <w:left w:val="single" w:sz="4" w:space="0" w:color="000000"/>
              <w:right w:val="single" w:sz="4" w:space="0" w:color="000000"/>
            </w:tcBorders>
          </w:tcPr>
          <w:p>
            <w:pPr/>
          </w:p>
        </w:tc>
        <w:tc>
          <w:tcPr>
            <w:tcW w:w="526" w:type="dxa"/>
            <w:vMerge w:val="restart"/>
            <w:tcBorders>
              <w:top w:val="single" w:sz="4" w:space="0" w:color="000000"/>
              <w:left w:val="single" w:sz="4" w:space="0" w:color="000000"/>
              <w:right w:val="single" w:sz="4" w:space="0" w:color="000000"/>
            </w:tcBorders>
          </w:tcPr>
          <w:p>
            <w:pPr/>
          </w:p>
        </w:tc>
        <w:tc>
          <w:tcPr>
            <w:tcW w:w="367"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810,125,</w:t>
            </w:r>
          </w:p>
          <w:p>
            <w:pPr>
              <w:pStyle w:val="TableParagraph"/>
              <w:spacing w:line="240" w:lineRule="auto" w:before="102"/>
              <w:ind w:left="175" w:right="0"/>
              <w:jc w:val="center"/>
              <w:rPr>
                <w:rFonts w:ascii="Times New Roman" w:hAnsi="Times New Roman" w:cs="Times New Roman" w:eastAsia="Times New Roman" w:hint="default"/>
                <w:sz w:val="18"/>
                <w:szCs w:val="18"/>
              </w:rPr>
            </w:pPr>
            <w:r>
              <w:rPr>
                <w:rFonts w:ascii="Times New Roman"/>
                <w:sz w:val="18"/>
              </w:rPr>
              <w:t>909.65</w:t>
            </w:r>
          </w:p>
        </w:tc>
        <w:tc>
          <w:tcPr>
            <w:tcW w:w="727"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34,813,1</w:t>
            </w:r>
          </w:p>
          <w:p>
            <w:pPr>
              <w:pStyle w:val="TableParagraph"/>
              <w:spacing w:line="240" w:lineRule="auto" w:before="102"/>
              <w:ind w:left="290" w:right="0"/>
              <w:jc w:val="left"/>
              <w:rPr>
                <w:rFonts w:ascii="Times New Roman" w:hAnsi="Times New Roman" w:cs="Times New Roman" w:eastAsia="Times New Roman" w:hint="default"/>
                <w:sz w:val="18"/>
                <w:szCs w:val="18"/>
              </w:rPr>
            </w:pPr>
            <w:r>
              <w:rPr>
                <w:rFonts w:ascii="Times New Roman"/>
                <w:sz w:val="18"/>
              </w:rPr>
              <w:t>42.00</w:t>
            </w:r>
          </w:p>
        </w:tc>
        <w:tc>
          <w:tcPr>
            <w:tcW w:w="725"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131,692,</w:t>
            </w:r>
          </w:p>
          <w:p>
            <w:pPr>
              <w:pStyle w:val="TableParagraph"/>
              <w:spacing w:line="240" w:lineRule="auto" w:before="102"/>
              <w:ind w:left="177" w:right="0"/>
              <w:jc w:val="center"/>
              <w:rPr>
                <w:rFonts w:ascii="Times New Roman" w:hAnsi="Times New Roman" w:cs="Times New Roman" w:eastAsia="Times New Roman" w:hint="default"/>
                <w:sz w:val="18"/>
                <w:szCs w:val="18"/>
              </w:rPr>
            </w:pPr>
            <w:r>
              <w:rPr>
                <w:rFonts w:ascii="Times New Roman"/>
                <w:sz w:val="18"/>
              </w:rPr>
              <w:t>509.57</w:t>
            </w:r>
          </w:p>
        </w:tc>
        <w:tc>
          <w:tcPr>
            <w:tcW w:w="727"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97,552,1</w:t>
            </w:r>
          </w:p>
          <w:p>
            <w:pPr>
              <w:pStyle w:val="TableParagraph"/>
              <w:spacing w:line="240" w:lineRule="auto" w:before="102"/>
              <w:ind w:left="287" w:right="0"/>
              <w:jc w:val="left"/>
              <w:rPr>
                <w:rFonts w:ascii="Times New Roman" w:hAnsi="Times New Roman" w:cs="Times New Roman" w:eastAsia="Times New Roman" w:hint="default"/>
                <w:sz w:val="18"/>
                <w:szCs w:val="18"/>
              </w:rPr>
            </w:pPr>
            <w:r>
              <w:rPr>
                <w:rFonts w:ascii="Times New Roman"/>
                <w:sz w:val="18"/>
              </w:rPr>
              <w:t>77.95</w:t>
            </w:r>
          </w:p>
        </w:tc>
        <w:tc>
          <w:tcPr>
            <w:tcW w:w="614"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693,88</w:t>
            </w:r>
            <w:r>
              <w:rPr>
                <w:rFonts w:ascii="Times New Roman"/>
                <w:sz w:val="18"/>
              </w:rPr>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pacing w:val="-1"/>
                <w:sz w:val="18"/>
              </w:rPr>
              <w:t>7,331.3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w:t>
            </w:r>
          </w:p>
        </w:tc>
        <w:tc>
          <w:tcPr>
            <w:tcW w:w="710" w:type="dxa"/>
            <w:vMerge w:val="restart"/>
            <w:tcBorders>
              <w:top w:val="single" w:sz="4" w:space="0" w:color="000000"/>
              <w:left w:val="single" w:sz="4" w:space="0" w:color="000000"/>
              <w:right w:val="single" w:sz="4" w:space="0" w:color="000000"/>
            </w:tcBorders>
          </w:tcPr>
          <w:p>
            <w:pPr/>
          </w:p>
        </w:tc>
        <w:tc>
          <w:tcPr>
            <w:tcW w:w="862"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2,493,277,</w:t>
            </w:r>
          </w:p>
          <w:p>
            <w:pPr>
              <w:pStyle w:val="TableParagraph"/>
              <w:spacing w:line="240" w:lineRule="auto" w:before="102"/>
              <w:ind w:left="336" w:right="0"/>
              <w:jc w:val="left"/>
              <w:rPr>
                <w:rFonts w:ascii="Times New Roman" w:hAnsi="Times New Roman" w:cs="Times New Roman" w:eastAsia="Times New Roman" w:hint="default"/>
                <w:sz w:val="18"/>
                <w:szCs w:val="18"/>
              </w:rPr>
            </w:pPr>
            <w:r>
              <w:rPr>
                <w:rFonts w:ascii="Times New Roman"/>
                <w:sz w:val="18"/>
              </w:rPr>
              <w:t>595.56</w:t>
            </w:r>
          </w:p>
        </w:tc>
      </w:tr>
      <w:tr>
        <w:trPr>
          <w:trHeight w:val="391" w:hRule="exact"/>
        </w:trPr>
        <w:tc>
          <w:tcPr>
            <w:tcW w:w="157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716" w:type="dxa"/>
            <w:vMerge/>
            <w:tcBorders>
              <w:left w:val="single" w:sz="10" w:space="0" w:color="D4D4D4"/>
              <w:right w:val="single" w:sz="4" w:space="0" w:color="000000"/>
            </w:tcBorders>
          </w:tcPr>
          <w:p>
            <w:pPr/>
          </w:p>
        </w:tc>
        <w:tc>
          <w:tcPr>
            <w:tcW w:w="554" w:type="dxa"/>
            <w:vMerge/>
            <w:tcBorders>
              <w:left w:val="single" w:sz="4" w:space="0" w:color="000000"/>
              <w:right w:val="single" w:sz="4" w:space="0" w:color="000000"/>
            </w:tcBorders>
          </w:tcPr>
          <w:p>
            <w:pPr/>
          </w:p>
        </w:tc>
        <w:tc>
          <w:tcPr>
            <w:tcW w:w="526" w:type="dxa"/>
            <w:vMerge/>
            <w:tcBorders>
              <w:left w:val="single" w:sz="4" w:space="0" w:color="000000"/>
              <w:right w:val="single" w:sz="4" w:space="0" w:color="000000"/>
            </w:tcBorders>
          </w:tcPr>
          <w:p>
            <w:pPr/>
          </w:p>
        </w:tc>
        <w:tc>
          <w:tcPr>
            <w:tcW w:w="36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614" w:type="dxa"/>
            <w:vMerge/>
            <w:tcBorders>
              <w:left w:val="single" w:sz="4" w:space="0" w:color="000000"/>
              <w:right w:val="single" w:sz="4" w:space="0" w:color="000000"/>
            </w:tcBorders>
          </w:tcPr>
          <w:p>
            <w:pPr/>
          </w:p>
        </w:tc>
        <w:tc>
          <w:tcPr>
            <w:tcW w:w="710" w:type="dxa"/>
            <w:vMerge/>
            <w:tcBorders>
              <w:left w:val="single" w:sz="4" w:space="0" w:color="000000"/>
              <w:right w:val="single" w:sz="4" w:space="0" w:color="000000"/>
            </w:tcBorders>
          </w:tcPr>
          <w:p>
            <w:pPr/>
          </w:p>
        </w:tc>
        <w:tc>
          <w:tcPr>
            <w:tcW w:w="862" w:type="dxa"/>
            <w:vMerge/>
            <w:tcBorders>
              <w:left w:val="single" w:sz="4" w:space="0" w:color="000000"/>
              <w:right w:val="single" w:sz="4" w:space="0" w:color="000000"/>
            </w:tcBorders>
          </w:tcPr>
          <w:p>
            <w:pPr/>
          </w:p>
        </w:tc>
      </w:tr>
      <w:tr>
        <w:trPr>
          <w:trHeight w:val="317" w:hRule="exact"/>
        </w:trPr>
        <w:tc>
          <w:tcPr>
            <w:tcW w:w="1571" w:type="dxa"/>
            <w:tcBorders>
              <w:top w:val="nil" w:sz="6" w:space="0" w:color="auto"/>
              <w:left w:val="single" w:sz="4" w:space="0" w:color="000000"/>
              <w:bottom w:val="single" w:sz="4" w:space="0" w:color="000000"/>
              <w:right w:val="single" w:sz="4" w:space="0" w:color="000000"/>
            </w:tcBorders>
            <w:shd w:val="clear" w:color="auto" w:fill="D4D4D4"/>
          </w:tcPr>
          <w:p>
            <w:pPr/>
          </w:p>
        </w:tc>
        <w:tc>
          <w:tcPr>
            <w:tcW w:w="716" w:type="dxa"/>
            <w:vMerge/>
            <w:tcBorders>
              <w:left w:val="single" w:sz="10" w:space="0" w:color="D4D4D4"/>
              <w:bottom w:val="single" w:sz="4" w:space="0" w:color="000000"/>
              <w:right w:val="single" w:sz="4" w:space="0" w:color="000000"/>
            </w:tcBorders>
          </w:tcPr>
          <w:p>
            <w:pPr/>
          </w:p>
        </w:tc>
        <w:tc>
          <w:tcPr>
            <w:tcW w:w="554" w:type="dxa"/>
            <w:vMerge/>
            <w:tcBorders>
              <w:left w:val="single" w:sz="4" w:space="0" w:color="000000"/>
              <w:bottom w:val="single" w:sz="4" w:space="0" w:color="000000"/>
              <w:right w:val="single" w:sz="4" w:space="0" w:color="000000"/>
            </w:tcBorders>
          </w:tcPr>
          <w:p>
            <w:pPr/>
          </w:p>
        </w:tc>
        <w:tc>
          <w:tcPr>
            <w:tcW w:w="526" w:type="dxa"/>
            <w:vMerge/>
            <w:tcBorders>
              <w:left w:val="single" w:sz="4" w:space="0" w:color="000000"/>
              <w:bottom w:val="single" w:sz="4" w:space="0" w:color="000000"/>
              <w:right w:val="single" w:sz="4" w:space="0" w:color="000000"/>
            </w:tcBorders>
          </w:tcPr>
          <w:p>
            <w:pPr/>
          </w:p>
        </w:tc>
        <w:tc>
          <w:tcPr>
            <w:tcW w:w="36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614" w:type="dxa"/>
            <w:vMerge/>
            <w:tcBorders>
              <w:left w:val="single" w:sz="4" w:space="0" w:color="000000"/>
              <w:bottom w:val="single" w:sz="4" w:space="0" w:color="000000"/>
              <w:right w:val="single" w:sz="4" w:space="0" w:color="000000"/>
            </w:tcBorders>
          </w:tcPr>
          <w:p>
            <w:pPr/>
          </w:p>
        </w:tc>
        <w:tc>
          <w:tcPr>
            <w:tcW w:w="710" w:type="dxa"/>
            <w:vMerge/>
            <w:tcBorders>
              <w:left w:val="single" w:sz="4" w:space="0" w:color="000000"/>
              <w:bottom w:val="single" w:sz="4" w:space="0" w:color="000000"/>
              <w:right w:val="single" w:sz="4" w:space="0" w:color="000000"/>
            </w:tcBorders>
          </w:tcPr>
          <w:p>
            <w:pPr/>
          </w:p>
        </w:tc>
        <w:tc>
          <w:tcPr>
            <w:tcW w:w="862" w:type="dxa"/>
            <w:vMerge/>
            <w:tcBorders>
              <w:left w:val="single" w:sz="4" w:space="0" w:color="000000"/>
              <w:bottom w:val="single" w:sz="4" w:space="0" w:color="000000"/>
              <w:right w:val="single" w:sz="4" w:space="0" w:color="000000"/>
            </w:tcBorders>
          </w:tcPr>
          <w:p>
            <w:pPr/>
          </w:p>
        </w:tc>
      </w:tr>
      <w:tr>
        <w:trPr>
          <w:trHeight w:val="713" w:hRule="exact"/>
        </w:trPr>
        <w:tc>
          <w:tcPr>
            <w:tcW w:w="15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加</w:t>
            </w:r>
            <w:r>
              <w:rPr>
                <w:rFonts w:ascii="宋体" w:hAnsi="宋体" w:cs="宋体" w:eastAsia="宋体" w:hint="default"/>
                <w:spacing w:val="-82"/>
                <w:sz w:val="18"/>
                <w:szCs w:val="18"/>
              </w:rPr>
              <w:t>：</w:t>
            </w:r>
            <w:r>
              <w:rPr>
                <w:rFonts w:ascii="宋体" w:hAnsi="宋体" w:cs="宋体" w:eastAsia="宋体" w:hint="default"/>
                <w:sz w:val="18"/>
                <w:szCs w:val="18"/>
              </w:rPr>
              <w:t>会计政策变</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更</w:t>
            </w:r>
          </w:p>
        </w:tc>
        <w:tc>
          <w:tcPr>
            <w:tcW w:w="716" w:type="dxa"/>
            <w:tcBorders>
              <w:top w:val="single" w:sz="4" w:space="0" w:color="000000"/>
              <w:left w:val="single" w:sz="10" w:space="0" w:color="D4D4D4"/>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2" w:right="0"/>
              <w:jc w:val="left"/>
              <w:rPr>
                <w:rFonts w:ascii="Times New Roman" w:hAnsi="Times New Roman" w:cs="Times New Roman" w:eastAsia="Times New Roman" w:hint="default"/>
                <w:sz w:val="18"/>
                <w:szCs w:val="18"/>
              </w:rPr>
            </w:pPr>
            <w:r>
              <w:rPr>
                <w:rFonts w:ascii="Times New Roman"/>
                <w:sz w:val="18"/>
              </w:rPr>
              <w:t>28,407,8</w:t>
            </w:r>
          </w:p>
          <w:p>
            <w:pPr>
              <w:pStyle w:val="TableParagraph"/>
              <w:spacing w:line="240" w:lineRule="auto" w:before="105"/>
              <w:ind w:left="287" w:right="0"/>
              <w:jc w:val="left"/>
              <w:rPr>
                <w:rFonts w:ascii="Times New Roman" w:hAnsi="Times New Roman" w:cs="Times New Roman" w:eastAsia="Times New Roman" w:hint="default"/>
                <w:sz w:val="18"/>
                <w:szCs w:val="18"/>
              </w:rPr>
            </w:pPr>
            <w:r>
              <w:rPr>
                <w:rFonts w:ascii="Times New Roman"/>
                <w:sz w:val="18"/>
              </w:rPr>
              <w:t>41.76</w:t>
            </w: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143,569.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70</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center"/>
              <w:rPr>
                <w:rFonts w:ascii="Times New Roman" w:hAnsi="Times New Roman" w:cs="Times New Roman" w:eastAsia="Times New Roman" w:hint="default"/>
                <w:sz w:val="18"/>
                <w:szCs w:val="18"/>
              </w:rPr>
            </w:pPr>
            <w:r>
              <w:rPr>
                <w:rFonts w:ascii="Times New Roman"/>
                <w:sz w:val="18"/>
              </w:rPr>
              <w:t>1,292,1</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27.34</w:t>
            </w: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0" w:right="0"/>
              <w:jc w:val="left"/>
              <w:rPr>
                <w:rFonts w:ascii="Times New Roman" w:hAnsi="Times New Roman" w:cs="Times New Roman" w:eastAsia="Times New Roman" w:hint="default"/>
                <w:sz w:val="18"/>
                <w:szCs w:val="18"/>
              </w:rPr>
            </w:pPr>
            <w:r>
              <w:rPr>
                <w:rFonts w:ascii="Times New Roman"/>
                <w:sz w:val="18"/>
              </w:rPr>
              <w:t>29,843,53</w:t>
            </w:r>
          </w:p>
          <w:p>
            <w:pPr>
              <w:pStyle w:val="TableParagraph"/>
              <w:spacing w:line="240" w:lineRule="auto" w:before="105"/>
              <w:ind w:left="515" w:right="0"/>
              <w:jc w:val="left"/>
              <w:rPr>
                <w:rFonts w:ascii="Times New Roman" w:hAnsi="Times New Roman" w:cs="Times New Roman" w:eastAsia="Times New Roman" w:hint="default"/>
                <w:sz w:val="18"/>
                <w:szCs w:val="18"/>
              </w:rPr>
            </w:pPr>
            <w:r>
              <w:rPr>
                <w:rFonts w:ascii="Times New Roman"/>
                <w:sz w:val="18"/>
              </w:rPr>
              <w:t>8.80</w:t>
            </w:r>
          </w:p>
        </w:tc>
      </w:tr>
      <w:tr>
        <w:trPr>
          <w:trHeight w:val="715" w:hRule="exact"/>
        </w:trPr>
        <w:tc>
          <w:tcPr>
            <w:tcW w:w="15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32" w:right="0"/>
              <w:jc w:val="left"/>
              <w:rPr>
                <w:rFonts w:ascii="宋体" w:hAnsi="宋体" w:cs="宋体" w:eastAsia="宋体" w:hint="default"/>
                <w:sz w:val="18"/>
                <w:szCs w:val="18"/>
              </w:rPr>
            </w:pPr>
            <w:r>
              <w:rPr>
                <w:rFonts w:ascii="宋体" w:hAnsi="宋体" w:cs="宋体" w:eastAsia="宋体" w:hint="default"/>
                <w:sz w:val="18"/>
                <w:szCs w:val="18"/>
              </w:rPr>
              <w:t>前期差错</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更正</w:t>
            </w:r>
          </w:p>
        </w:tc>
        <w:tc>
          <w:tcPr>
            <w:tcW w:w="716" w:type="dxa"/>
            <w:tcBorders>
              <w:top w:val="single" w:sz="4" w:space="0" w:color="000000"/>
              <w:left w:val="single" w:sz="10" w:space="0" w:color="D4D4D4"/>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5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16" w:type="dxa"/>
            <w:tcBorders>
              <w:top w:val="single" w:sz="4" w:space="0" w:color="000000"/>
              <w:left w:val="single" w:sz="10" w:space="0" w:color="D4D4D4"/>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1571" w:type="dxa"/>
            <w:tcBorders>
              <w:top w:val="single" w:sz="4" w:space="0" w:color="000000"/>
              <w:left w:val="single" w:sz="4" w:space="0" w:color="000000"/>
              <w:bottom w:val="nil" w:sz="6" w:space="0" w:color="auto"/>
              <w:right w:val="single" w:sz="4" w:space="0" w:color="000000"/>
            </w:tcBorders>
            <w:shd w:val="clear" w:color="auto" w:fill="D4D4D4"/>
          </w:tcPr>
          <w:p>
            <w:pPr/>
          </w:p>
        </w:tc>
        <w:tc>
          <w:tcPr>
            <w:tcW w:w="716" w:type="dxa"/>
            <w:vMerge w:val="restart"/>
            <w:tcBorders>
              <w:top w:val="single" w:sz="4" w:space="0" w:color="000000"/>
              <w:left w:val="single" w:sz="10" w:space="0" w:color="D4D4D4"/>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23" w:right="0"/>
              <w:jc w:val="center"/>
              <w:rPr>
                <w:rFonts w:ascii="Times New Roman" w:hAnsi="Times New Roman" w:cs="Times New Roman" w:eastAsia="Times New Roman" w:hint="default"/>
                <w:sz w:val="18"/>
                <w:szCs w:val="18"/>
              </w:rPr>
            </w:pPr>
            <w:r>
              <w:rPr>
                <w:rFonts w:ascii="Times New Roman"/>
                <w:sz w:val="18"/>
              </w:rPr>
              <w:t>794,832,</w:t>
            </w:r>
          </w:p>
          <w:p>
            <w:pPr>
              <w:pStyle w:val="TableParagraph"/>
              <w:spacing w:line="240" w:lineRule="auto" w:before="102"/>
              <w:ind w:left="157" w:right="0"/>
              <w:jc w:val="center"/>
              <w:rPr>
                <w:rFonts w:ascii="Times New Roman" w:hAnsi="Times New Roman" w:cs="Times New Roman" w:eastAsia="Times New Roman" w:hint="default"/>
                <w:sz w:val="18"/>
                <w:szCs w:val="18"/>
              </w:rPr>
            </w:pPr>
            <w:r>
              <w:rPr>
                <w:rFonts w:ascii="Times New Roman"/>
                <w:sz w:val="18"/>
              </w:rPr>
              <w:t>809.00</w:t>
            </w:r>
          </w:p>
        </w:tc>
        <w:tc>
          <w:tcPr>
            <w:tcW w:w="554" w:type="dxa"/>
            <w:vMerge w:val="restart"/>
            <w:tcBorders>
              <w:top w:val="single" w:sz="4" w:space="0" w:color="000000"/>
              <w:left w:val="single" w:sz="4" w:space="0" w:color="000000"/>
              <w:right w:val="single" w:sz="4" w:space="0" w:color="000000"/>
            </w:tcBorders>
          </w:tcPr>
          <w:p>
            <w:pPr/>
          </w:p>
        </w:tc>
        <w:tc>
          <w:tcPr>
            <w:tcW w:w="526" w:type="dxa"/>
            <w:vMerge w:val="restart"/>
            <w:tcBorders>
              <w:top w:val="single" w:sz="4" w:space="0" w:color="000000"/>
              <w:left w:val="single" w:sz="4" w:space="0" w:color="000000"/>
              <w:right w:val="single" w:sz="4" w:space="0" w:color="000000"/>
            </w:tcBorders>
          </w:tcPr>
          <w:p>
            <w:pPr/>
          </w:p>
        </w:tc>
        <w:tc>
          <w:tcPr>
            <w:tcW w:w="367"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810,125,</w:t>
            </w:r>
          </w:p>
          <w:p>
            <w:pPr>
              <w:pStyle w:val="TableParagraph"/>
              <w:spacing w:line="240" w:lineRule="auto" w:before="102"/>
              <w:ind w:left="175" w:right="0"/>
              <w:jc w:val="center"/>
              <w:rPr>
                <w:rFonts w:ascii="Times New Roman" w:hAnsi="Times New Roman" w:cs="Times New Roman" w:eastAsia="Times New Roman" w:hint="default"/>
                <w:sz w:val="18"/>
                <w:szCs w:val="18"/>
              </w:rPr>
            </w:pPr>
            <w:r>
              <w:rPr>
                <w:rFonts w:ascii="Times New Roman"/>
                <w:sz w:val="18"/>
              </w:rPr>
              <w:t>909.65</w:t>
            </w:r>
          </w:p>
        </w:tc>
        <w:tc>
          <w:tcPr>
            <w:tcW w:w="727"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34,813,1</w:t>
            </w:r>
          </w:p>
          <w:p>
            <w:pPr>
              <w:pStyle w:val="TableParagraph"/>
              <w:spacing w:line="240" w:lineRule="auto" w:before="102"/>
              <w:ind w:left="290" w:right="0"/>
              <w:jc w:val="left"/>
              <w:rPr>
                <w:rFonts w:ascii="Times New Roman" w:hAnsi="Times New Roman" w:cs="Times New Roman" w:eastAsia="Times New Roman" w:hint="default"/>
                <w:sz w:val="18"/>
                <w:szCs w:val="18"/>
              </w:rPr>
            </w:pPr>
            <w:r>
              <w:rPr>
                <w:rFonts w:ascii="Times New Roman"/>
                <w:sz w:val="18"/>
              </w:rPr>
              <w:t>42.00</w:t>
            </w:r>
          </w:p>
        </w:tc>
        <w:tc>
          <w:tcPr>
            <w:tcW w:w="725"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160,100,</w:t>
            </w:r>
          </w:p>
          <w:p>
            <w:pPr>
              <w:pStyle w:val="TableParagraph"/>
              <w:spacing w:line="240" w:lineRule="auto" w:before="102"/>
              <w:ind w:left="177" w:right="0"/>
              <w:jc w:val="center"/>
              <w:rPr>
                <w:rFonts w:ascii="Times New Roman" w:hAnsi="Times New Roman" w:cs="Times New Roman" w:eastAsia="Times New Roman" w:hint="default"/>
                <w:sz w:val="18"/>
                <w:szCs w:val="18"/>
              </w:rPr>
            </w:pPr>
            <w:r>
              <w:rPr>
                <w:rFonts w:ascii="Times New Roman"/>
                <w:sz w:val="18"/>
              </w:rPr>
              <w:t>351.33</w:t>
            </w:r>
          </w:p>
        </w:tc>
        <w:tc>
          <w:tcPr>
            <w:tcW w:w="727"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97,695,7</w:t>
            </w:r>
          </w:p>
          <w:p>
            <w:pPr>
              <w:pStyle w:val="TableParagraph"/>
              <w:spacing w:line="240" w:lineRule="auto" w:before="102"/>
              <w:ind w:left="287" w:right="0"/>
              <w:jc w:val="left"/>
              <w:rPr>
                <w:rFonts w:ascii="Times New Roman" w:hAnsi="Times New Roman" w:cs="Times New Roman" w:eastAsia="Times New Roman" w:hint="default"/>
                <w:sz w:val="18"/>
                <w:szCs w:val="18"/>
              </w:rPr>
            </w:pPr>
            <w:r>
              <w:rPr>
                <w:rFonts w:ascii="Times New Roman"/>
                <w:sz w:val="18"/>
              </w:rPr>
              <w:t>47.65</w:t>
            </w:r>
          </w:p>
        </w:tc>
        <w:tc>
          <w:tcPr>
            <w:tcW w:w="614" w:type="dxa"/>
            <w:vMerge w:val="restart"/>
            <w:tcBorders>
              <w:top w:val="single" w:sz="4" w:space="0" w:color="000000"/>
              <w:left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695,17</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pacing w:val="-1"/>
                <w:sz w:val="18"/>
              </w:rPr>
              <w:t>9,458.7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710" w:type="dxa"/>
            <w:vMerge w:val="restart"/>
            <w:tcBorders>
              <w:top w:val="single" w:sz="4" w:space="0" w:color="000000"/>
              <w:left w:val="single" w:sz="4" w:space="0" w:color="000000"/>
              <w:right w:val="single" w:sz="4" w:space="0" w:color="000000"/>
            </w:tcBorders>
          </w:tcPr>
          <w:p>
            <w:pPr/>
          </w:p>
        </w:tc>
        <w:tc>
          <w:tcPr>
            <w:tcW w:w="862"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2,523,121,</w:t>
            </w:r>
          </w:p>
          <w:p>
            <w:pPr>
              <w:pStyle w:val="TableParagraph"/>
              <w:spacing w:line="240" w:lineRule="auto" w:before="102"/>
              <w:ind w:left="336" w:right="0"/>
              <w:jc w:val="left"/>
              <w:rPr>
                <w:rFonts w:ascii="Times New Roman" w:hAnsi="Times New Roman" w:cs="Times New Roman" w:eastAsia="Times New Roman" w:hint="default"/>
                <w:sz w:val="18"/>
                <w:szCs w:val="18"/>
              </w:rPr>
            </w:pPr>
            <w:r>
              <w:rPr>
                <w:rFonts w:ascii="Times New Roman"/>
                <w:sz w:val="18"/>
              </w:rPr>
              <w:t>134.36</w:t>
            </w:r>
          </w:p>
        </w:tc>
      </w:tr>
      <w:tr>
        <w:trPr>
          <w:trHeight w:val="391" w:hRule="exact"/>
        </w:trPr>
        <w:tc>
          <w:tcPr>
            <w:tcW w:w="157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716" w:type="dxa"/>
            <w:vMerge/>
            <w:tcBorders>
              <w:left w:val="single" w:sz="10" w:space="0" w:color="D4D4D4"/>
              <w:right w:val="single" w:sz="4" w:space="0" w:color="000000"/>
            </w:tcBorders>
          </w:tcPr>
          <w:p>
            <w:pPr/>
          </w:p>
        </w:tc>
        <w:tc>
          <w:tcPr>
            <w:tcW w:w="554" w:type="dxa"/>
            <w:vMerge/>
            <w:tcBorders>
              <w:left w:val="single" w:sz="4" w:space="0" w:color="000000"/>
              <w:right w:val="single" w:sz="4" w:space="0" w:color="000000"/>
            </w:tcBorders>
          </w:tcPr>
          <w:p>
            <w:pPr/>
          </w:p>
        </w:tc>
        <w:tc>
          <w:tcPr>
            <w:tcW w:w="526" w:type="dxa"/>
            <w:vMerge/>
            <w:tcBorders>
              <w:left w:val="single" w:sz="4" w:space="0" w:color="000000"/>
              <w:right w:val="single" w:sz="4" w:space="0" w:color="000000"/>
            </w:tcBorders>
          </w:tcPr>
          <w:p>
            <w:pPr/>
          </w:p>
        </w:tc>
        <w:tc>
          <w:tcPr>
            <w:tcW w:w="36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614" w:type="dxa"/>
            <w:vMerge/>
            <w:tcBorders>
              <w:left w:val="single" w:sz="4" w:space="0" w:color="000000"/>
              <w:right w:val="single" w:sz="4" w:space="0" w:color="000000"/>
            </w:tcBorders>
          </w:tcPr>
          <w:p>
            <w:pPr/>
          </w:p>
        </w:tc>
        <w:tc>
          <w:tcPr>
            <w:tcW w:w="710" w:type="dxa"/>
            <w:vMerge/>
            <w:tcBorders>
              <w:left w:val="single" w:sz="4" w:space="0" w:color="000000"/>
              <w:right w:val="single" w:sz="4" w:space="0" w:color="000000"/>
            </w:tcBorders>
          </w:tcPr>
          <w:p>
            <w:pPr/>
          </w:p>
        </w:tc>
        <w:tc>
          <w:tcPr>
            <w:tcW w:w="862" w:type="dxa"/>
            <w:vMerge/>
            <w:tcBorders>
              <w:left w:val="single" w:sz="4" w:space="0" w:color="000000"/>
              <w:right w:val="single" w:sz="4" w:space="0" w:color="000000"/>
            </w:tcBorders>
          </w:tcPr>
          <w:p>
            <w:pPr/>
          </w:p>
        </w:tc>
      </w:tr>
      <w:tr>
        <w:trPr>
          <w:trHeight w:val="317" w:hRule="exact"/>
        </w:trPr>
        <w:tc>
          <w:tcPr>
            <w:tcW w:w="1571" w:type="dxa"/>
            <w:tcBorders>
              <w:top w:val="nil" w:sz="6" w:space="0" w:color="auto"/>
              <w:left w:val="single" w:sz="4" w:space="0" w:color="000000"/>
              <w:bottom w:val="single" w:sz="4" w:space="0" w:color="000000"/>
              <w:right w:val="single" w:sz="4" w:space="0" w:color="000000"/>
            </w:tcBorders>
            <w:shd w:val="clear" w:color="auto" w:fill="D4D4D4"/>
          </w:tcPr>
          <w:p>
            <w:pPr/>
          </w:p>
        </w:tc>
        <w:tc>
          <w:tcPr>
            <w:tcW w:w="716" w:type="dxa"/>
            <w:vMerge/>
            <w:tcBorders>
              <w:left w:val="single" w:sz="10" w:space="0" w:color="D4D4D4"/>
              <w:bottom w:val="single" w:sz="4" w:space="0" w:color="000000"/>
              <w:right w:val="single" w:sz="4" w:space="0" w:color="000000"/>
            </w:tcBorders>
          </w:tcPr>
          <w:p>
            <w:pPr/>
          </w:p>
        </w:tc>
        <w:tc>
          <w:tcPr>
            <w:tcW w:w="554" w:type="dxa"/>
            <w:vMerge/>
            <w:tcBorders>
              <w:left w:val="single" w:sz="4" w:space="0" w:color="000000"/>
              <w:bottom w:val="single" w:sz="4" w:space="0" w:color="000000"/>
              <w:right w:val="single" w:sz="4" w:space="0" w:color="000000"/>
            </w:tcBorders>
          </w:tcPr>
          <w:p>
            <w:pPr/>
          </w:p>
        </w:tc>
        <w:tc>
          <w:tcPr>
            <w:tcW w:w="526" w:type="dxa"/>
            <w:vMerge/>
            <w:tcBorders>
              <w:left w:val="single" w:sz="4" w:space="0" w:color="000000"/>
              <w:bottom w:val="single" w:sz="4" w:space="0" w:color="000000"/>
              <w:right w:val="single" w:sz="4" w:space="0" w:color="000000"/>
            </w:tcBorders>
          </w:tcPr>
          <w:p>
            <w:pPr/>
          </w:p>
        </w:tc>
        <w:tc>
          <w:tcPr>
            <w:tcW w:w="36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614" w:type="dxa"/>
            <w:vMerge/>
            <w:tcBorders>
              <w:left w:val="single" w:sz="4" w:space="0" w:color="000000"/>
              <w:bottom w:val="single" w:sz="4" w:space="0" w:color="000000"/>
              <w:right w:val="single" w:sz="4" w:space="0" w:color="000000"/>
            </w:tcBorders>
          </w:tcPr>
          <w:p>
            <w:pPr/>
          </w:p>
        </w:tc>
        <w:tc>
          <w:tcPr>
            <w:tcW w:w="710" w:type="dxa"/>
            <w:vMerge/>
            <w:tcBorders>
              <w:left w:val="single" w:sz="4" w:space="0" w:color="000000"/>
              <w:bottom w:val="single" w:sz="4" w:space="0" w:color="000000"/>
              <w:right w:val="single" w:sz="4" w:space="0" w:color="000000"/>
            </w:tcBorders>
          </w:tcPr>
          <w:p>
            <w:pPr/>
          </w:p>
        </w:tc>
        <w:tc>
          <w:tcPr>
            <w:tcW w:w="862" w:type="dxa"/>
            <w:vMerge/>
            <w:tcBorders>
              <w:left w:val="single" w:sz="4" w:space="0" w:color="000000"/>
              <w:bottom w:val="single" w:sz="4" w:space="0" w:color="000000"/>
              <w:right w:val="single" w:sz="4" w:space="0" w:color="000000"/>
            </w:tcBorders>
          </w:tcPr>
          <w:p>
            <w:pPr/>
          </w:p>
        </w:tc>
      </w:tr>
      <w:tr>
        <w:trPr>
          <w:trHeight w:val="1025" w:hRule="exact"/>
        </w:trPr>
        <w:tc>
          <w:tcPr>
            <w:tcW w:w="15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9" w:lineRule="auto" w:before="49"/>
              <w:ind w:left="12" w:right="8"/>
              <w:jc w:val="both"/>
              <w:rPr>
                <w:rFonts w:ascii="宋体" w:hAnsi="宋体" w:cs="宋体" w:eastAsia="宋体" w:hint="default"/>
                <w:sz w:val="18"/>
                <w:szCs w:val="18"/>
              </w:rPr>
            </w:pPr>
            <w:r>
              <w:rPr>
                <w:rFonts w:ascii="宋体" w:hAnsi="宋体" w:cs="宋体" w:eastAsia="宋体" w:hint="default"/>
                <w:spacing w:val="-10"/>
                <w:sz w:val="18"/>
                <w:szCs w:val="18"/>
              </w:rPr>
              <w:t>三、本期增减变动金</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7"/>
                <w:sz w:val="18"/>
                <w:szCs w:val="18"/>
              </w:rPr>
              <w:t>额（减少以</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号填</w:t>
            </w:r>
            <w:r>
              <w:rPr>
                <w:rFonts w:ascii="宋体" w:hAnsi="宋体" w:cs="宋体" w:eastAsia="宋体" w:hint="default"/>
                <w:spacing w:val="-85"/>
                <w:sz w:val="18"/>
                <w:szCs w:val="18"/>
              </w:rPr>
              <w:t> </w:t>
            </w:r>
            <w:r>
              <w:rPr>
                <w:rFonts w:ascii="宋体" w:hAnsi="宋体" w:cs="宋体" w:eastAsia="宋体" w:hint="default"/>
                <w:sz w:val="18"/>
                <w:szCs w:val="18"/>
              </w:rPr>
              <w:t>列）</w:t>
            </w:r>
          </w:p>
        </w:tc>
        <w:tc>
          <w:tcPr>
            <w:tcW w:w="71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9,160,90</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8.00</w:t>
            </w: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93,400,7</w:t>
            </w:r>
          </w:p>
          <w:p>
            <w:pPr>
              <w:pStyle w:val="TableParagraph"/>
              <w:spacing w:line="240" w:lineRule="auto" w:before="105"/>
              <w:ind w:left="288" w:right="0"/>
              <w:jc w:val="left"/>
              <w:rPr>
                <w:rFonts w:ascii="Times New Roman" w:hAnsi="Times New Roman" w:cs="Times New Roman" w:eastAsia="Times New Roman" w:hint="default"/>
                <w:sz w:val="18"/>
                <w:szCs w:val="18"/>
              </w:rPr>
            </w:pPr>
            <w:r>
              <w:rPr>
                <w:rFonts w:ascii="Times New Roman"/>
                <w:sz w:val="18"/>
              </w:rPr>
              <w:t>94.94</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45,969,8</w:t>
            </w:r>
          </w:p>
          <w:p>
            <w:pPr>
              <w:pStyle w:val="TableParagraph"/>
              <w:spacing w:line="240" w:lineRule="auto" w:before="105"/>
              <w:ind w:left="290" w:right="0"/>
              <w:jc w:val="left"/>
              <w:rPr>
                <w:rFonts w:ascii="Times New Roman" w:hAnsi="Times New Roman" w:cs="Times New Roman" w:eastAsia="Times New Roman" w:hint="default"/>
                <w:sz w:val="18"/>
                <w:szCs w:val="18"/>
              </w:rPr>
            </w:pPr>
            <w:r>
              <w:rPr>
                <w:rFonts w:ascii="Times New Roman"/>
                <w:sz w:val="18"/>
              </w:rPr>
              <w:t>23.00</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99,914,9</w:t>
            </w:r>
          </w:p>
          <w:p>
            <w:pPr>
              <w:pStyle w:val="TableParagraph"/>
              <w:spacing w:line="240" w:lineRule="auto" w:before="105"/>
              <w:ind w:left="287" w:right="0"/>
              <w:jc w:val="left"/>
              <w:rPr>
                <w:rFonts w:ascii="Times New Roman" w:hAnsi="Times New Roman" w:cs="Times New Roman" w:eastAsia="Times New Roman" w:hint="default"/>
                <w:sz w:val="18"/>
                <w:szCs w:val="18"/>
              </w:rPr>
            </w:pPr>
            <w:r>
              <w:rPr>
                <w:rFonts w:ascii="Times New Roman"/>
                <w:sz w:val="18"/>
              </w:rPr>
              <w:t>38.23</w:t>
            </w: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13,520,8</w:t>
            </w:r>
          </w:p>
          <w:p>
            <w:pPr>
              <w:pStyle w:val="TableParagraph"/>
              <w:spacing w:line="240" w:lineRule="auto" w:before="105"/>
              <w:ind w:left="287" w:right="0"/>
              <w:jc w:val="left"/>
              <w:rPr>
                <w:rFonts w:ascii="Times New Roman" w:hAnsi="Times New Roman" w:cs="Times New Roman" w:eastAsia="Times New Roman" w:hint="default"/>
                <w:sz w:val="18"/>
                <w:szCs w:val="18"/>
              </w:rPr>
            </w:pPr>
            <w:r>
              <w:rPr>
                <w:rFonts w:ascii="Times New Roman"/>
                <w:sz w:val="18"/>
              </w:rPr>
              <w:t>50.32</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58,101,</w:t>
            </w:r>
          </w:p>
          <w:p>
            <w:pPr>
              <w:pStyle w:val="TableParagraph"/>
              <w:spacing w:line="240" w:lineRule="auto" w:before="105"/>
              <w:ind w:left="88" w:right="0"/>
              <w:jc w:val="left"/>
              <w:rPr>
                <w:rFonts w:ascii="Times New Roman" w:hAnsi="Times New Roman" w:cs="Times New Roman" w:eastAsia="Times New Roman" w:hint="default"/>
                <w:sz w:val="18"/>
                <w:szCs w:val="18"/>
              </w:rPr>
            </w:pPr>
            <w:r>
              <w:rPr>
                <w:rFonts w:ascii="Times New Roman"/>
                <w:sz w:val="18"/>
              </w:rPr>
              <w:t>028.20</w:t>
            </w: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10" w:right="0"/>
              <w:jc w:val="left"/>
              <w:rPr>
                <w:rFonts w:ascii="Times New Roman" w:hAnsi="Times New Roman" w:cs="Times New Roman" w:eastAsia="Times New Roman" w:hint="default"/>
                <w:sz w:val="18"/>
                <w:szCs w:val="18"/>
              </w:rPr>
            </w:pPr>
            <w:r>
              <w:rPr>
                <w:rFonts w:ascii="Times New Roman"/>
                <w:sz w:val="18"/>
              </w:rPr>
              <w:t>228,128,6</w:t>
            </w:r>
          </w:p>
          <w:p>
            <w:pPr>
              <w:pStyle w:val="TableParagraph"/>
              <w:spacing w:line="240" w:lineRule="auto" w:before="105"/>
              <w:ind w:left="424" w:right="0"/>
              <w:jc w:val="left"/>
              <w:rPr>
                <w:rFonts w:ascii="Times New Roman" w:hAnsi="Times New Roman" w:cs="Times New Roman" w:eastAsia="Times New Roman" w:hint="default"/>
                <w:sz w:val="18"/>
                <w:szCs w:val="18"/>
              </w:rPr>
            </w:pPr>
            <w:r>
              <w:rPr>
                <w:rFonts w:ascii="Times New Roman"/>
                <w:sz w:val="18"/>
              </w:rPr>
              <w:t>96.69</w:t>
            </w:r>
          </w:p>
        </w:tc>
      </w:tr>
      <w:tr>
        <w:trPr>
          <w:trHeight w:val="319" w:hRule="exact"/>
        </w:trPr>
        <w:tc>
          <w:tcPr>
            <w:tcW w:w="1571" w:type="dxa"/>
            <w:tcBorders>
              <w:top w:val="single" w:sz="4" w:space="0" w:color="000000"/>
              <w:left w:val="single" w:sz="4" w:space="0" w:color="000000"/>
              <w:bottom w:val="nil" w:sz="6" w:space="0" w:color="auto"/>
              <w:right w:val="single" w:sz="4" w:space="0" w:color="000000"/>
            </w:tcBorders>
            <w:shd w:val="clear" w:color="auto" w:fill="D4D4D4"/>
          </w:tcPr>
          <w:p>
            <w:pPr/>
          </w:p>
        </w:tc>
        <w:tc>
          <w:tcPr>
            <w:tcW w:w="716" w:type="dxa"/>
            <w:vMerge w:val="restart"/>
            <w:tcBorders>
              <w:top w:val="single" w:sz="4" w:space="0" w:color="000000"/>
              <w:left w:val="single" w:sz="10" w:space="0" w:color="D4D4D4"/>
              <w:right w:val="single" w:sz="4" w:space="0" w:color="000000"/>
            </w:tcBorders>
          </w:tcPr>
          <w:p>
            <w:pPr/>
          </w:p>
        </w:tc>
        <w:tc>
          <w:tcPr>
            <w:tcW w:w="554" w:type="dxa"/>
            <w:vMerge w:val="restart"/>
            <w:tcBorders>
              <w:top w:val="single" w:sz="4" w:space="0" w:color="000000"/>
              <w:left w:val="single" w:sz="4" w:space="0" w:color="000000"/>
              <w:right w:val="single" w:sz="4" w:space="0" w:color="000000"/>
            </w:tcBorders>
          </w:tcPr>
          <w:p>
            <w:pPr/>
          </w:p>
        </w:tc>
        <w:tc>
          <w:tcPr>
            <w:tcW w:w="526" w:type="dxa"/>
            <w:vMerge w:val="restart"/>
            <w:tcBorders>
              <w:top w:val="single" w:sz="4" w:space="0" w:color="000000"/>
              <w:left w:val="single" w:sz="4" w:space="0" w:color="000000"/>
              <w:right w:val="single" w:sz="4" w:space="0" w:color="000000"/>
            </w:tcBorders>
          </w:tcPr>
          <w:p>
            <w:pPr/>
          </w:p>
        </w:tc>
        <w:tc>
          <w:tcPr>
            <w:tcW w:w="367"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5"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99,914,9</w:t>
            </w:r>
          </w:p>
          <w:p>
            <w:pPr>
              <w:pStyle w:val="TableParagraph"/>
              <w:spacing w:line="240" w:lineRule="auto" w:before="102"/>
              <w:ind w:left="287" w:right="0"/>
              <w:jc w:val="left"/>
              <w:rPr>
                <w:rFonts w:ascii="Times New Roman" w:hAnsi="Times New Roman" w:cs="Times New Roman" w:eastAsia="Times New Roman" w:hint="default"/>
                <w:sz w:val="18"/>
                <w:szCs w:val="18"/>
              </w:rPr>
            </w:pPr>
            <w:r>
              <w:rPr>
                <w:rFonts w:ascii="Times New Roman"/>
                <w:sz w:val="18"/>
              </w:rPr>
              <w:t>38.23</w:t>
            </w:r>
          </w:p>
        </w:tc>
        <w:tc>
          <w:tcPr>
            <w:tcW w:w="727"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614"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135,20</w:t>
            </w:r>
            <w:r>
              <w:rPr>
                <w:rFonts w:ascii="Times New Roman"/>
                <w:sz w:val="18"/>
              </w:rPr>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pacing w:val="-1"/>
                <w:sz w:val="18"/>
              </w:rPr>
              <w:t>8,503.2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710" w:type="dxa"/>
            <w:vMerge w:val="restart"/>
            <w:tcBorders>
              <w:top w:val="single" w:sz="4" w:space="0" w:color="000000"/>
              <w:left w:val="single" w:sz="4" w:space="0" w:color="000000"/>
              <w:right w:val="single" w:sz="4" w:space="0" w:color="000000"/>
            </w:tcBorders>
          </w:tcPr>
          <w:p>
            <w:pPr/>
          </w:p>
        </w:tc>
        <w:tc>
          <w:tcPr>
            <w:tcW w:w="862"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10" w:right="0"/>
              <w:jc w:val="left"/>
              <w:rPr>
                <w:rFonts w:ascii="Times New Roman" w:hAnsi="Times New Roman" w:cs="Times New Roman" w:eastAsia="Times New Roman" w:hint="default"/>
                <w:sz w:val="18"/>
                <w:szCs w:val="18"/>
              </w:rPr>
            </w:pPr>
            <w:r>
              <w:rPr>
                <w:rFonts w:ascii="Times New Roman"/>
                <w:sz w:val="18"/>
              </w:rPr>
              <w:t>235,123,4</w:t>
            </w:r>
          </w:p>
          <w:p>
            <w:pPr>
              <w:pStyle w:val="TableParagraph"/>
              <w:spacing w:line="240" w:lineRule="auto" w:before="102"/>
              <w:ind w:left="424" w:right="0"/>
              <w:jc w:val="left"/>
              <w:rPr>
                <w:rFonts w:ascii="Times New Roman" w:hAnsi="Times New Roman" w:cs="Times New Roman" w:eastAsia="Times New Roman" w:hint="default"/>
                <w:sz w:val="18"/>
                <w:szCs w:val="18"/>
              </w:rPr>
            </w:pPr>
            <w:r>
              <w:rPr>
                <w:rFonts w:ascii="Times New Roman"/>
                <w:sz w:val="18"/>
              </w:rPr>
              <w:t>41.47</w:t>
            </w:r>
          </w:p>
        </w:tc>
      </w:tr>
      <w:tr>
        <w:trPr>
          <w:trHeight w:val="391" w:hRule="exact"/>
        </w:trPr>
        <w:tc>
          <w:tcPr>
            <w:tcW w:w="157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w:t>
            </w:r>
            <w:r>
              <w:rPr>
                <w:rFonts w:ascii="宋体" w:hAnsi="宋体" w:cs="宋体" w:eastAsia="宋体" w:hint="default"/>
                <w:spacing w:val="-82"/>
                <w:sz w:val="18"/>
                <w:szCs w:val="18"/>
              </w:rPr>
              <w:t>）</w:t>
            </w:r>
            <w:r>
              <w:rPr>
                <w:rFonts w:ascii="宋体" w:hAnsi="宋体" w:cs="宋体" w:eastAsia="宋体" w:hint="default"/>
                <w:sz w:val="18"/>
                <w:szCs w:val="18"/>
              </w:rPr>
              <w:t>综合收益总额</w:t>
            </w:r>
          </w:p>
        </w:tc>
        <w:tc>
          <w:tcPr>
            <w:tcW w:w="716" w:type="dxa"/>
            <w:vMerge/>
            <w:tcBorders>
              <w:left w:val="single" w:sz="10" w:space="0" w:color="D4D4D4"/>
              <w:right w:val="single" w:sz="4" w:space="0" w:color="000000"/>
            </w:tcBorders>
          </w:tcPr>
          <w:p>
            <w:pPr/>
          </w:p>
        </w:tc>
        <w:tc>
          <w:tcPr>
            <w:tcW w:w="554" w:type="dxa"/>
            <w:vMerge/>
            <w:tcBorders>
              <w:left w:val="single" w:sz="4" w:space="0" w:color="000000"/>
              <w:right w:val="single" w:sz="4" w:space="0" w:color="000000"/>
            </w:tcBorders>
          </w:tcPr>
          <w:p>
            <w:pPr/>
          </w:p>
        </w:tc>
        <w:tc>
          <w:tcPr>
            <w:tcW w:w="526" w:type="dxa"/>
            <w:vMerge/>
            <w:tcBorders>
              <w:left w:val="single" w:sz="4" w:space="0" w:color="000000"/>
              <w:right w:val="single" w:sz="4" w:space="0" w:color="000000"/>
            </w:tcBorders>
          </w:tcPr>
          <w:p>
            <w:pPr/>
          </w:p>
        </w:tc>
        <w:tc>
          <w:tcPr>
            <w:tcW w:w="36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614" w:type="dxa"/>
            <w:vMerge/>
            <w:tcBorders>
              <w:left w:val="single" w:sz="4" w:space="0" w:color="000000"/>
              <w:right w:val="single" w:sz="4" w:space="0" w:color="000000"/>
            </w:tcBorders>
          </w:tcPr>
          <w:p>
            <w:pPr/>
          </w:p>
        </w:tc>
        <w:tc>
          <w:tcPr>
            <w:tcW w:w="710" w:type="dxa"/>
            <w:vMerge/>
            <w:tcBorders>
              <w:left w:val="single" w:sz="4" w:space="0" w:color="000000"/>
              <w:right w:val="single" w:sz="4" w:space="0" w:color="000000"/>
            </w:tcBorders>
          </w:tcPr>
          <w:p>
            <w:pPr/>
          </w:p>
        </w:tc>
        <w:tc>
          <w:tcPr>
            <w:tcW w:w="862" w:type="dxa"/>
            <w:vMerge/>
            <w:tcBorders>
              <w:left w:val="single" w:sz="4" w:space="0" w:color="000000"/>
              <w:right w:val="single" w:sz="4" w:space="0" w:color="000000"/>
            </w:tcBorders>
          </w:tcPr>
          <w:p>
            <w:pPr/>
          </w:p>
        </w:tc>
      </w:tr>
      <w:tr>
        <w:trPr>
          <w:trHeight w:val="317" w:hRule="exact"/>
        </w:trPr>
        <w:tc>
          <w:tcPr>
            <w:tcW w:w="1571" w:type="dxa"/>
            <w:tcBorders>
              <w:top w:val="nil" w:sz="6" w:space="0" w:color="auto"/>
              <w:left w:val="single" w:sz="4" w:space="0" w:color="000000"/>
              <w:bottom w:val="single" w:sz="4" w:space="0" w:color="000000"/>
              <w:right w:val="single" w:sz="4" w:space="0" w:color="000000"/>
            </w:tcBorders>
            <w:shd w:val="clear" w:color="auto" w:fill="D4D4D4"/>
          </w:tcPr>
          <w:p>
            <w:pPr/>
          </w:p>
        </w:tc>
        <w:tc>
          <w:tcPr>
            <w:tcW w:w="716" w:type="dxa"/>
            <w:vMerge/>
            <w:tcBorders>
              <w:left w:val="single" w:sz="10" w:space="0" w:color="D4D4D4"/>
              <w:bottom w:val="single" w:sz="4" w:space="0" w:color="000000"/>
              <w:right w:val="single" w:sz="4" w:space="0" w:color="000000"/>
            </w:tcBorders>
          </w:tcPr>
          <w:p>
            <w:pPr/>
          </w:p>
        </w:tc>
        <w:tc>
          <w:tcPr>
            <w:tcW w:w="554" w:type="dxa"/>
            <w:vMerge/>
            <w:tcBorders>
              <w:left w:val="single" w:sz="4" w:space="0" w:color="000000"/>
              <w:bottom w:val="single" w:sz="4" w:space="0" w:color="000000"/>
              <w:right w:val="single" w:sz="4" w:space="0" w:color="000000"/>
            </w:tcBorders>
          </w:tcPr>
          <w:p>
            <w:pPr/>
          </w:p>
        </w:tc>
        <w:tc>
          <w:tcPr>
            <w:tcW w:w="526" w:type="dxa"/>
            <w:vMerge/>
            <w:tcBorders>
              <w:left w:val="single" w:sz="4" w:space="0" w:color="000000"/>
              <w:bottom w:val="single" w:sz="4" w:space="0" w:color="000000"/>
              <w:right w:val="single" w:sz="4" w:space="0" w:color="000000"/>
            </w:tcBorders>
          </w:tcPr>
          <w:p>
            <w:pPr/>
          </w:p>
        </w:tc>
        <w:tc>
          <w:tcPr>
            <w:tcW w:w="36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614" w:type="dxa"/>
            <w:vMerge/>
            <w:tcBorders>
              <w:left w:val="single" w:sz="4" w:space="0" w:color="000000"/>
              <w:bottom w:val="single" w:sz="4" w:space="0" w:color="000000"/>
              <w:right w:val="single" w:sz="4" w:space="0" w:color="000000"/>
            </w:tcBorders>
          </w:tcPr>
          <w:p>
            <w:pPr/>
          </w:p>
        </w:tc>
        <w:tc>
          <w:tcPr>
            <w:tcW w:w="710" w:type="dxa"/>
            <w:vMerge/>
            <w:tcBorders>
              <w:left w:val="single" w:sz="4" w:space="0" w:color="000000"/>
              <w:bottom w:val="single" w:sz="4" w:space="0" w:color="000000"/>
              <w:right w:val="single" w:sz="4" w:space="0" w:color="000000"/>
            </w:tcBorders>
          </w:tcPr>
          <w:p>
            <w:pPr/>
          </w:p>
        </w:tc>
        <w:tc>
          <w:tcPr>
            <w:tcW w:w="862" w:type="dxa"/>
            <w:vMerge/>
            <w:tcBorders>
              <w:left w:val="single" w:sz="4" w:space="0" w:color="000000"/>
              <w:bottom w:val="single" w:sz="4" w:space="0" w:color="000000"/>
              <w:right w:val="single" w:sz="4" w:space="0" w:color="000000"/>
            </w:tcBorders>
          </w:tcPr>
          <w:p>
            <w:pPr/>
          </w:p>
        </w:tc>
      </w:tr>
      <w:tr>
        <w:trPr>
          <w:trHeight w:val="713" w:hRule="exact"/>
        </w:trPr>
        <w:tc>
          <w:tcPr>
            <w:tcW w:w="15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2" w:right="8"/>
              <w:jc w:val="left"/>
              <w:rPr>
                <w:rFonts w:ascii="宋体" w:hAnsi="宋体" w:cs="宋体" w:eastAsia="宋体" w:hint="default"/>
                <w:sz w:val="18"/>
                <w:szCs w:val="18"/>
              </w:rPr>
            </w:pPr>
            <w:r>
              <w:rPr>
                <w:rFonts w:ascii="宋体" w:hAnsi="宋体" w:cs="宋体" w:eastAsia="宋体" w:hint="default"/>
                <w:spacing w:val="-10"/>
                <w:sz w:val="18"/>
                <w:szCs w:val="18"/>
              </w:rPr>
              <w:t>（二）所有者投入和</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减少资本</w:t>
            </w:r>
          </w:p>
        </w:tc>
        <w:tc>
          <w:tcPr>
            <w:tcW w:w="71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9,160,90</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8.00</w:t>
            </w: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2" w:right="0"/>
              <w:jc w:val="left"/>
              <w:rPr>
                <w:rFonts w:ascii="Times New Roman" w:hAnsi="Times New Roman" w:cs="Times New Roman" w:eastAsia="Times New Roman" w:hint="default"/>
                <w:sz w:val="18"/>
                <w:szCs w:val="18"/>
              </w:rPr>
            </w:pPr>
            <w:r>
              <w:rPr>
                <w:rFonts w:ascii="Times New Roman"/>
                <w:sz w:val="18"/>
              </w:rPr>
              <w:t>93,400,7</w:t>
            </w:r>
          </w:p>
          <w:p>
            <w:pPr>
              <w:pStyle w:val="TableParagraph"/>
              <w:spacing w:line="240" w:lineRule="auto" w:before="105"/>
              <w:ind w:left="288" w:right="0"/>
              <w:jc w:val="left"/>
              <w:rPr>
                <w:rFonts w:ascii="Times New Roman" w:hAnsi="Times New Roman" w:cs="Times New Roman" w:eastAsia="Times New Roman" w:hint="default"/>
                <w:sz w:val="18"/>
                <w:szCs w:val="18"/>
              </w:rPr>
            </w:pPr>
            <w:r>
              <w:rPr>
                <w:rFonts w:ascii="Times New Roman"/>
                <w:sz w:val="18"/>
              </w:rPr>
              <w:t>94.94</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 w:right="0"/>
              <w:jc w:val="left"/>
              <w:rPr>
                <w:rFonts w:ascii="Times New Roman" w:hAnsi="Times New Roman" w:cs="Times New Roman" w:eastAsia="Times New Roman" w:hint="default"/>
                <w:sz w:val="18"/>
                <w:szCs w:val="18"/>
              </w:rPr>
            </w:pPr>
            <w:r>
              <w:rPr>
                <w:rFonts w:ascii="Times New Roman"/>
                <w:sz w:val="18"/>
              </w:rPr>
              <w:t>45,969,8</w:t>
            </w:r>
          </w:p>
          <w:p>
            <w:pPr>
              <w:pStyle w:val="TableParagraph"/>
              <w:spacing w:line="240" w:lineRule="auto" w:before="105"/>
              <w:ind w:left="290" w:right="0"/>
              <w:jc w:val="left"/>
              <w:rPr>
                <w:rFonts w:ascii="Times New Roman" w:hAnsi="Times New Roman" w:cs="Times New Roman" w:eastAsia="Times New Roman" w:hint="default"/>
                <w:sz w:val="18"/>
                <w:szCs w:val="18"/>
              </w:rPr>
            </w:pPr>
            <w:r>
              <w:rPr>
                <w:rFonts w:ascii="Times New Roman"/>
                <w:sz w:val="18"/>
              </w:rPr>
              <w:t>23.00</w:t>
            </w: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0" w:right="0"/>
              <w:jc w:val="left"/>
              <w:rPr>
                <w:rFonts w:ascii="Times New Roman" w:hAnsi="Times New Roman" w:cs="Times New Roman" w:eastAsia="Times New Roman" w:hint="default"/>
                <w:sz w:val="18"/>
                <w:szCs w:val="18"/>
              </w:rPr>
            </w:pPr>
            <w:r>
              <w:rPr>
                <w:rFonts w:ascii="Times New Roman"/>
                <w:sz w:val="18"/>
              </w:rPr>
              <w:t>56,591,87</w:t>
            </w:r>
          </w:p>
          <w:p>
            <w:pPr>
              <w:pStyle w:val="TableParagraph"/>
              <w:spacing w:line="240" w:lineRule="auto" w:before="105"/>
              <w:ind w:left="515" w:right="0"/>
              <w:jc w:val="left"/>
              <w:rPr>
                <w:rFonts w:ascii="Times New Roman" w:hAnsi="Times New Roman" w:cs="Times New Roman" w:eastAsia="Times New Roman" w:hint="default"/>
                <w:sz w:val="18"/>
                <w:szCs w:val="18"/>
              </w:rPr>
            </w:pPr>
            <w:r>
              <w:rPr>
                <w:rFonts w:ascii="Times New Roman"/>
                <w:sz w:val="18"/>
              </w:rPr>
              <w:t>9.94</w:t>
            </w:r>
          </w:p>
        </w:tc>
      </w:tr>
      <w:tr>
        <w:trPr>
          <w:trHeight w:val="715" w:hRule="exact"/>
        </w:trPr>
        <w:tc>
          <w:tcPr>
            <w:tcW w:w="15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97" w:lineRule="auto" w:before="51"/>
              <w:ind w:left="12" w:right="1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．所有者投入的普 通股</w:t>
            </w:r>
          </w:p>
        </w:tc>
        <w:tc>
          <w:tcPr>
            <w:tcW w:w="71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3"/>
              <w:ind w:left="44" w:right="0"/>
              <w:jc w:val="left"/>
              <w:rPr>
                <w:rFonts w:ascii="Times New Roman" w:hAnsi="Times New Roman" w:cs="Times New Roman" w:eastAsia="Times New Roman" w:hint="default"/>
                <w:sz w:val="18"/>
                <w:szCs w:val="18"/>
              </w:rPr>
            </w:pPr>
            <w:r>
              <w:rPr>
                <w:rFonts w:ascii="Times New Roman"/>
                <w:sz w:val="18"/>
              </w:rPr>
              <w:t>9,160,90</w:t>
            </w:r>
          </w:p>
          <w:p>
            <w:pPr>
              <w:pStyle w:val="TableParagraph"/>
              <w:spacing w:line="240" w:lineRule="auto" w:before="102"/>
              <w:ind w:left="361" w:right="0"/>
              <w:jc w:val="left"/>
              <w:rPr>
                <w:rFonts w:ascii="Times New Roman" w:hAnsi="Times New Roman" w:cs="Times New Roman" w:eastAsia="Times New Roman" w:hint="default"/>
                <w:sz w:val="18"/>
                <w:szCs w:val="18"/>
              </w:rPr>
            </w:pPr>
            <w:r>
              <w:rPr>
                <w:rFonts w:ascii="Times New Roman"/>
                <w:sz w:val="18"/>
              </w:rPr>
              <w:t>8.00</w:t>
            </w: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2" w:right="0"/>
              <w:jc w:val="left"/>
              <w:rPr>
                <w:rFonts w:ascii="Times New Roman" w:hAnsi="Times New Roman" w:cs="Times New Roman" w:eastAsia="Times New Roman" w:hint="default"/>
                <w:sz w:val="18"/>
                <w:szCs w:val="18"/>
              </w:rPr>
            </w:pPr>
            <w:r>
              <w:rPr>
                <w:rFonts w:ascii="Times New Roman"/>
                <w:sz w:val="18"/>
              </w:rPr>
              <w:t>69,550,7</w:t>
            </w:r>
          </w:p>
          <w:p>
            <w:pPr>
              <w:pStyle w:val="TableParagraph"/>
              <w:spacing w:line="240" w:lineRule="auto" w:before="102"/>
              <w:ind w:left="288" w:right="0"/>
              <w:jc w:val="left"/>
              <w:rPr>
                <w:rFonts w:ascii="Times New Roman" w:hAnsi="Times New Roman" w:cs="Times New Roman" w:eastAsia="Times New Roman" w:hint="default"/>
                <w:sz w:val="18"/>
                <w:szCs w:val="18"/>
              </w:rPr>
            </w:pPr>
            <w:r>
              <w:rPr>
                <w:rFonts w:ascii="Times New Roman"/>
                <w:sz w:val="18"/>
              </w:rPr>
              <w:t>29.36</w:t>
            </w:r>
          </w:p>
        </w:tc>
        <w:tc>
          <w:tcPr>
            <w:tcW w:w="727"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78,711,637</w:t>
            </w:r>
            <w:r>
              <w:rPr>
                <w:rFonts w:ascii="Times New Roman"/>
                <w:sz w:val="18"/>
              </w:rPr>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.36</w:t>
            </w:r>
          </w:p>
        </w:tc>
      </w:tr>
      <w:tr>
        <w:trPr>
          <w:trHeight w:val="713" w:hRule="exact"/>
        </w:trPr>
        <w:tc>
          <w:tcPr>
            <w:tcW w:w="15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0" w:lineRule="auto" w:before="49"/>
              <w:ind w:left="12" w:right="1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．其他权益工具持 有者投入资本</w:t>
            </w:r>
          </w:p>
        </w:tc>
        <w:tc>
          <w:tcPr>
            <w:tcW w:w="716" w:type="dxa"/>
            <w:tcBorders>
              <w:top w:val="single" w:sz="4" w:space="0" w:color="000000"/>
              <w:left w:val="single" w:sz="10" w:space="0" w:color="D4D4D4"/>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97" w:lineRule="auto" w:before="51"/>
              <w:ind w:left="12" w:right="1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．股份支付计入所 有者权益的金额</w:t>
            </w:r>
          </w:p>
        </w:tc>
        <w:tc>
          <w:tcPr>
            <w:tcW w:w="716" w:type="dxa"/>
            <w:tcBorders>
              <w:top w:val="single" w:sz="4" w:space="0" w:color="000000"/>
              <w:left w:val="single" w:sz="10" w:space="0" w:color="D4D4D4"/>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2" w:right="0"/>
              <w:jc w:val="left"/>
              <w:rPr>
                <w:rFonts w:ascii="Times New Roman" w:hAnsi="Times New Roman" w:cs="Times New Roman" w:eastAsia="Times New Roman" w:hint="default"/>
                <w:sz w:val="18"/>
                <w:szCs w:val="18"/>
              </w:rPr>
            </w:pPr>
            <w:r>
              <w:rPr>
                <w:rFonts w:ascii="Times New Roman"/>
                <w:sz w:val="18"/>
              </w:rPr>
              <w:t>23,850,0</w:t>
            </w:r>
          </w:p>
          <w:p>
            <w:pPr>
              <w:pStyle w:val="TableParagraph"/>
              <w:spacing w:line="240" w:lineRule="auto" w:before="102"/>
              <w:ind w:left="288" w:right="0"/>
              <w:jc w:val="left"/>
              <w:rPr>
                <w:rFonts w:ascii="Times New Roman" w:hAnsi="Times New Roman" w:cs="Times New Roman" w:eastAsia="Times New Roman" w:hint="default"/>
                <w:sz w:val="18"/>
                <w:szCs w:val="18"/>
              </w:rPr>
            </w:pPr>
            <w:r>
              <w:rPr>
                <w:rFonts w:ascii="Times New Roman"/>
                <w:sz w:val="18"/>
              </w:rPr>
              <w:t>65.58</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4" w:right="0"/>
              <w:jc w:val="left"/>
              <w:rPr>
                <w:rFonts w:ascii="Times New Roman" w:hAnsi="Times New Roman" w:cs="Times New Roman" w:eastAsia="Times New Roman" w:hint="default"/>
                <w:sz w:val="18"/>
                <w:szCs w:val="18"/>
              </w:rPr>
            </w:pPr>
            <w:r>
              <w:rPr>
                <w:rFonts w:ascii="Times New Roman"/>
                <w:sz w:val="18"/>
              </w:rPr>
              <w:t>45,969,8</w:t>
            </w:r>
          </w:p>
          <w:p>
            <w:pPr>
              <w:pStyle w:val="TableParagraph"/>
              <w:spacing w:line="240" w:lineRule="auto" w:before="102"/>
              <w:ind w:left="290" w:right="0"/>
              <w:jc w:val="left"/>
              <w:rPr>
                <w:rFonts w:ascii="Times New Roman" w:hAnsi="Times New Roman" w:cs="Times New Roman" w:eastAsia="Times New Roman" w:hint="default"/>
                <w:sz w:val="18"/>
                <w:szCs w:val="18"/>
              </w:rPr>
            </w:pPr>
            <w:r>
              <w:rPr>
                <w:rFonts w:ascii="Times New Roman"/>
                <w:sz w:val="18"/>
              </w:rPr>
              <w:t>23.00</w:t>
            </w: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7" w:right="0"/>
              <w:jc w:val="left"/>
              <w:rPr>
                <w:rFonts w:ascii="Times New Roman" w:hAnsi="Times New Roman" w:cs="Times New Roman" w:eastAsia="Times New Roman" w:hint="default"/>
                <w:sz w:val="18"/>
                <w:szCs w:val="18"/>
              </w:rPr>
            </w:pPr>
            <w:r>
              <w:rPr>
                <w:rFonts w:ascii="Times New Roman"/>
                <w:sz w:val="18"/>
              </w:rPr>
              <w:t>-22,119,75</w:t>
            </w:r>
          </w:p>
          <w:p>
            <w:pPr>
              <w:pStyle w:val="TableParagraph"/>
              <w:spacing w:line="240" w:lineRule="auto" w:before="102"/>
              <w:ind w:left="515" w:right="0"/>
              <w:jc w:val="left"/>
              <w:rPr>
                <w:rFonts w:ascii="Times New Roman" w:hAnsi="Times New Roman" w:cs="Times New Roman" w:eastAsia="Times New Roman" w:hint="default"/>
                <w:sz w:val="18"/>
                <w:szCs w:val="18"/>
              </w:rPr>
            </w:pPr>
            <w:r>
              <w:rPr>
                <w:rFonts w:ascii="Times New Roman"/>
                <w:sz w:val="18"/>
              </w:rPr>
              <w:t>7.42</w:t>
            </w:r>
          </w:p>
        </w:tc>
      </w:tr>
      <w:tr>
        <w:trPr>
          <w:trHeight w:val="401" w:hRule="exact"/>
        </w:trPr>
        <w:tc>
          <w:tcPr>
            <w:tcW w:w="15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716" w:type="dxa"/>
            <w:tcBorders>
              <w:top w:val="single" w:sz="4" w:space="0" w:color="000000"/>
              <w:left w:val="single" w:sz="10" w:space="0" w:color="D4D4D4"/>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163" w:hRule="exact"/>
        </w:trPr>
        <w:tc>
          <w:tcPr>
            <w:tcW w:w="1571" w:type="dxa"/>
            <w:tcBorders>
              <w:top w:val="single" w:sz="4" w:space="0" w:color="000000"/>
              <w:left w:val="single" w:sz="4" w:space="0" w:color="000000"/>
              <w:bottom w:val="nil" w:sz="6" w:space="0" w:color="auto"/>
              <w:right w:val="single" w:sz="4" w:space="0" w:color="000000"/>
            </w:tcBorders>
            <w:shd w:val="clear" w:color="auto" w:fill="D4D4D4"/>
          </w:tcPr>
          <w:p>
            <w:pPr/>
          </w:p>
        </w:tc>
        <w:tc>
          <w:tcPr>
            <w:tcW w:w="716" w:type="dxa"/>
            <w:vMerge w:val="restart"/>
            <w:tcBorders>
              <w:top w:val="single" w:sz="4" w:space="0" w:color="000000"/>
              <w:left w:val="single" w:sz="10" w:space="0" w:color="D4D4D4"/>
              <w:right w:val="single" w:sz="4" w:space="0" w:color="000000"/>
            </w:tcBorders>
          </w:tcPr>
          <w:p>
            <w:pPr/>
          </w:p>
        </w:tc>
        <w:tc>
          <w:tcPr>
            <w:tcW w:w="554" w:type="dxa"/>
            <w:vMerge w:val="restart"/>
            <w:tcBorders>
              <w:top w:val="single" w:sz="4" w:space="0" w:color="000000"/>
              <w:left w:val="single" w:sz="4" w:space="0" w:color="000000"/>
              <w:right w:val="single" w:sz="4" w:space="0" w:color="000000"/>
            </w:tcBorders>
          </w:tcPr>
          <w:p>
            <w:pPr/>
          </w:p>
        </w:tc>
        <w:tc>
          <w:tcPr>
            <w:tcW w:w="526" w:type="dxa"/>
            <w:vMerge w:val="restart"/>
            <w:tcBorders>
              <w:top w:val="single" w:sz="4" w:space="0" w:color="000000"/>
              <w:left w:val="single" w:sz="4" w:space="0" w:color="000000"/>
              <w:right w:val="single" w:sz="4" w:space="0" w:color="000000"/>
            </w:tcBorders>
          </w:tcPr>
          <w:p>
            <w:pPr/>
          </w:p>
        </w:tc>
        <w:tc>
          <w:tcPr>
            <w:tcW w:w="367"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5"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Style w:val="TableParagraph"/>
              <w:spacing w:line="240" w:lineRule="auto" w:before="93"/>
              <w:ind w:left="62" w:right="0"/>
              <w:jc w:val="left"/>
              <w:rPr>
                <w:rFonts w:ascii="Times New Roman" w:hAnsi="Times New Roman" w:cs="Times New Roman" w:eastAsia="Times New Roman" w:hint="default"/>
                <w:sz w:val="18"/>
                <w:szCs w:val="18"/>
              </w:rPr>
            </w:pPr>
            <w:r>
              <w:rPr>
                <w:rFonts w:ascii="Times New Roman"/>
                <w:sz w:val="18"/>
              </w:rPr>
              <w:t>13,520,8</w:t>
            </w:r>
          </w:p>
          <w:p>
            <w:pPr>
              <w:pStyle w:val="TableParagraph"/>
              <w:spacing w:line="240" w:lineRule="auto" w:before="102"/>
              <w:ind w:left="287" w:right="0"/>
              <w:jc w:val="left"/>
              <w:rPr>
                <w:rFonts w:ascii="Times New Roman" w:hAnsi="Times New Roman" w:cs="Times New Roman" w:eastAsia="Times New Roman" w:hint="default"/>
                <w:sz w:val="18"/>
                <w:szCs w:val="18"/>
              </w:rPr>
            </w:pPr>
            <w:r>
              <w:rPr>
                <w:rFonts w:ascii="Times New Roman"/>
                <w:sz w:val="18"/>
              </w:rPr>
              <w:t>50.32</w:t>
            </w:r>
          </w:p>
        </w:tc>
        <w:tc>
          <w:tcPr>
            <w:tcW w:w="614" w:type="dxa"/>
            <w:vMerge w:val="restart"/>
            <w:tcBorders>
              <w:top w:val="single" w:sz="4" w:space="0" w:color="000000"/>
              <w:left w:val="single" w:sz="4" w:space="0" w:color="000000"/>
              <w:right w:val="single" w:sz="4" w:space="0" w:color="000000"/>
            </w:tcBorders>
          </w:tcPr>
          <w:p>
            <w:pPr>
              <w:pStyle w:val="TableParagraph"/>
              <w:spacing w:line="240" w:lineRule="auto" w:before="93"/>
              <w:ind w:left="28" w:right="0"/>
              <w:jc w:val="left"/>
              <w:rPr>
                <w:rFonts w:ascii="Times New Roman" w:hAnsi="Times New Roman" w:cs="Times New Roman" w:eastAsia="Times New Roman" w:hint="default"/>
                <w:sz w:val="18"/>
                <w:szCs w:val="18"/>
              </w:rPr>
            </w:pPr>
            <w:r>
              <w:rPr>
                <w:rFonts w:ascii="Times New Roman"/>
                <w:sz w:val="18"/>
              </w:rPr>
              <w:t>-77,107</w:t>
            </w:r>
          </w:p>
          <w:p>
            <w:pPr>
              <w:pStyle w:val="TableParagraph"/>
              <w:spacing w:line="240" w:lineRule="auto" w:before="102"/>
              <w:ind w:left="43" w:right="0"/>
              <w:jc w:val="left"/>
              <w:rPr>
                <w:rFonts w:ascii="Times New Roman" w:hAnsi="Times New Roman" w:cs="Times New Roman" w:eastAsia="Times New Roman" w:hint="default"/>
                <w:sz w:val="18"/>
                <w:szCs w:val="18"/>
              </w:rPr>
            </w:pPr>
            <w:r>
              <w:rPr>
                <w:rFonts w:ascii="Times New Roman"/>
                <w:sz w:val="18"/>
              </w:rPr>
              <w:t>,475.04</w:t>
            </w:r>
          </w:p>
        </w:tc>
        <w:tc>
          <w:tcPr>
            <w:tcW w:w="710" w:type="dxa"/>
            <w:vMerge w:val="restart"/>
            <w:tcBorders>
              <w:top w:val="single" w:sz="4" w:space="0" w:color="000000"/>
              <w:left w:val="single" w:sz="4" w:space="0" w:color="000000"/>
              <w:right w:val="single" w:sz="4" w:space="0" w:color="000000"/>
            </w:tcBorders>
          </w:tcPr>
          <w:p>
            <w:pPr/>
          </w:p>
        </w:tc>
        <w:tc>
          <w:tcPr>
            <w:tcW w:w="862" w:type="dxa"/>
            <w:vMerge w:val="restart"/>
            <w:tcBorders>
              <w:top w:val="single" w:sz="4" w:space="0" w:color="000000"/>
              <w:left w:val="single" w:sz="4" w:space="0" w:color="000000"/>
              <w:right w:val="single" w:sz="4" w:space="0" w:color="000000"/>
            </w:tcBorders>
          </w:tcPr>
          <w:p>
            <w:pPr>
              <w:pStyle w:val="TableParagraph"/>
              <w:spacing w:line="240" w:lineRule="auto" w:before="93"/>
              <w:ind w:left="50" w:right="0"/>
              <w:jc w:val="left"/>
              <w:rPr>
                <w:rFonts w:ascii="Times New Roman" w:hAnsi="Times New Roman" w:cs="Times New Roman" w:eastAsia="Times New Roman" w:hint="default"/>
                <w:sz w:val="18"/>
                <w:szCs w:val="18"/>
              </w:rPr>
            </w:pPr>
            <w:r>
              <w:rPr>
                <w:rFonts w:ascii="Times New Roman"/>
                <w:sz w:val="18"/>
              </w:rPr>
              <w:t>-63,586,62</w:t>
            </w:r>
          </w:p>
          <w:p>
            <w:pPr>
              <w:pStyle w:val="TableParagraph"/>
              <w:spacing w:line="240" w:lineRule="auto" w:before="102"/>
              <w:ind w:left="515" w:right="0"/>
              <w:jc w:val="left"/>
              <w:rPr>
                <w:rFonts w:ascii="Times New Roman" w:hAnsi="Times New Roman" w:cs="Times New Roman" w:eastAsia="Times New Roman" w:hint="default"/>
                <w:sz w:val="18"/>
                <w:szCs w:val="18"/>
              </w:rPr>
            </w:pPr>
            <w:r>
              <w:rPr>
                <w:rFonts w:ascii="Times New Roman"/>
                <w:sz w:val="18"/>
              </w:rPr>
              <w:t>4.72</w:t>
            </w:r>
          </w:p>
        </w:tc>
      </w:tr>
      <w:tr>
        <w:trPr>
          <w:trHeight w:val="391" w:hRule="exact"/>
        </w:trPr>
        <w:tc>
          <w:tcPr>
            <w:tcW w:w="157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716" w:type="dxa"/>
            <w:vMerge/>
            <w:tcBorders>
              <w:left w:val="single" w:sz="10" w:space="0" w:color="D4D4D4"/>
              <w:right w:val="single" w:sz="4" w:space="0" w:color="000000"/>
            </w:tcBorders>
          </w:tcPr>
          <w:p>
            <w:pPr/>
          </w:p>
        </w:tc>
        <w:tc>
          <w:tcPr>
            <w:tcW w:w="554" w:type="dxa"/>
            <w:vMerge/>
            <w:tcBorders>
              <w:left w:val="single" w:sz="4" w:space="0" w:color="000000"/>
              <w:right w:val="single" w:sz="4" w:space="0" w:color="000000"/>
            </w:tcBorders>
          </w:tcPr>
          <w:p>
            <w:pPr/>
          </w:p>
        </w:tc>
        <w:tc>
          <w:tcPr>
            <w:tcW w:w="526" w:type="dxa"/>
            <w:vMerge/>
            <w:tcBorders>
              <w:left w:val="single" w:sz="4" w:space="0" w:color="000000"/>
              <w:right w:val="single" w:sz="4" w:space="0" w:color="000000"/>
            </w:tcBorders>
          </w:tcPr>
          <w:p>
            <w:pPr/>
          </w:p>
        </w:tc>
        <w:tc>
          <w:tcPr>
            <w:tcW w:w="36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614" w:type="dxa"/>
            <w:vMerge/>
            <w:tcBorders>
              <w:left w:val="single" w:sz="4" w:space="0" w:color="000000"/>
              <w:right w:val="single" w:sz="4" w:space="0" w:color="000000"/>
            </w:tcBorders>
          </w:tcPr>
          <w:p>
            <w:pPr/>
          </w:p>
        </w:tc>
        <w:tc>
          <w:tcPr>
            <w:tcW w:w="710" w:type="dxa"/>
            <w:vMerge/>
            <w:tcBorders>
              <w:left w:val="single" w:sz="4" w:space="0" w:color="000000"/>
              <w:right w:val="single" w:sz="4" w:space="0" w:color="000000"/>
            </w:tcBorders>
          </w:tcPr>
          <w:p>
            <w:pPr/>
          </w:p>
        </w:tc>
        <w:tc>
          <w:tcPr>
            <w:tcW w:w="862" w:type="dxa"/>
            <w:vMerge/>
            <w:tcBorders>
              <w:left w:val="single" w:sz="4" w:space="0" w:color="000000"/>
              <w:right w:val="single" w:sz="4" w:space="0" w:color="000000"/>
            </w:tcBorders>
          </w:tcPr>
          <w:p>
            <w:pPr/>
          </w:p>
        </w:tc>
      </w:tr>
      <w:tr>
        <w:trPr>
          <w:trHeight w:val="161" w:hRule="exact"/>
        </w:trPr>
        <w:tc>
          <w:tcPr>
            <w:tcW w:w="1571" w:type="dxa"/>
            <w:tcBorders>
              <w:top w:val="nil" w:sz="6" w:space="0" w:color="auto"/>
              <w:left w:val="single" w:sz="4" w:space="0" w:color="000000"/>
              <w:bottom w:val="single" w:sz="4" w:space="0" w:color="000000"/>
              <w:right w:val="single" w:sz="4" w:space="0" w:color="000000"/>
            </w:tcBorders>
            <w:shd w:val="clear" w:color="auto" w:fill="D4D4D4"/>
          </w:tcPr>
          <w:p>
            <w:pPr/>
          </w:p>
        </w:tc>
        <w:tc>
          <w:tcPr>
            <w:tcW w:w="716" w:type="dxa"/>
            <w:vMerge/>
            <w:tcBorders>
              <w:left w:val="single" w:sz="10" w:space="0" w:color="D4D4D4"/>
              <w:bottom w:val="single" w:sz="4" w:space="0" w:color="000000"/>
              <w:right w:val="single" w:sz="4" w:space="0" w:color="000000"/>
            </w:tcBorders>
          </w:tcPr>
          <w:p>
            <w:pPr/>
          </w:p>
        </w:tc>
        <w:tc>
          <w:tcPr>
            <w:tcW w:w="554" w:type="dxa"/>
            <w:vMerge/>
            <w:tcBorders>
              <w:left w:val="single" w:sz="4" w:space="0" w:color="000000"/>
              <w:bottom w:val="single" w:sz="4" w:space="0" w:color="000000"/>
              <w:right w:val="single" w:sz="4" w:space="0" w:color="000000"/>
            </w:tcBorders>
          </w:tcPr>
          <w:p>
            <w:pPr/>
          </w:p>
        </w:tc>
        <w:tc>
          <w:tcPr>
            <w:tcW w:w="526" w:type="dxa"/>
            <w:vMerge/>
            <w:tcBorders>
              <w:left w:val="single" w:sz="4" w:space="0" w:color="000000"/>
              <w:bottom w:val="single" w:sz="4" w:space="0" w:color="000000"/>
              <w:right w:val="single" w:sz="4" w:space="0" w:color="000000"/>
            </w:tcBorders>
          </w:tcPr>
          <w:p>
            <w:pPr/>
          </w:p>
        </w:tc>
        <w:tc>
          <w:tcPr>
            <w:tcW w:w="36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614" w:type="dxa"/>
            <w:vMerge/>
            <w:tcBorders>
              <w:left w:val="single" w:sz="4" w:space="0" w:color="000000"/>
              <w:bottom w:val="single" w:sz="4" w:space="0" w:color="000000"/>
              <w:right w:val="single" w:sz="4" w:space="0" w:color="000000"/>
            </w:tcBorders>
          </w:tcPr>
          <w:p>
            <w:pPr/>
          </w:p>
        </w:tc>
        <w:tc>
          <w:tcPr>
            <w:tcW w:w="710" w:type="dxa"/>
            <w:vMerge/>
            <w:tcBorders>
              <w:left w:val="single" w:sz="4" w:space="0" w:color="000000"/>
              <w:bottom w:val="single" w:sz="4" w:space="0" w:color="000000"/>
              <w:right w:val="single" w:sz="4" w:space="0" w:color="000000"/>
            </w:tcBorders>
          </w:tcPr>
          <w:p>
            <w:pPr/>
          </w:p>
        </w:tc>
        <w:tc>
          <w:tcPr>
            <w:tcW w:w="862" w:type="dxa"/>
            <w:vMerge/>
            <w:tcBorders>
              <w:left w:val="single" w:sz="4" w:space="0" w:color="000000"/>
              <w:bottom w:val="single" w:sz="4" w:space="0" w:color="000000"/>
              <w:right w:val="single" w:sz="4" w:space="0" w:color="000000"/>
            </w:tcBorders>
          </w:tcPr>
          <w:p>
            <w:pPr/>
          </w:p>
        </w:tc>
      </w:tr>
      <w:tr>
        <w:trPr>
          <w:trHeight w:val="161" w:hRule="exact"/>
        </w:trPr>
        <w:tc>
          <w:tcPr>
            <w:tcW w:w="1571" w:type="dxa"/>
            <w:tcBorders>
              <w:top w:val="single" w:sz="4" w:space="0" w:color="000000"/>
              <w:left w:val="single" w:sz="4" w:space="0" w:color="000000"/>
              <w:bottom w:val="nil" w:sz="6" w:space="0" w:color="auto"/>
              <w:right w:val="single" w:sz="4" w:space="0" w:color="000000"/>
            </w:tcBorders>
            <w:shd w:val="clear" w:color="auto" w:fill="D4D4D4"/>
          </w:tcPr>
          <w:p>
            <w:pPr/>
          </w:p>
        </w:tc>
        <w:tc>
          <w:tcPr>
            <w:tcW w:w="716" w:type="dxa"/>
            <w:vMerge w:val="restart"/>
            <w:tcBorders>
              <w:top w:val="single" w:sz="4" w:space="0" w:color="000000"/>
              <w:left w:val="single" w:sz="10" w:space="0" w:color="D4D4D4"/>
              <w:right w:val="single" w:sz="4" w:space="0" w:color="000000"/>
            </w:tcBorders>
          </w:tcPr>
          <w:p>
            <w:pPr/>
          </w:p>
        </w:tc>
        <w:tc>
          <w:tcPr>
            <w:tcW w:w="554" w:type="dxa"/>
            <w:vMerge w:val="restart"/>
            <w:tcBorders>
              <w:top w:val="single" w:sz="4" w:space="0" w:color="000000"/>
              <w:left w:val="single" w:sz="4" w:space="0" w:color="000000"/>
              <w:right w:val="single" w:sz="4" w:space="0" w:color="000000"/>
            </w:tcBorders>
          </w:tcPr>
          <w:p>
            <w:pPr/>
          </w:p>
        </w:tc>
        <w:tc>
          <w:tcPr>
            <w:tcW w:w="526" w:type="dxa"/>
            <w:vMerge w:val="restart"/>
            <w:tcBorders>
              <w:top w:val="single" w:sz="4" w:space="0" w:color="000000"/>
              <w:left w:val="single" w:sz="4" w:space="0" w:color="000000"/>
              <w:right w:val="single" w:sz="4" w:space="0" w:color="000000"/>
            </w:tcBorders>
          </w:tcPr>
          <w:p>
            <w:pPr/>
          </w:p>
        </w:tc>
        <w:tc>
          <w:tcPr>
            <w:tcW w:w="367"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5"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Style w:val="TableParagraph"/>
              <w:spacing w:line="240" w:lineRule="auto" w:before="91"/>
              <w:ind w:left="62" w:right="0"/>
              <w:jc w:val="left"/>
              <w:rPr>
                <w:rFonts w:ascii="Times New Roman" w:hAnsi="Times New Roman" w:cs="Times New Roman" w:eastAsia="Times New Roman" w:hint="default"/>
                <w:sz w:val="18"/>
                <w:szCs w:val="18"/>
              </w:rPr>
            </w:pPr>
            <w:r>
              <w:rPr>
                <w:rFonts w:ascii="Times New Roman"/>
                <w:sz w:val="18"/>
              </w:rPr>
              <w:t>13,520,8</w:t>
            </w:r>
          </w:p>
          <w:p>
            <w:pPr>
              <w:pStyle w:val="TableParagraph"/>
              <w:spacing w:line="240" w:lineRule="auto" w:before="105"/>
              <w:ind w:left="287" w:right="0"/>
              <w:jc w:val="left"/>
              <w:rPr>
                <w:rFonts w:ascii="Times New Roman" w:hAnsi="Times New Roman" w:cs="Times New Roman" w:eastAsia="Times New Roman" w:hint="default"/>
                <w:sz w:val="18"/>
                <w:szCs w:val="18"/>
              </w:rPr>
            </w:pPr>
            <w:r>
              <w:rPr>
                <w:rFonts w:ascii="Times New Roman"/>
                <w:sz w:val="18"/>
              </w:rPr>
              <w:t>50.32</w:t>
            </w:r>
          </w:p>
        </w:tc>
        <w:tc>
          <w:tcPr>
            <w:tcW w:w="614" w:type="dxa"/>
            <w:vMerge w:val="restart"/>
            <w:tcBorders>
              <w:top w:val="single" w:sz="4" w:space="0" w:color="000000"/>
              <w:left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-13,520</w:t>
            </w:r>
          </w:p>
          <w:p>
            <w:pPr>
              <w:pStyle w:val="TableParagraph"/>
              <w:spacing w:line="240" w:lineRule="auto" w:before="105"/>
              <w:ind w:left="43" w:right="0"/>
              <w:jc w:val="left"/>
              <w:rPr>
                <w:rFonts w:ascii="Times New Roman" w:hAnsi="Times New Roman" w:cs="Times New Roman" w:eastAsia="Times New Roman" w:hint="default"/>
                <w:sz w:val="18"/>
                <w:szCs w:val="18"/>
              </w:rPr>
            </w:pPr>
            <w:r>
              <w:rPr>
                <w:rFonts w:ascii="Times New Roman"/>
                <w:sz w:val="18"/>
              </w:rPr>
              <w:t>,850.32</w:t>
            </w:r>
          </w:p>
        </w:tc>
        <w:tc>
          <w:tcPr>
            <w:tcW w:w="710" w:type="dxa"/>
            <w:vMerge w:val="restart"/>
            <w:tcBorders>
              <w:top w:val="single" w:sz="4" w:space="0" w:color="000000"/>
              <w:left w:val="single" w:sz="4" w:space="0" w:color="000000"/>
              <w:right w:val="single" w:sz="4" w:space="0" w:color="000000"/>
            </w:tcBorders>
          </w:tcPr>
          <w:p>
            <w:pPr/>
          </w:p>
        </w:tc>
        <w:tc>
          <w:tcPr>
            <w:tcW w:w="862" w:type="dxa"/>
            <w:vMerge w:val="restart"/>
            <w:tcBorders>
              <w:top w:val="single" w:sz="4" w:space="0" w:color="000000"/>
              <w:left w:val="single" w:sz="4" w:space="0" w:color="000000"/>
              <w:right w:val="single" w:sz="4" w:space="0" w:color="000000"/>
            </w:tcBorders>
          </w:tcPr>
          <w:p>
            <w:pPr/>
          </w:p>
        </w:tc>
      </w:tr>
      <w:tr>
        <w:trPr>
          <w:trHeight w:val="391" w:hRule="exact"/>
        </w:trPr>
        <w:tc>
          <w:tcPr>
            <w:tcW w:w="157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716" w:type="dxa"/>
            <w:vMerge/>
            <w:tcBorders>
              <w:left w:val="single" w:sz="10" w:space="0" w:color="D4D4D4"/>
              <w:right w:val="single" w:sz="4" w:space="0" w:color="000000"/>
            </w:tcBorders>
          </w:tcPr>
          <w:p>
            <w:pPr/>
          </w:p>
        </w:tc>
        <w:tc>
          <w:tcPr>
            <w:tcW w:w="554" w:type="dxa"/>
            <w:vMerge/>
            <w:tcBorders>
              <w:left w:val="single" w:sz="4" w:space="0" w:color="000000"/>
              <w:right w:val="single" w:sz="4" w:space="0" w:color="000000"/>
            </w:tcBorders>
          </w:tcPr>
          <w:p>
            <w:pPr/>
          </w:p>
        </w:tc>
        <w:tc>
          <w:tcPr>
            <w:tcW w:w="526" w:type="dxa"/>
            <w:vMerge/>
            <w:tcBorders>
              <w:left w:val="single" w:sz="4" w:space="0" w:color="000000"/>
              <w:right w:val="single" w:sz="4" w:space="0" w:color="000000"/>
            </w:tcBorders>
          </w:tcPr>
          <w:p>
            <w:pPr/>
          </w:p>
        </w:tc>
        <w:tc>
          <w:tcPr>
            <w:tcW w:w="36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614" w:type="dxa"/>
            <w:vMerge/>
            <w:tcBorders>
              <w:left w:val="single" w:sz="4" w:space="0" w:color="000000"/>
              <w:right w:val="single" w:sz="4" w:space="0" w:color="000000"/>
            </w:tcBorders>
          </w:tcPr>
          <w:p>
            <w:pPr/>
          </w:p>
        </w:tc>
        <w:tc>
          <w:tcPr>
            <w:tcW w:w="710" w:type="dxa"/>
            <w:vMerge/>
            <w:tcBorders>
              <w:left w:val="single" w:sz="4" w:space="0" w:color="000000"/>
              <w:right w:val="single" w:sz="4" w:space="0" w:color="000000"/>
            </w:tcBorders>
          </w:tcPr>
          <w:p>
            <w:pPr/>
          </w:p>
        </w:tc>
        <w:tc>
          <w:tcPr>
            <w:tcW w:w="862" w:type="dxa"/>
            <w:vMerge/>
            <w:tcBorders>
              <w:left w:val="single" w:sz="4" w:space="0" w:color="000000"/>
              <w:right w:val="single" w:sz="4" w:space="0" w:color="000000"/>
            </w:tcBorders>
          </w:tcPr>
          <w:p>
            <w:pPr/>
          </w:p>
        </w:tc>
      </w:tr>
      <w:tr>
        <w:trPr>
          <w:trHeight w:val="161" w:hRule="exact"/>
        </w:trPr>
        <w:tc>
          <w:tcPr>
            <w:tcW w:w="1571" w:type="dxa"/>
            <w:tcBorders>
              <w:top w:val="nil" w:sz="6" w:space="0" w:color="auto"/>
              <w:left w:val="single" w:sz="4" w:space="0" w:color="000000"/>
              <w:bottom w:val="single" w:sz="4" w:space="0" w:color="000000"/>
              <w:right w:val="single" w:sz="4" w:space="0" w:color="000000"/>
            </w:tcBorders>
            <w:shd w:val="clear" w:color="auto" w:fill="D4D4D4"/>
          </w:tcPr>
          <w:p>
            <w:pPr/>
          </w:p>
        </w:tc>
        <w:tc>
          <w:tcPr>
            <w:tcW w:w="716" w:type="dxa"/>
            <w:vMerge/>
            <w:tcBorders>
              <w:left w:val="single" w:sz="10" w:space="0" w:color="D4D4D4"/>
              <w:bottom w:val="single" w:sz="4" w:space="0" w:color="000000"/>
              <w:right w:val="single" w:sz="4" w:space="0" w:color="000000"/>
            </w:tcBorders>
          </w:tcPr>
          <w:p>
            <w:pPr/>
          </w:p>
        </w:tc>
        <w:tc>
          <w:tcPr>
            <w:tcW w:w="554" w:type="dxa"/>
            <w:vMerge/>
            <w:tcBorders>
              <w:left w:val="single" w:sz="4" w:space="0" w:color="000000"/>
              <w:bottom w:val="single" w:sz="4" w:space="0" w:color="000000"/>
              <w:right w:val="single" w:sz="4" w:space="0" w:color="000000"/>
            </w:tcBorders>
          </w:tcPr>
          <w:p>
            <w:pPr/>
          </w:p>
        </w:tc>
        <w:tc>
          <w:tcPr>
            <w:tcW w:w="526" w:type="dxa"/>
            <w:vMerge/>
            <w:tcBorders>
              <w:left w:val="single" w:sz="4" w:space="0" w:color="000000"/>
              <w:bottom w:val="single" w:sz="4" w:space="0" w:color="000000"/>
              <w:right w:val="single" w:sz="4" w:space="0" w:color="000000"/>
            </w:tcBorders>
          </w:tcPr>
          <w:p>
            <w:pPr/>
          </w:p>
        </w:tc>
        <w:tc>
          <w:tcPr>
            <w:tcW w:w="36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614" w:type="dxa"/>
            <w:vMerge/>
            <w:tcBorders>
              <w:left w:val="single" w:sz="4" w:space="0" w:color="000000"/>
              <w:bottom w:val="single" w:sz="4" w:space="0" w:color="000000"/>
              <w:right w:val="single" w:sz="4" w:space="0" w:color="000000"/>
            </w:tcBorders>
          </w:tcPr>
          <w:p>
            <w:pPr/>
          </w:p>
        </w:tc>
        <w:tc>
          <w:tcPr>
            <w:tcW w:w="710" w:type="dxa"/>
            <w:vMerge/>
            <w:tcBorders>
              <w:left w:val="single" w:sz="4" w:space="0" w:color="000000"/>
              <w:bottom w:val="single" w:sz="4" w:space="0" w:color="000000"/>
              <w:right w:val="single" w:sz="4" w:space="0" w:color="000000"/>
            </w:tcBorders>
          </w:tcPr>
          <w:p>
            <w:pPr/>
          </w:p>
        </w:tc>
        <w:tc>
          <w:tcPr>
            <w:tcW w:w="862" w:type="dxa"/>
            <w:vMerge/>
            <w:tcBorders>
              <w:left w:val="single" w:sz="4" w:space="0" w:color="000000"/>
              <w:bottom w:val="single" w:sz="4" w:space="0" w:color="000000"/>
              <w:right w:val="single" w:sz="4" w:space="0" w:color="000000"/>
            </w:tcBorders>
          </w:tcPr>
          <w:p>
            <w:pPr/>
          </w:p>
        </w:tc>
      </w:tr>
      <w:tr>
        <w:trPr>
          <w:trHeight w:val="715" w:hRule="exact"/>
        </w:trPr>
        <w:tc>
          <w:tcPr>
            <w:tcW w:w="15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97" w:lineRule="auto" w:before="51"/>
              <w:ind w:left="12" w:right="1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．对所有者（或股 东）的分配</w:t>
            </w:r>
          </w:p>
        </w:tc>
        <w:tc>
          <w:tcPr>
            <w:tcW w:w="716" w:type="dxa"/>
            <w:tcBorders>
              <w:top w:val="single" w:sz="4" w:space="0" w:color="000000"/>
              <w:left w:val="single" w:sz="10" w:space="0" w:color="D4D4D4"/>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8" w:right="0"/>
              <w:jc w:val="left"/>
              <w:rPr>
                <w:rFonts w:ascii="Times New Roman" w:hAnsi="Times New Roman" w:cs="Times New Roman" w:eastAsia="Times New Roman" w:hint="default"/>
                <w:sz w:val="18"/>
                <w:szCs w:val="18"/>
              </w:rPr>
            </w:pPr>
            <w:r>
              <w:rPr>
                <w:rFonts w:ascii="Times New Roman"/>
                <w:sz w:val="18"/>
              </w:rPr>
              <w:t>-63,586</w:t>
            </w:r>
          </w:p>
          <w:p>
            <w:pPr>
              <w:pStyle w:val="TableParagraph"/>
              <w:spacing w:line="240" w:lineRule="auto" w:before="102"/>
              <w:ind w:left="43" w:right="0"/>
              <w:jc w:val="left"/>
              <w:rPr>
                <w:rFonts w:ascii="Times New Roman" w:hAnsi="Times New Roman" w:cs="Times New Roman" w:eastAsia="Times New Roman" w:hint="default"/>
                <w:sz w:val="18"/>
                <w:szCs w:val="18"/>
              </w:rPr>
            </w:pPr>
            <w:r>
              <w:rPr>
                <w:rFonts w:ascii="Times New Roman"/>
                <w:sz w:val="18"/>
              </w:rPr>
              <w:t>,624.72</w:t>
            </w: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0" w:right="0"/>
              <w:jc w:val="left"/>
              <w:rPr>
                <w:rFonts w:ascii="Times New Roman" w:hAnsi="Times New Roman" w:cs="Times New Roman" w:eastAsia="Times New Roman" w:hint="default"/>
                <w:sz w:val="18"/>
                <w:szCs w:val="18"/>
              </w:rPr>
            </w:pPr>
            <w:r>
              <w:rPr>
                <w:rFonts w:ascii="Times New Roman"/>
                <w:sz w:val="18"/>
              </w:rPr>
              <w:t>-63,586,62</w:t>
            </w:r>
          </w:p>
          <w:p>
            <w:pPr>
              <w:pStyle w:val="TableParagraph"/>
              <w:spacing w:line="240" w:lineRule="auto" w:before="102"/>
              <w:ind w:left="515" w:right="0"/>
              <w:jc w:val="left"/>
              <w:rPr>
                <w:rFonts w:ascii="Times New Roman" w:hAnsi="Times New Roman" w:cs="Times New Roman" w:eastAsia="Times New Roman" w:hint="default"/>
                <w:sz w:val="18"/>
                <w:szCs w:val="18"/>
              </w:rPr>
            </w:pPr>
            <w:r>
              <w:rPr>
                <w:rFonts w:ascii="Times New Roman"/>
                <w:sz w:val="18"/>
              </w:rPr>
              <w:t>4.72</w:t>
            </w:r>
          </w:p>
        </w:tc>
      </w:tr>
      <w:tr>
        <w:trPr>
          <w:trHeight w:val="401" w:hRule="exact"/>
        </w:trPr>
        <w:tc>
          <w:tcPr>
            <w:tcW w:w="15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716" w:type="dxa"/>
            <w:tcBorders>
              <w:top w:val="single" w:sz="4" w:space="0" w:color="000000"/>
              <w:left w:val="single" w:sz="10" w:space="0" w:color="D4D4D4"/>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1"/>
              <w:ind w:left="12" w:right="8"/>
              <w:jc w:val="left"/>
              <w:rPr>
                <w:rFonts w:ascii="宋体" w:hAnsi="宋体" w:cs="宋体" w:eastAsia="宋体" w:hint="default"/>
                <w:sz w:val="18"/>
                <w:szCs w:val="18"/>
              </w:rPr>
            </w:pPr>
            <w:r>
              <w:rPr>
                <w:rFonts w:ascii="宋体" w:hAnsi="宋体" w:cs="宋体" w:eastAsia="宋体" w:hint="default"/>
                <w:spacing w:val="-10"/>
                <w:sz w:val="18"/>
                <w:szCs w:val="18"/>
              </w:rPr>
              <w:t>（四）所有者权益内</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部结转</w:t>
            </w:r>
          </w:p>
        </w:tc>
        <w:tc>
          <w:tcPr>
            <w:tcW w:w="716" w:type="dxa"/>
            <w:tcBorders>
              <w:top w:val="single" w:sz="4" w:space="0" w:color="000000"/>
              <w:left w:val="single" w:sz="10" w:space="0" w:color="D4D4D4"/>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0" w:lineRule="auto" w:before="49"/>
              <w:ind w:left="12" w:right="1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 本（或股本）</w:t>
            </w:r>
          </w:p>
        </w:tc>
        <w:tc>
          <w:tcPr>
            <w:tcW w:w="716" w:type="dxa"/>
            <w:tcBorders>
              <w:top w:val="single" w:sz="4" w:space="0" w:color="000000"/>
              <w:left w:val="single" w:sz="10" w:space="0" w:color="D4D4D4"/>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592"/>
        <w:gridCol w:w="706"/>
        <w:gridCol w:w="554"/>
        <w:gridCol w:w="526"/>
        <w:gridCol w:w="367"/>
        <w:gridCol w:w="727"/>
        <w:gridCol w:w="727"/>
        <w:gridCol w:w="725"/>
        <w:gridCol w:w="727"/>
        <w:gridCol w:w="727"/>
        <w:gridCol w:w="614"/>
        <w:gridCol w:w="710"/>
        <w:gridCol w:w="862"/>
      </w:tblGrid>
      <w:tr>
        <w:trPr>
          <w:trHeight w:val="713" w:hRule="exact"/>
        </w:trPr>
        <w:tc>
          <w:tcPr>
            <w:tcW w:w="15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0" w:lineRule="auto" w:before="49"/>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 本（或股本）</w:t>
            </w:r>
          </w:p>
        </w:tc>
        <w:tc>
          <w:tcPr>
            <w:tcW w:w="706" w:type="dxa"/>
            <w:tcBorders>
              <w:top w:val="single" w:sz="4" w:space="0" w:color="000000"/>
              <w:left w:val="single" w:sz="4" w:space="0" w:color="000000"/>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97" w:lineRule="auto" w:before="51"/>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 损</w:t>
            </w:r>
          </w:p>
        </w:tc>
        <w:tc>
          <w:tcPr>
            <w:tcW w:w="706" w:type="dxa"/>
            <w:tcBorders>
              <w:top w:val="single" w:sz="4" w:space="0" w:color="000000"/>
              <w:left w:val="single" w:sz="4" w:space="0" w:color="000000"/>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5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0" w:lineRule="auto" w:before="49"/>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．设定受益计划变 动额结转留存收益</w:t>
            </w:r>
          </w:p>
        </w:tc>
        <w:tc>
          <w:tcPr>
            <w:tcW w:w="706" w:type="dxa"/>
            <w:tcBorders>
              <w:top w:val="single" w:sz="4" w:space="0" w:color="000000"/>
              <w:left w:val="single" w:sz="4" w:space="0" w:color="000000"/>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97" w:lineRule="auto" w:before="51"/>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．其他综合收益结 转留存收益</w:t>
            </w:r>
          </w:p>
        </w:tc>
        <w:tc>
          <w:tcPr>
            <w:tcW w:w="706" w:type="dxa"/>
            <w:tcBorders>
              <w:top w:val="single" w:sz="4" w:space="0" w:color="000000"/>
              <w:left w:val="single" w:sz="4" w:space="0" w:color="000000"/>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5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706" w:type="dxa"/>
            <w:tcBorders>
              <w:top w:val="single" w:sz="4" w:space="0" w:color="000000"/>
              <w:left w:val="single" w:sz="4" w:space="0" w:color="000000"/>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706" w:type="dxa"/>
            <w:tcBorders>
              <w:top w:val="single" w:sz="4" w:space="0" w:color="000000"/>
              <w:left w:val="single" w:sz="4" w:space="0" w:color="000000"/>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5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706" w:type="dxa"/>
            <w:tcBorders>
              <w:top w:val="single" w:sz="4" w:space="0" w:color="000000"/>
              <w:left w:val="single" w:sz="4" w:space="0" w:color="000000"/>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706" w:type="dxa"/>
            <w:tcBorders>
              <w:top w:val="single" w:sz="4" w:space="0" w:color="000000"/>
              <w:left w:val="single" w:sz="4" w:space="0" w:color="000000"/>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5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706" w:type="dxa"/>
            <w:tcBorders>
              <w:top w:val="single" w:sz="4" w:space="0" w:color="000000"/>
              <w:left w:val="single" w:sz="4" w:space="0" w:color="000000"/>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5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20" w:right="0"/>
              <w:jc w:val="center"/>
              <w:rPr>
                <w:rFonts w:ascii="Times New Roman" w:hAnsi="Times New Roman" w:cs="Times New Roman" w:eastAsia="Times New Roman" w:hint="default"/>
                <w:sz w:val="18"/>
                <w:szCs w:val="18"/>
              </w:rPr>
            </w:pPr>
            <w:r>
              <w:rPr>
                <w:rFonts w:ascii="Times New Roman"/>
                <w:sz w:val="18"/>
              </w:rPr>
              <w:t>803,993,</w:t>
            </w:r>
          </w:p>
          <w:p>
            <w:pPr>
              <w:pStyle w:val="TableParagraph"/>
              <w:spacing w:line="240" w:lineRule="auto" w:before="102"/>
              <w:ind w:left="153" w:right="0"/>
              <w:jc w:val="center"/>
              <w:rPr>
                <w:rFonts w:ascii="Times New Roman" w:hAnsi="Times New Roman" w:cs="Times New Roman" w:eastAsia="Times New Roman" w:hint="default"/>
                <w:sz w:val="18"/>
                <w:szCs w:val="18"/>
              </w:rPr>
            </w:pPr>
            <w:r>
              <w:rPr>
                <w:rFonts w:ascii="Times New Roman"/>
                <w:sz w:val="18"/>
              </w:rPr>
              <w:t>717.00</w:t>
            </w:r>
          </w:p>
        </w:tc>
        <w:tc>
          <w:tcPr>
            <w:tcW w:w="55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36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903,526,</w:t>
            </w:r>
          </w:p>
          <w:p>
            <w:pPr>
              <w:pStyle w:val="TableParagraph"/>
              <w:spacing w:line="240" w:lineRule="auto" w:before="102"/>
              <w:ind w:left="175" w:right="0"/>
              <w:jc w:val="center"/>
              <w:rPr>
                <w:rFonts w:ascii="Times New Roman" w:hAnsi="Times New Roman" w:cs="Times New Roman" w:eastAsia="Times New Roman" w:hint="default"/>
                <w:sz w:val="18"/>
                <w:szCs w:val="18"/>
              </w:rPr>
            </w:pPr>
            <w:r>
              <w:rPr>
                <w:rFonts w:ascii="Times New Roman"/>
                <w:sz w:val="18"/>
              </w:rPr>
              <w:t>704.59</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80,782,9</w:t>
            </w:r>
          </w:p>
          <w:p>
            <w:pPr>
              <w:pStyle w:val="TableParagraph"/>
              <w:spacing w:line="240" w:lineRule="auto" w:before="102"/>
              <w:ind w:left="290" w:right="0"/>
              <w:jc w:val="left"/>
              <w:rPr>
                <w:rFonts w:ascii="Times New Roman" w:hAnsi="Times New Roman" w:cs="Times New Roman" w:eastAsia="Times New Roman" w:hint="default"/>
                <w:sz w:val="18"/>
                <w:szCs w:val="18"/>
              </w:rPr>
            </w:pPr>
            <w:r>
              <w:rPr>
                <w:rFonts w:ascii="Times New Roman"/>
                <w:sz w:val="18"/>
              </w:rPr>
              <w:t>65.00</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260,015,</w:t>
            </w:r>
          </w:p>
          <w:p>
            <w:pPr>
              <w:pStyle w:val="TableParagraph"/>
              <w:spacing w:line="240" w:lineRule="auto" w:before="102"/>
              <w:ind w:left="177" w:right="0"/>
              <w:jc w:val="center"/>
              <w:rPr>
                <w:rFonts w:ascii="Times New Roman" w:hAnsi="Times New Roman" w:cs="Times New Roman" w:eastAsia="Times New Roman" w:hint="default"/>
                <w:sz w:val="18"/>
                <w:szCs w:val="18"/>
              </w:rPr>
            </w:pPr>
            <w:r>
              <w:rPr>
                <w:rFonts w:ascii="Times New Roman"/>
                <w:sz w:val="18"/>
              </w:rPr>
              <w:t>289.56</w:t>
            </w: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56" w:right="0"/>
              <w:jc w:val="center"/>
              <w:rPr>
                <w:rFonts w:ascii="Times New Roman" w:hAnsi="Times New Roman" w:cs="Times New Roman" w:eastAsia="Times New Roman" w:hint="default"/>
                <w:sz w:val="18"/>
                <w:szCs w:val="18"/>
              </w:rPr>
            </w:pPr>
            <w:r>
              <w:rPr>
                <w:rFonts w:ascii="Times New Roman"/>
                <w:sz w:val="18"/>
              </w:rPr>
              <w:t>111,216,</w:t>
            </w:r>
          </w:p>
          <w:p>
            <w:pPr>
              <w:pStyle w:val="TableParagraph"/>
              <w:spacing w:line="240" w:lineRule="auto" w:before="102"/>
              <w:ind w:left="175" w:right="0"/>
              <w:jc w:val="center"/>
              <w:rPr>
                <w:rFonts w:ascii="Times New Roman" w:hAnsi="Times New Roman" w:cs="Times New Roman" w:eastAsia="Times New Roman" w:hint="default"/>
                <w:sz w:val="18"/>
                <w:szCs w:val="18"/>
              </w:rPr>
            </w:pPr>
            <w:r>
              <w:rPr>
                <w:rFonts w:ascii="Times New Roman"/>
                <w:sz w:val="18"/>
              </w:rPr>
              <w:t>597.97</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753,28</w:t>
            </w:r>
            <w:r>
              <w:rPr>
                <w:rFonts w:ascii="Times New Roman"/>
                <w:sz w:val="18"/>
              </w:rPr>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pacing w:val="-1"/>
                <w:sz w:val="18"/>
              </w:rPr>
              <w:t>0,486.9</w:t>
            </w:r>
            <w:r>
              <w:rPr>
                <w:rFonts w:ascii="Times New Roman"/>
                <w:sz w:val="18"/>
              </w:rPr>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2,751,249,</w:t>
            </w:r>
          </w:p>
          <w:p>
            <w:pPr>
              <w:pStyle w:val="TableParagraph"/>
              <w:spacing w:line="240" w:lineRule="auto" w:before="102"/>
              <w:ind w:left="336" w:right="0"/>
              <w:jc w:val="left"/>
              <w:rPr>
                <w:rFonts w:ascii="Times New Roman" w:hAnsi="Times New Roman" w:cs="Times New Roman" w:eastAsia="Times New Roman" w:hint="default"/>
                <w:sz w:val="18"/>
                <w:szCs w:val="18"/>
              </w:rPr>
            </w:pPr>
            <w:r>
              <w:rPr>
                <w:rFonts w:ascii="Times New Roman"/>
                <w:sz w:val="18"/>
              </w:rPr>
              <w:t>831.05</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5"/>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208"/>
        <w:gridCol w:w="604"/>
        <w:gridCol w:w="574"/>
        <w:gridCol w:w="571"/>
        <w:gridCol w:w="571"/>
        <w:gridCol w:w="686"/>
        <w:gridCol w:w="686"/>
        <w:gridCol w:w="684"/>
        <w:gridCol w:w="782"/>
        <w:gridCol w:w="665"/>
        <w:gridCol w:w="797"/>
        <w:gridCol w:w="797"/>
        <w:gridCol w:w="931"/>
      </w:tblGrid>
      <w:tr>
        <w:trPr>
          <w:trHeight w:val="398" w:hRule="exact"/>
        </w:trPr>
        <w:tc>
          <w:tcPr>
            <w:tcW w:w="1208" w:type="dxa"/>
            <w:vMerge w:val="restart"/>
            <w:tcBorders>
              <w:top w:val="single" w:sz="4" w:space="0" w:color="000000"/>
              <w:left w:val="single" w:sz="4" w:space="0" w:color="000000"/>
              <w:right w:val="single" w:sz="4" w:space="0" w:color="000000"/>
            </w:tcBorders>
            <w:shd w:val="clear" w:color="auto" w:fill="D4D4D4"/>
          </w:tcPr>
          <w:p>
            <w:pPr/>
          </w:p>
        </w:tc>
        <w:tc>
          <w:tcPr>
            <w:tcW w:w="8348" w:type="dxa"/>
            <w:gridSpan w:val="1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w:t>
            </w:r>
          </w:p>
        </w:tc>
      </w:tr>
      <w:tr>
        <w:trPr>
          <w:trHeight w:val="188" w:hRule="exact"/>
        </w:trPr>
        <w:tc>
          <w:tcPr>
            <w:tcW w:w="1208" w:type="dxa"/>
            <w:vMerge/>
            <w:tcBorders>
              <w:left w:val="single" w:sz="4" w:space="0" w:color="000000"/>
              <w:bottom w:val="nil" w:sz="6" w:space="0" w:color="auto"/>
              <w:right w:val="single" w:sz="4" w:space="0" w:color="000000"/>
            </w:tcBorders>
            <w:shd w:val="clear" w:color="auto" w:fill="D4D4D4"/>
          </w:tcPr>
          <w:p>
            <w:pPr/>
          </w:p>
        </w:tc>
        <w:tc>
          <w:tcPr>
            <w:tcW w:w="604" w:type="dxa"/>
            <w:vMerge w:val="restart"/>
            <w:tcBorders>
              <w:top w:val="single" w:sz="4" w:space="0" w:color="000000"/>
              <w:left w:val="single" w:sz="4" w:space="0" w:color="000000"/>
              <w:right w:val="single" w:sz="4" w:space="0" w:color="000000"/>
            </w:tcBorders>
            <w:shd w:val="clear" w:color="auto" w:fill="D4D4D4"/>
          </w:tcPr>
          <w:p>
            <w:pPr/>
          </w:p>
        </w:tc>
        <w:tc>
          <w:tcPr>
            <w:tcW w:w="1716" w:type="dxa"/>
            <w:gridSpan w:val="3"/>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316"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86" w:type="dxa"/>
            <w:tcBorders>
              <w:top w:val="single" w:sz="4" w:space="0" w:color="000000"/>
              <w:left w:val="single" w:sz="4" w:space="0" w:color="000000"/>
              <w:bottom w:val="nil" w:sz="6" w:space="0" w:color="auto"/>
              <w:right w:val="single" w:sz="4" w:space="0" w:color="000000"/>
            </w:tcBorders>
            <w:shd w:val="clear" w:color="auto" w:fill="D4D4D4"/>
          </w:tcPr>
          <w:p>
            <w:pPr/>
          </w:p>
        </w:tc>
        <w:tc>
          <w:tcPr>
            <w:tcW w:w="686" w:type="dxa"/>
            <w:tcBorders>
              <w:top w:val="single" w:sz="4" w:space="0" w:color="000000"/>
              <w:left w:val="single" w:sz="4" w:space="0" w:color="000000"/>
              <w:bottom w:val="nil" w:sz="6" w:space="0" w:color="auto"/>
              <w:right w:val="single" w:sz="4" w:space="0" w:color="000000"/>
            </w:tcBorders>
            <w:shd w:val="clear" w:color="auto" w:fill="D4D4D4"/>
          </w:tcPr>
          <w:p>
            <w:pPr/>
          </w:p>
        </w:tc>
        <w:tc>
          <w:tcPr>
            <w:tcW w:w="684" w:type="dxa"/>
            <w:tcBorders>
              <w:top w:val="single" w:sz="4" w:space="0" w:color="000000"/>
              <w:left w:val="single" w:sz="4" w:space="0" w:color="000000"/>
              <w:bottom w:val="nil" w:sz="6" w:space="0" w:color="auto"/>
              <w:right w:val="single" w:sz="4" w:space="0" w:color="000000"/>
            </w:tcBorders>
            <w:shd w:val="clear" w:color="auto" w:fill="D4D4D4"/>
          </w:tcPr>
          <w:p>
            <w:pPr/>
          </w:p>
        </w:tc>
        <w:tc>
          <w:tcPr>
            <w:tcW w:w="782" w:type="dxa"/>
            <w:vMerge w:val="restart"/>
            <w:tcBorders>
              <w:top w:val="single" w:sz="4" w:space="0" w:color="000000"/>
              <w:left w:val="single" w:sz="4" w:space="0" w:color="000000"/>
              <w:right w:val="single" w:sz="4" w:space="0" w:color="000000"/>
            </w:tcBorders>
            <w:shd w:val="clear" w:color="auto" w:fill="D4D4D4"/>
          </w:tcPr>
          <w:p>
            <w:pPr/>
          </w:p>
        </w:tc>
        <w:tc>
          <w:tcPr>
            <w:tcW w:w="665" w:type="dxa"/>
            <w:tcBorders>
              <w:top w:val="single" w:sz="4" w:space="0" w:color="000000"/>
              <w:left w:val="single" w:sz="4" w:space="0" w:color="000000"/>
              <w:bottom w:val="nil" w:sz="6" w:space="0" w:color="auto"/>
              <w:right w:val="single" w:sz="4" w:space="0" w:color="000000"/>
            </w:tcBorders>
            <w:shd w:val="clear" w:color="auto" w:fill="D4D4D4"/>
          </w:tcPr>
          <w:p>
            <w:pPr/>
          </w:p>
        </w:tc>
        <w:tc>
          <w:tcPr>
            <w:tcW w:w="797" w:type="dxa"/>
            <w:tcBorders>
              <w:top w:val="single" w:sz="4" w:space="0" w:color="000000"/>
              <w:left w:val="single" w:sz="4" w:space="0" w:color="000000"/>
              <w:bottom w:val="nil" w:sz="6" w:space="0" w:color="auto"/>
              <w:right w:val="single" w:sz="4" w:space="0" w:color="000000"/>
            </w:tcBorders>
            <w:shd w:val="clear" w:color="auto" w:fill="D4D4D4"/>
          </w:tcPr>
          <w:p>
            <w:pPr/>
          </w:p>
        </w:tc>
        <w:tc>
          <w:tcPr>
            <w:tcW w:w="797" w:type="dxa"/>
            <w:vMerge w:val="restart"/>
            <w:tcBorders>
              <w:top w:val="single" w:sz="4" w:space="0" w:color="000000"/>
              <w:left w:val="single" w:sz="4" w:space="0" w:color="000000"/>
              <w:right w:val="single" w:sz="4" w:space="0" w:color="000000"/>
            </w:tcBorders>
            <w:shd w:val="clear" w:color="auto" w:fill="D4D4D4"/>
          </w:tcPr>
          <w:p>
            <w:pPr/>
          </w:p>
        </w:tc>
        <w:tc>
          <w:tcPr>
            <w:tcW w:w="931" w:type="dxa"/>
            <w:tcBorders>
              <w:top w:val="single" w:sz="4" w:space="0" w:color="000000"/>
              <w:left w:val="single" w:sz="4" w:space="0" w:color="000000"/>
              <w:bottom w:val="nil" w:sz="6" w:space="0" w:color="auto"/>
              <w:right w:val="single" w:sz="4" w:space="0" w:color="000000"/>
            </w:tcBorders>
            <w:shd w:val="clear" w:color="auto" w:fill="D4D4D4"/>
          </w:tcPr>
          <w:p>
            <w:pPr/>
          </w:p>
        </w:tc>
      </w:tr>
      <w:tr>
        <w:trPr>
          <w:trHeight w:val="179" w:hRule="exact"/>
        </w:trPr>
        <w:tc>
          <w:tcPr>
            <w:tcW w:w="1208"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26"/>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604" w:type="dxa"/>
            <w:vMerge/>
            <w:tcBorders>
              <w:left w:val="single" w:sz="4" w:space="0" w:color="000000"/>
              <w:bottom w:val="nil" w:sz="6" w:space="0" w:color="auto"/>
              <w:right w:val="single" w:sz="4" w:space="0" w:color="000000"/>
            </w:tcBorders>
            <w:shd w:val="clear" w:color="auto" w:fill="D4D4D4"/>
          </w:tcPr>
          <w:p>
            <w:pPr/>
          </w:p>
        </w:tc>
        <w:tc>
          <w:tcPr>
            <w:tcW w:w="1716" w:type="dxa"/>
            <w:gridSpan w:val="3"/>
            <w:vMerge/>
            <w:tcBorders>
              <w:left w:val="single" w:sz="4" w:space="0" w:color="000000"/>
              <w:bottom w:val="single" w:sz="4" w:space="0" w:color="000000"/>
              <w:right w:val="single" w:sz="4" w:space="0" w:color="000000"/>
            </w:tcBorders>
            <w:shd w:val="clear" w:color="auto" w:fill="D4D4D4"/>
          </w:tcPr>
          <w:p>
            <w:pPr/>
          </w:p>
        </w:tc>
        <w:tc>
          <w:tcPr>
            <w:tcW w:w="686" w:type="dxa"/>
            <w:vMerge w:val="restart"/>
            <w:tcBorders>
              <w:top w:val="nil" w:sz="6" w:space="0" w:color="auto"/>
              <w:left w:val="single" w:sz="4" w:space="0" w:color="000000"/>
              <w:right w:val="single" w:sz="4" w:space="0" w:color="000000"/>
            </w:tcBorders>
            <w:shd w:val="clear" w:color="auto" w:fill="D4D4D4"/>
          </w:tcPr>
          <w:p>
            <w:pPr>
              <w:pStyle w:val="TableParagraph"/>
              <w:spacing w:line="314" w:lineRule="auto" w:before="60"/>
              <w:ind w:left="249" w:right="65"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86" w:type="dxa"/>
            <w:vMerge w:val="restart"/>
            <w:tcBorders>
              <w:top w:val="nil" w:sz="6" w:space="0" w:color="auto"/>
              <w:left w:val="single" w:sz="4" w:space="0" w:color="000000"/>
              <w:right w:val="single" w:sz="4" w:space="0" w:color="000000"/>
            </w:tcBorders>
            <w:shd w:val="clear" w:color="auto" w:fill="D4D4D4"/>
          </w:tcPr>
          <w:p>
            <w:pPr>
              <w:pStyle w:val="TableParagraph"/>
              <w:spacing w:line="314" w:lineRule="auto" w:before="60"/>
              <w:ind w:left="249" w:right="22" w:hanging="226"/>
              <w:jc w:val="left"/>
              <w:rPr>
                <w:rFonts w:ascii="宋体" w:hAnsi="宋体" w:cs="宋体" w:eastAsia="宋体" w:hint="default"/>
                <w:sz w:val="18"/>
                <w:szCs w:val="18"/>
              </w:rPr>
            </w:pPr>
            <w:r>
              <w:rPr>
                <w:rFonts w:ascii="宋体" w:hAnsi="宋体" w:cs="宋体" w:eastAsia="宋体" w:hint="default"/>
                <w:spacing w:val="-23"/>
                <w:sz w:val="18"/>
                <w:szCs w:val="18"/>
              </w:rPr>
              <w:t>减：库存</w:t>
            </w:r>
            <w:r>
              <w:rPr>
                <w:rFonts w:ascii="宋体" w:hAnsi="宋体" w:cs="宋体" w:eastAsia="宋体" w:hint="default"/>
                <w:sz w:val="18"/>
                <w:szCs w:val="18"/>
              </w:rPr>
              <w:t> 股</w:t>
            </w:r>
          </w:p>
        </w:tc>
        <w:tc>
          <w:tcPr>
            <w:tcW w:w="684" w:type="dxa"/>
            <w:vMerge w:val="restart"/>
            <w:tcBorders>
              <w:top w:val="nil" w:sz="6" w:space="0" w:color="auto"/>
              <w:left w:val="single" w:sz="4" w:space="0" w:color="000000"/>
              <w:right w:val="single" w:sz="4" w:space="0" w:color="000000"/>
            </w:tcBorders>
            <w:shd w:val="clear" w:color="auto" w:fill="D4D4D4"/>
          </w:tcPr>
          <w:p>
            <w:pPr>
              <w:pStyle w:val="TableParagraph"/>
              <w:spacing w:line="314" w:lineRule="auto" w:before="60"/>
              <w:ind w:left="67" w:right="65"/>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782" w:type="dxa"/>
            <w:vMerge/>
            <w:tcBorders>
              <w:left w:val="single" w:sz="4" w:space="0" w:color="000000"/>
              <w:bottom w:val="nil" w:sz="6" w:space="0" w:color="auto"/>
              <w:right w:val="single" w:sz="4" w:space="0" w:color="000000"/>
            </w:tcBorders>
            <w:shd w:val="clear" w:color="auto" w:fill="D4D4D4"/>
          </w:tcPr>
          <w:p>
            <w:pPr/>
          </w:p>
        </w:tc>
        <w:tc>
          <w:tcPr>
            <w:tcW w:w="665" w:type="dxa"/>
            <w:vMerge w:val="restart"/>
            <w:tcBorders>
              <w:top w:val="nil" w:sz="6" w:space="0" w:color="auto"/>
              <w:left w:val="single" w:sz="4" w:space="0" w:color="000000"/>
              <w:right w:val="single" w:sz="4" w:space="0" w:color="000000"/>
            </w:tcBorders>
            <w:shd w:val="clear" w:color="auto" w:fill="D4D4D4"/>
          </w:tcPr>
          <w:p>
            <w:pPr>
              <w:pStyle w:val="TableParagraph"/>
              <w:spacing w:line="314" w:lineRule="auto" w:before="54"/>
              <w:ind w:left="237" w:right="55"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797" w:type="dxa"/>
            <w:vMerge w:val="restart"/>
            <w:tcBorders>
              <w:top w:val="nil" w:sz="6" w:space="0" w:color="auto"/>
              <w:left w:val="single" w:sz="4" w:space="0" w:color="000000"/>
              <w:right w:val="single" w:sz="4" w:space="0" w:color="000000"/>
            </w:tcBorders>
            <w:shd w:val="clear" w:color="auto" w:fill="D4D4D4"/>
          </w:tcPr>
          <w:p>
            <w:pPr>
              <w:pStyle w:val="TableParagraph"/>
              <w:spacing w:line="314" w:lineRule="auto" w:before="54"/>
              <w:ind w:left="304" w:right="31" w:hanging="272"/>
              <w:jc w:val="left"/>
              <w:rPr>
                <w:rFonts w:ascii="宋体" w:hAnsi="宋体" w:cs="宋体" w:eastAsia="宋体" w:hint="default"/>
                <w:sz w:val="18"/>
                <w:szCs w:val="18"/>
              </w:rPr>
            </w:pPr>
            <w:r>
              <w:rPr>
                <w:rFonts w:ascii="宋体" w:hAnsi="宋体" w:cs="宋体" w:eastAsia="宋体" w:hint="default"/>
                <w:sz w:val="18"/>
                <w:szCs w:val="18"/>
              </w:rPr>
              <w:t>未分配利 润</w:t>
            </w:r>
          </w:p>
        </w:tc>
        <w:tc>
          <w:tcPr>
            <w:tcW w:w="797" w:type="dxa"/>
            <w:vMerge/>
            <w:tcBorders>
              <w:left w:val="single" w:sz="4" w:space="0" w:color="000000"/>
              <w:bottom w:val="nil" w:sz="6" w:space="0" w:color="auto"/>
              <w:right w:val="single" w:sz="4" w:space="0" w:color="000000"/>
            </w:tcBorders>
            <w:shd w:val="clear" w:color="auto" w:fill="D4D4D4"/>
          </w:tcPr>
          <w:p>
            <w:pPr/>
          </w:p>
        </w:tc>
        <w:tc>
          <w:tcPr>
            <w:tcW w:w="931" w:type="dxa"/>
            <w:vMerge w:val="restart"/>
            <w:tcBorders>
              <w:top w:val="nil" w:sz="6" w:space="0" w:color="auto"/>
              <w:left w:val="single" w:sz="4" w:space="0" w:color="000000"/>
              <w:right w:val="single" w:sz="4" w:space="0" w:color="000000"/>
            </w:tcBorders>
            <w:shd w:val="clear" w:color="auto" w:fill="D4D4D4"/>
          </w:tcPr>
          <w:p>
            <w:pPr>
              <w:pStyle w:val="TableParagraph"/>
              <w:spacing w:line="314" w:lineRule="auto" w:before="54"/>
              <w:ind w:left="189" w:right="98" w:hanging="89"/>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86" w:hRule="exact"/>
        </w:trPr>
        <w:tc>
          <w:tcPr>
            <w:tcW w:w="1208" w:type="dxa"/>
            <w:vMerge/>
            <w:tcBorders>
              <w:left w:val="single" w:sz="4" w:space="0" w:color="000000"/>
              <w:bottom w:val="nil" w:sz="6" w:space="0" w:color="auto"/>
              <w:right w:val="single" w:sz="4" w:space="0" w:color="000000"/>
            </w:tcBorders>
            <w:shd w:val="clear" w:color="auto" w:fill="D4D4D4"/>
          </w:tcPr>
          <w:p>
            <w:pPr/>
          </w:p>
        </w:tc>
        <w:tc>
          <w:tcPr>
            <w:tcW w:w="604"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32"/>
              <w:ind w:left="12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74"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70"/>
              <w:ind w:left="194" w:right="98" w:hanging="92"/>
              <w:jc w:val="left"/>
              <w:rPr>
                <w:rFonts w:ascii="宋体" w:hAnsi="宋体" w:cs="宋体" w:eastAsia="宋体" w:hint="default"/>
                <w:sz w:val="18"/>
                <w:szCs w:val="18"/>
              </w:rPr>
            </w:pPr>
            <w:r>
              <w:rPr>
                <w:rFonts w:ascii="宋体" w:hAnsi="宋体" w:cs="宋体" w:eastAsia="宋体" w:hint="default"/>
                <w:sz w:val="18"/>
                <w:szCs w:val="18"/>
              </w:rPr>
              <w:t>优先 股</w:t>
            </w:r>
          </w:p>
        </w:tc>
        <w:tc>
          <w:tcPr>
            <w:tcW w:w="571"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70"/>
              <w:ind w:left="192" w:right="98" w:hanging="92"/>
              <w:jc w:val="left"/>
              <w:rPr>
                <w:rFonts w:ascii="宋体" w:hAnsi="宋体" w:cs="宋体" w:eastAsia="宋体" w:hint="default"/>
                <w:sz w:val="18"/>
                <w:szCs w:val="18"/>
              </w:rPr>
            </w:pPr>
            <w:r>
              <w:rPr>
                <w:rFonts w:ascii="宋体" w:hAnsi="宋体" w:cs="宋体" w:eastAsia="宋体" w:hint="default"/>
                <w:sz w:val="18"/>
                <w:szCs w:val="18"/>
              </w:rPr>
              <w:t>永续 债</w:t>
            </w:r>
          </w:p>
        </w:tc>
        <w:tc>
          <w:tcPr>
            <w:tcW w:w="571" w:type="dxa"/>
            <w:tcBorders>
              <w:top w:val="single" w:sz="4" w:space="0" w:color="000000"/>
              <w:left w:val="single" w:sz="4" w:space="0" w:color="000000"/>
              <w:bottom w:val="nil" w:sz="6" w:space="0" w:color="auto"/>
              <w:right w:val="single" w:sz="4" w:space="0" w:color="000000"/>
            </w:tcBorders>
            <w:shd w:val="clear" w:color="auto" w:fill="D4D4D4"/>
          </w:tcPr>
          <w:p>
            <w:pPr/>
          </w:p>
        </w:tc>
        <w:tc>
          <w:tcPr>
            <w:tcW w:w="686" w:type="dxa"/>
            <w:vMerge/>
            <w:tcBorders>
              <w:left w:val="single" w:sz="4" w:space="0" w:color="000000"/>
              <w:right w:val="single" w:sz="4" w:space="0" w:color="000000"/>
            </w:tcBorders>
            <w:shd w:val="clear" w:color="auto" w:fill="D4D4D4"/>
          </w:tcPr>
          <w:p>
            <w:pPr/>
          </w:p>
        </w:tc>
        <w:tc>
          <w:tcPr>
            <w:tcW w:w="686" w:type="dxa"/>
            <w:vMerge/>
            <w:tcBorders>
              <w:left w:val="single" w:sz="4" w:space="0" w:color="000000"/>
              <w:right w:val="single" w:sz="4" w:space="0" w:color="000000"/>
            </w:tcBorders>
            <w:shd w:val="clear" w:color="auto" w:fill="D4D4D4"/>
          </w:tcPr>
          <w:p>
            <w:pPr/>
          </w:p>
        </w:tc>
        <w:tc>
          <w:tcPr>
            <w:tcW w:w="684" w:type="dxa"/>
            <w:vMerge/>
            <w:tcBorders>
              <w:left w:val="single" w:sz="4" w:space="0" w:color="000000"/>
              <w:right w:val="single" w:sz="4" w:space="0" w:color="000000"/>
            </w:tcBorders>
            <w:shd w:val="clear" w:color="auto" w:fill="D4D4D4"/>
          </w:tcPr>
          <w:p>
            <w:pPr/>
          </w:p>
        </w:tc>
        <w:tc>
          <w:tcPr>
            <w:tcW w:w="782"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0"/>
              <w:ind w:left="26"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665" w:type="dxa"/>
            <w:vMerge/>
            <w:tcBorders>
              <w:left w:val="single" w:sz="4" w:space="0" w:color="000000"/>
              <w:right w:val="single" w:sz="4" w:space="0" w:color="000000"/>
            </w:tcBorders>
            <w:shd w:val="clear" w:color="auto" w:fill="D4D4D4"/>
          </w:tcPr>
          <w:p>
            <w:pPr/>
          </w:p>
        </w:tc>
        <w:tc>
          <w:tcPr>
            <w:tcW w:w="797" w:type="dxa"/>
            <w:vMerge/>
            <w:tcBorders>
              <w:left w:val="single" w:sz="4" w:space="0" w:color="000000"/>
              <w:right w:val="single" w:sz="4" w:space="0" w:color="000000"/>
            </w:tcBorders>
            <w:shd w:val="clear" w:color="auto" w:fill="D4D4D4"/>
          </w:tcPr>
          <w:p>
            <w:pPr/>
          </w:p>
        </w:tc>
        <w:tc>
          <w:tcPr>
            <w:tcW w:w="797"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0"/>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31" w:type="dxa"/>
            <w:vMerge/>
            <w:tcBorders>
              <w:left w:val="single" w:sz="4" w:space="0" w:color="000000"/>
              <w:right w:val="single" w:sz="4" w:space="0" w:color="000000"/>
            </w:tcBorders>
            <w:shd w:val="clear" w:color="auto" w:fill="D4D4D4"/>
          </w:tcPr>
          <w:p>
            <w:pPr/>
          </w:p>
        </w:tc>
      </w:tr>
      <w:tr>
        <w:trPr>
          <w:trHeight w:val="197" w:hRule="exact"/>
        </w:trPr>
        <w:tc>
          <w:tcPr>
            <w:tcW w:w="1208" w:type="dxa"/>
            <w:vMerge w:val="restart"/>
            <w:tcBorders>
              <w:top w:val="nil" w:sz="6" w:space="0" w:color="auto"/>
              <w:left w:val="single" w:sz="4" w:space="0" w:color="000000"/>
              <w:right w:val="single" w:sz="4" w:space="0" w:color="000000"/>
            </w:tcBorders>
            <w:shd w:val="clear" w:color="auto" w:fill="D4D4D4"/>
          </w:tcPr>
          <w:p>
            <w:pPr/>
          </w:p>
        </w:tc>
        <w:tc>
          <w:tcPr>
            <w:tcW w:w="604" w:type="dxa"/>
            <w:vMerge/>
            <w:tcBorders>
              <w:left w:val="single" w:sz="4" w:space="0" w:color="000000"/>
              <w:bottom w:val="nil" w:sz="6" w:space="0" w:color="auto"/>
              <w:right w:val="single" w:sz="4" w:space="0" w:color="000000"/>
            </w:tcBorders>
            <w:shd w:val="clear" w:color="auto" w:fill="D4D4D4"/>
          </w:tcPr>
          <w:p>
            <w:pPr/>
          </w:p>
        </w:tc>
        <w:tc>
          <w:tcPr>
            <w:tcW w:w="574" w:type="dxa"/>
            <w:vMerge/>
            <w:tcBorders>
              <w:left w:val="single" w:sz="4" w:space="0" w:color="000000"/>
              <w:right w:val="single" w:sz="4" w:space="0" w:color="000000"/>
            </w:tcBorders>
            <w:shd w:val="clear" w:color="auto" w:fill="D4D4D4"/>
          </w:tcPr>
          <w:p>
            <w:pPr/>
          </w:p>
        </w:tc>
        <w:tc>
          <w:tcPr>
            <w:tcW w:w="571" w:type="dxa"/>
            <w:vMerge/>
            <w:tcBorders>
              <w:left w:val="single" w:sz="4" w:space="0" w:color="000000"/>
              <w:right w:val="single" w:sz="4" w:space="0" w:color="000000"/>
            </w:tcBorders>
            <w:shd w:val="clear" w:color="auto" w:fill="D4D4D4"/>
          </w:tcPr>
          <w:p>
            <w:pPr/>
          </w:p>
        </w:tc>
        <w:tc>
          <w:tcPr>
            <w:tcW w:w="571"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86" w:type="dxa"/>
            <w:vMerge/>
            <w:tcBorders>
              <w:left w:val="single" w:sz="4" w:space="0" w:color="000000"/>
              <w:right w:val="single" w:sz="4" w:space="0" w:color="000000"/>
            </w:tcBorders>
            <w:shd w:val="clear" w:color="auto" w:fill="D4D4D4"/>
          </w:tcPr>
          <w:p>
            <w:pPr/>
          </w:p>
        </w:tc>
        <w:tc>
          <w:tcPr>
            <w:tcW w:w="686" w:type="dxa"/>
            <w:vMerge/>
            <w:tcBorders>
              <w:left w:val="single" w:sz="4" w:space="0" w:color="000000"/>
              <w:right w:val="single" w:sz="4" w:space="0" w:color="000000"/>
            </w:tcBorders>
            <w:shd w:val="clear" w:color="auto" w:fill="D4D4D4"/>
          </w:tcPr>
          <w:p>
            <w:pPr/>
          </w:p>
        </w:tc>
        <w:tc>
          <w:tcPr>
            <w:tcW w:w="684" w:type="dxa"/>
            <w:vMerge/>
            <w:tcBorders>
              <w:left w:val="single" w:sz="4" w:space="0" w:color="000000"/>
              <w:right w:val="single" w:sz="4" w:space="0" w:color="000000"/>
            </w:tcBorders>
            <w:shd w:val="clear" w:color="auto" w:fill="D4D4D4"/>
          </w:tcPr>
          <w:p>
            <w:pPr/>
          </w:p>
        </w:tc>
        <w:tc>
          <w:tcPr>
            <w:tcW w:w="782" w:type="dxa"/>
            <w:vMerge/>
            <w:tcBorders>
              <w:left w:val="single" w:sz="4" w:space="0" w:color="000000"/>
              <w:bottom w:val="nil" w:sz="6" w:space="0" w:color="auto"/>
              <w:right w:val="single" w:sz="4" w:space="0" w:color="000000"/>
            </w:tcBorders>
            <w:shd w:val="clear" w:color="auto" w:fill="D4D4D4"/>
          </w:tcPr>
          <w:p>
            <w:pPr/>
          </w:p>
        </w:tc>
        <w:tc>
          <w:tcPr>
            <w:tcW w:w="665" w:type="dxa"/>
            <w:vMerge/>
            <w:tcBorders>
              <w:left w:val="single" w:sz="4" w:space="0" w:color="000000"/>
              <w:right w:val="single" w:sz="4" w:space="0" w:color="000000"/>
            </w:tcBorders>
            <w:shd w:val="clear" w:color="auto" w:fill="D4D4D4"/>
          </w:tcPr>
          <w:p>
            <w:pPr/>
          </w:p>
        </w:tc>
        <w:tc>
          <w:tcPr>
            <w:tcW w:w="797" w:type="dxa"/>
            <w:vMerge/>
            <w:tcBorders>
              <w:left w:val="single" w:sz="4" w:space="0" w:color="000000"/>
              <w:right w:val="single" w:sz="4" w:space="0" w:color="000000"/>
            </w:tcBorders>
            <w:shd w:val="clear" w:color="auto" w:fill="D4D4D4"/>
          </w:tcPr>
          <w:p>
            <w:pPr/>
          </w:p>
        </w:tc>
        <w:tc>
          <w:tcPr>
            <w:tcW w:w="797" w:type="dxa"/>
            <w:vMerge/>
            <w:tcBorders>
              <w:left w:val="single" w:sz="4" w:space="0" w:color="000000"/>
              <w:bottom w:val="nil" w:sz="6" w:space="0" w:color="auto"/>
              <w:right w:val="single" w:sz="4" w:space="0" w:color="000000"/>
            </w:tcBorders>
            <w:shd w:val="clear" w:color="auto" w:fill="D4D4D4"/>
          </w:tcPr>
          <w:p>
            <w:pPr/>
          </w:p>
        </w:tc>
        <w:tc>
          <w:tcPr>
            <w:tcW w:w="931" w:type="dxa"/>
            <w:vMerge/>
            <w:tcBorders>
              <w:left w:val="single" w:sz="4" w:space="0" w:color="000000"/>
              <w:right w:val="single" w:sz="4" w:space="0" w:color="000000"/>
            </w:tcBorders>
            <w:shd w:val="clear" w:color="auto" w:fill="D4D4D4"/>
          </w:tcPr>
          <w:p>
            <w:pPr/>
          </w:p>
        </w:tc>
      </w:tr>
      <w:tr>
        <w:trPr>
          <w:trHeight w:val="156" w:hRule="exact"/>
        </w:trPr>
        <w:tc>
          <w:tcPr>
            <w:tcW w:w="1208" w:type="dxa"/>
            <w:vMerge/>
            <w:tcBorders>
              <w:left w:val="single" w:sz="4" w:space="0" w:color="000000"/>
              <w:right w:val="single" w:sz="4" w:space="0" w:color="000000"/>
            </w:tcBorders>
            <w:shd w:val="clear" w:color="auto" w:fill="D4D4D4"/>
          </w:tcPr>
          <w:p>
            <w:pPr/>
          </w:p>
        </w:tc>
        <w:tc>
          <w:tcPr>
            <w:tcW w:w="604" w:type="dxa"/>
            <w:vMerge w:val="restart"/>
            <w:tcBorders>
              <w:top w:val="nil" w:sz="6" w:space="0" w:color="auto"/>
              <w:left w:val="single" w:sz="4" w:space="0" w:color="000000"/>
              <w:right w:val="single" w:sz="4" w:space="0" w:color="000000"/>
            </w:tcBorders>
            <w:shd w:val="clear" w:color="auto" w:fill="D4D4D4"/>
          </w:tcPr>
          <w:p>
            <w:pPr/>
          </w:p>
        </w:tc>
        <w:tc>
          <w:tcPr>
            <w:tcW w:w="574" w:type="dxa"/>
            <w:vMerge/>
            <w:tcBorders>
              <w:left w:val="single" w:sz="4" w:space="0" w:color="000000"/>
              <w:right w:val="single" w:sz="4" w:space="0" w:color="000000"/>
            </w:tcBorders>
            <w:shd w:val="clear" w:color="auto" w:fill="D4D4D4"/>
          </w:tcPr>
          <w:p>
            <w:pPr/>
          </w:p>
        </w:tc>
        <w:tc>
          <w:tcPr>
            <w:tcW w:w="571" w:type="dxa"/>
            <w:vMerge/>
            <w:tcBorders>
              <w:left w:val="single" w:sz="4" w:space="0" w:color="000000"/>
              <w:right w:val="single" w:sz="4" w:space="0" w:color="000000"/>
            </w:tcBorders>
            <w:shd w:val="clear" w:color="auto" w:fill="D4D4D4"/>
          </w:tcPr>
          <w:p>
            <w:pPr/>
          </w:p>
        </w:tc>
        <w:tc>
          <w:tcPr>
            <w:tcW w:w="571" w:type="dxa"/>
            <w:vMerge/>
            <w:tcBorders>
              <w:left w:val="single" w:sz="4" w:space="0" w:color="000000"/>
              <w:bottom w:val="nil" w:sz="6" w:space="0" w:color="auto"/>
              <w:right w:val="single" w:sz="4" w:space="0" w:color="000000"/>
            </w:tcBorders>
            <w:shd w:val="clear" w:color="auto" w:fill="D4D4D4"/>
          </w:tcPr>
          <w:p>
            <w:pPr/>
          </w:p>
        </w:tc>
        <w:tc>
          <w:tcPr>
            <w:tcW w:w="686" w:type="dxa"/>
            <w:vMerge/>
            <w:tcBorders>
              <w:left w:val="single" w:sz="4" w:space="0" w:color="000000"/>
              <w:bottom w:val="nil" w:sz="6" w:space="0" w:color="auto"/>
              <w:right w:val="single" w:sz="4" w:space="0" w:color="000000"/>
            </w:tcBorders>
            <w:shd w:val="clear" w:color="auto" w:fill="D4D4D4"/>
          </w:tcPr>
          <w:p>
            <w:pPr/>
          </w:p>
        </w:tc>
        <w:tc>
          <w:tcPr>
            <w:tcW w:w="686" w:type="dxa"/>
            <w:vMerge/>
            <w:tcBorders>
              <w:left w:val="single" w:sz="4" w:space="0" w:color="000000"/>
              <w:bottom w:val="nil" w:sz="6" w:space="0" w:color="auto"/>
              <w:right w:val="single" w:sz="4" w:space="0" w:color="000000"/>
            </w:tcBorders>
            <w:shd w:val="clear" w:color="auto" w:fill="D4D4D4"/>
          </w:tcPr>
          <w:p>
            <w:pPr/>
          </w:p>
        </w:tc>
        <w:tc>
          <w:tcPr>
            <w:tcW w:w="684" w:type="dxa"/>
            <w:vMerge/>
            <w:tcBorders>
              <w:left w:val="single" w:sz="4" w:space="0" w:color="000000"/>
              <w:bottom w:val="nil" w:sz="6" w:space="0" w:color="auto"/>
              <w:right w:val="single" w:sz="4" w:space="0" w:color="000000"/>
            </w:tcBorders>
            <w:shd w:val="clear" w:color="auto" w:fill="D4D4D4"/>
          </w:tcPr>
          <w:p>
            <w:pPr/>
          </w:p>
        </w:tc>
        <w:tc>
          <w:tcPr>
            <w:tcW w:w="782" w:type="dxa"/>
            <w:vMerge w:val="restart"/>
            <w:tcBorders>
              <w:top w:val="nil" w:sz="6" w:space="0" w:color="auto"/>
              <w:left w:val="single" w:sz="4" w:space="0" w:color="000000"/>
              <w:right w:val="single" w:sz="4" w:space="0" w:color="000000"/>
            </w:tcBorders>
            <w:shd w:val="clear" w:color="auto" w:fill="D4D4D4"/>
          </w:tcPr>
          <w:p>
            <w:pPr/>
          </w:p>
        </w:tc>
        <w:tc>
          <w:tcPr>
            <w:tcW w:w="665" w:type="dxa"/>
            <w:vMerge/>
            <w:tcBorders>
              <w:left w:val="single" w:sz="4" w:space="0" w:color="000000"/>
              <w:bottom w:val="nil" w:sz="6" w:space="0" w:color="auto"/>
              <w:right w:val="single" w:sz="4" w:space="0" w:color="000000"/>
            </w:tcBorders>
            <w:shd w:val="clear" w:color="auto" w:fill="D4D4D4"/>
          </w:tcPr>
          <w:p>
            <w:pPr/>
          </w:p>
        </w:tc>
        <w:tc>
          <w:tcPr>
            <w:tcW w:w="797" w:type="dxa"/>
            <w:vMerge/>
            <w:tcBorders>
              <w:left w:val="single" w:sz="4" w:space="0" w:color="000000"/>
              <w:bottom w:val="nil" w:sz="6" w:space="0" w:color="auto"/>
              <w:right w:val="single" w:sz="4" w:space="0" w:color="000000"/>
            </w:tcBorders>
            <w:shd w:val="clear" w:color="auto" w:fill="D4D4D4"/>
          </w:tcPr>
          <w:p>
            <w:pPr/>
          </w:p>
        </w:tc>
        <w:tc>
          <w:tcPr>
            <w:tcW w:w="797" w:type="dxa"/>
            <w:vMerge w:val="restart"/>
            <w:tcBorders>
              <w:top w:val="nil" w:sz="6" w:space="0" w:color="auto"/>
              <w:left w:val="single" w:sz="4" w:space="0" w:color="000000"/>
              <w:right w:val="single" w:sz="4" w:space="0" w:color="000000"/>
            </w:tcBorders>
            <w:shd w:val="clear" w:color="auto" w:fill="D4D4D4"/>
          </w:tcPr>
          <w:p>
            <w:pPr/>
          </w:p>
        </w:tc>
        <w:tc>
          <w:tcPr>
            <w:tcW w:w="931" w:type="dxa"/>
            <w:vMerge/>
            <w:tcBorders>
              <w:left w:val="single" w:sz="4" w:space="0" w:color="000000"/>
              <w:bottom w:val="nil" w:sz="6" w:space="0" w:color="auto"/>
              <w:right w:val="single" w:sz="4" w:space="0" w:color="000000"/>
            </w:tcBorders>
            <w:shd w:val="clear" w:color="auto" w:fill="D4D4D4"/>
          </w:tcPr>
          <w:p>
            <w:pPr/>
          </w:p>
        </w:tc>
      </w:tr>
      <w:tr>
        <w:trPr>
          <w:trHeight w:val="206" w:hRule="exact"/>
        </w:trPr>
        <w:tc>
          <w:tcPr>
            <w:tcW w:w="1208" w:type="dxa"/>
            <w:vMerge/>
            <w:tcBorders>
              <w:left w:val="single" w:sz="4" w:space="0" w:color="000000"/>
              <w:bottom w:val="single" w:sz="4" w:space="0" w:color="000000"/>
              <w:right w:val="single" w:sz="4" w:space="0" w:color="000000"/>
            </w:tcBorders>
            <w:shd w:val="clear" w:color="auto" w:fill="D4D4D4"/>
          </w:tcPr>
          <w:p>
            <w:pPr/>
          </w:p>
        </w:tc>
        <w:tc>
          <w:tcPr>
            <w:tcW w:w="604" w:type="dxa"/>
            <w:vMerge/>
            <w:tcBorders>
              <w:left w:val="single" w:sz="4" w:space="0" w:color="000000"/>
              <w:bottom w:val="single" w:sz="4" w:space="0" w:color="000000"/>
              <w:right w:val="single" w:sz="4" w:space="0" w:color="000000"/>
            </w:tcBorders>
            <w:shd w:val="clear" w:color="auto" w:fill="D4D4D4"/>
          </w:tcPr>
          <w:p>
            <w:pPr/>
          </w:p>
        </w:tc>
        <w:tc>
          <w:tcPr>
            <w:tcW w:w="574" w:type="dxa"/>
            <w:vMerge/>
            <w:tcBorders>
              <w:left w:val="single" w:sz="4" w:space="0" w:color="000000"/>
              <w:bottom w:val="single" w:sz="4" w:space="0" w:color="000000"/>
              <w:right w:val="single" w:sz="4" w:space="0" w:color="000000"/>
            </w:tcBorders>
            <w:shd w:val="clear" w:color="auto" w:fill="D4D4D4"/>
          </w:tcPr>
          <w:p>
            <w:pPr/>
          </w:p>
        </w:tc>
        <w:tc>
          <w:tcPr>
            <w:tcW w:w="571" w:type="dxa"/>
            <w:vMerge/>
            <w:tcBorders>
              <w:left w:val="single" w:sz="4" w:space="0" w:color="000000"/>
              <w:bottom w:val="single" w:sz="4" w:space="0" w:color="000000"/>
              <w:right w:val="single" w:sz="4" w:space="0" w:color="000000"/>
            </w:tcBorders>
            <w:shd w:val="clear" w:color="auto" w:fill="D4D4D4"/>
          </w:tcPr>
          <w:p>
            <w:pPr/>
          </w:p>
        </w:tc>
        <w:tc>
          <w:tcPr>
            <w:tcW w:w="571" w:type="dxa"/>
            <w:tcBorders>
              <w:top w:val="nil" w:sz="6" w:space="0" w:color="auto"/>
              <w:left w:val="single" w:sz="4" w:space="0" w:color="000000"/>
              <w:bottom w:val="single" w:sz="4" w:space="0" w:color="000000"/>
              <w:right w:val="single" w:sz="4" w:space="0" w:color="000000"/>
            </w:tcBorders>
            <w:shd w:val="clear" w:color="auto" w:fill="D4D4D4"/>
          </w:tcPr>
          <w:p>
            <w:pPr/>
          </w:p>
        </w:tc>
        <w:tc>
          <w:tcPr>
            <w:tcW w:w="686" w:type="dxa"/>
            <w:tcBorders>
              <w:top w:val="nil" w:sz="6" w:space="0" w:color="auto"/>
              <w:left w:val="single" w:sz="4" w:space="0" w:color="000000"/>
              <w:bottom w:val="single" w:sz="4" w:space="0" w:color="000000"/>
              <w:right w:val="single" w:sz="4" w:space="0" w:color="000000"/>
            </w:tcBorders>
            <w:shd w:val="clear" w:color="auto" w:fill="D4D4D4"/>
          </w:tcPr>
          <w:p>
            <w:pPr/>
          </w:p>
        </w:tc>
        <w:tc>
          <w:tcPr>
            <w:tcW w:w="686" w:type="dxa"/>
            <w:tcBorders>
              <w:top w:val="nil" w:sz="6" w:space="0" w:color="auto"/>
              <w:left w:val="single" w:sz="4" w:space="0" w:color="000000"/>
              <w:bottom w:val="single" w:sz="4" w:space="0" w:color="000000"/>
              <w:right w:val="single" w:sz="4" w:space="0" w:color="000000"/>
            </w:tcBorders>
            <w:shd w:val="clear" w:color="auto" w:fill="D4D4D4"/>
          </w:tcPr>
          <w:p>
            <w:pPr/>
          </w:p>
        </w:tc>
        <w:tc>
          <w:tcPr>
            <w:tcW w:w="684" w:type="dxa"/>
            <w:tcBorders>
              <w:top w:val="nil" w:sz="6" w:space="0" w:color="auto"/>
              <w:left w:val="single" w:sz="4" w:space="0" w:color="000000"/>
              <w:bottom w:val="single" w:sz="4" w:space="0" w:color="000000"/>
              <w:right w:val="single" w:sz="4" w:space="0" w:color="000000"/>
            </w:tcBorders>
            <w:shd w:val="clear" w:color="auto" w:fill="D4D4D4"/>
          </w:tcPr>
          <w:p>
            <w:pPr/>
          </w:p>
        </w:tc>
        <w:tc>
          <w:tcPr>
            <w:tcW w:w="782" w:type="dxa"/>
            <w:vMerge/>
            <w:tcBorders>
              <w:left w:val="single" w:sz="4" w:space="0" w:color="000000"/>
              <w:bottom w:val="single" w:sz="4" w:space="0" w:color="000000"/>
              <w:right w:val="single" w:sz="4" w:space="0" w:color="000000"/>
            </w:tcBorders>
            <w:shd w:val="clear" w:color="auto" w:fill="D4D4D4"/>
          </w:tcPr>
          <w:p>
            <w:pPr/>
          </w:p>
        </w:tc>
        <w:tc>
          <w:tcPr>
            <w:tcW w:w="665" w:type="dxa"/>
            <w:tcBorders>
              <w:top w:val="nil" w:sz="6" w:space="0" w:color="auto"/>
              <w:left w:val="single" w:sz="4" w:space="0" w:color="000000"/>
              <w:bottom w:val="single" w:sz="4" w:space="0" w:color="000000"/>
              <w:right w:val="single" w:sz="4" w:space="0" w:color="000000"/>
            </w:tcBorders>
            <w:shd w:val="clear" w:color="auto" w:fill="D4D4D4"/>
          </w:tcPr>
          <w:p>
            <w:pPr/>
          </w:p>
        </w:tc>
        <w:tc>
          <w:tcPr>
            <w:tcW w:w="797" w:type="dxa"/>
            <w:tcBorders>
              <w:top w:val="nil" w:sz="6" w:space="0" w:color="auto"/>
              <w:left w:val="single" w:sz="4" w:space="0" w:color="000000"/>
              <w:bottom w:val="single" w:sz="4" w:space="0" w:color="000000"/>
              <w:right w:val="single" w:sz="4" w:space="0" w:color="000000"/>
            </w:tcBorders>
            <w:shd w:val="clear" w:color="auto" w:fill="D4D4D4"/>
          </w:tcPr>
          <w:p>
            <w:pPr/>
          </w:p>
        </w:tc>
        <w:tc>
          <w:tcPr>
            <w:tcW w:w="797" w:type="dxa"/>
            <w:vMerge/>
            <w:tcBorders>
              <w:left w:val="single" w:sz="4" w:space="0" w:color="000000"/>
              <w:bottom w:val="single" w:sz="4" w:space="0" w:color="000000"/>
              <w:right w:val="single" w:sz="4" w:space="0" w:color="000000"/>
            </w:tcBorders>
            <w:shd w:val="clear" w:color="auto" w:fill="D4D4D4"/>
          </w:tcPr>
          <w:p>
            <w:pPr/>
          </w:p>
        </w:tc>
        <w:tc>
          <w:tcPr>
            <w:tcW w:w="931" w:type="dxa"/>
            <w:tcBorders>
              <w:top w:val="nil" w:sz="6" w:space="0" w:color="auto"/>
              <w:left w:val="single" w:sz="4" w:space="0" w:color="000000"/>
              <w:bottom w:val="single" w:sz="4" w:space="0" w:color="000000"/>
              <w:right w:val="single" w:sz="4" w:space="0" w:color="000000"/>
            </w:tcBorders>
            <w:shd w:val="clear" w:color="auto" w:fill="D4D4D4"/>
          </w:tcPr>
          <w:p>
            <w:pPr/>
          </w:p>
        </w:tc>
      </w:tr>
      <w:tr>
        <w:trPr>
          <w:trHeight w:val="161" w:hRule="exact"/>
        </w:trPr>
        <w:tc>
          <w:tcPr>
            <w:tcW w:w="1208" w:type="dxa"/>
            <w:tcBorders>
              <w:top w:val="single" w:sz="4" w:space="0" w:color="000000"/>
              <w:left w:val="single" w:sz="4" w:space="0" w:color="000000"/>
              <w:bottom w:val="nil" w:sz="6" w:space="0" w:color="auto"/>
              <w:right w:val="single" w:sz="4" w:space="0" w:color="000000"/>
            </w:tcBorders>
            <w:shd w:val="clear" w:color="auto" w:fill="D4D4D4"/>
          </w:tcPr>
          <w:p>
            <w:pPr/>
          </w:p>
        </w:tc>
        <w:tc>
          <w:tcPr>
            <w:tcW w:w="604" w:type="dxa"/>
            <w:vMerge w:val="restart"/>
            <w:tcBorders>
              <w:top w:val="single" w:sz="4" w:space="0" w:color="000000"/>
              <w:left w:val="single" w:sz="9" w:space="0" w:color="D4D4D4"/>
              <w:right w:val="single" w:sz="4" w:space="0" w:color="000000"/>
            </w:tcBorders>
          </w:tcPr>
          <w:p>
            <w:pPr>
              <w:pStyle w:val="TableParagraph"/>
              <w:spacing w:line="240" w:lineRule="auto" w:before="91"/>
              <w:ind w:left="72" w:right="0"/>
              <w:jc w:val="left"/>
              <w:rPr>
                <w:rFonts w:ascii="Times New Roman" w:hAnsi="Times New Roman" w:cs="Times New Roman" w:eastAsia="Times New Roman" w:hint="default"/>
                <w:sz w:val="18"/>
                <w:szCs w:val="18"/>
              </w:rPr>
            </w:pPr>
            <w:r>
              <w:rPr>
                <w:rFonts w:ascii="Times New Roman"/>
                <w:sz w:val="18"/>
              </w:rPr>
              <w:t>497,03</w:t>
            </w:r>
          </w:p>
          <w:p>
            <w:pPr>
              <w:pStyle w:val="TableParagraph"/>
              <w:spacing w:line="240" w:lineRule="auto" w:before="102"/>
              <w:ind w:left="115" w:right="0"/>
              <w:jc w:val="left"/>
              <w:rPr>
                <w:rFonts w:ascii="Times New Roman" w:hAnsi="Times New Roman" w:cs="Times New Roman" w:eastAsia="Times New Roman" w:hint="default"/>
                <w:sz w:val="18"/>
                <w:szCs w:val="18"/>
              </w:rPr>
            </w:pPr>
            <w:r>
              <w:rPr>
                <w:rFonts w:ascii="Times New Roman"/>
                <w:sz w:val="18"/>
              </w:rPr>
              <w:t>0,706.</w:t>
            </w:r>
          </w:p>
          <w:p>
            <w:pPr>
              <w:pStyle w:val="TableParagraph"/>
              <w:spacing w:line="240" w:lineRule="auto" w:before="105"/>
              <w:ind w:left="386" w:right="0"/>
              <w:jc w:val="left"/>
              <w:rPr>
                <w:rFonts w:ascii="Times New Roman" w:hAnsi="Times New Roman" w:cs="Times New Roman" w:eastAsia="Times New Roman" w:hint="default"/>
                <w:sz w:val="18"/>
                <w:szCs w:val="18"/>
              </w:rPr>
            </w:pPr>
            <w:r>
              <w:rPr>
                <w:rFonts w:ascii="Times New Roman"/>
                <w:sz w:val="18"/>
              </w:rPr>
              <w:t>00</w:t>
            </w:r>
          </w:p>
        </w:tc>
        <w:tc>
          <w:tcPr>
            <w:tcW w:w="574" w:type="dxa"/>
            <w:vMerge w:val="restart"/>
            <w:tcBorders>
              <w:top w:val="single" w:sz="4" w:space="0" w:color="000000"/>
              <w:left w:val="single" w:sz="4" w:space="0" w:color="000000"/>
              <w:right w:val="single" w:sz="4" w:space="0" w:color="000000"/>
            </w:tcBorders>
          </w:tcPr>
          <w:p>
            <w:pPr/>
          </w:p>
        </w:tc>
        <w:tc>
          <w:tcPr>
            <w:tcW w:w="571" w:type="dxa"/>
            <w:vMerge w:val="restart"/>
            <w:tcBorders>
              <w:top w:val="single" w:sz="4" w:space="0" w:color="000000"/>
              <w:left w:val="single" w:sz="4" w:space="0" w:color="000000"/>
              <w:right w:val="single" w:sz="4" w:space="0" w:color="000000"/>
            </w:tcBorders>
          </w:tcPr>
          <w:p>
            <w:pPr/>
          </w:p>
        </w:tc>
        <w:tc>
          <w:tcPr>
            <w:tcW w:w="571" w:type="dxa"/>
            <w:vMerge w:val="restart"/>
            <w:tcBorders>
              <w:top w:val="single" w:sz="4" w:space="0" w:color="000000"/>
              <w:left w:val="single" w:sz="4" w:space="0" w:color="000000"/>
              <w:right w:val="single" w:sz="4" w:space="0" w:color="000000"/>
            </w:tcBorders>
          </w:tcPr>
          <w:p>
            <w:pPr/>
          </w:p>
        </w:tc>
        <w:tc>
          <w:tcPr>
            <w:tcW w:w="686"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1,093,4</w:t>
            </w:r>
          </w:p>
          <w:p>
            <w:pPr>
              <w:pStyle w:val="TableParagraph"/>
              <w:spacing w:line="240" w:lineRule="auto" w:before="102"/>
              <w:ind w:right="16"/>
              <w:jc w:val="right"/>
              <w:rPr>
                <w:rFonts w:ascii="Times New Roman" w:hAnsi="Times New Roman" w:cs="Times New Roman" w:eastAsia="Times New Roman" w:hint="default"/>
                <w:sz w:val="18"/>
                <w:szCs w:val="18"/>
              </w:rPr>
            </w:pPr>
            <w:r>
              <w:rPr>
                <w:rFonts w:ascii="Times New Roman"/>
                <w:sz w:val="18"/>
              </w:rPr>
              <w:t>47,268.</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51</w:t>
            </w:r>
          </w:p>
        </w:tc>
        <w:tc>
          <w:tcPr>
            <w:tcW w:w="68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73,899,6</w:t>
            </w:r>
          </w:p>
          <w:p>
            <w:pPr>
              <w:pStyle w:val="TableParagraph"/>
              <w:spacing w:line="240" w:lineRule="auto" w:before="102"/>
              <w:ind w:left="249" w:right="0"/>
              <w:jc w:val="left"/>
              <w:rPr>
                <w:rFonts w:ascii="Times New Roman" w:hAnsi="Times New Roman" w:cs="Times New Roman" w:eastAsia="Times New Roman" w:hint="default"/>
                <w:sz w:val="18"/>
                <w:szCs w:val="18"/>
              </w:rPr>
            </w:pPr>
            <w:r>
              <w:rPr>
                <w:rFonts w:ascii="Times New Roman"/>
                <w:sz w:val="18"/>
              </w:rPr>
              <w:t>18.00</w:t>
            </w:r>
          </w:p>
        </w:tc>
        <w:tc>
          <w:tcPr>
            <w:tcW w:w="68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163,479</w:t>
            </w:r>
          </w:p>
          <w:p>
            <w:pPr>
              <w:pStyle w:val="TableParagraph"/>
              <w:spacing w:line="240" w:lineRule="auto" w:before="102"/>
              <w:ind w:left="112" w:right="0"/>
              <w:jc w:val="left"/>
              <w:rPr>
                <w:rFonts w:ascii="Times New Roman" w:hAnsi="Times New Roman" w:cs="Times New Roman" w:eastAsia="Times New Roman" w:hint="default"/>
                <w:sz w:val="18"/>
                <w:szCs w:val="18"/>
              </w:rPr>
            </w:pPr>
            <w:r>
              <w:rPr>
                <w:rFonts w:ascii="Times New Roman"/>
                <w:sz w:val="18"/>
              </w:rPr>
              <w:t>,285.00</w:t>
            </w:r>
          </w:p>
        </w:tc>
        <w:tc>
          <w:tcPr>
            <w:tcW w:w="782"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75,039,</w:t>
            </w:r>
          </w:p>
          <w:p>
            <w:pPr>
              <w:pStyle w:val="TableParagraph"/>
              <w:spacing w:line="240" w:lineRule="auto" w:before="102"/>
              <w:ind w:left="139" w:right="0"/>
              <w:jc w:val="left"/>
              <w:rPr>
                <w:rFonts w:ascii="Times New Roman" w:hAnsi="Times New Roman" w:cs="Times New Roman" w:eastAsia="Times New Roman" w:hint="default"/>
                <w:sz w:val="18"/>
                <w:szCs w:val="18"/>
              </w:rPr>
            </w:pPr>
            <w:r>
              <w:rPr>
                <w:rFonts w:ascii="Times New Roman"/>
                <w:sz w:val="18"/>
              </w:rPr>
              <w:t>885.37</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590,637,4</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95.39</w:t>
            </w:r>
          </w:p>
        </w:tc>
        <w:tc>
          <w:tcPr>
            <w:tcW w:w="797" w:type="dxa"/>
            <w:vMerge w:val="restart"/>
            <w:tcBorders>
              <w:top w:val="single" w:sz="4" w:space="0" w:color="000000"/>
              <w:left w:val="single" w:sz="4" w:space="0" w:color="000000"/>
              <w:right w:val="single" w:sz="4" w:space="0" w:color="000000"/>
            </w:tcBorders>
          </w:tcPr>
          <w:p>
            <w:pP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2,345,735,0</w:t>
            </w:r>
          </w:p>
          <w:p>
            <w:pPr>
              <w:pStyle w:val="TableParagraph"/>
              <w:spacing w:line="240" w:lineRule="auto" w:before="102"/>
              <w:ind w:left="491" w:right="0"/>
              <w:jc w:val="left"/>
              <w:rPr>
                <w:rFonts w:ascii="Times New Roman" w:hAnsi="Times New Roman" w:cs="Times New Roman" w:eastAsia="Times New Roman" w:hint="default"/>
                <w:sz w:val="18"/>
                <w:szCs w:val="18"/>
              </w:rPr>
            </w:pPr>
            <w:r>
              <w:rPr>
                <w:rFonts w:ascii="Times New Roman"/>
                <w:sz w:val="18"/>
              </w:rPr>
              <w:t>22.27</w:t>
            </w:r>
          </w:p>
        </w:tc>
      </w:tr>
      <w:tr>
        <w:trPr>
          <w:trHeight w:val="703" w:hRule="exact"/>
        </w:trPr>
        <w:tc>
          <w:tcPr>
            <w:tcW w:w="1208"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314" w:lineRule="auto" w:before="49"/>
              <w:ind w:left="12" w:right="8"/>
              <w:jc w:val="left"/>
              <w:rPr>
                <w:rFonts w:ascii="宋体" w:hAnsi="宋体" w:cs="宋体" w:eastAsia="宋体" w:hint="default"/>
                <w:sz w:val="18"/>
                <w:szCs w:val="18"/>
              </w:rPr>
            </w:pPr>
            <w:r>
              <w:rPr>
                <w:rFonts w:ascii="宋体" w:hAnsi="宋体" w:cs="宋体" w:eastAsia="宋体" w:hint="default"/>
                <w:spacing w:val="-12"/>
                <w:sz w:val="18"/>
                <w:szCs w:val="18"/>
              </w:rPr>
              <w:t>一、上年期末余</w:t>
            </w:r>
            <w:r>
              <w:rPr>
                <w:rFonts w:ascii="宋体" w:hAnsi="宋体" w:cs="宋体" w:eastAsia="宋体" w:hint="default"/>
                <w:sz w:val="18"/>
                <w:szCs w:val="18"/>
              </w:rPr>
              <w:t> 额</w:t>
            </w:r>
          </w:p>
        </w:tc>
        <w:tc>
          <w:tcPr>
            <w:tcW w:w="604" w:type="dxa"/>
            <w:vMerge/>
            <w:tcBorders>
              <w:left w:val="single" w:sz="9" w:space="0" w:color="D4D4D4"/>
              <w:right w:val="single" w:sz="4" w:space="0" w:color="000000"/>
            </w:tcBorders>
          </w:tcPr>
          <w:p>
            <w:pPr/>
          </w:p>
        </w:tc>
        <w:tc>
          <w:tcPr>
            <w:tcW w:w="574" w:type="dxa"/>
            <w:vMerge/>
            <w:tcBorders>
              <w:left w:val="single" w:sz="4" w:space="0" w:color="000000"/>
              <w:right w:val="single" w:sz="4" w:space="0" w:color="000000"/>
            </w:tcBorders>
          </w:tcPr>
          <w:p>
            <w:pPr/>
          </w:p>
        </w:tc>
        <w:tc>
          <w:tcPr>
            <w:tcW w:w="571" w:type="dxa"/>
            <w:vMerge/>
            <w:tcBorders>
              <w:left w:val="single" w:sz="4" w:space="0" w:color="000000"/>
              <w:right w:val="single" w:sz="4" w:space="0" w:color="000000"/>
            </w:tcBorders>
          </w:tcPr>
          <w:p>
            <w:pPr/>
          </w:p>
        </w:tc>
        <w:tc>
          <w:tcPr>
            <w:tcW w:w="571"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4" w:type="dxa"/>
            <w:vMerge/>
            <w:tcBorders>
              <w:left w:val="single" w:sz="4" w:space="0" w:color="000000"/>
              <w:right w:val="single" w:sz="4" w:space="0" w:color="000000"/>
            </w:tcBorders>
          </w:tcPr>
          <w:p>
            <w:pPr/>
          </w:p>
        </w:tc>
        <w:tc>
          <w:tcPr>
            <w:tcW w:w="782"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1" w:hRule="exact"/>
        </w:trPr>
        <w:tc>
          <w:tcPr>
            <w:tcW w:w="1208" w:type="dxa"/>
            <w:tcBorders>
              <w:top w:val="nil" w:sz="6" w:space="0" w:color="auto"/>
              <w:left w:val="single" w:sz="4" w:space="0" w:color="000000"/>
              <w:bottom w:val="single" w:sz="4" w:space="0" w:color="000000"/>
              <w:right w:val="single" w:sz="4" w:space="0" w:color="000000"/>
            </w:tcBorders>
            <w:shd w:val="clear" w:color="auto" w:fill="D4D4D4"/>
          </w:tcPr>
          <w:p>
            <w:pPr/>
          </w:p>
        </w:tc>
        <w:tc>
          <w:tcPr>
            <w:tcW w:w="604" w:type="dxa"/>
            <w:vMerge/>
            <w:tcBorders>
              <w:left w:val="single" w:sz="9" w:space="0" w:color="D4D4D4"/>
              <w:bottom w:val="single" w:sz="4" w:space="0" w:color="000000"/>
              <w:right w:val="single" w:sz="4" w:space="0" w:color="000000"/>
            </w:tcBorders>
          </w:tcPr>
          <w:p>
            <w:pPr/>
          </w:p>
        </w:tc>
        <w:tc>
          <w:tcPr>
            <w:tcW w:w="574" w:type="dxa"/>
            <w:vMerge/>
            <w:tcBorders>
              <w:left w:val="single" w:sz="4" w:space="0" w:color="000000"/>
              <w:bottom w:val="single" w:sz="4" w:space="0" w:color="000000"/>
              <w:right w:val="single" w:sz="4" w:space="0" w:color="000000"/>
            </w:tcBorders>
          </w:tcPr>
          <w:p>
            <w:pPr/>
          </w:p>
        </w:tc>
        <w:tc>
          <w:tcPr>
            <w:tcW w:w="571" w:type="dxa"/>
            <w:vMerge/>
            <w:tcBorders>
              <w:left w:val="single" w:sz="4" w:space="0" w:color="000000"/>
              <w:bottom w:val="single" w:sz="4" w:space="0" w:color="000000"/>
              <w:right w:val="single" w:sz="4" w:space="0" w:color="000000"/>
            </w:tcBorders>
          </w:tcPr>
          <w:p>
            <w:pPr/>
          </w:p>
        </w:tc>
        <w:tc>
          <w:tcPr>
            <w:tcW w:w="571"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4" w:type="dxa"/>
            <w:vMerge/>
            <w:tcBorders>
              <w:left w:val="single" w:sz="4" w:space="0" w:color="000000"/>
              <w:bottom w:val="single" w:sz="4" w:space="0" w:color="000000"/>
              <w:right w:val="single" w:sz="4" w:space="0" w:color="000000"/>
            </w:tcBorders>
          </w:tcPr>
          <w:p>
            <w:pPr/>
          </w:p>
        </w:tc>
        <w:tc>
          <w:tcPr>
            <w:tcW w:w="782"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r>
        <w:trPr>
          <w:trHeight w:val="715" w:hRule="exact"/>
        </w:trPr>
        <w:tc>
          <w:tcPr>
            <w:tcW w:w="120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2" w:right="8" w:firstLine="360"/>
              <w:jc w:val="left"/>
              <w:rPr>
                <w:rFonts w:ascii="宋体" w:hAnsi="宋体" w:cs="宋体" w:eastAsia="宋体" w:hint="default"/>
                <w:sz w:val="18"/>
                <w:szCs w:val="18"/>
              </w:rPr>
            </w:pPr>
            <w:r>
              <w:rPr>
                <w:rFonts w:ascii="宋体" w:hAnsi="宋体" w:cs="宋体" w:eastAsia="宋体" w:hint="default"/>
                <w:spacing w:val="-17"/>
                <w:sz w:val="18"/>
                <w:szCs w:val="18"/>
              </w:rPr>
              <w:t>加：会计政</w:t>
            </w:r>
            <w:r>
              <w:rPr>
                <w:rFonts w:ascii="宋体" w:hAnsi="宋体" w:cs="宋体" w:eastAsia="宋体" w:hint="default"/>
                <w:sz w:val="18"/>
                <w:szCs w:val="18"/>
              </w:rPr>
              <w:t> 策变更</w:t>
            </w:r>
          </w:p>
        </w:tc>
        <w:tc>
          <w:tcPr>
            <w:tcW w:w="604" w:type="dxa"/>
            <w:tcBorders>
              <w:top w:val="single" w:sz="4" w:space="0" w:color="000000"/>
              <w:left w:val="single" w:sz="12" w:space="0" w:color="D4D4D4"/>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0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49"/>
              <w:ind w:left="12" w:right="104" w:firstLine="720"/>
              <w:jc w:val="left"/>
              <w:rPr>
                <w:rFonts w:ascii="宋体" w:hAnsi="宋体" w:cs="宋体" w:eastAsia="宋体" w:hint="default"/>
                <w:sz w:val="18"/>
                <w:szCs w:val="18"/>
              </w:rPr>
            </w:pPr>
            <w:r>
              <w:rPr>
                <w:rFonts w:ascii="宋体" w:hAnsi="宋体" w:cs="宋体" w:eastAsia="宋体" w:hint="default"/>
                <w:sz w:val="18"/>
                <w:szCs w:val="18"/>
              </w:rPr>
              <w:t>前期 差错更正</w:t>
            </w:r>
          </w:p>
        </w:tc>
        <w:tc>
          <w:tcPr>
            <w:tcW w:w="604" w:type="dxa"/>
            <w:tcBorders>
              <w:top w:val="single" w:sz="4" w:space="0" w:color="000000"/>
              <w:left w:val="single" w:sz="12" w:space="0" w:color="D4D4D4"/>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0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04" w:type="dxa"/>
            <w:tcBorders>
              <w:top w:val="single" w:sz="4" w:space="0" w:color="000000"/>
              <w:left w:val="single" w:sz="12" w:space="0" w:color="D4D4D4"/>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208" w:type="dxa"/>
            <w:tcBorders>
              <w:top w:val="single" w:sz="4" w:space="0" w:color="000000"/>
              <w:left w:val="single" w:sz="4" w:space="0" w:color="000000"/>
              <w:bottom w:val="nil" w:sz="6" w:space="0" w:color="auto"/>
              <w:right w:val="single" w:sz="4" w:space="0" w:color="000000"/>
            </w:tcBorders>
            <w:shd w:val="clear" w:color="auto" w:fill="D4D4D4"/>
          </w:tcPr>
          <w:p>
            <w:pPr/>
          </w:p>
        </w:tc>
        <w:tc>
          <w:tcPr>
            <w:tcW w:w="604" w:type="dxa"/>
            <w:vMerge w:val="restart"/>
            <w:tcBorders>
              <w:top w:val="single" w:sz="4" w:space="0" w:color="000000"/>
              <w:left w:val="single" w:sz="9" w:space="0" w:color="D4D4D4"/>
              <w:right w:val="single" w:sz="4" w:space="0" w:color="000000"/>
            </w:tcBorders>
          </w:tcPr>
          <w:p>
            <w:pPr>
              <w:pStyle w:val="TableParagraph"/>
              <w:spacing w:line="240" w:lineRule="auto" w:before="91"/>
              <w:ind w:left="72" w:right="0"/>
              <w:jc w:val="left"/>
              <w:rPr>
                <w:rFonts w:ascii="Times New Roman" w:hAnsi="Times New Roman" w:cs="Times New Roman" w:eastAsia="Times New Roman" w:hint="default"/>
                <w:sz w:val="18"/>
                <w:szCs w:val="18"/>
              </w:rPr>
            </w:pPr>
            <w:r>
              <w:rPr>
                <w:rFonts w:ascii="Times New Roman"/>
                <w:sz w:val="18"/>
              </w:rPr>
              <w:t>497,03</w:t>
            </w:r>
          </w:p>
          <w:p>
            <w:pPr>
              <w:pStyle w:val="TableParagraph"/>
              <w:spacing w:line="240" w:lineRule="auto" w:before="102"/>
              <w:ind w:left="115" w:right="0"/>
              <w:jc w:val="left"/>
              <w:rPr>
                <w:rFonts w:ascii="Times New Roman" w:hAnsi="Times New Roman" w:cs="Times New Roman" w:eastAsia="Times New Roman" w:hint="default"/>
                <w:sz w:val="18"/>
                <w:szCs w:val="18"/>
              </w:rPr>
            </w:pPr>
            <w:r>
              <w:rPr>
                <w:rFonts w:ascii="Times New Roman"/>
                <w:sz w:val="18"/>
              </w:rPr>
              <w:t>0,706.</w:t>
            </w:r>
          </w:p>
          <w:p>
            <w:pPr>
              <w:pStyle w:val="TableParagraph"/>
              <w:spacing w:line="240" w:lineRule="auto" w:before="105"/>
              <w:ind w:left="386" w:right="0"/>
              <w:jc w:val="left"/>
              <w:rPr>
                <w:rFonts w:ascii="Times New Roman" w:hAnsi="Times New Roman" w:cs="Times New Roman" w:eastAsia="Times New Roman" w:hint="default"/>
                <w:sz w:val="18"/>
                <w:szCs w:val="18"/>
              </w:rPr>
            </w:pPr>
            <w:r>
              <w:rPr>
                <w:rFonts w:ascii="Times New Roman"/>
                <w:sz w:val="18"/>
              </w:rPr>
              <w:t>00</w:t>
            </w:r>
          </w:p>
        </w:tc>
        <w:tc>
          <w:tcPr>
            <w:tcW w:w="574" w:type="dxa"/>
            <w:vMerge w:val="restart"/>
            <w:tcBorders>
              <w:top w:val="single" w:sz="4" w:space="0" w:color="000000"/>
              <w:left w:val="single" w:sz="4" w:space="0" w:color="000000"/>
              <w:right w:val="single" w:sz="4" w:space="0" w:color="000000"/>
            </w:tcBorders>
          </w:tcPr>
          <w:p>
            <w:pPr/>
          </w:p>
        </w:tc>
        <w:tc>
          <w:tcPr>
            <w:tcW w:w="571" w:type="dxa"/>
            <w:vMerge w:val="restart"/>
            <w:tcBorders>
              <w:top w:val="single" w:sz="4" w:space="0" w:color="000000"/>
              <w:left w:val="single" w:sz="4" w:space="0" w:color="000000"/>
              <w:right w:val="single" w:sz="4" w:space="0" w:color="000000"/>
            </w:tcBorders>
          </w:tcPr>
          <w:p>
            <w:pPr/>
          </w:p>
        </w:tc>
        <w:tc>
          <w:tcPr>
            <w:tcW w:w="571" w:type="dxa"/>
            <w:vMerge w:val="restart"/>
            <w:tcBorders>
              <w:top w:val="single" w:sz="4" w:space="0" w:color="000000"/>
              <w:left w:val="single" w:sz="4" w:space="0" w:color="000000"/>
              <w:right w:val="single" w:sz="4" w:space="0" w:color="000000"/>
            </w:tcBorders>
          </w:tcPr>
          <w:p>
            <w:pPr/>
          </w:p>
        </w:tc>
        <w:tc>
          <w:tcPr>
            <w:tcW w:w="686"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1,093,4</w:t>
            </w:r>
          </w:p>
          <w:p>
            <w:pPr>
              <w:pStyle w:val="TableParagraph"/>
              <w:spacing w:line="240" w:lineRule="auto" w:before="102"/>
              <w:ind w:right="16"/>
              <w:jc w:val="right"/>
              <w:rPr>
                <w:rFonts w:ascii="Times New Roman" w:hAnsi="Times New Roman" w:cs="Times New Roman" w:eastAsia="Times New Roman" w:hint="default"/>
                <w:sz w:val="18"/>
                <w:szCs w:val="18"/>
              </w:rPr>
            </w:pPr>
            <w:r>
              <w:rPr>
                <w:rFonts w:ascii="Times New Roman"/>
                <w:sz w:val="18"/>
              </w:rPr>
              <w:t>47,268.</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51</w:t>
            </w:r>
          </w:p>
        </w:tc>
        <w:tc>
          <w:tcPr>
            <w:tcW w:w="68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73,899,6</w:t>
            </w:r>
          </w:p>
          <w:p>
            <w:pPr>
              <w:pStyle w:val="TableParagraph"/>
              <w:spacing w:line="240" w:lineRule="auto" w:before="102"/>
              <w:ind w:left="249" w:right="0"/>
              <w:jc w:val="left"/>
              <w:rPr>
                <w:rFonts w:ascii="Times New Roman" w:hAnsi="Times New Roman" w:cs="Times New Roman" w:eastAsia="Times New Roman" w:hint="default"/>
                <w:sz w:val="18"/>
                <w:szCs w:val="18"/>
              </w:rPr>
            </w:pPr>
            <w:r>
              <w:rPr>
                <w:rFonts w:ascii="Times New Roman"/>
                <w:sz w:val="18"/>
              </w:rPr>
              <w:t>18.00</w:t>
            </w:r>
          </w:p>
        </w:tc>
        <w:tc>
          <w:tcPr>
            <w:tcW w:w="68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163,479</w:t>
            </w:r>
          </w:p>
          <w:p>
            <w:pPr>
              <w:pStyle w:val="TableParagraph"/>
              <w:spacing w:line="240" w:lineRule="auto" w:before="102"/>
              <w:ind w:left="112" w:right="0"/>
              <w:jc w:val="left"/>
              <w:rPr>
                <w:rFonts w:ascii="Times New Roman" w:hAnsi="Times New Roman" w:cs="Times New Roman" w:eastAsia="Times New Roman" w:hint="default"/>
                <w:sz w:val="18"/>
                <w:szCs w:val="18"/>
              </w:rPr>
            </w:pPr>
            <w:r>
              <w:rPr>
                <w:rFonts w:ascii="Times New Roman"/>
                <w:sz w:val="18"/>
              </w:rPr>
              <w:t>,285.00</w:t>
            </w:r>
          </w:p>
        </w:tc>
        <w:tc>
          <w:tcPr>
            <w:tcW w:w="782"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75,039,</w:t>
            </w:r>
          </w:p>
          <w:p>
            <w:pPr>
              <w:pStyle w:val="TableParagraph"/>
              <w:spacing w:line="240" w:lineRule="auto" w:before="102"/>
              <w:ind w:left="139" w:right="0"/>
              <w:jc w:val="left"/>
              <w:rPr>
                <w:rFonts w:ascii="Times New Roman" w:hAnsi="Times New Roman" w:cs="Times New Roman" w:eastAsia="Times New Roman" w:hint="default"/>
                <w:sz w:val="18"/>
                <w:szCs w:val="18"/>
              </w:rPr>
            </w:pPr>
            <w:r>
              <w:rPr>
                <w:rFonts w:ascii="Times New Roman"/>
                <w:sz w:val="18"/>
              </w:rPr>
              <w:t>885.37</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590,637,4</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95.39</w:t>
            </w:r>
          </w:p>
        </w:tc>
        <w:tc>
          <w:tcPr>
            <w:tcW w:w="797" w:type="dxa"/>
            <w:vMerge w:val="restart"/>
            <w:tcBorders>
              <w:top w:val="single" w:sz="4" w:space="0" w:color="000000"/>
              <w:left w:val="single" w:sz="4" w:space="0" w:color="000000"/>
              <w:right w:val="single" w:sz="4" w:space="0" w:color="000000"/>
            </w:tcBorders>
          </w:tcPr>
          <w:p>
            <w:pP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2,345,735,0</w:t>
            </w:r>
          </w:p>
          <w:p>
            <w:pPr>
              <w:pStyle w:val="TableParagraph"/>
              <w:spacing w:line="240" w:lineRule="auto" w:before="102"/>
              <w:ind w:left="491" w:right="0"/>
              <w:jc w:val="left"/>
              <w:rPr>
                <w:rFonts w:ascii="Times New Roman" w:hAnsi="Times New Roman" w:cs="Times New Roman" w:eastAsia="Times New Roman" w:hint="default"/>
                <w:sz w:val="18"/>
                <w:szCs w:val="18"/>
              </w:rPr>
            </w:pPr>
            <w:r>
              <w:rPr>
                <w:rFonts w:ascii="Times New Roman"/>
                <w:sz w:val="18"/>
              </w:rPr>
              <w:t>22.27</w:t>
            </w:r>
          </w:p>
        </w:tc>
      </w:tr>
      <w:tr>
        <w:trPr>
          <w:trHeight w:val="703" w:hRule="exact"/>
        </w:trPr>
        <w:tc>
          <w:tcPr>
            <w:tcW w:w="1208"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314" w:lineRule="auto" w:before="49"/>
              <w:ind w:left="12" w:right="8"/>
              <w:jc w:val="left"/>
              <w:rPr>
                <w:rFonts w:ascii="宋体" w:hAnsi="宋体" w:cs="宋体" w:eastAsia="宋体" w:hint="default"/>
                <w:sz w:val="18"/>
                <w:szCs w:val="18"/>
              </w:rPr>
            </w:pPr>
            <w:r>
              <w:rPr>
                <w:rFonts w:ascii="宋体" w:hAnsi="宋体" w:cs="宋体" w:eastAsia="宋体" w:hint="default"/>
                <w:spacing w:val="-12"/>
                <w:sz w:val="18"/>
                <w:szCs w:val="18"/>
              </w:rPr>
              <w:t>二、本年期初余</w:t>
            </w:r>
            <w:r>
              <w:rPr>
                <w:rFonts w:ascii="宋体" w:hAnsi="宋体" w:cs="宋体" w:eastAsia="宋体" w:hint="default"/>
                <w:sz w:val="18"/>
                <w:szCs w:val="18"/>
              </w:rPr>
              <w:t> 额</w:t>
            </w:r>
          </w:p>
        </w:tc>
        <w:tc>
          <w:tcPr>
            <w:tcW w:w="604" w:type="dxa"/>
            <w:vMerge/>
            <w:tcBorders>
              <w:left w:val="single" w:sz="9" w:space="0" w:color="D4D4D4"/>
              <w:right w:val="single" w:sz="4" w:space="0" w:color="000000"/>
            </w:tcBorders>
          </w:tcPr>
          <w:p>
            <w:pPr/>
          </w:p>
        </w:tc>
        <w:tc>
          <w:tcPr>
            <w:tcW w:w="574" w:type="dxa"/>
            <w:vMerge/>
            <w:tcBorders>
              <w:left w:val="single" w:sz="4" w:space="0" w:color="000000"/>
              <w:right w:val="single" w:sz="4" w:space="0" w:color="000000"/>
            </w:tcBorders>
          </w:tcPr>
          <w:p>
            <w:pPr/>
          </w:p>
        </w:tc>
        <w:tc>
          <w:tcPr>
            <w:tcW w:w="571" w:type="dxa"/>
            <w:vMerge/>
            <w:tcBorders>
              <w:left w:val="single" w:sz="4" w:space="0" w:color="000000"/>
              <w:right w:val="single" w:sz="4" w:space="0" w:color="000000"/>
            </w:tcBorders>
          </w:tcPr>
          <w:p>
            <w:pPr/>
          </w:p>
        </w:tc>
        <w:tc>
          <w:tcPr>
            <w:tcW w:w="571"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4" w:type="dxa"/>
            <w:vMerge/>
            <w:tcBorders>
              <w:left w:val="single" w:sz="4" w:space="0" w:color="000000"/>
              <w:right w:val="single" w:sz="4" w:space="0" w:color="000000"/>
            </w:tcBorders>
          </w:tcPr>
          <w:p>
            <w:pPr/>
          </w:p>
        </w:tc>
        <w:tc>
          <w:tcPr>
            <w:tcW w:w="782"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1" w:hRule="exact"/>
        </w:trPr>
        <w:tc>
          <w:tcPr>
            <w:tcW w:w="1208" w:type="dxa"/>
            <w:tcBorders>
              <w:top w:val="nil" w:sz="6" w:space="0" w:color="auto"/>
              <w:left w:val="single" w:sz="4" w:space="0" w:color="000000"/>
              <w:bottom w:val="single" w:sz="4" w:space="0" w:color="000000"/>
              <w:right w:val="single" w:sz="4" w:space="0" w:color="000000"/>
            </w:tcBorders>
            <w:shd w:val="clear" w:color="auto" w:fill="D4D4D4"/>
          </w:tcPr>
          <w:p>
            <w:pPr/>
          </w:p>
        </w:tc>
        <w:tc>
          <w:tcPr>
            <w:tcW w:w="604" w:type="dxa"/>
            <w:vMerge/>
            <w:tcBorders>
              <w:left w:val="single" w:sz="9" w:space="0" w:color="D4D4D4"/>
              <w:bottom w:val="single" w:sz="4" w:space="0" w:color="000000"/>
              <w:right w:val="single" w:sz="4" w:space="0" w:color="000000"/>
            </w:tcBorders>
          </w:tcPr>
          <w:p>
            <w:pPr/>
          </w:p>
        </w:tc>
        <w:tc>
          <w:tcPr>
            <w:tcW w:w="574" w:type="dxa"/>
            <w:vMerge/>
            <w:tcBorders>
              <w:left w:val="single" w:sz="4" w:space="0" w:color="000000"/>
              <w:bottom w:val="single" w:sz="4" w:space="0" w:color="000000"/>
              <w:right w:val="single" w:sz="4" w:space="0" w:color="000000"/>
            </w:tcBorders>
          </w:tcPr>
          <w:p>
            <w:pPr/>
          </w:p>
        </w:tc>
        <w:tc>
          <w:tcPr>
            <w:tcW w:w="571" w:type="dxa"/>
            <w:vMerge/>
            <w:tcBorders>
              <w:left w:val="single" w:sz="4" w:space="0" w:color="000000"/>
              <w:bottom w:val="single" w:sz="4" w:space="0" w:color="000000"/>
              <w:right w:val="single" w:sz="4" w:space="0" w:color="000000"/>
            </w:tcBorders>
          </w:tcPr>
          <w:p>
            <w:pPr/>
          </w:p>
        </w:tc>
        <w:tc>
          <w:tcPr>
            <w:tcW w:w="571"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4" w:type="dxa"/>
            <w:vMerge/>
            <w:tcBorders>
              <w:left w:val="single" w:sz="4" w:space="0" w:color="000000"/>
              <w:bottom w:val="single" w:sz="4" w:space="0" w:color="000000"/>
              <w:right w:val="single" w:sz="4" w:space="0" w:color="000000"/>
            </w:tcBorders>
          </w:tcPr>
          <w:p>
            <w:pPr/>
          </w:p>
        </w:tc>
        <w:tc>
          <w:tcPr>
            <w:tcW w:w="782"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r>
        <w:trPr>
          <w:trHeight w:val="1027" w:hRule="exact"/>
        </w:trPr>
        <w:tc>
          <w:tcPr>
            <w:tcW w:w="120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2" w:right="8"/>
              <w:jc w:val="both"/>
              <w:rPr>
                <w:rFonts w:ascii="宋体" w:hAnsi="宋体" w:cs="宋体" w:eastAsia="宋体" w:hint="default"/>
                <w:sz w:val="18"/>
                <w:szCs w:val="18"/>
              </w:rPr>
            </w:pPr>
            <w:r>
              <w:rPr>
                <w:rFonts w:ascii="宋体" w:hAnsi="宋体" w:cs="宋体" w:eastAsia="宋体" w:hint="default"/>
                <w:spacing w:val="-12"/>
                <w:sz w:val="18"/>
                <w:szCs w:val="18"/>
              </w:rPr>
              <w:t>三、本期增减变</w:t>
            </w:r>
            <w:r>
              <w:rPr>
                <w:rFonts w:ascii="宋体" w:hAnsi="宋体" w:cs="宋体" w:eastAsia="宋体" w:hint="default"/>
                <w:sz w:val="18"/>
                <w:szCs w:val="18"/>
              </w:rPr>
              <w:t> </w:t>
            </w:r>
            <w:r>
              <w:rPr>
                <w:rFonts w:ascii="宋体" w:hAnsi="宋体" w:cs="宋体" w:eastAsia="宋体" w:hint="default"/>
                <w:spacing w:val="-12"/>
                <w:sz w:val="18"/>
                <w:szCs w:val="18"/>
              </w:rPr>
              <w:t>动金额（减少以</w:t>
            </w:r>
            <w:r>
              <w:rPr>
                <w:rFonts w:ascii="宋体" w:hAnsi="宋体" w:cs="宋体" w:eastAsia="宋体" w:hint="default"/>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604"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left="67" w:right="0"/>
              <w:jc w:val="left"/>
              <w:rPr>
                <w:rFonts w:ascii="Times New Roman" w:hAnsi="Times New Roman" w:cs="Times New Roman" w:eastAsia="Times New Roman" w:hint="default"/>
                <w:sz w:val="18"/>
                <w:szCs w:val="18"/>
              </w:rPr>
            </w:pPr>
            <w:r>
              <w:rPr>
                <w:rFonts w:ascii="Times New Roman"/>
                <w:sz w:val="18"/>
              </w:rPr>
              <w:t>297,80</w:t>
            </w:r>
          </w:p>
          <w:p>
            <w:pPr>
              <w:pStyle w:val="TableParagraph"/>
              <w:spacing w:line="240" w:lineRule="auto" w:before="105"/>
              <w:ind w:left="110" w:right="0"/>
              <w:jc w:val="left"/>
              <w:rPr>
                <w:rFonts w:ascii="Times New Roman" w:hAnsi="Times New Roman" w:cs="Times New Roman" w:eastAsia="Times New Roman" w:hint="default"/>
                <w:sz w:val="18"/>
                <w:szCs w:val="18"/>
              </w:rPr>
            </w:pPr>
            <w:r>
              <w:rPr>
                <w:rFonts w:ascii="Times New Roman"/>
                <w:sz w:val="18"/>
              </w:rPr>
              <w:t>2,103.</w:t>
            </w:r>
          </w:p>
          <w:p>
            <w:pPr>
              <w:pStyle w:val="TableParagraph"/>
              <w:spacing w:line="240" w:lineRule="auto" w:before="105"/>
              <w:ind w:left="381" w:right="0"/>
              <w:jc w:val="left"/>
              <w:rPr>
                <w:rFonts w:ascii="Times New Roman" w:hAnsi="Times New Roman" w:cs="Times New Roman" w:eastAsia="Times New Roman" w:hint="default"/>
                <w:sz w:val="18"/>
                <w:szCs w:val="18"/>
              </w:rPr>
            </w:pPr>
            <w:r>
              <w:rPr>
                <w:rFonts w:ascii="Times New Roman"/>
                <w:sz w:val="18"/>
              </w:rPr>
              <w:t>00</w:t>
            </w: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-283,32</w:t>
            </w:r>
            <w:r>
              <w:rPr>
                <w:rFonts w:ascii="Times New Roman"/>
                <w:sz w:val="18"/>
              </w:rPr>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pacing w:val="-1"/>
                <w:sz w:val="18"/>
              </w:rPr>
              <w:t>1,358.8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-39,086,</w:t>
            </w:r>
          </w:p>
          <w:p>
            <w:pPr>
              <w:pStyle w:val="TableParagraph"/>
              <w:spacing w:line="240" w:lineRule="auto" w:before="105"/>
              <w:ind w:left="139" w:right="0"/>
              <w:jc w:val="center"/>
              <w:rPr>
                <w:rFonts w:ascii="Times New Roman" w:hAnsi="Times New Roman" w:cs="Times New Roman" w:eastAsia="Times New Roman" w:hint="default"/>
                <w:sz w:val="18"/>
                <w:szCs w:val="18"/>
              </w:rPr>
            </w:pPr>
            <w:r>
              <w:rPr>
                <w:rFonts w:ascii="Times New Roman"/>
                <w:sz w:val="18"/>
              </w:rPr>
              <w:t>476.00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4" w:right="0"/>
              <w:jc w:val="center"/>
              <w:rPr>
                <w:rFonts w:ascii="Times New Roman" w:hAnsi="Times New Roman" w:cs="Times New Roman" w:eastAsia="Times New Roman" w:hint="default"/>
                <w:sz w:val="18"/>
                <w:szCs w:val="18"/>
              </w:rPr>
            </w:pPr>
            <w:r>
              <w:rPr>
                <w:rFonts w:ascii="Times New Roman"/>
                <w:sz w:val="18"/>
              </w:rPr>
              <w:t>-31,786,</w:t>
            </w:r>
          </w:p>
          <w:p>
            <w:pPr>
              <w:pStyle w:val="TableParagraph"/>
              <w:spacing w:line="240" w:lineRule="auto" w:before="105"/>
              <w:ind w:left="136" w:right="0"/>
              <w:jc w:val="center"/>
              <w:rPr>
                <w:rFonts w:ascii="Times New Roman" w:hAnsi="Times New Roman" w:cs="Times New Roman" w:eastAsia="Times New Roman" w:hint="default"/>
                <w:sz w:val="18"/>
                <w:szCs w:val="18"/>
              </w:rPr>
            </w:pPr>
            <w:r>
              <w:rPr>
                <w:rFonts w:ascii="Times New Roman"/>
                <w:sz w:val="18"/>
              </w:rPr>
              <w:t>775.43</w:t>
            </w: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22,512,</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292.58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103,249,8</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36.00</w:t>
            </w: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147,542,57</w:t>
            </w:r>
          </w:p>
          <w:p>
            <w:pPr>
              <w:pStyle w:val="TableParagraph"/>
              <w:spacing w:line="240" w:lineRule="auto" w:before="105"/>
              <w:ind w:left="583" w:right="0"/>
              <w:jc w:val="left"/>
              <w:rPr>
                <w:rFonts w:ascii="Times New Roman" w:hAnsi="Times New Roman" w:cs="Times New Roman" w:eastAsia="Times New Roman" w:hint="default"/>
                <w:sz w:val="18"/>
                <w:szCs w:val="18"/>
              </w:rPr>
            </w:pPr>
            <w:r>
              <w:rPr>
                <w:rFonts w:ascii="Times New Roman"/>
                <w:sz w:val="18"/>
              </w:rPr>
              <w:t>3.29</w:t>
            </w:r>
          </w:p>
        </w:tc>
      </w:tr>
      <w:tr>
        <w:trPr>
          <w:trHeight w:val="713" w:hRule="exact"/>
        </w:trPr>
        <w:tc>
          <w:tcPr>
            <w:tcW w:w="120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49"/>
              <w:ind w:left="12" w:right="8"/>
              <w:jc w:val="left"/>
              <w:rPr>
                <w:rFonts w:ascii="宋体" w:hAnsi="宋体" w:cs="宋体" w:eastAsia="宋体" w:hint="default"/>
                <w:sz w:val="18"/>
                <w:szCs w:val="18"/>
              </w:rPr>
            </w:pPr>
            <w:r>
              <w:rPr>
                <w:rFonts w:ascii="宋体" w:hAnsi="宋体" w:cs="宋体" w:eastAsia="宋体" w:hint="default"/>
                <w:spacing w:val="-12"/>
                <w:sz w:val="18"/>
                <w:szCs w:val="18"/>
              </w:rPr>
              <w:t>（一）综合收益</w:t>
            </w:r>
            <w:r>
              <w:rPr>
                <w:rFonts w:ascii="宋体" w:hAnsi="宋体" w:cs="宋体" w:eastAsia="宋体" w:hint="default"/>
                <w:sz w:val="18"/>
                <w:szCs w:val="18"/>
              </w:rPr>
              <w:t> 总额</w:t>
            </w:r>
          </w:p>
        </w:tc>
        <w:tc>
          <w:tcPr>
            <w:tcW w:w="604" w:type="dxa"/>
            <w:tcBorders>
              <w:top w:val="single" w:sz="4" w:space="0" w:color="000000"/>
              <w:left w:val="single" w:sz="12" w:space="0" w:color="D4D4D4"/>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4" w:right="0"/>
              <w:jc w:val="center"/>
              <w:rPr>
                <w:rFonts w:ascii="Times New Roman" w:hAnsi="Times New Roman" w:cs="Times New Roman" w:eastAsia="Times New Roman" w:hint="default"/>
                <w:sz w:val="18"/>
                <w:szCs w:val="18"/>
              </w:rPr>
            </w:pPr>
            <w:r>
              <w:rPr>
                <w:rFonts w:ascii="Times New Roman"/>
                <w:sz w:val="18"/>
              </w:rPr>
              <w:t>-31,786,</w:t>
            </w:r>
          </w:p>
          <w:p>
            <w:pPr>
              <w:pStyle w:val="TableParagraph"/>
              <w:spacing w:line="240" w:lineRule="auto" w:before="102"/>
              <w:ind w:left="136" w:right="0"/>
              <w:jc w:val="center"/>
              <w:rPr>
                <w:rFonts w:ascii="Times New Roman" w:hAnsi="Times New Roman" w:cs="Times New Roman" w:eastAsia="Times New Roman" w:hint="default"/>
                <w:sz w:val="18"/>
                <w:szCs w:val="18"/>
              </w:rPr>
            </w:pPr>
            <w:r>
              <w:rPr>
                <w:rFonts w:ascii="Times New Roman"/>
                <w:sz w:val="18"/>
              </w:rPr>
              <w:t>775.43</w:t>
            </w: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225,122,9</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25.78</w:t>
            </w: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6" w:right="0"/>
              <w:jc w:val="left"/>
              <w:rPr>
                <w:rFonts w:ascii="Times New Roman" w:hAnsi="Times New Roman" w:cs="Times New Roman" w:eastAsia="Times New Roman" w:hint="default"/>
                <w:sz w:val="18"/>
                <w:szCs w:val="18"/>
              </w:rPr>
            </w:pPr>
            <w:r>
              <w:rPr>
                <w:rFonts w:ascii="Times New Roman"/>
                <w:sz w:val="18"/>
              </w:rPr>
              <w:t>193,336,15</w:t>
            </w:r>
          </w:p>
          <w:p>
            <w:pPr>
              <w:pStyle w:val="TableParagraph"/>
              <w:spacing w:line="240" w:lineRule="auto" w:before="102"/>
              <w:ind w:left="583" w:right="0"/>
              <w:jc w:val="left"/>
              <w:rPr>
                <w:rFonts w:ascii="Times New Roman" w:hAnsi="Times New Roman" w:cs="Times New Roman" w:eastAsia="Times New Roman" w:hint="default"/>
                <w:sz w:val="18"/>
                <w:szCs w:val="18"/>
              </w:rPr>
            </w:pPr>
            <w:r>
              <w:rPr>
                <w:rFonts w:ascii="Times New Roman"/>
                <w:sz w:val="18"/>
              </w:rPr>
              <w:t>0.35</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30"/>
        <w:gridCol w:w="593"/>
        <w:gridCol w:w="574"/>
        <w:gridCol w:w="571"/>
        <w:gridCol w:w="571"/>
        <w:gridCol w:w="686"/>
        <w:gridCol w:w="686"/>
        <w:gridCol w:w="684"/>
        <w:gridCol w:w="782"/>
        <w:gridCol w:w="665"/>
        <w:gridCol w:w="797"/>
        <w:gridCol w:w="797"/>
        <w:gridCol w:w="931"/>
      </w:tblGrid>
      <w:tr>
        <w:trPr>
          <w:trHeight w:val="713" w:hRule="exact"/>
        </w:trPr>
        <w:tc>
          <w:tcPr>
            <w:tcW w:w="12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2" w:right="19"/>
              <w:jc w:val="left"/>
              <w:rPr>
                <w:rFonts w:ascii="宋体" w:hAnsi="宋体" w:cs="宋体" w:eastAsia="宋体" w:hint="default"/>
                <w:sz w:val="18"/>
                <w:szCs w:val="18"/>
              </w:rPr>
            </w:pPr>
            <w:r>
              <w:rPr>
                <w:rFonts w:ascii="宋体" w:hAnsi="宋体" w:cs="宋体" w:eastAsia="宋体" w:hint="default"/>
                <w:spacing w:val="-12"/>
                <w:sz w:val="18"/>
                <w:szCs w:val="18"/>
              </w:rPr>
              <w:t>（二）所有者投</w:t>
            </w:r>
            <w:r>
              <w:rPr>
                <w:rFonts w:ascii="宋体" w:hAnsi="宋体" w:cs="宋体" w:eastAsia="宋体" w:hint="default"/>
                <w:sz w:val="18"/>
                <w:szCs w:val="18"/>
              </w:rPr>
              <w:t> 入和减少资本</w:t>
            </w:r>
          </w:p>
        </w:tc>
        <w:tc>
          <w:tcPr>
            <w:tcW w:w="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5" w:right="0"/>
              <w:jc w:val="left"/>
              <w:rPr>
                <w:rFonts w:ascii="Times New Roman" w:hAnsi="Times New Roman" w:cs="Times New Roman" w:eastAsia="Times New Roman" w:hint="default"/>
                <w:sz w:val="18"/>
                <w:szCs w:val="18"/>
              </w:rPr>
            </w:pPr>
            <w:r>
              <w:rPr>
                <w:rFonts w:ascii="Times New Roman"/>
                <w:sz w:val="18"/>
              </w:rPr>
              <w:t>-280,2</w:t>
            </w:r>
          </w:p>
          <w:p>
            <w:pPr>
              <w:pStyle w:val="TableParagraph"/>
              <w:spacing w:line="240" w:lineRule="auto" w:before="105"/>
              <w:ind w:left="155" w:right="0"/>
              <w:jc w:val="left"/>
              <w:rPr>
                <w:rFonts w:ascii="Times New Roman" w:hAnsi="Times New Roman" w:cs="Times New Roman" w:eastAsia="Times New Roman" w:hint="default"/>
                <w:sz w:val="18"/>
                <w:szCs w:val="18"/>
              </w:rPr>
            </w:pPr>
            <w:r>
              <w:rPr>
                <w:rFonts w:ascii="Times New Roman"/>
                <w:sz w:val="18"/>
              </w:rPr>
              <w:t>88.00</w:t>
            </w: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5" w:right="0"/>
              <w:jc w:val="left"/>
              <w:rPr>
                <w:rFonts w:ascii="Times New Roman" w:hAnsi="Times New Roman" w:cs="Times New Roman" w:eastAsia="Times New Roman" w:hint="default"/>
                <w:sz w:val="18"/>
                <w:szCs w:val="18"/>
              </w:rPr>
            </w:pPr>
            <w:r>
              <w:rPr>
                <w:rFonts w:ascii="Times New Roman"/>
                <w:sz w:val="18"/>
              </w:rPr>
              <w:t>14,761,</w:t>
            </w:r>
          </w:p>
          <w:p>
            <w:pPr>
              <w:pStyle w:val="TableParagraph"/>
              <w:spacing w:line="240" w:lineRule="auto" w:before="105"/>
              <w:ind w:left="160" w:right="0"/>
              <w:jc w:val="left"/>
              <w:rPr>
                <w:rFonts w:ascii="Times New Roman" w:hAnsi="Times New Roman" w:cs="Times New Roman" w:eastAsia="Times New Roman" w:hint="default"/>
                <w:sz w:val="18"/>
                <w:szCs w:val="18"/>
              </w:rPr>
            </w:pPr>
            <w:r>
              <w:rPr>
                <w:rFonts w:ascii="Times New Roman"/>
                <w:sz w:val="18"/>
              </w:rPr>
              <w:t>032.14</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 w:right="0"/>
              <w:jc w:val="center"/>
              <w:rPr>
                <w:rFonts w:ascii="Times New Roman" w:hAnsi="Times New Roman" w:cs="Times New Roman" w:eastAsia="Times New Roman" w:hint="default"/>
                <w:sz w:val="18"/>
                <w:szCs w:val="18"/>
              </w:rPr>
            </w:pPr>
            <w:r>
              <w:rPr>
                <w:rFonts w:ascii="Times New Roman"/>
                <w:sz w:val="18"/>
              </w:rPr>
              <w:t>-39,086,</w:t>
            </w:r>
          </w:p>
          <w:p>
            <w:pPr>
              <w:pStyle w:val="TableParagraph"/>
              <w:spacing w:line="240" w:lineRule="auto" w:before="105"/>
              <w:ind w:left="139" w:right="0"/>
              <w:jc w:val="center"/>
              <w:rPr>
                <w:rFonts w:ascii="Times New Roman" w:hAnsi="Times New Roman" w:cs="Times New Roman" w:eastAsia="Times New Roman" w:hint="default"/>
                <w:sz w:val="18"/>
                <w:szCs w:val="18"/>
              </w:rPr>
            </w:pPr>
            <w:r>
              <w:rPr>
                <w:rFonts w:ascii="Times New Roman"/>
                <w:sz w:val="18"/>
              </w:rPr>
              <w:t>476.00</w:t>
            </w: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53,567,220.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14</w:t>
            </w:r>
          </w:p>
        </w:tc>
      </w:tr>
      <w:tr>
        <w:trPr>
          <w:trHeight w:val="715" w:hRule="exact"/>
        </w:trPr>
        <w:tc>
          <w:tcPr>
            <w:tcW w:w="12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97" w:lineRule="auto" w:before="51"/>
              <w:ind w:left="2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 的普通股</w:t>
            </w:r>
          </w:p>
        </w:tc>
        <w:tc>
          <w:tcPr>
            <w:tcW w:w="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5" w:right="0"/>
              <w:jc w:val="left"/>
              <w:rPr>
                <w:rFonts w:ascii="Times New Roman" w:hAnsi="Times New Roman" w:cs="Times New Roman" w:eastAsia="Times New Roman" w:hint="default"/>
                <w:sz w:val="18"/>
                <w:szCs w:val="18"/>
              </w:rPr>
            </w:pPr>
            <w:r>
              <w:rPr>
                <w:rFonts w:ascii="Times New Roman"/>
                <w:sz w:val="18"/>
              </w:rPr>
              <w:t>-280,2</w:t>
            </w:r>
          </w:p>
          <w:p>
            <w:pPr>
              <w:pStyle w:val="TableParagraph"/>
              <w:spacing w:line="240" w:lineRule="auto" w:before="102"/>
              <w:ind w:left="155" w:right="0"/>
              <w:jc w:val="left"/>
              <w:rPr>
                <w:rFonts w:ascii="Times New Roman" w:hAnsi="Times New Roman" w:cs="Times New Roman" w:eastAsia="Times New Roman" w:hint="default"/>
                <w:sz w:val="18"/>
                <w:szCs w:val="18"/>
              </w:rPr>
            </w:pPr>
            <w:r>
              <w:rPr>
                <w:rFonts w:ascii="Times New Roman"/>
                <w:sz w:val="18"/>
              </w:rPr>
              <w:t>88.00</w:t>
            </w: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4" w:right="0"/>
              <w:jc w:val="center"/>
              <w:rPr>
                <w:rFonts w:ascii="Times New Roman" w:hAnsi="Times New Roman" w:cs="Times New Roman" w:eastAsia="Times New Roman" w:hint="default"/>
                <w:sz w:val="18"/>
                <w:szCs w:val="18"/>
              </w:rPr>
            </w:pPr>
            <w:r>
              <w:rPr>
                <w:rFonts w:ascii="Times New Roman"/>
                <w:sz w:val="18"/>
              </w:rPr>
              <w:t>-2,786,2</w:t>
            </w:r>
          </w:p>
          <w:p>
            <w:pPr>
              <w:pStyle w:val="TableParagraph"/>
              <w:spacing w:line="240" w:lineRule="auto" w:before="102"/>
              <w:ind w:left="230" w:right="0"/>
              <w:jc w:val="center"/>
              <w:rPr>
                <w:rFonts w:ascii="Times New Roman" w:hAnsi="Times New Roman" w:cs="Times New Roman" w:eastAsia="Times New Roman" w:hint="default"/>
                <w:sz w:val="18"/>
                <w:szCs w:val="18"/>
              </w:rPr>
            </w:pPr>
            <w:r>
              <w:rPr>
                <w:rFonts w:ascii="Times New Roman"/>
                <w:sz w:val="18"/>
              </w:rPr>
              <w:t>82.00</w:t>
            </w: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-3,066,570.</w:t>
            </w:r>
            <w:r>
              <w:rPr>
                <w:rFonts w:ascii="Times New Roman"/>
                <w:sz w:val="18"/>
              </w:rPr>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00</w:t>
            </w:r>
          </w:p>
        </w:tc>
      </w:tr>
      <w:tr>
        <w:trPr>
          <w:trHeight w:val="1025" w:hRule="exact"/>
        </w:trPr>
        <w:tc>
          <w:tcPr>
            <w:tcW w:w="12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9" w:lineRule="auto" w:before="49"/>
              <w:ind w:left="2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 具持有者投入 资本</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7" w:lineRule="auto" w:before="51"/>
              <w:ind w:left="2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 入所有者权益 的金额</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94" w:right="0"/>
              <w:jc w:val="center"/>
              <w:rPr>
                <w:rFonts w:ascii="Times New Roman" w:hAnsi="Times New Roman" w:cs="Times New Roman" w:eastAsia="Times New Roman" w:hint="default"/>
                <w:sz w:val="18"/>
                <w:szCs w:val="18"/>
              </w:rPr>
            </w:pPr>
            <w:r>
              <w:rPr>
                <w:rFonts w:ascii="Times New Roman"/>
                <w:sz w:val="18"/>
              </w:rPr>
              <w:t>9,794,5</w:t>
            </w:r>
          </w:p>
          <w:p>
            <w:pPr>
              <w:pStyle w:val="TableParagraph"/>
              <w:spacing w:line="240" w:lineRule="auto" w:before="102"/>
              <w:ind w:left="230" w:right="0"/>
              <w:jc w:val="center"/>
              <w:rPr>
                <w:rFonts w:ascii="Times New Roman" w:hAnsi="Times New Roman" w:cs="Times New Roman" w:eastAsia="Times New Roman" w:hint="default"/>
                <w:sz w:val="18"/>
                <w:szCs w:val="18"/>
              </w:rPr>
            </w:pPr>
            <w:r>
              <w:rPr>
                <w:rFonts w:ascii="Times New Roman"/>
                <w:sz w:val="18"/>
              </w:rPr>
              <w:t>66.38</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-39,086,</w:t>
            </w:r>
          </w:p>
          <w:p>
            <w:pPr>
              <w:pStyle w:val="TableParagraph"/>
              <w:spacing w:line="240" w:lineRule="auto" w:before="102"/>
              <w:ind w:left="139" w:right="0"/>
              <w:jc w:val="center"/>
              <w:rPr>
                <w:rFonts w:ascii="Times New Roman" w:hAnsi="Times New Roman" w:cs="Times New Roman" w:eastAsia="Times New Roman" w:hint="default"/>
                <w:sz w:val="18"/>
                <w:szCs w:val="18"/>
              </w:rPr>
            </w:pPr>
            <w:r>
              <w:rPr>
                <w:rFonts w:ascii="Times New Roman"/>
                <w:sz w:val="18"/>
              </w:rPr>
              <w:t>476.00</w:t>
            </w: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48,881,042.</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38</w:t>
            </w:r>
          </w:p>
        </w:tc>
      </w:tr>
      <w:tr>
        <w:trPr>
          <w:trHeight w:val="713" w:hRule="exact"/>
        </w:trPr>
        <w:tc>
          <w:tcPr>
            <w:tcW w:w="12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4" w:right="0"/>
              <w:jc w:val="center"/>
              <w:rPr>
                <w:rFonts w:ascii="Times New Roman" w:hAnsi="Times New Roman" w:cs="Times New Roman" w:eastAsia="Times New Roman" w:hint="default"/>
                <w:sz w:val="18"/>
                <w:szCs w:val="18"/>
              </w:rPr>
            </w:pPr>
            <w:r>
              <w:rPr>
                <w:rFonts w:ascii="Times New Roman"/>
                <w:sz w:val="18"/>
              </w:rPr>
              <w:t>7,752,7</w:t>
            </w:r>
          </w:p>
          <w:p>
            <w:pPr>
              <w:pStyle w:val="TableParagraph"/>
              <w:spacing w:line="240" w:lineRule="auto" w:before="105"/>
              <w:ind w:left="230" w:right="0"/>
              <w:jc w:val="center"/>
              <w:rPr>
                <w:rFonts w:ascii="Times New Roman" w:hAnsi="Times New Roman" w:cs="Times New Roman" w:eastAsia="Times New Roman" w:hint="default"/>
                <w:sz w:val="18"/>
                <w:szCs w:val="18"/>
              </w:rPr>
            </w:pPr>
            <w:r>
              <w:rPr>
                <w:rFonts w:ascii="Times New Roman"/>
                <w:sz w:val="18"/>
              </w:rPr>
              <w:t>47.76</w:t>
            </w: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7,752,747.7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w:t>
            </w:r>
          </w:p>
        </w:tc>
      </w:tr>
      <w:tr>
        <w:trPr>
          <w:trHeight w:val="715" w:hRule="exact"/>
        </w:trPr>
        <w:tc>
          <w:tcPr>
            <w:tcW w:w="12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w:t>
            </w:r>
            <w:r>
              <w:rPr>
                <w:rFonts w:ascii="宋体" w:hAnsi="宋体" w:cs="宋体" w:eastAsia="宋体" w:hint="default"/>
                <w:spacing w:val="-84"/>
                <w:sz w:val="18"/>
                <w:szCs w:val="18"/>
              </w:rPr>
              <w:t>）</w:t>
            </w:r>
            <w:r>
              <w:rPr>
                <w:rFonts w:ascii="宋体" w:hAnsi="宋体" w:cs="宋体" w:eastAsia="宋体" w:hint="default"/>
                <w:sz w:val="18"/>
                <w:szCs w:val="18"/>
              </w:rPr>
              <w:t>利润分配</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3" w:right="0"/>
              <w:jc w:val="left"/>
              <w:rPr>
                <w:rFonts w:ascii="Times New Roman" w:hAnsi="Times New Roman" w:cs="Times New Roman" w:eastAsia="Times New Roman" w:hint="default"/>
                <w:sz w:val="18"/>
                <w:szCs w:val="18"/>
              </w:rPr>
            </w:pPr>
            <w:r>
              <w:rPr>
                <w:rFonts w:ascii="Times New Roman"/>
                <w:sz w:val="18"/>
              </w:rPr>
              <w:t>22,512,</w:t>
            </w:r>
          </w:p>
          <w:p>
            <w:pPr>
              <w:pStyle w:val="TableParagraph"/>
              <w:spacing w:line="240" w:lineRule="auto" w:before="102"/>
              <w:ind w:left="139" w:right="0"/>
              <w:jc w:val="left"/>
              <w:rPr>
                <w:rFonts w:ascii="Times New Roman" w:hAnsi="Times New Roman" w:cs="Times New Roman" w:eastAsia="Times New Roman" w:hint="default"/>
                <w:sz w:val="18"/>
                <w:szCs w:val="18"/>
              </w:rPr>
            </w:pPr>
            <w:r>
              <w:rPr>
                <w:rFonts w:ascii="Times New Roman"/>
                <w:sz w:val="18"/>
              </w:rPr>
              <w:t>292.58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5" w:right="0"/>
              <w:jc w:val="center"/>
              <w:rPr>
                <w:rFonts w:ascii="Times New Roman" w:hAnsi="Times New Roman" w:cs="Times New Roman" w:eastAsia="Times New Roman" w:hint="default"/>
                <w:sz w:val="18"/>
                <w:szCs w:val="18"/>
              </w:rPr>
            </w:pPr>
            <w:r>
              <w:rPr>
                <w:rFonts w:ascii="Times New Roman"/>
                <w:sz w:val="18"/>
              </w:rPr>
              <w:t>-121,873,</w:t>
            </w:r>
          </w:p>
          <w:p>
            <w:pPr>
              <w:pStyle w:val="TableParagraph"/>
              <w:spacing w:line="240" w:lineRule="auto" w:before="102"/>
              <w:ind w:left="249" w:right="0"/>
              <w:jc w:val="center"/>
              <w:rPr>
                <w:rFonts w:ascii="Times New Roman" w:hAnsi="Times New Roman" w:cs="Times New Roman" w:eastAsia="Times New Roman" w:hint="default"/>
                <w:sz w:val="18"/>
                <w:szCs w:val="18"/>
              </w:rPr>
            </w:pPr>
            <w:r>
              <w:rPr>
                <w:rFonts w:ascii="Times New Roman"/>
                <w:sz w:val="18"/>
              </w:rPr>
              <w:t>089.78</w:t>
            </w: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-99,360,797</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.20</w:t>
            </w:r>
          </w:p>
        </w:tc>
      </w:tr>
      <w:tr>
        <w:trPr>
          <w:trHeight w:val="713" w:hRule="exact"/>
        </w:trPr>
        <w:tc>
          <w:tcPr>
            <w:tcW w:w="12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0" w:lineRule="auto" w:before="49"/>
              <w:ind w:left="2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 积</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3" w:right="0"/>
              <w:jc w:val="left"/>
              <w:rPr>
                <w:rFonts w:ascii="Times New Roman" w:hAnsi="Times New Roman" w:cs="Times New Roman" w:eastAsia="Times New Roman" w:hint="default"/>
                <w:sz w:val="18"/>
                <w:szCs w:val="18"/>
              </w:rPr>
            </w:pPr>
            <w:r>
              <w:rPr>
                <w:rFonts w:ascii="Times New Roman"/>
                <w:sz w:val="18"/>
              </w:rPr>
              <w:t>22,512,</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292.58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-22,512,2</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92.58</w:t>
            </w: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97" w:lineRule="auto" w:before="51"/>
              <w:ind w:left="22" w:right="17"/>
              <w:jc w:val="left"/>
              <w:rPr>
                <w:rFonts w:ascii="宋体" w:hAnsi="宋体" w:cs="宋体" w:eastAsia="宋体" w:hint="default"/>
                <w:sz w:val="18"/>
                <w:szCs w:val="18"/>
              </w:rPr>
            </w:pPr>
            <w:r>
              <w:rPr>
                <w:rFonts w:ascii="Times New Roman" w:hAnsi="Times New Roman" w:cs="Times New Roman" w:eastAsia="Times New Roman" w:hint="default"/>
                <w:spacing w:val="-22"/>
                <w:sz w:val="18"/>
                <w:szCs w:val="18"/>
              </w:rPr>
              <w:t>2</w:t>
            </w:r>
            <w:r>
              <w:rPr>
                <w:rFonts w:ascii="宋体" w:hAnsi="宋体" w:cs="宋体" w:eastAsia="宋体" w:hint="default"/>
                <w:spacing w:val="-22"/>
                <w:sz w:val="18"/>
                <w:szCs w:val="18"/>
              </w:rPr>
              <w:t>．对所有者（或</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股东）的分配</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6" w:right="0"/>
              <w:jc w:val="left"/>
              <w:rPr>
                <w:rFonts w:ascii="Times New Roman" w:hAnsi="Times New Roman" w:cs="Times New Roman" w:eastAsia="Times New Roman" w:hint="default"/>
                <w:sz w:val="18"/>
                <w:szCs w:val="18"/>
              </w:rPr>
            </w:pPr>
            <w:r>
              <w:rPr>
                <w:rFonts w:ascii="Times New Roman"/>
                <w:sz w:val="18"/>
              </w:rPr>
              <w:t>-99,360,7</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97.20</w:t>
            </w: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-99,360,797</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.20</w:t>
            </w:r>
          </w:p>
        </w:tc>
      </w:tr>
      <w:tr>
        <w:trPr>
          <w:trHeight w:val="401" w:hRule="exact"/>
        </w:trPr>
        <w:tc>
          <w:tcPr>
            <w:tcW w:w="12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4" w:lineRule="auto"/>
              <w:ind w:left="22" w:right="19"/>
              <w:jc w:val="left"/>
              <w:rPr>
                <w:rFonts w:ascii="宋体" w:hAnsi="宋体" w:cs="宋体" w:eastAsia="宋体" w:hint="default"/>
                <w:sz w:val="18"/>
                <w:szCs w:val="18"/>
              </w:rPr>
            </w:pPr>
            <w:r>
              <w:rPr>
                <w:rFonts w:ascii="宋体" w:hAnsi="宋体" w:cs="宋体" w:eastAsia="宋体" w:hint="default"/>
                <w:spacing w:val="-12"/>
                <w:sz w:val="18"/>
                <w:szCs w:val="18"/>
              </w:rPr>
              <w:t>（四）所有者权</w:t>
            </w:r>
            <w:r>
              <w:rPr>
                <w:rFonts w:ascii="宋体" w:hAnsi="宋体" w:cs="宋体" w:eastAsia="宋体" w:hint="default"/>
                <w:sz w:val="18"/>
                <w:szCs w:val="18"/>
              </w:rPr>
              <w:t> 益内部结转</w:t>
            </w:r>
          </w:p>
        </w:tc>
        <w:tc>
          <w:tcPr>
            <w:tcW w:w="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7" w:right="0"/>
              <w:jc w:val="left"/>
              <w:rPr>
                <w:rFonts w:ascii="Times New Roman" w:hAnsi="Times New Roman" w:cs="Times New Roman" w:eastAsia="Times New Roman" w:hint="default"/>
                <w:sz w:val="18"/>
                <w:szCs w:val="18"/>
              </w:rPr>
            </w:pPr>
            <w:r>
              <w:rPr>
                <w:rFonts w:ascii="Times New Roman"/>
                <w:sz w:val="18"/>
              </w:rPr>
              <w:t>298,08</w:t>
            </w:r>
          </w:p>
          <w:p>
            <w:pPr>
              <w:pStyle w:val="TableParagraph"/>
              <w:spacing w:line="240" w:lineRule="auto" w:before="102"/>
              <w:ind w:left="110" w:right="0"/>
              <w:jc w:val="left"/>
              <w:rPr>
                <w:rFonts w:ascii="Times New Roman" w:hAnsi="Times New Roman" w:cs="Times New Roman" w:eastAsia="Times New Roman" w:hint="default"/>
                <w:sz w:val="18"/>
                <w:szCs w:val="18"/>
              </w:rPr>
            </w:pPr>
            <w:r>
              <w:rPr>
                <w:rFonts w:ascii="Times New Roman"/>
                <w:sz w:val="18"/>
              </w:rPr>
              <w:t>2,391.</w:t>
            </w:r>
          </w:p>
          <w:p>
            <w:pPr>
              <w:pStyle w:val="TableParagraph"/>
              <w:spacing w:line="240" w:lineRule="auto" w:before="105"/>
              <w:ind w:left="381" w:right="0"/>
              <w:jc w:val="left"/>
              <w:rPr>
                <w:rFonts w:ascii="Times New Roman" w:hAnsi="Times New Roman" w:cs="Times New Roman" w:eastAsia="Times New Roman" w:hint="default"/>
                <w:sz w:val="18"/>
                <w:szCs w:val="18"/>
              </w:rPr>
            </w:pPr>
            <w:r>
              <w:rPr>
                <w:rFonts w:ascii="Times New Roman"/>
                <w:sz w:val="18"/>
              </w:rPr>
              <w:t>00</w:t>
            </w: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-298,08</w:t>
            </w:r>
            <w:r>
              <w:rPr>
                <w:rFonts w:ascii="Times New Roman"/>
                <w:sz w:val="18"/>
              </w:rPr>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pacing w:val="-1"/>
                <w:sz w:val="18"/>
              </w:rPr>
              <w:t>2,391.0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9" w:lineRule="auto" w:before="49"/>
              <w:ind w:left="2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 增资本（或股 本）</w:t>
            </w:r>
          </w:p>
        </w:tc>
        <w:tc>
          <w:tcPr>
            <w:tcW w:w="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 w:right="0"/>
              <w:jc w:val="left"/>
              <w:rPr>
                <w:rFonts w:ascii="Times New Roman" w:hAnsi="Times New Roman" w:cs="Times New Roman" w:eastAsia="Times New Roman" w:hint="default"/>
                <w:sz w:val="18"/>
                <w:szCs w:val="18"/>
              </w:rPr>
            </w:pPr>
            <w:r>
              <w:rPr>
                <w:rFonts w:ascii="Times New Roman"/>
                <w:sz w:val="18"/>
              </w:rPr>
              <w:t>298,08</w:t>
            </w:r>
          </w:p>
          <w:p>
            <w:pPr>
              <w:pStyle w:val="TableParagraph"/>
              <w:spacing w:line="240" w:lineRule="auto" w:before="105"/>
              <w:ind w:left="110" w:right="0"/>
              <w:jc w:val="left"/>
              <w:rPr>
                <w:rFonts w:ascii="Times New Roman" w:hAnsi="Times New Roman" w:cs="Times New Roman" w:eastAsia="Times New Roman" w:hint="default"/>
                <w:sz w:val="18"/>
                <w:szCs w:val="18"/>
              </w:rPr>
            </w:pPr>
            <w:r>
              <w:rPr>
                <w:rFonts w:ascii="Times New Roman"/>
                <w:sz w:val="18"/>
              </w:rPr>
              <w:t>2,391.</w:t>
            </w:r>
          </w:p>
          <w:p>
            <w:pPr>
              <w:pStyle w:val="TableParagraph"/>
              <w:spacing w:line="240" w:lineRule="auto" w:before="105"/>
              <w:ind w:left="381" w:right="0"/>
              <w:jc w:val="left"/>
              <w:rPr>
                <w:rFonts w:ascii="Times New Roman" w:hAnsi="Times New Roman" w:cs="Times New Roman" w:eastAsia="Times New Roman" w:hint="default"/>
                <w:sz w:val="18"/>
                <w:szCs w:val="18"/>
              </w:rPr>
            </w:pPr>
            <w:r>
              <w:rPr>
                <w:rFonts w:ascii="Times New Roman"/>
                <w:sz w:val="18"/>
              </w:rPr>
              <w:t>00</w:t>
            </w: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-298,08</w:t>
            </w:r>
            <w:r>
              <w:rPr>
                <w:rFonts w:ascii="Times New Roman"/>
                <w:sz w:val="18"/>
              </w:rPr>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pacing w:val="-1"/>
                <w:sz w:val="18"/>
              </w:rPr>
              <w:t>2,391.0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7" w:lineRule="auto" w:before="51"/>
              <w:ind w:left="2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 增资本（或股 本）</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0" w:lineRule="auto" w:before="49"/>
              <w:ind w:left="2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 补亏损</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7" w:lineRule="auto" w:before="51"/>
              <w:ind w:left="2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 划变动额结转 留存收益</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9" w:lineRule="auto" w:before="49"/>
              <w:ind w:left="2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．其他综合收 益结转留存收 益</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w:t>
            </w:r>
            <w:r>
              <w:rPr>
                <w:rFonts w:ascii="宋体" w:hAnsi="宋体" w:cs="宋体" w:eastAsia="宋体" w:hint="default"/>
                <w:spacing w:val="-84"/>
                <w:sz w:val="18"/>
                <w:szCs w:val="18"/>
              </w:rPr>
              <w:t>）</w:t>
            </w:r>
            <w:r>
              <w:rPr>
                <w:rFonts w:ascii="宋体" w:hAnsi="宋体" w:cs="宋体" w:eastAsia="宋体" w:hint="default"/>
                <w:sz w:val="18"/>
                <w:szCs w:val="18"/>
              </w:rPr>
              <w:t>专项储备</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30"/>
        <w:gridCol w:w="593"/>
        <w:gridCol w:w="574"/>
        <w:gridCol w:w="571"/>
        <w:gridCol w:w="571"/>
        <w:gridCol w:w="686"/>
        <w:gridCol w:w="686"/>
        <w:gridCol w:w="684"/>
        <w:gridCol w:w="782"/>
        <w:gridCol w:w="665"/>
        <w:gridCol w:w="797"/>
        <w:gridCol w:w="797"/>
        <w:gridCol w:w="931"/>
      </w:tblGrid>
      <w:tr>
        <w:trPr>
          <w:trHeight w:val="401" w:hRule="exact"/>
        </w:trPr>
        <w:tc>
          <w:tcPr>
            <w:tcW w:w="12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2" w:right="19"/>
              <w:jc w:val="left"/>
              <w:rPr>
                <w:rFonts w:ascii="宋体" w:hAnsi="宋体" w:cs="宋体" w:eastAsia="宋体" w:hint="default"/>
                <w:sz w:val="18"/>
                <w:szCs w:val="18"/>
              </w:rPr>
            </w:pPr>
            <w:r>
              <w:rPr>
                <w:rFonts w:ascii="宋体" w:hAnsi="宋体" w:cs="宋体" w:eastAsia="宋体" w:hint="default"/>
                <w:spacing w:val="-12"/>
                <w:sz w:val="18"/>
                <w:szCs w:val="18"/>
              </w:rPr>
              <w:t>四、本期期末余</w:t>
            </w:r>
            <w:r>
              <w:rPr>
                <w:rFonts w:ascii="宋体" w:hAnsi="宋体" w:cs="宋体" w:eastAsia="宋体" w:hint="default"/>
                <w:sz w:val="18"/>
                <w:szCs w:val="18"/>
              </w:rPr>
              <w:t> 额</w:t>
            </w:r>
          </w:p>
        </w:tc>
        <w:tc>
          <w:tcPr>
            <w:tcW w:w="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 w:right="0"/>
              <w:jc w:val="left"/>
              <w:rPr>
                <w:rFonts w:ascii="Times New Roman" w:hAnsi="Times New Roman" w:cs="Times New Roman" w:eastAsia="Times New Roman" w:hint="default"/>
                <w:sz w:val="18"/>
                <w:szCs w:val="18"/>
              </w:rPr>
            </w:pPr>
            <w:r>
              <w:rPr>
                <w:rFonts w:ascii="Times New Roman"/>
                <w:sz w:val="18"/>
              </w:rPr>
              <w:t>794,83</w:t>
            </w:r>
          </w:p>
          <w:p>
            <w:pPr>
              <w:pStyle w:val="TableParagraph"/>
              <w:spacing w:line="240" w:lineRule="auto" w:before="105"/>
              <w:ind w:left="110" w:right="0"/>
              <w:jc w:val="left"/>
              <w:rPr>
                <w:rFonts w:ascii="Times New Roman" w:hAnsi="Times New Roman" w:cs="Times New Roman" w:eastAsia="Times New Roman" w:hint="default"/>
                <w:sz w:val="18"/>
                <w:szCs w:val="18"/>
              </w:rPr>
            </w:pPr>
            <w:r>
              <w:rPr>
                <w:rFonts w:ascii="Times New Roman"/>
                <w:sz w:val="18"/>
              </w:rPr>
              <w:t>2,809.</w:t>
            </w:r>
          </w:p>
          <w:p>
            <w:pPr>
              <w:pStyle w:val="TableParagraph"/>
              <w:spacing w:line="240" w:lineRule="auto" w:before="105"/>
              <w:ind w:left="381" w:right="0"/>
              <w:jc w:val="left"/>
              <w:rPr>
                <w:rFonts w:ascii="Times New Roman" w:hAnsi="Times New Roman" w:cs="Times New Roman" w:eastAsia="Times New Roman" w:hint="default"/>
                <w:sz w:val="18"/>
                <w:szCs w:val="18"/>
              </w:rPr>
            </w:pPr>
            <w:r>
              <w:rPr>
                <w:rFonts w:ascii="Times New Roman"/>
                <w:sz w:val="18"/>
              </w:rPr>
              <w:t>00</w:t>
            </w:r>
          </w:p>
        </w:tc>
        <w:tc>
          <w:tcPr>
            <w:tcW w:w="574"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810,125</w:t>
            </w:r>
          </w:p>
          <w:p>
            <w:pPr>
              <w:pStyle w:val="TableParagraph"/>
              <w:spacing w:line="240" w:lineRule="auto" w:before="105"/>
              <w:ind w:left="115" w:right="0"/>
              <w:jc w:val="left"/>
              <w:rPr>
                <w:rFonts w:ascii="Times New Roman" w:hAnsi="Times New Roman" w:cs="Times New Roman" w:eastAsia="Times New Roman" w:hint="default"/>
                <w:sz w:val="18"/>
                <w:szCs w:val="18"/>
              </w:rPr>
            </w:pPr>
            <w:r>
              <w:rPr>
                <w:rFonts w:ascii="Times New Roman"/>
                <w:sz w:val="18"/>
              </w:rPr>
              <w:t>,909.65</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34,813,1</w:t>
            </w:r>
          </w:p>
          <w:p>
            <w:pPr>
              <w:pStyle w:val="TableParagraph"/>
              <w:spacing w:line="240" w:lineRule="auto" w:before="105"/>
              <w:ind w:left="249" w:right="0"/>
              <w:jc w:val="left"/>
              <w:rPr>
                <w:rFonts w:ascii="Times New Roman" w:hAnsi="Times New Roman" w:cs="Times New Roman" w:eastAsia="Times New Roman" w:hint="default"/>
                <w:sz w:val="18"/>
                <w:szCs w:val="18"/>
              </w:rPr>
            </w:pPr>
            <w:r>
              <w:rPr>
                <w:rFonts w:ascii="Times New Roman"/>
                <w:sz w:val="18"/>
              </w:rPr>
              <w:t>42.00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131,692</w:t>
            </w:r>
          </w:p>
          <w:p>
            <w:pPr>
              <w:pStyle w:val="TableParagraph"/>
              <w:spacing w:line="240" w:lineRule="auto" w:before="105"/>
              <w:ind w:left="112" w:right="0"/>
              <w:jc w:val="left"/>
              <w:rPr>
                <w:rFonts w:ascii="Times New Roman" w:hAnsi="Times New Roman" w:cs="Times New Roman" w:eastAsia="Times New Roman" w:hint="default"/>
                <w:sz w:val="18"/>
                <w:szCs w:val="18"/>
              </w:rPr>
            </w:pPr>
            <w:r>
              <w:rPr>
                <w:rFonts w:ascii="Times New Roman"/>
                <w:sz w:val="18"/>
              </w:rPr>
              <w:t>,509.57</w:t>
            </w: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97,552,</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177.95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693,887,3</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31.39</w:t>
            </w: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2,493,277,5</w:t>
            </w:r>
          </w:p>
          <w:p>
            <w:pPr>
              <w:pStyle w:val="TableParagraph"/>
              <w:spacing w:line="240" w:lineRule="auto" w:before="105"/>
              <w:ind w:left="491" w:right="0"/>
              <w:jc w:val="left"/>
              <w:rPr>
                <w:rFonts w:ascii="Times New Roman" w:hAnsi="Times New Roman" w:cs="Times New Roman" w:eastAsia="Times New Roman" w:hint="default"/>
                <w:sz w:val="18"/>
                <w:szCs w:val="18"/>
              </w:rPr>
            </w:pPr>
            <w:r>
              <w:rPr>
                <w:rFonts w:ascii="Times New Roman"/>
                <w:sz w:val="18"/>
              </w:rPr>
              <w:t>95.56</w:t>
            </w:r>
          </w:p>
        </w:tc>
      </w:tr>
    </w:tbl>
    <w:p>
      <w:pPr>
        <w:spacing w:line="240" w:lineRule="auto" w:before="6"/>
        <w:rPr>
          <w:rFonts w:ascii="Times New Roman" w:hAnsi="Times New Roman" w:cs="Times New Roman" w:eastAsia="Times New Roman" w:hint="default"/>
          <w:sz w:val="20"/>
          <w:szCs w:val="20"/>
        </w:rPr>
      </w:pPr>
    </w:p>
    <w:p>
      <w:pPr>
        <w:pStyle w:val="Heading2"/>
        <w:spacing w:line="240" w:lineRule="auto" w:before="26"/>
        <w:ind w:right="986"/>
        <w:jc w:val="left"/>
        <w:rPr>
          <w:b w:val="0"/>
          <w:bCs w:val="0"/>
        </w:rPr>
      </w:pPr>
      <w:bookmarkStart w:name="三、公司基本情况" w:id="167"/>
      <w:bookmarkEnd w:id="167"/>
      <w:r>
        <w:rPr>
          <w:b w:val="0"/>
          <w:bCs w:val="0"/>
        </w:rPr>
      </w:r>
      <w:r>
        <w:rPr/>
        <w:t>三、公司基本情况</w:t>
      </w:r>
      <w:r>
        <w:rPr>
          <w:b w:val="0"/>
          <w:bCs w:val="0"/>
        </w:rPr>
      </w:r>
    </w:p>
    <w:p>
      <w:pPr>
        <w:spacing w:line="240" w:lineRule="auto" w:before="8"/>
        <w:rPr>
          <w:rFonts w:ascii="宋体" w:hAnsi="宋体" w:cs="宋体" w:eastAsia="宋体" w:hint="default"/>
          <w:b/>
          <w:bCs/>
          <w:sz w:val="30"/>
          <w:szCs w:val="30"/>
        </w:rPr>
      </w:pPr>
    </w:p>
    <w:p>
      <w:pPr>
        <w:pStyle w:val="BodyText"/>
        <w:spacing w:line="408" w:lineRule="auto" w:before="0"/>
        <w:ind w:left="572" w:right="986" w:firstLine="2"/>
        <w:jc w:val="left"/>
      </w:pPr>
      <w:r>
        <w:rPr>
          <w:rFonts w:ascii="宋体" w:hAnsi="宋体" w:cs="宋体" w:eastAsia="宋体" w:hint="default"/>
          <w:b/>
          <w:bCs/>
        </w:rPr>
        <w:t>（一）基本情况</w:t>
      </w:r>
      <w:r>
        <w:rPr>
          <w:rFonts w:ascii="宋体" w:hAnsi="宋体" w:cs="宋体" w:eastAsia="宋体" w:hint="default"/>
          <w:b/>
          <w:bCs/>
          <w:w w:val="100"/>
        </w:rPr>
        <w:t> </w:t>
      </w:r>
      <w:r>
        <w:rPr>
          <w:spacing w:val="-4"/>
        </w:rPr>
        <w:t>厦门市美亚柏科信息股份有限公司（以下简称</w:t>
      </w:r>
      <w:r>
        <w:rPr>
          <w:rFonts w:ascii="Times New Roman" w:hAnsi="Times New Roman" w:cs="Times New Roman" w:eastAsia="Times New Roman" w:hint="default"/>
          <w:spacing w:val="-4"/>
        </w:rPr>
        <w:t>“</w:t>
      </w:r>
      <w:r>
        <w:rPr>
          <w:spacing w:val="-4"/>
        </w:rPr>
        <w:t>本公司</w:t>
      </w:r>
      <w:r>
        <w:rPr>
          <w:rFonts w:ascii="Times New Roman" w:hAnsi="Times New Roman" w:cs="Times New Roman" w:eastAsia="Times New Roman" w:hint="default"/>
          <w:spacing w:val="-4"/>
        </w:rPr>
        <w:t>”</w:t>
      </w:r>
      <w:r>
        <w:rPr>
          <w:spacing w:val="-4"/>
        </w:rPr>
        <w:t>）是一家在福建省厦门市注册的股份有限公司，</w:t>
      </w:r>
    </w:p>
    <w:p>
      <w:pPr>
        <w:pStyle w:val="BodyText"/>
        <w:spacing w:line="393" w:lineRule="auto" w:before="14"/>
        <w:ind w:right="1027"/>
        <w:jc w:val="left"/>
      </w:pPr>
      <w:r>
        <w:rPr>
          <w:spacing w:val="-2"/>
        </w:rPr>
        <w:t>由郭永芳、刘祥南、李国林、广州通连投资咨询有限公司等十六名发起人共同发起设立，经福建省厦门市</w:t>
      </w:r>
      <w:r>
        <w:rPr>
          <w:spacing w:val="-47"/>
        </w:rPr>
        <w:t> </w:t>
      </w:r>
      <w:r>
        <w:rPr>
          <w:spacing w:val="-47"/>
        </w:rPr>
      </w:r>
      <w:r>
        <w:rPr>
          <w:spacing w:val="-2"/>
        </w:rPr>
        <w:t>工商行政管理局核准登记，企业法人营业执照</w:t>
      </w:r>
      <w:r>
        <w:rPr>
          <w:rFonts w:ascii="Times New Roman" w:hAnsi="Times New Roman" w:cs="Times New Roman" w:eastAsia="Times New Roman" w:hint="default"/>
          <w:spacing w:val="-2"/>
        </w:rPr>
        <w:t>350298200005610</w:t>
      </w:r>
      <w:r>
        <w:rPr>
          <w:spacing w:val="-2"/>
        </w:rPr>
        <w:t>号；</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28</w:t>
      </w:r>
      <w:r>
        <w:rPr>
          <w:spacing w:val="-2"/>
        </w:rPr>
        <w:t>日，本公司经厦门市市场</w:t>
      </w:r>
      <w:r>
        <w:rPr>
          <w:spacing w:val="-29"/>
        </w:rPr>
        <w:t> </w:t>
      </w:r>
      <w:r>
        <w:rPr>
          <w:spacing w:val="-29"/>
        </w:rPr>
      </w:r>
      <w:r>
        <w:rPr>
          <w:spacing w:val="-5"/>
        </w:rPr>
        <w:t>监督管理局核准，取得统一社会信用代码为</w:t>
      </w:r>
      <w:r>
        <w:rPr>
          <w:rFonts w:ascii="Times New Roman" w:hAnsi="Times New Roman" w:cs="Times New Roman" w:eastAsia="Times New Roman" w:hint="default"/>
          <w:spacing w:val="-5"/>
        </w:rPr>
        <w:t>91350200705420347R</w:t>
      </w:r>
      <w:r>
        <w:rPr>
          <w:spacing w:val="-5"/>
        </w:rPr>
        <w:t>的营业执照。本公司注册地址及总部地址：</w:t>
      </w:r>
      <w:r>
        <w:rPr>
          <w:spacing w:val="-1"/>
        </w:rPr>
        <w:t> </w:t>
      </w:r>
      <w:r>
        <w:rPr>
          <w:spacing w:val="-1"/>
        </w:rPr>
      </w:r>
      <w:r>
        <w:rPr/>
        <w:t>厦门市软件园二期观日路</w:t>
      </w:r>
      <w:r>
        <w:rPr>
          <w:rFonts w:ascii="Times New Roman" w:hAnsi="Times New Roman" w:cs="Times New Roman" w:eastAsia="Times New Roman" w:hint="default"/>
        </w:rPr>
        <w:t>12</w:t>
      </w:r>
      <w:r>
        <w:rPr/>
        <w:t>号</w:t>
      </w:r>
      <w:r>
        <w:rPr>
          <w:rFonts w:ascii="Times New Roman" w:hAnsi="Times New Roman" w:cs="Times New Roman" w:eastAsia="Times New Roman" w:hint="default"/>
        </w:rPr>
        <w:t>102-402</w:t>
      </w:r>
      <w:r>
        <w:rPr/>
        <w:t>单元，法定代表人：滕达。</w:t>
      </w:r>
    </w:p>
    <w:p>
      <w:pPr>
        <w:pStyle w:val="BodyText"/>
        <w:spacing w:line="386" w:lineRule="auto" w:before="28"/>
        <w:ind w:left="153" w:right="1130" w:firstLine="420"/>
        <w:jc w:val="both"/>
      </w:pPr>
      <w:r>
        <w:rPr/>
        <w:t>本公司前身为原厦门市美亚柏科资讯科技有限公司，</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22</w:t>
      </w:r>
      <w:r>
        <w:rPr/>
        <w:t>日在该公司基础上改组为股份有限</w:t>
      </w:r>
      <w:r>
        <w:rPr>
          <w:w w:val="100"/>
        </w:rPr>
        <w:t> </w:t>
      </w:r>
      <w:r>
        <w:rPr/>
        <w:t>公司。</w:t>
      </w:r>
    </w:p>
    <w:p>
      <w:pPr>
        <w:pStyle w:val="BodyText"/>
        <w:spacing w:line="240" w:lineRule="auto" w:before="65"/>
        <w:ind w:left="573" w:right="986"/>
        <w:jc w:val="left"/>
      </w:pPr>
      <w:r>
        <w:rPr/>
        <w:t>根据本公司</w:t>
      </w:r>
      <w:r>
        <w:rPr>
          <w:rFonts w:ascii="Times New Roman" w:hAnsi="Times New Roman" w:cs="Times New Roman" w:eastAsia="Times New Roman" w:hint="default"/>
        </w:rPr>
        <w:t>2010</w:t>
      </w:r>
      <w:r>
        <w:rPr/>
        <w:t>年第一次临时股东大会决议，并经中国证券监督管理委员会</w:t>
      </w:r>
      <w:r>
        <w:rPr>
          <w:rFonts w:ascii="Times New Roman" w:hAnsi="Times New Roman" w:cs="Times New Roman" w:eastAsia="Times New Roman" w:hint="default"/>
        </w:rPr>
        <w:t>“</w:t>
      </w:r>
      <w:r>
        <w:rPr/>
        <w:t>证监许可</w:t>
      </w:r>
      <w:r>
        <w:rPr>
          <w:rFonts w:ascii="Times New Roman" w:hAnsi="Times New Roman" w:cs="Times New Roman" w:eastAsia="Times New Roman" w:hint="default"/>
        </w:rPr>
        <w:t>[2011]263</w:t>
      </w:r>
      <w:r>
        <w:rPr/>
        <w:t>号</w:t>
      </w:r>
      <w:r>
        <w:rPr>
          <w:rFonts w:ascii="Times New Roman" w:hAnsi="Times New Roman" w:cs="Times New Roman" w:eastAsia="Times New Roman" w:hint="default"/>
        </w:rPr>
        <w:t>”</w:t>
      </w:r>
      <w:r>
        <w:rPr/>
        <w:t>文</w:t>
      </w:r>
    </w:p>
    <w:p>
      <w:pPr>
        <w:pStyle w:val="BodyText"/>
        <w:spacing w:line="393" w:lineRule="auto" w:before="177"/>
        <w:ind w:left="153" w:right="1127"/>
        <w:jc w:val="both"/>
      </w:pPr>
      <w:r>
        <w:rPr>
          <w:spacing w:val="-2"/>
        </w:rPr>
        <w:t>《关于核准厦门市美亚柏科信息股份有限公司首次公开发行股票并在创业板上市的批复》核准，本公司申</w:t>
      </w:r>
      <w:r>
        <w:rPr>
          <w:spacing w:val="-42"/>
        </w:rPr>
        <w:t> </w:t>
      </w:r>
      <w:r>
        <w:rPr>
          <w:spacing w:val="-42"/>
        </w:rPr>
      </w:r>
      <w:r>
        <w:rPr>
          <w:spacing w:val="-2"/>
        </w:rPr>
        <w:t>请首次向社会公开发行人民币普通股（</w:t>
      </w:r>
      <w:r>
        <w:rPr>
          <w:rFonts w:ascii="Times New Roman" w:hAnsi="Times New Roman" w:cs="Times New Roman" w:eastAsia="Times New Roman" w:hint="default"/>
          <w:spacing w:val="-2"/>
        </w:rPr>
        <w:t>A</w:t>
      </w:r>
      <w:r>
        <w:rPr>
          <w:spacing w:val="-2"/>
        </w:rPr>
        <w:t>股）</w:t>
      </w:r>
      <w:r>
        <w:rPr>
          <w:rFonts w:ascii="Times New Roman" w:hAnsi="Times New Roman" w:cs="Times New Roman" w:eastAsia="Times New Roman" w:hint="default"/>
          <w:spacing w:val="-2"/>
        </w:rPr>
        <w:t>1,350</w:t>
      </w:r>
      <w:r>
        <w:rPr>
          <w:spacing w:val="-2"/>
        </w:rPr>
        <w:t>万股，每股面值</w:t>
      </w:r>
      <w:r>
        <w:rPr>
          <w:rFonts w:ascii="Times New Roman" w:hAnsi="Times New Roman" w:cs="Times New Roman" w:eastAsia="Times New Roman" w:hint="default"/>
          <w:spacing w:val="-2"/>
        </w:rPr>
        <w:t>1</w:t>
      </w:r>
      <w:r>
        <w:rPr>
          <w:spacing w:val="-2"/>
        </w:rPr>
        <w:t>元，实际发行价格</w:t>
      </w:r>
      <w:r>
        <w:rPr>
          <w:rFonts w:ascii="Times New Roman" w:hAnsi="Times New Roman" w:cs="Times New Roman" w:eastAsia="Times New Roman" w:hint="default"/>
          <w:spacing w:val="-2"/>
        </w:rPr>
        <w:t>40.00</w:t>
      </w:r>
      <w:r>
        <w:rPr>
          <w:spacing w:val="-2"/>
        </w:rPr>
        <w:t>元</w:t>
      </w:r>
      <w:r>
        <w:rPr>
          <w:rFonts w:ascii="Times New Roman" w:hAnsi="Times New Roman" w:cs="Times New Roman" w:eastAsia="Times New Roman" w:hint="default"/>
          <w:spacing w:val="-2"/>
        </w:rPr>
        <w:t>/</w:t>
      </w:r>
      <w:r>
        <w:rPr>
          <w:spacing w:val="-2"/>
        </w:rPr>
        <w:t>股，发行后</w:t>
      </w:r>
      <w:r>
        <w:rPr>
          <w:spacing w:val="-33"/>
        </w:rPr>
        <w:t> </w:t>
      </w:r>
      <w:r>
        <w:rPr>
          <w:spacing w:val="-33"/>
        </w:rPr>
      </w:r>
      <w:r>
        <w:rPr>
          <w:spacing w:val="-1"/>
        </w:rPr>
        <w:t>本公司注册资本（股本）变更为</w:t>
      </w:r>
      <w:r>
        <w:rPr>
          <w:rFonts w:ascii="Times New Roman" w:hAnsi="Times New Roman" w:cs="Times New Roman" w:eastAsia="Times New Roman" w:hint="default"/>
          <w:spacing w:val="-1"/>
        </w:rPr>
        <w:t>5,350.00</w:t>
      </w:r>
      <w:r>
        <w:rPr>
          <w:spacing w:val="-1"/>
        </w:rPr>
        <w:t>万元。本公司</w:t>
      </w:r>
      <w:r>
        <w:rPr>
          <w:rFonts w:ascii="Times New Roman" w:hAnsi="Times New Roman" w:cs="Times New Roman" w:eastAsia="Times New Roman" w:hint="default"/>
          <w:spacing w:val="-1"/>
        </w:rPr>
        <w:t>A</w:t>
      </w:r>
      <w:r>
        <w:rPr>
          <w:spacing w:val="-1"/>
        </w:rPr>
        <w:t>股股票自</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3</w:t>
      </w:r>
      <w:r>
        <w:rPr>
          <w:spacing w:val="-1"/>
        </w:rPr>
        <w:t>月</w:t>
      </w:r>
      <w:r>
        <w:rPr>
          <w:rFonts w:ascii="Times New Roman" w:hAnsi="Times New Roman" w:cs="Times New Roman" w:eastAsia="Times New Roman" w:hint="default"/>
          <w:spacing w:val="-1"/>
        </w:rPr>
        <w:t>16</w:t>
      </w:r>
      <w:r>
        <w:rPr>
          <w:spacing w:val="-1"/>
        </w:rPr>
        <w:t>日起在深圳证券交易所创业</w:t>
      </w:r>
      <w:r>
        <w:rPr>
          <w:spacing w:val="-17"/>
        </w:rPr>
        <w:t> </w:t>
      </w:r>
      <w:r>
        <w:rPr>
          <w:spacing w:val="-17"/>
        </w:rPr>
      </w:r>
      <w:r>
        <w:rPr/>
        <w:t>板上市交易，证券简称为</w:t>
      </w:r>
      <w:r>
        <w:rPr>
          <w:rFonts w:ascii="Times New Roman" w:hAnsi="Times New Roman" w:cs="Times New Roman" w:eastAsia="Times New Roman" w:hint="default"/>
        </w:rPr>
        <w:t>“</w:t>
      </w:r>
      <w:r>
        <w:rPr/>
        <w:t>美亚柏科</w:t>
      </w:r>
      <w:r>
        <w:rPr>
          <w:rFonts w:ascii="Times New Roman" w:hAnsi="Times New Roman" w:cs="Times New Roman" w:eastAsia="Times New Roman" w:hint="default"/>
        </w:rPr>
        <w:t>”</w:t>
      </w:r>
      <w:r>
        <w:rPr/>
        <w:t>，证券代码为</w:t>
      </w:r>
      <w:r>
        <w:rPr>
          <w:rFonts w:ascii="Times New Roman" w:hAnsi="Times New Roman" w:cs="Times New Roman" w:eastAsia="Times New Roman" w:hint="default"/>
        </w:rPr>
        <w:t>“300188”</w:t>
      </w:r>
      <w:r>
        <w:rPr/>
        <w:t>。</w:t>
      </w:r>
    </w:p>
    <w:p>
      <w:pPr>
        <w:pStyle w:val="BodyText"/>
        <w:spacing w:line="386" w:lineRule="auto" w:before="28"/>
        <w:ind w:left="153" w:right="1130" w:firstLine="420"/>
        <w:jc w:val="both"/>
      </w:pPr>
      <w:r>
        <w:rPr/>
        <w:t>根据</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14</w:t>
      </w:r>
      <w:r>
        <w:rPr/>
        <w:t>日本公司召开的</w:t>
      </w:r>
      <w:r>
        <w:rPr>
          <w:rFonts w:ascii="Times New Roman" w:hAnsi="Times New Roman" w:cs="Times New Roman" w:eastAsia="Times New Roman" w:hint="default"/>
        </w:rPr>
        <w:t>2011</w:t>
      </w:r>
      <w:r>
        <w:rPr/>
        <w:t>年度股东大会审议通过</w:t>
      </w:r>
      <w:r>
        <w:rPr>
          <w:rFonts w:ascii="Times New Roman" w:hAnsi="Times New Roman" w:cs="Times New Roman" w:eastAsia="Times New Roman" w:hint="default"/>
        </w:rPr>
        <w:t>2011</w:t>
      </w:r>
      <w:r>
        <w:rPr/>
        <w:t>年度利润分配方案，以</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w:t>
      </w:r>
      <w:r>
        <w:rPr>
          <w:w w:val="100"/>
        </w:rPr>
        <w:t> </w:t>
      </w:r>
      <w:r>
        <w:rPr>
          <w:rFonts w:ascii="Times New Roman" w:hAnsi="Times New Roman" w:cs="Times New Roman" w:eastAsia="Times New Roman" w:hint="default"/>
          <w:spacing w:val="-2"/>
        </w:rPr>
        <w:t>31</w:t>
      </w:r>
      <w:r>
        <w:rPr>
          <w:spacing w:val="-2"/>
        </w:rPr>
        <w:t>日总股本</w:t>
      </w:r>
      <w:r>
        <w:rPr>
          <w:rFonts w:ascii="Times New Roman" w:hAnsi="Times New Roman" w:cs="Times New Roman" w:eastAsia="Times New Roman" w:hint="default"/>
          <w:spacing w:val="-2"/>
        </w:rPr>
        <w:t>5,350</w:t>
      </w:r>
      <w:r>
        <w:rPr>
          <w:spacing w:val="-2"/>
        </w:rPr>
        <w:t>万股为基数，以资本公积金每</w:t>
      </w:r>
      <w:r>
        <w:rPr>
          <w:rFonts w:ascii="Times New Roman" w:hAnsi="Times New Roman" w:cs="Times New Roman" w:eastAsia="Times New Roman" w:hint="default"/>
          <w:spacing w:val="-2"/>
        </w:rPr>
        <w:t>10</w:t>
      </w:r>
      <w:r>
        <w:rPr>
          <w:spacing w:val="-2"/>
        </w:rPr>
        <w:t>股转增</w:t>
      </w:r>
      <w:r>
        <w:rPr>
          <w:rFonts w:ascii="Times New Roman" w:hAnsi="Times New Roman" w:cs="Times New Roman" w:eastAsia="Times New Roman" w:hint="default"/>
          <w:spacing w:val="-2"/>
        </w:rPr>
        <w:t>10</w:t>
      </w:r>
      <w:r>
        <w:rPr>
          <w:spacing w:val="-2"/>
        </w:rPr>
        <w:t>股，共计转增</w:t>
      </w:r>
      <w:r>
        <w:rPr>
          <w:rFonts w:ascii="Times New Roman" w:hAnsi="Times New Roman" w:cs="Times New Roman" w:eastAsia="Times New Roman" w:hint="default"/>
          <w:spacing w:val="-2"/>
        </w:rPr>
        <w:t>5,350</w:t>
      </w:r>
      <w:r>
        <w:rPr>
          <w:spacing w:val="-2"/>
        </w:rPr>
        <w:t>万股。根据</w:t>
      </w:r>
      <w:r>
        <w:rPr>
          <w:rFonts w:ascii="Times New Roman" w:hAnsi="Times New Roman" w:cs="Times New Roman" w:eastAsia="Times New Roman" w:hint="default"/>
          <w:spacing w:val="-2"/>
        </w:rPr>
        <w:t>2012</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15</w:t>
      </w:r>
      <w:r>
        <w:rPr>
          <w:spacing w:val="-2"/>
        </w:rPr>
        <w:t>日本</w:t>
      </w:r>
      <w:r>
        <w:rPr>
          <w:spacing w:val="-30"/>
        </w:rPr>
        <w:t> </w:t>
      </w:r>
      <w:r>
        <w:rPr/>
        <w:t>公司召开的</w:t>
      </w:r>
      <w:r>
        <w:rPr>
          <w:rFonts w:ascii="Times New Roman" w:hAnsi="Times New Roman" w:cs="Times New Roman" w:eastAsia="Times New Roman" w:hint="default"/>
        </w:rPr>
        <w:t>2012 </w:t>
      </w:r>
      <w:r>
        <w:rPr/>
        <w:t>年第一次临时股东大会决议、</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6</w:t>
      </w:r>
      <w:r>
        <w:rPr/>
        <w:t>日第一届董事会第二十一次会议决议和修改后</w:t>
      </w:r>
      <w:r>
        <w:rPr>
          <w:spacing w:val="-81"/>
        </w:rPr>
        <w:t> </w:t>
      </w:r>
      <w:r>
        <w:rPr>
          <w:spacing w:val="-81"/>
        </w:rPr>
      </w:r>
      <w:r>
        <w:rPr>
          <w:spacing w:val="-3"/>
        </w:rPr>
        <w:t>的章程规定，本公司以定向增发方式向</w:t>
      </w:r>
      <w:r>
        <w:rPr>
          <w:rFonts w:ascii="Times New Roman" w:hAnsi="Times New Roman" w:cs="Times New Roman" w:eastAsia="Times New Roman" w:hint="default"/>
          <w:spacing w:val="-3"/>
        </w:rPr>
        <w:t>201</w:t>
      </w:r>
      <w:r>
        <w:rPr>
          <w:spacing w:val="-3"/>
        </w:rPr>
        <w:t>名激励对象授予限制性人民币普通股（</w:t>
      </w:r>
      <w:r>
        <w:rPr>
          <w:rFonts w:ascii="Times New Roman" w:hAnsi="Times New Roman" w:cs="Times New Roman" w:eastAsia="Times New Roman" w:hint="default"/>
          <w:spacing w:val="-3"/>
        </w:rPr>
        <w:t>A </w:t>
      </w:r>
      <w:r>
        <w:rPr>
          <w:spacing w:val="-6"/>
        </w:rPr>
        <w:t>股）</w:t>
      </w:r>
      <w:r>
        <w:rPr>
          <w:rFonts w:ascii="Times New Roman" w:hAnsi="Times New Roman" w:cs="Times New Roman" w:eastAsia="Times New Roman" w:hint="default"/>
          <w:spacing w:val="-6"/>
        </w:rPr>
        <w:t>390.66</w:t>
      </w:r>
      <w:r>
        <w:rPr>
          <w:spacing w:val="-6"/>
        </w:rPr>
        <w:t>万股，每股</w:t>
      </w:r>
      <w:r>
        <w:rPr>
          <w:spacing w:val="-95"/>
        </w:rPr>
        <w:t> </w:t>
      </w:r>
      <w:r>
        <w:rPr>
          <w:spacing w:val="-95"/>
        </w:rPr>
      </w:r>
      <w:r>
        <w:rPr>
          <w:spacing w:val="-2"/>
        </w:rPr>
        <w:t>面值</w:t>
      </w:r>
      <w:r>
        <w:rPr>
          <w:rFonts w:ascii="Times New Roman" w:hAnsi="Times New Roman" w:cs="Times New Roman" w:eastAsia="Times New Roman" w:hint="default"/>
          <w:spacing w:val="-2"/>
        </w:rPr>
        <w:t>1</w:t>
      </w:r>
      <w:r>
        <w:rPr>
          <w:spacing w:val="-2"/>
        </w:rPr>
        <w:t>元，发行价格每股</w:t>
      </w:r>
      <w:r>
        <w:rPr>
          <w:rFonts w:ascii="Times New Roman" w:hAnsi="Times New Roman" w:cs="Times New Roman" w:eastAsia="Times New Roman" w:hint="default"/>
          <w:spacing w:val="-2"/>
        </w:rPr>
        <w:t>8.58</w:t>
      </w:r>
      <w:r>
        <w:rPr>
          <w:spacing w:val="-2"/>
        </w:rPr>
        <w:t>元</w:t>
      </w:r>
      <w:r>
        <w:rPr>
          <w:rFonts w:ascii="Times New Roman" w:hAnsi="Times New Roman" w:cs="Times New Roman" w:eastAsia="Times New Roman" w:hint="default"/>
          <w:spacing w:val="-2"/>
        </w:rPr>
        <w:t>/</w:t>
      </w:r>
      <w:r>
        <w:rPr>
          <w:spacing w:val="-2"/>
        </w:rPr>
        <w:t>股，募集资金总额</w:t>
      </w:r>
      <w:r>
        <w:rPr>
          <w:rFonts w:ascii="Times New Roman" w:hAnsi="Times New Roman" w:cs="Times New Roman" w:eastAsia="Times New Roman" w:hint="default"/>
          <w:spacing w:val="-2"/>
        </w:rPr>
        <w:t>33,518,628.00</w:t>
      </w:r>
      <w:r>
        <w:rPr>
          <w:rFonts w:ascii="Times New Roman" w:hAnsi="Times New Roman" w:cs="Times New Roman" w:eastAsia="Times New Roman" w:hint="default"/>
        </w:rPr>
        <w:t> </w:t>
      </w:r>
      <w:r>
        <w:rPr>
          <w:spacing w:val="-2"/>
        </w:rPr>
        <w:t>元，其中计入股本</w:t>
      </w:r>
      <w:r>
        <w:rPr>
          <w:rFonts w:ascii="Times New Roman" w:hAnsi="Times New Roman" w:cs="Times New Roman" w:eastAsia="Times New Roman" w:hint="default"/>
          <w:spacing w:val="-2"/>
        </w:rPr>
        <w:t>3,906,600.00</w:t>
      </w:r>
      <w:r>
        <w:rPr>
          <w:spacing w:val="-2"/>
        </w:rPr>
        <w:t>元，计入资</w:t>
      </w:r>
      <w:r>
        <w:rPr>
          <w:spacing w:val="-72"/>
        </w:rPr>
        <w:t> </w:t>
      </w:r>
      <w:r>
        <w:rPr>
          <w:spacing w:val="-72"/>
        </w:rPr>
      </w:r>
      <w:r>
        <w:rPr/>
        <w:t>本公积</w:t>
      </w:r>
      <w:r>
        <w:rPr>
          <w:rFonts w:ascii="Times New Roman" w:hAnsi="Times New Roman" w:cs="Times New Roman" w:eastAsia="Times New Roman" w:hint="default"/>
        </w:rPr>
        <w:t>29,612,028.00</w:t>
      </w:r>
      <w:r>
        <w:rPr/>
        <w:t>元。上述增资后注册资本变更为人民币</w:t>
      </w:r>
      <w:r>
        <w:rPr>
          <w:rFonts w:ascii="Times New Roman" w:hAnsi="Times New Roman" w:cs="Times New Roman" w:eastAsia="Times New Roman" w:hint="default"/>
        </w:rPr>
        <w:t>110,906,600</w:t>
      </w:r>
      <w:r>
        <w:rPr/>
        <w:t>元。</w:t>
      </w:r>
    </w:p>
    <w:p>
      <w:pPr>
        <w:pStyle w:val="BodyText"/>
        <w:spacing w:line="386" w:lineRule="auto" w:before="35"/>
        <w:ind w:left="153" w:right="1127" w:firstLine="420"/>
        <w:jc w:val="both"/>
      </w:pPr>
      <w:r>
        <w:rPr/>
        <w:t>根据</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10</w:t>
      </w:r>
      <w:r>
        <w:rPr/>
        <w:t>日本公司召开的</w:t>
      </w:r>
      <w:r>
        <w:rPr>
          <w:rFonts w:ascii="Times New Roman" w:hAnsi="Times New Roman" w:cs="Times New Roman" w:eastAsia="Times New Roman" w:hint="default"/>
        </w:rPr>
        <w:t>2012</w:t>
      </w:r>
      <w:r>
        <w:rPr/>
        <w:t>年度股东大会审议通过</w:t>
      </w:r>
      <w:r>
        <w:rPr>
          <w:rFonts w:ascii="Times New Roman" w:hAnsi="Times New Roman" w:cs="Times New Roman" w:eastAsia="Times New Roman" w:hint="default"/>
        </w:rPr>
        <w:t>2012</w:t>
      </w:r>
      <w:r>
        <w:rPr/>
        <w:t>年度利润分配方案，以</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12</w:t>
      </w:r>
      <w:r>
        <w:rPr>
          <w:rFonts w:ascii="Times New Roman" w:hAnsi="Times New Roman" w:cs="Times New Roman" w:eastAsia="Times New Roman" w:hint="default"/>
          <w:spacing w:val="24"/>
        </w:rPr>
        <w:t> </w:t>
      </w:r>
      <w:r>
        <w:rPr/>
        <w:t>月</w:t>
      </w:r>
      <w:r>
        <w:rPr>
          <w:w w:val="100"/>
        </w:rPr>
        <w:t> </w:t>
      </w:r>
      <w:r>
        <w:rPr>
          <w:rFonts w:ascii="Times New Roman" w:hAnsi="Times New Roman" w:cs="Times New Roman" w:eastAsia="Times New Roman" w:hint="default"/>
          <w:spacing w:val="-2"/>
        </w:rPr>
        <w:t>31</w:t>
      </w:r>
      <w:r>
        <w:rPr>
          <w:spacing w:val="-2"/>
        </w:rPr>
        <w:t>日总股本</w:t>
      </w:r>
      <w:r>
        <w:rPr>
          <w:rFonts w:ascii="Times New Roman" w:hAnsi="Times New Roman" w:cs="Times New Roman" w:eastAsia="Times New Roman" w:hint="default"/>
          <w:spacing w:val="-2"/>
        </w:rPr>
        <w:t>11,090.66</w:t>
      </w:r>
      <w:r>
        <w:rPr>
          <w:spacing w:val="-2"/>
        </w:rPr>
        <w:t>万股为基数，以资本公积金每</w:t>
      </w:r>
      <w:r>
        <w:rPr>
          <w:rFonts w:ascii="Times New Roman" w:hAnsi="Times New Roman" w:cs="Times New Roman" w:eastAsia="Times New Roman" w:hint="default"/>
          <w:spacing w:val="-2"/>
        </w:rPr>
        <w:t>10</w:t>
      </w:r>
      <w:r>
        <w:rPr>
          <w:spacing w:val="-2"/>
        </w:rPr>
        <w:t>股转增</w:t>
      </w:r>
      <w:r>
        <w:rPr>
          <w:rFonts w:ascii="Times New Roman" w:hAnsi="Times New Roman" w:cs="Times New Roman" w:eastAsia="Times New Roman" w:hint="default"/>
          <w:spacing w:val="-2"/>
        </w:rPr>
        <w:t>10</w:t>
      </w:r>
      <w:r>
        <w:rPr>
          <w:spacing w:val="-2"/>
        </w:rPr>
        <w:t>股，共计转增</w:t>
      </w:r>
      <w:r>
        <w:rPr>
          <w:rFonts w:ascii="Times New Roman" w:hAnsi="Times New Roman" w:cs="Times New Roman" w:eastAsia="Times New Roman" w:hint="default"/>
          <w:spacing w:val="-2"/>
        </w:rPr>
        <w:t>11,090.66</w:t>
      </w:r>
      <w:r>
        <w:rPr>
          <w:spacing w:val="-2"/>
        </w:rPr>
        <w:t>万股，注册资本变更</w:t>
      </w:r>
      <w:r>
        <w:rPr>
          <w:spacing w:val="-19"/>
        </w:rPr>
        <w:t> </w:t>
      </w:r>
      <w:r>
        <w:rPr>
          <w:spacing w:val="-19"/>
        </w:rPr>
      </w:r>
      <w:r>
        <w:rPr/>
        <w:t>为人民币</w:t>
      </w:r>
      <w:r>
        <w:rPr>
          <w:rFonts w:ascii="Times New Roman" w:hAnsi="Times New Roman" w:cs="Times New Roman" w:eastAsia="Times New Roman" w:hint="default"/>
        </w:rPr>
        <w:t>221,813,200</w:t>
      </w:r>
      <w:r>
        <w:rPr/>
        <w:t>元。</w:t>
      </w:r>
    </w:p>
    <w:p>
      <w:pPr>
        <w:pStyle w:val="BodyText"/>
        <w:spacing w:line="386" w:lineRule="auto" w:before="35"/>
        <w:ind w:left="153" w:right="1131" w:firstLine="419"/>
        <w:jc w:val="both"/>
      </w:pPr>
      <w:r>
        <w:rPr>
          <w:spacing w:val="-3"/>
        </w:rPr>
        <w:t>因部分激励对象离职，</w:t>
      </w:r>
      <w:r>
        <w:rPr>
          <w:rFonts w:ascii="Times New Roman" w:hAnsi="Times New Roman" w:cs="Times New Roman" w:eastAsia="Times New Roman" w:hint="default"/>
          <w:spacing w:val="-3"/>
        </w:rPr>
        <w:t>2014</w:t>
      </w:r>
      <w:r>
        <w:rPr>
          <w:spacing w:val="-3"/>
        </w:rPr>
        <w:t>年度本公司回购注销限制性股票数量共计</w:t>
      </w:r>
      <w:r>
        <w:rPr>
          <w:rFonts w:ascii="Times New Roman" w:hAnsi="Times New Roman" w:cs="Times New Roman" w:eastAsia="Times New Roman" w:hint="default"/>
          <w:spacing w:val="-3"/>
        </w:rPr>
        <w:t>23.16</w:t>
      </w:r>
      <w:r>
        <w:rPr>
          <w:spacing w:val="-3"/>
        </w:rPr>
        <w:t>万股，回购注销完成后，本</w:t>
      </w:r>
      <w:r>
        <w:rPr>
          <w:w w:val="100"/>
        </w:rPr>
        <w:t> </w:t>
      </w:r>
      <w:r>
        <w:rPr/>
        <w:t>公司总股本从</w:t>
      </w:r>
      <w:r>
        <w:rPr>
          <w:rFonts w:ascii="Times New Roman" w:hAnsi="Times New Roman" w:cs="Times New Roman" w:eastAsia="Times New Roman" w:hint="default"/>
        </w:rPr>
        <w:t>22,181.32</w:t>
      </w:r>
      <w:r>
        <w:rPr/>
        <w:t>万股减至</w:t>
      </w:r>
      <w:r>
        <w:rPr>
          <w:rFonts w:ascii="Times New Roman" w:hAnsi="Times New Roman" w:cs="Times New Roman" w:eastAsia="Times New Roman" w:hint="default"/>
        </w:rPr>
        <w:t>22,158.16</w:t>
      </w:r>
      <w:r>
        <w:rPr/>
        <w:t>万股，注册资本变更为人民币</w:t>
      </w:r>
      <w:r>
        <w:rPr>
          <w:rFonts w:ascii="Times New Roman" w:hAnsi="Times New Roman" w:cs="Times New Roman" w:eastAsia="Times New Roman" w:hint="default"/>
        </w:rPr>
        <w:t>221,581,600.00</w:t>
      </w:r>
      <w:r>
        <w:rPr/>
        <w:t>元。</w:t>
      </w:r>
    </w:p>
    <w:p>
      <w:pPr>
        <w:spacing w:after="0" w:line="386" w:lineRule="auto"/>
        <w:jc w:val="both"/>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386" w:lineRule="auto" w:before="175"/>
        <w:ind w:right="1128" w:firstLine="420"/>
        <w:jc w:val="both"/>
      </w:pPr>
      <w:r>
        <w:rPr/>
        <w:t>根据</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24</w:t>
      </w:r>
      <w:r>
        <w:rPr/>
        <w:t>日本公司召开的</w:t>
      </w:r>
      <w:r>
        <w:rPr>
          <w:rFonts w:ascii="Times New Roman" w:hAnsi="Times New Roman" w:cs="Times New Roman" w:eastAsia="Times New Roman" w:hint="default"/>
        </w:rPr>
        <w:t>2014</w:t>
      </w:r>
      <w:r>
        <w:rPr/>
        <w:t>年度股东大会审议通过</w:t>
      </w:r>
      <w:r>
        <w:rPr>
          <w:rFonts w:ascii="Times New Roman" w:hAnsi="Times New Roman" w:cs="Times New Roman" w:eastAsia="Times New Roman" w:hint="default"/>
        </w:rPr>
        <w:t>2014</w:t>
      </w:r>
      <w:r>
        <w:rPr/>
        <w:t>年度利润分配方案，以</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12</w:t>
      </w:r>
      <w:r>
        <w:rPr>
          <w:rFonts w:ascii="Times New Roman" w:hAnsi="Times New Roman" w:cs="Times New Roman" w:eastAsia="Times New Roman" w:hint="default"/>
          <w:spacing w:val="24"/>
        </w:rPr>
        <w:t> </w:t>
      </w:r>
      <w:r>
        <w:rPr/>
        <w:t>月</w:t>
      </w:r>
      <w:r>
        <w:rPr>
          <w:w w:val="100"/>
        </w:rPr>
        <w:t> </w:t>
      </w:r>
      <w:r>
        <w:rPr>
          <w:rFonts w:ascii="Times New Roman" w:hAnsi="Times New Roman" w:cs="Times New Roman" w:eastAsia="Times New Roman" w:hint="default"/>
          <w:spacing w:val="-2"/>
        </w:rPr>
        <w:t>31</w:t>
      </w:r>
      <w:r>
        <w:rPr>
          <w:spacing w:val="-2"/>
        </w:rPr>
        <w:t>日总股本</w:t>
      </w:r>
      <w:r>
        <w:rPr>
          <w:rFonts w:ascii="Times New Roman" w:hAnsi="Times New Roman" w:cs="Times New Roman" w:eastAsia="Times New Roman" w:hint="default"/>
          <w:spacing w:val="-2"/>
        </w:rPr>
        <w:t>22,158.16</w:t>
      </w:r>
      <w:r>
        <w:rPr>
          <w:spacing w:val="-2"/>
        </w:rPr>
        <w:t>万股为基数，以资本公积金每</w:t>
      </w:r>
      <w:r>
        <w:rPr>
          <w:rFonts w:ascii="Times New Roman" w:hAnsi="Times New Roman" w:cs="Times New Roman" w:eastAsia="Times New Roman" w:hint="default"/>
          <w:spacing w:val="-2"/>
        </w:rPr>
        <w:t>10</w:t>
      </w:r>
      <w:r>
        <w:rPr>
          <w:spacing w:val="-2"/>
        </w:rPr>
        <w:t>股转增</w:t>
      </w:r>
      <w:r>
        <w:rPr>
          <w:rFonts w:ascii="Times New Roman" w:hAnsi="Times New Roman" w:cs="Times New Roman" w:eastAsia="Times New Roman" w:hint="default"/>
          <w:spacing w:val="-2"/>
        </w:rPr>
        <w:t>10</w:t>
      </w:r>
      <w:r>
        <w:rPr>
          <w:spacing w:val="-2"/>
        </w:rPr>
        <w:t>股，共计转增</w:t>
      </w:r>
      <w:r>
        <w:rPr>
          <w:rFonts w:ascii="Times New Roman" w:hAnsi="Times New Roman" w:cs="Times New Roman" w:eastAsia="Times New Roman" w:hint="default"/>
          <w:spacing w:val="-2"/>
        </w:rPr>
        <w:t>22,158.16</w:t>
      </w:r>
      <w:r>
        <w:rPr>
          <w:spacing w:val="-2"/>
        </w:rPr>
        <w:t>万股，注册资本变更</w:t>
      </w:r>
      <w:r>
        <w:rPr>
          <w:spacing w:val="-19"/>
        </w:rPr>
        <w:t> </w:t>
      </w:r>
      <w:r>
        <w:rPr>
          <w:spacing w:val="-19"/>
        </w:rPr>
      </w:r>
      <w:r>
        <w:rPr/>
        <w:t>为人民币</w:t>
      </w:r>
      <w:r>
        <w:rPr>
          <w:rFonts w:ascii="Times New Roman" w:hAnsi="Times New Roman" w:cs="Times New Roman" w:eastAsia="Times New Roman" w:hint="default"/>
        </w:rPr>
        <w:t>443,163,200.00</w:t>
      </w:r>
      <w:r>
        <w:rPr/>
        <w:t>元。</w:t>
      </w:r>
    </w:p>
    <w:p>
      <w:pPr>
        <w:pStyle w:val="BodyText"/>
        <w:spacing w:line="386" w:lineRule="auto" w:before="35"/>
        <w:ind w:right="986" w:firstLine="420"/>
        <w:jc w:val="left"/>
      </w:pPr>
      <w:r>
        <w:rPr/>
        <w:t>根据</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30</w:t>
      </w:r>
      <w:r>
        <w:rPr/>
        <w:t>日本公司召开的</w:t>
      </w:r>
      <w:r>
        <w:rPr>
          <w:rFonts w:ascii="Times New Roman" w:hAnsi="Times New Roman" w:cs="Times New Roman" w:eastAsia="Times New Roman" w:hint="default"/>
        </w:rPr>
        <w:t>2015</w:t>
      </w:r>
      <w:r>
        <w:rPr/>
        <w:t>年第三次临时股东大会决议，并经中国证券监督管理委员会</w:t>
      </w:r>
      <w:r>
        <w:rPr>
          <w:w w:val="100"/>
        </w:rPr>
        <w:t> </w:t>
      </w:r>
      <w:r>
        <w:rPr>
          <w:rFonts w:ascii="Times New Roman" w:hAnsi="Times New Roman" w:cs="Times New Roman" w:eastAsia="Times New Roman" w:hint="default"/>
        </w:rPr>
        <w:t>“</w:t>
      </w:r>
      <w:r>
        <w:rPr/>
        <w:t>证监许可【</w:t>
      </w:r>
      <w:r>
        <w:rPr>
          <w:rFonts w:ascii="Times New Roman" w:hAnsi="Times New Roman" w:cs="Times New Roman" w:eastAsia="Times New Roman" w:hint="default"/>
        </w:rPr>
        <w:t>2015</w:t>
      </w:r>
      <w:r>
        <w:rPr/>
        <w:t>】</w:t>
      </w:r>
      <w:r>
        <w:rPr>
          <w:rFonts w:ascii="Times New Roman" w:hAnsi="Times New Roman" w:cs="Times New Roman" w:eastAsia="Times New Roman" w:hint="default"/>
        </w:rPr>
        <w:t>2919</w:t>
      </w:r>
      <w:r>
        <w:rPr/>
        <w:t>号</w:t>
      </w:r>
      <w:r>
        <w:rPr>
          <w:rFonts w:ascii="Times New Roman" w:hAnsi="Times New Roman" w:cs="Times New Roman" w:eastAsia="Times New Roman" w:hint="default"/>
        </w:rPr>
        <w:t>”</w:t>
      </w:r>
      <w:r>
        <w:rPr/>
        <w:t>《关于核准厦门市美亚柏科信息股份有限公司向韦玉荣等发行股份购买资产的</w:t>
      </w:r>
      <w:r>
        <w:rPr>
          <w:w w:val="100"/>
        </w:rPr>
        <w:t> </w:t>
      </w:r>
      <w:r>
        <w:rPr>
          <w:spacing w:val="-2"/>
        </w:rPr>
        <w:t>批复》，核准本公司非公开发行</w:t>
      </w:r>
      <w:r>
        <w:rPr>
          <w:rFonts w:ascii="Times New Roman" w:hAnsi="Times New Roman" w:cs="Times New Roman" w:eastAsia="Times New Roman" w:hint="default"/>
          <w:spacing w:val="-2"/>
        </w:rPr>
        <w:t>29,666,848.00</w:t>
      </w:r>
      <w:r>
        <w:rPr>
          <w:spacing w:val="-2"/>
        </w:rPr>
        <w:t>股股份购买江苏税软软件科技有限公司</w:t>
      </w:r>
      <w:r>
        <w:rPr>
          <w:rFonts w:ascii="Times New Roman" w:hAnsi="Times New Roman" w:cs="Times New Roman" w:eastAsia="Times New Roman" w:hint="default"/>
          <w:spacing w:val="-2"/>
        </w:rPr>
        <w:t>100%</w:t>
      </w:r>
      <w:r>
        <w:rPr>
          <w:spacing w:val="-2"/>
        </w:rPr>
        <w:t>股权，非公开发</w:t>
      </w:r>
      <w:r>
        <w:rPr>
          <w:spacing w:val="-43"/>
        </w:rPr>
        <w:t> </w:t>
      </w:r>
      <w:r>
        <w:rPr>
          <w:spacing w:val="-43"/>
        </w:rPr>
      </w:r>
      <w:r>
        <w:rPr>
          <w:spacing w:val="-2"/>
        </w:rPr>
        <w:t>行</w:t>
      </w:r>
      <w:r>
        <w:rPr>
          <w:rFonts w:ascii="Times New Roman" w:hAnsi="Times New Roman" w:cs="Times New Roman" w:eastAsia="Times New Roman" w:hint="default"/>
          <w:spacing w:val="-2"/>
        </w:rPr>
        <w:t>14,424,358.00</w:t>
      </w:r>
      <w:r>
        <w:rPr>
          <w:spacing w:val="-2"/>
        </w:rPr>
        <w:t>股股份购买珠海市新德汇信息技术有限公司</w:t>
      </w:r>
      <w:r>
        <w:rPr>
          <w:rFonts w:ascii="Times New Roman" w:hAnsi="Times New Roman" w:cs="Times New Roman" w:eastAsia="Times New Roman" w:hint="default"/>
          <w:spacing w:val="-2"/>
        </w:rPr>
        <w:t>49%</w:t>
      </w:r>
      <w:r>
        <w:rPr>
          <w:spacing w:val="-2"/>
        </w:rPr>
        <w:t>股权，每股面值</w:t>
      </w:r>
      <w:r>
        <w:rPr>
          <w:rFonts w:ascii="Times New Roman" w:hAnsi="Times New Roman" w:cs="Times New Roman" w:eastAsia="Times New Roman" w:hint="default"/>
          <w:spacing w:val="-2"/>
        </w:rPr>
        <w:t>1</w:t>
      </w:r>
      <w:r>
        <w:rPr>
          <w:spacing w:val="-2"/>
        </w:rPr>
        <w:t>元，发行价格</w:t>
      </w:r>
      <w:r>
        <w:rPr>
          <w:rFonts w:ascii="Times New Roman" w:hAnsi="Times New Roman" w:cs="Times New Roman" w:eastAsia="Times New Roman" w:hint="default"/>
          <w:spacing w:val="-2"/>
        </w:rPr>
        <w:t>18.31</w:t>
      </w:r>
      <w:r>
        <w:rPr>
          <w:spacing w:val="-2"/>
        </w:rPr>
        <w:t>元</w:t>
      </w:r>
      <w:r>
        <w:rPr>
          <w:rFonts w:ascii="Times New Roman" w:hAnsi="Times New Roman" w:cs="Times New Roman" w:eastAsia="Times New Roman" w:hint="default"/>
          <w:spacing w:val="-2"/>
        </w:rPr>
        <w:t>/</w:t>
      </w:r>
      <w:r>
        <w:rPr>
          <w:spacing w:val="-2"/>
        </w:rPr>
        <w:t>股。</w:t>
      </w:r>
      <w:r>
        <w:rPr>
          <w:spacing w:val="-47"/>
        </w:rPr>
        <w:t> </w:t>
      </w:r>
      <w:r>
        <w:rPr/>
        <w:t>上述非公开发行股份后，注册资本变更为人民币</w:t>
      </w:r>
      <w:r>
        <w:rPr>
          <w:rFonts w:ascii="Times New Roman" w:hAnsi="Times New Roman" w:cs="Times New Roman" w:eastAsia="Times New Roman" w:hint="default"/>
        </w:rPr>
        <w:t>487,254,406.00</w:t>
      </w:r>
      <w:r>
        <w:rPr/>
        <w:t>元。</w:t>
      </w:r>
    </w:p>
    <w:p>
      <w:pPr>
        <w:pStyle w:val="BodyText"/>
        <w:spacing w:line="386" w:lineRule="auto" w:before="35"/>
        <w:ind w:left="153" w:right="1130" w:firstLine="419"/>
        <w:jc w:val="both"/>
      </w:pPr>
      <w:r>
        <w:rPr>
          <w:spacing w:val="-2"/>
        </w:rPr>
        <w:t>根据</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2</w:t>
      </w:r>
      <w:r>
        <w:rPr>
          <w:spacing w:val="-2"/>
        </w:rPr>
        <w:t>日本公司召开的</w:t>
      </w:r>
      <w:r>
        <w:rPr>
          <w:rFonts w:ascii="Times New Roman" w:hAnsi="Times New Roman" w:cs="Times New Roman" w:eastAsia="Times New Roman" w:hint="default"/>
          <w:spacing w:val="-2"/>
        </w:rPr>
        <w:t>2016</w:t>
      </w:r>
      <w:r>
        <w:rPr>
          <w:spacing w:val="-2"/>
        </w:rPr>
        <w:t>年第三次临时股东大会决议、</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7</w:t>
      </w:r>
      <w:r>
        <w:rPr>
          <w:spacing w:val="-2"/>
        </w:rPr>
        <w:t>日第三届董事会第十</w:t>
      </w:r>
      <w:r>
        <w:rPr>
          <w:w w:val="100"/>
        </w:rPr>
        <w:t> </w:t>
      </w:r>
      <w:r>
        <w:rPr>
          <w:spacing w:val="-3"/>
        </w:rPr>
        <w:t>三次会议和修改后的章程规定，本公司以定向增发方式向</w:t>
      </w:r>
      <w:r>
        <w:rPr>
          <w:rFonts w:ascii="Times New Roman" w:hAnsi="Times New Roman" w:cs="Times New Roman" w:eastAsia="Times New Roman" w:hint="default"/>
          <w:spacing w:val="-3"/>
        </w:rPr>
        <w:t>471</w:t>
      </w:r>
      <w:r>
        <w:rPr>
          <w:spacing w:val="-3"/>
        </w:rPr>
        <w:t>名激励对象授予限制性普通股（</w:t>
      </w:r>
      <w:r>
        <w:rPr>
          <w:rFonts w:ascii="Times New Roman" w:hAnsi="Times New Roman" w:cs="Times New Roman" w:eastAsia="Times New Roman" w:hint="default"/>
          <w:spacing w:val="-3"/>
        </w:rPr>
        <w:t>A</w:t>
      </w:r>
      <w:r>
        <w:rPr>
          <w:rFonts w:ascii="Times New Roman" w:hAnsi="Times New Roman" w:cs="Times New Roman" w:eastAsia="Times New Roman" w:hint="default"/>
          <w:spacing w:val="28"/>
        </w:rPr>
        <w:t> </w:t>
      </w:r>
      <w:r>
        <w:rPr>
          <w:spacing w:val="-5"/>
        </w:rPr>
        <w:t>股）</w:t>
      </w:r>
      <w:r>
        <w:rPr>
          <w:rFonts w:ascii="Times New Roman" w:hAnsi="Times New Roman" w:cs="Times New Roman" w:eastAsia="Times New Roman" w:hint="default"/>
          <w:spacing w:val="-5"/>
        </w:rPr>
        <w:t>908.61</w:t>
      </w:r>
      <w:r>
        <w:rPr>
          <w:rFonts w:ascii="Times New Roman" w:hAnsi="Times New Roman" w:cs="Times New Roman" w:eastAsia="Times New Roman" w:hint="default"/>
          <w:spacing w:val="-41"/>
        </w:rPr>
        <w:t> </w:t>
      </w:r>
      <w:r>
        <w:rPr>
          <w:rFonts w:ascii="Times New Roman" w:hAnsi="Times New Roman" w:cs="Times New Roman" w:eastAsia="Times New Roman" w:hint="default"/>
          <w:spacing w:val="-41"/>
        </w:rPr>
      </w:r>
      <w:r>
        <w:rPr>
          <w:spacing w:val="-4"/>
        </w:rPr>
        <w:t>万股，每股面值</w:t>
      </w:r>
      <w:r>
        <w:rPr>
          <w:rFonts w:ascii="Times New Roman" w:hAnsi="Times New Roman" w:cs="Times New Roman" w:eastAsia="Times New Roman" w:hint="default"/>
          <w:spacing w:val="-4"/>
        </w:rPr>
        <w:t>1</w:t>
      </w:r>
      <w:r>
        <w:rPr>
          <w:spacing w:val="-4"/>
        </w:rPr>
        <w:t>元，发行价格每股</w:t>
      </w:r>
      <w:r>
        <w:rPr>
          <w:rFonts w:ascii="Times New Roman" w:hAnsi="Times New Roman" w:cs="Times New Roman" w:eastAsia="Times New Roman" w:hint="default"/>
          <w:spacing w:val="-4"/>
        </w:rPr>
        <w:t>12.19</w:t>
      </w:r>
      <w:r>
        <w:rPr>
          <w:spacing w:val="-4"/>
        </w:rPr>
        <w:t>元</w:t>
      </w:r>
      <w:r>
        <w:rPr>
          <w:rFonts w:ascii="Times New Roman" w:hAnsi="Times New Roman" w:cs="Times New Roman" w:eastAsia="Times New Roman" w:hint="default"/>
          <w:spacing w:val="-4"/>
        </w:rPr>
        <w:t>/</w:t>
      </w:r>
      <w:r>
        <w:rPr>
          <w:spacing w:val="-4"/>
        </w:rPr>
        <w:t>股，募集资金总额</w:t>
      </w:r>
      <w:r>
        <w:rPr>
          <w:rFonts w:ascii="Times New Roman" w:hAnsi="Times New Roman" w:cs="Times New Roman" w:eastAsia="Times New Roman" w:hint="default"/>
          <w:spacing w:val="-4"/>
        </w:rPr>
        <w:t>110,759,559.00</w:t>
      </w:r>
      <w:r>
        <w:rPr>
          <w:spacing w:val="-4"/>
        </w:rPr>
        <w:t>元，其中计入股本</w:t>
      </w:r>
      <w:r>
        <w:rPr>
          <w:rFonts w:ascii="Times New Roman" w:hAnsi="Times New Roman" w:cs="Times New Roman" w:eastAsia="Times New Roman" w:hint="default"/>
          <w:spacing w:val="-4"/>
        </w:rPr>
        <w:t>9,086,100.00</w:t>
      </w:r>
      <w:r>
        <w:rPr>
          <w:rFonts w:ascii="Times New Roman" w:hAnsi="Times New Roman" w:cs="Times New Roman" w:eastAsia="Times New Roman" w:hint="default"/>
          <w:spacing w:val="14"/>
        </w:rPr>
        <w:t> </w:t>
      </w:r>
      <w:r>
        <w:rPr>
          <w:rFonts w:ascii="Times New Roman" w:hAnsi="Times New Roman" w:cs="Times New Roman" w:eastAsia="Times New Roman" w:hint="default"/>
          <w:spacing w:val="14"/>
        </w:rPr>
      </w:r>
      <w:r>
        <w:rPr/>
        <w:t>元，计入资本公积</w:t>
      </w:r>
      <w:r>
        <w:rPr>
          <w:rFonts w:ascii="Times New Roman" w:hAnsi="Times New Roman" w:cs="Times New Roman" w:eastAsia="Times New Roman" w:hint="default"/>
        </w:rPr>
        <w:t>101,673,459.00</w:t>
      </w:r>
      <w:r>
        <w:rPr/>
        <w:t>元。上述增资后注册资本变更为人民币</w:t>
      </w:r>
      <w:r>
        <w:rPr>
          <w:rFonts w:ascii="Times New Roman" w:hAnsi="Times New Roman" w:cs="Times New Roman" w:eastAsia="Times New Roman" w:hint="default"/>
        </w:rPr>
        <w:t>496,340,506.00</w:t>
      </w:r>
      <w:r>
        <w:rPr/>
        <w:t>元。</w:t>
      </w:r>
    </w:p>
    <w:p>
      <w:pPr>
        <w:pStyle w:val="BodyText"/>
        <w:spacing w:line="386" w:lineRule="auto" w:before="35"/>
        <w:ind w:left="153" w:right="1130" w:firstLine="420"/>
        <w:jc w:val="both"/>
      </w:pPr>
      <w:r>
        <w:rPr>
          <w:spacing w:val="-2"/>
        </w:rPr>
        <w:t>根据</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28</w:t>
      </w:r>
      <w:r>
        <w:rPr>
          <w:spacing w:val="-2"/>
        </w:rPr>
        <w:t>日召开的第三届董事会第十七次会议决议、</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8</w:t>
      </w:r>
      <w:r>
        <w:rPr>
          <w:spacing w:val="-2"/>
        </w:rPr>
        <w:t>月</w:t>
      </w:r>
      <w:r>
        <w:rPr>
          <w:rFonts w:ascii="Times New Roman" w:hAnsi="Times New Roman" w:cs="Times New Roman" w:eastAsia="Times New Roman" w:hint="default"/>
          <w:spacing w:val="-2"/>
        </w:rPr>
        <w:t>23</w:t>
      </w:r>
      <w:r>
        <w:rPr>
          <w:spacing w:val="-2"/>
        </w:rPr>
        <w:t>日召开的第三届董事会第十</w:t>
      </w:r>
      <w:r>
        <w:rPr>
          <w:spacing w:val="-3"/>
          <w:w w:val="100"/>
        </w:rPr>
        <w:t> </w:t>
      </w:r>
      <w:r>
        <w:rPr>
          <w:spacing w:val="-2"/>
        </w:rPr>
        <w:t>八次会议决议，本公司回购已离职的</w:t>
      </w:r>
      <w:r>
        <w:rPr>
          <w:rFonts w:ascii="Times New Roman" w:hAnsi="Times New Roman" w:cs="Times New Roman" w:eastAsia="Times New Roman" w:hint="default"/>
          <w:spacing w:val="-2"/>
        </w:rPr>
        <w:t>18</w:t>
      </w:r>
      <w:r>
        <w:rPr>
          <w:spacing w:val="-2"/>
        </w:rPr>
        <w:t>名股权激励对象共计</w:t>
      </w:r>
      <w:r>
        <w:rPr>
          <w:rFonts w:ascii="Times New Roman" w:hAnsi="Times New Roman" w:cs="Times New Roman" w:eastAsia="Times New Roman" w:hint="default"/>
          <w:spacing w:val="-2"/>
        </w:rPr>
        <w:t>223,700.00</w:t>
      </w:r>
      <w:r>
        <w:rPr>
          <w:spacing w:val="-2"/>
        </w:rPr>
        <w:t>股限制性股票，减少股本</w:t>
      </w:r>
      <w:r>
        <w:rPr>
          <w:rFonts w:ascii="Times New Roman" w:hAnsi="Times New Roman" w:cs="Times New Roman" w:eastAsia="Times New Roman" w:hint="default"/>
          <w:spacing w:val="-2"/>
        </w:rPr>
        <w:t>223,700.00</w:t>
      </w:r>
      <w:r>
        <w:rPr>
          <w:rFonts w:ascii="Times New Roman" w:hAnsi="Times New Roman" w:cs="Times New Roman" w:eastAsia="Times New Roman" w:hint="default"/>
          <w:spacing w:val="29"/>
        </w:rPr>
        <w:t> </w:t>
      </w:r>
      <w:r>
        <w:rPr>
          <w:rFonts w:ascii="Times New Roman" w:hAnsi="Times New Roman" w:cs="Times New Roman" w:eastAsia="Times New Roman" w:hint="default"/>
          <w:spacing w:val="29"/>
        </w:rPr>
      </w:r>
      <w:r>
        <w:rPr/>
        <w:t>股，减少资本公积</w:t>
      </w:r>
      <w:r>
        <w:rPr>
          <w:rFonts w:ascii="Times New Roman" w:hAnsi="Times New Roman" w:cs="Times New Roman" w:eastAsia="Times New Roman" w:hint="default"/>
        </w:rPr>
        <w:t>2,494,255.00</w:t>
      </w:r>
      <w:r>
        <w:rPr/>
        <w:t>元。上述减资后注册资本变更为人民币</w:t>
      </w:r>
      <w:r>
        <w:rPr>
          <w:rFonts w:ascii="Times New Roman" w:hAnsi="Times New Roman" w:cs="Times New Roman" w:eastAsia="Times New Roman" w:hint="default"/>
        </w:rPr>
        <w:t>496,116,806.00</w:t>
      </w:r>
      <w:r>
        <w:rPr/>
        <w:t>元。</w:t>
      </w:r>
    </w:p>
    <w:p>
      <w:pPr>
        <w:pStyle w:val="BodyText"/>
        <w:spacing w:line="386" w:lineRule="auto" w:before="35"/>
        <w:ind w:left="153" w:right="1127" w:firstLine="420"/>
        <w:jc w:val="both"/>
      </w:pPr>
      <w:r>
        <w:rPr/>
        <w:t>根据</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13</w:t>
      </w:r>
      <w:r>
        <w:rPr/>
        <w:t>日召开的第三届董事会第二十一次会议，本公司向</w:t>
      </w:r>
      <w:r>
        <w:rPr>
          <w:rFonts w:ascii="Times New Roman" w:hAnsi="Times New Roman" w:cs="Times New Roman" w:eastAsia="Times New Roman" w:hint="default"/>
        </w:rPr>
        <w:t>101</w:t>
      </w:r>
      <w:r>
        <w:rPr/>
        <w:t>名自然人定向发行限制性普</w:t>
      </w:r>
      <w:r>
        <w:rPr>
          <w:w w:val="100"/>
        </w:rPr>
        <w:t> </w:t>
      </w:r>
      <w:r>
        <w:rPr/>
        <w:t>通股（</w:t>
      </w:r>
      <w:r>
        <w:rPr>
          <w:rFonts w:ascii="Times New Roman" w:hAnsi="Times New Roman" w:cs="Times New Roman" w:eastAsia="Times New Roman" w:hint="default"/>
        </w:rPr>
        <w:t>A </w:t>
      </w:r>
      <w:r>
        <w:rPr/>
        <w:t>股）</w:t>
      </w:r>
      <w:r>
        <w:rPr>
          <w:rFonts w:ascii="Times New Roman" w:hAnsi="Times New Roman" w:cs="Times New Roman" w:eastAsia="Times New Roman" w:hint="default"/>
        </w:rPr>
        <w:t>91.39</w:t>
      </w:r>
      <w:r>
        <w:rPr/>
        <w:t>万股，每股面值</w:t>
      </w:r>
      <w:r>
        <w:rPr>
          <w:rFonts w:ascii="Times New Roman" w:hAnsi="Times New Roman" w:cs="Times New Roman" w:eastAsia="Times New Roman" w:hint="default"/>
        </w:rPr>
        <w:t>1.00</w:t>
      </w:r>
      <w:r>
        <w:rPr/>
        <w:t>元，发行价格</w:t>
      </w:r>
      <w:r>
        <w:rPr>
          <w:rFonts w:ascii="Times New Roman" w:hAnsi="Times New Roman" w:cs="Times New Roman" w:eastAsia="Times New Roman" w:hint="default"/>
        </w:rPr>
        <w:t>9.78</w:t>
      </w:r>
      <w:r>
        <w:rPr/>
        <w:t>元</w:t>
      </w:r>
      <w:r>
        <w:rPr>
          <w:rFonts w:ascii="Times New Roman" w:hAnsi="Times New Roman" w:cs="Times New Roman" w:eastAsia="Times New Roman" w:hint="default"/>
        </w:rPr>
        <w:t>/</w:t>
      </w:r>
      <w:r>
        <w:rPr/>
        <w:t>股，募集资金总额</w:t>
      </w:r>
      <w:r>
        <w:rPr>
          <w:rFonts w:ascii="Times New Roman" w:hAnsi="Times New Roman" w:cs="Times New Roman" w:eastAsia="Times New Roman" w:hint="default"/>
        </w:rPr>
        <w:t>8,937,942.00</w:t>
      </w:r>
      <w:r>
        <w:rPr/>
        <w:t>元，其中计入</w:t>
      </w:r>
      <w:r>
        <w:rPr>
          <w:spacing w:val="-83"/>
        </w:rPr>
        <w:t> </w:t>
      </w:r>
      <w:r>
        <w:rPr>
          <w:spacing w:val="-83"/>
        </w:rPr>
      </w:r>
      <w:r>
        <w:rPr/>
        <w:t>股本</w:t>
      </w:r>
      <w:r>
        <w:rPr>
          <w:rFonts w:ascii="Times New Roman" w:hAnsi="Times New Roman" w:cs="Times New Roman" w:eastAsia="Times New Roman" w:hint="default"/>
        </w:rPr>
        <w:t>913,900.00</w:t>
      </w:r>
      <w:r>
        <w:rPr/>
        <w:t>元，计入资本公积</w:t>
      </w:r>
      <w:r>
        <w:rPr>
          <w:rFonts w:ascii="Times New Roman" w:hAnsi="Times New Roman" w:cs="Times New Roman" w:eastAsia="Times New Roman" w:hint="default"/>
        </w:rPr>
        <w:t>8,024,042.00</w:t>
      </w:r>
      <w:r>
        <w:rPr/>
        <w:t>元。上述增资后注册资本变更为人民币</w:t>
      </w:r>
      <w:r>
        <w:rPr>
          <w:rFonts w:ascii="Times New Roman" w:hAnsi="Times New Roman" w:cs="Times New Roman" w:eastAsia="Times New Roman" w:hint="default"/>
        </w:rPr>
        <w:t>497,030,706.00</w:t>
      </w:r>
      <w:r>
        <w:rPr/>
        <w:t>元。</w:t>
      </w:r>
    </w:p>
    <w:p>
      <w:pPr>
        <w:pStyle w:val="BodyText"/>
        <w:spacing w:line="386" w:lineRule="auto" w:before="35"/>
        <w:ind w:right="1127" w:firstLine="420"/>
        <w:jc w:val="both"/>
      </w:pPr>
      <w:r>
        <w:rPr>
          <w:spacing w:val="8"/>
        </w:rPr>
        <w:t>根据</w:t>
      </w:r>
      <w:r>
        <w:rPr>
          <w:rFonts w:ascii="Times New Roman" w:hAnsi="Times New Roman" w:cs="Times New Roman" w:eastAsia="Times New Roman" w:hint="default"/>
          <w:spacing w:val="8"/>
        </w:rPr>
        <w:t>2018</w:t>
      </w:r>
      <w:r>
        <w:rPr>
          <w:spacing w:val="8"/>
        </w:rPr>
        <w:t>年</w:t>
      </w:r>
      <w:r>
        <w:rPr>
          <w:rFonts w:ascii="Times New Roman" w:hAnsi="Times New Roman" w:cs="Times New Roman" w:eastAsia="Times New Roman" w:hint="default"/>
          <w:spacing w:val="8"/>
        </w:rPr>
        <w:t>4</w:t>
      </w:r>
      <w:r>
        <w:rPr>
          <w:spacing w:val="8"/>
        </w:rPr>
        <w:t>月</w:t>
      </w:r>
      <w:r>
        <w:rPr>
          <w:rFonts w:ascii="Times New Roman" w:hAnsi="Times New Roman" w:cs="Times New Roman" w:eastAsia="Times New Roman" w:hint="default"/>
          <w:spacing w:val="8"/>
        </w:rPr>
        <w:t>17</w:t>
      </w:r>
      <w:r>
        <w:rPr>
          <w:spacing w:val="8"/>
        </w:rPr>
        <w:t>日本公司召开的</w:t>
      </w:r>
      <w:r>
        <w:rPr>
          <w:rFonts w:ascii="Times New Roman" w:hAnsi="Times New Roman" w:cs="Times New Roman" w:eastAsia="Times New Roman" w:hint="default"/>
          <w:spacing w:val="8"/>
        </w:rPr>
        <w:t>2017</w:t>
      </w:r>
      <w:r>
        <w:rPr>
          <w:spacing w:val="8"/>
        </w:rPr>
        <w:t>年度股东大会审议通过</w:t>
      </w:r>
      <w:r>
        <w:rPr>
          <w:rFonts w:ascii="Times New Roman" w:hAnsi="Times New Roman" w:cs="Times New Roman" w:eastAsia="Times New Roman" w:hint="default"/>
          <w:spacing w:val="8"/>
        </w:rPr>
        <w:t>2017</w:t>
      </w:r>
      <w:r>
        <w:rPr>
          <w:spacing w:val="8"/>
        </w:rPr>
        <w:t>年度利润分配方案，以总股本</w:t>
      </w:r>
      <w:r>
        <w:rPr>
          <w:w w:val="100"/>
        </w:rPr>
        <w:t> </w:t>
      </w:r>
      <w:r>
        <w:rPr>
          <w:rFonts w:ascii="Times New Roman" w:hAnsi="Times New Roman" w:cs="Times New Roman" w:eastAsia="Times New Roman" w:hint="default"/>
          <w:spacing w:val="-2"/>
        </w:rPr>
        <w:t>496,803,986.00</w:t>
      </w:r>
      <w:r>
        <w:rPr>
          <w:spacing w:val="-2"/>
        </w:rPr>
        <w:t>股为基数，向全体股东每</w:t>
      </w:r>
      <w:r>
        <w:rPr>
          <w:rFonts w:ascii="Times New Roman" w:hAnsi="Times New Roman" w:cs="Times New Roman" w:eastAsia="Times New Roman" w:hint="default"/>
          <w:spacing w:val="-2"/>
        </w:rPr>
        <w:t>10</w:t>
      </w:r>
      <w:r>
        <w:rPr>
          <w:spacing w:val="-2"/>
        </w:rPr>
        <w:t>股转增</w:t>
      </w:r>
      <w:r>
        <w:rPr>
          <w:rFonts w:ascii="Times New Roman" w:hAnsi="Times New Roman" w:cs="Times New Roman" w:eastAsia="Times New Roman" w:hint="default"/>
          <w:spacing w:val="-2"/>
        </w:rPr>
        <w:t>6</w:t>
      </w:r>
      <w:r>
        <w:rPr>
          <w:spacing w:val="-2"/>
        </w:rPr>
        <w:t>股，共计转增</w:t>
      </w:r>
      <w:r>
        <w:rPr>
          <w:rFonts w:ascii="Times New Roman" w:hAnsi="Times New Roman" w:cs="Times New Roman" w:eastAsia="Times New Roman" w:hint="default"/>
          <w:spacing w:val="-2"/>
        </w:rPr>
        <w:t>298,082,391.00</w:t>
      </w:r>
      <w:r>
        <w:rPr>
          <w:spacing w:val="-2"/>
        </w:rPr>
        <w:t>股，转增后本公司总股本增</w:t>
      </w:r>
      <w:r>
        <w:rPr>
          <w:spacing w:val="-16"/>
        </w:rPr>
        <w:t> </w:t>
      </w:r>
      <w:r>
        <w:rPr>
          <w:spacing w:val="-16"/>
        </w:rPr>
      </w:r>
      <w:r>
        <w:rPr/>
        <w:t>加至</w:t>
      </w:r>
      <w:r>
        <w:rPr>
          <w:rFonts w:ascii="Times New Roman" w:hAnsi="Times New Roman" w:cs="Times New Roman" w:eastAsia="Times New Roman" w:hint="default"/>
        </w:rPr>
        <w:t>795,113,097.00</w:t>
      </w:r>
      <w:r>
        <w:rPr/>
        <w:t>股。</w:t>
      </w:r>
    </w:p>
    <w:p>
      <w:pPr>
        <w:pStyle w:val="BodyText"/>
        <w:spacing w:line="386" w:lineRule="auto" w:before="35"/>
        <w:ind w:left="153" w:right="1127" w:firstLine="420"/>
        <w:jc w:val="both"/>
      </w:pPr>
      <w:r>
        <w:rPr/>
        <w:t>根据</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13</w:t>
      </w:r>
      <w:r>
        <w:rPr/>
        <w:t>日召开的第三届董事会第二十一次会议决议、</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22</w:t>
      </w:r>
      <w:r>
        <w:rPr/>
        <w:t>日召开的第三届董事会</w:t>
      </w:r>
      <w:r>
        <w:rPr>
          <w:w w:val="100"/>
        </w:rPr>
        <w:t> </w:t>
      </w:r>
      <w:r>
        <w:rPr>
          <w:spacing w:val="-2"/>
        </w:rPr>
        <w:t>第二十五次会议决议、</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10</w:t>
      </w:r>
      <w:r>
        <w:rPr>
          <w:spacing w:val="-2"/>
        </w:rPr>
        <w:t>月</w:t>
      </w:r>
      <w:r>
        <w:rPr>
          <w:rFonts w:ascii="Times New Roman" w:hAnsi="Times New Roman" w:cs="Times New Roman" w:eastAsia="Times New Roman" w:hint="default"/>
          <w:spacing w:val="-2"/>
        </w:rPr>
        <w:t>24</w:t>
      </w:r>
      <w:r>
        <w:rPr>
          <w:spacing w:val="-2"/>
        </w:rPr>
        <w:t>日召开的第四届董事会第二次会议决议，本公司回购已离职的</w:t>
      </w:r>
      <w:r>
        <w:rPr>
          <w:rFonts w:ascii="Times New Roman" w:hAnsi="Times New Roman" w:cs="Times New Roman" w:eastAsia="Times New Roman" w:hint="default"/>
          <w:spacing w:val="-2"/>
        </w:rPr>
        <w:t>21</w:t>
      </w:r>
      <w:r>
        <w:rPr>
          <w:spacing w:val="-2"/>
        </w:rPr>
        <w:t>名股</w:t>
      </w:r>
      <w:r>
        <w:rPr>
          <w:spacing w:val="-38"/>
        </w:rPr>
        <w:t> </w:t>
      </w:r>
      <w:r>
        <w:rPr>
          <w:spacing w:val="-3"/>
        </w:rPr>
        <w:t>权激励对象共计</w:t>
      </w:r>
      <w:r>
        <w:rPr>
          <w:rFonts w:ascii="Times New Roman" w:hAnsi="Times New Roman" w:cs="Times New Roman" w:eastAsia="Times New Roman" w:hint="default"/>
          <w:spacing w:val="-3"/>
        </w:rPr>
        <w:t>280,288.00</w:t>
      </w:r>
      <w:r>
        <w:rPr>
          <w:spacing w:val="-3"/>
        </w:rPr>
        <w:t>股限制性股票，减少股本</w:t>
      </w:r>
      <w:r>
        <w:rPr>
          <w:rFonts w:ascii="Times New Roman" w:hAnsi="Times New Roman" w:cs="Times New Roman" w:eastAsia="Times New Roman" w:hint="default"/>
          <w:spacing w:val="-3"/>
        </w:rPr>
        <w:t>280,288.00</w:t>
      </w:r>
      <w:r>
        <w:rPr>
          <w:spacing w:val="-3"/>
        </w:rPr>
        <w:t>股，减少资本公积</w:t>
      </w:r>
      <w:r>
        <w:rPr>
          <w:rFonts w:ascii="Times New Roman" w:hAnsi="Times New Roman" w:cs="Times New Roman" w:eastAsia="Times New Roman" w:hint="default"/>
          <w:spacing w:val="-3"/>
        </w:rPr>
        <w:t>2,786,282.00</w:t>
      </w:r>
      <w:r>
        <w:rPr>
          <w:spacing w:val="-3"/>
        </w:rPr>
        <w:t>元，上述减资</w:t>
      </w:r>
      <w:r>
        <w:rPr>
          <w:spacing w:val="-7"/>
        </w:rPr>
        <w:t> </w:t>
      </w:r>
      <w:r>
        <w:rPr>
          <w:spacing w:val="-7"/>
        </w:rPr>
      </w:r>
      <w:r>
        <w:rPr/>
        <w:t>后实收资本变更为人民币</w:t>
      </w:r>
      <w:r>
        <w:rPr>
          <w:rFonts w:ascii="Times New Roman" w:hAnsi="Times New Roman" w:cs="Times New Roman" w:eastAsia="Times New Roman" w:hint="default"/>
        </w:rPr>
        <w:t>794,832,809.00</w:t>
      </w:r>
      <w:r>
        <w:rPr/>
        <w:t>元。</w:t>
      </w:r>
    </w:p>
    <w:p>
      <w:pPr>
        <w:pStyle w:val="BodyText"/>
        <w:spacing w:line="386" w:lineRule="auto" w:before="35"/>
        <w:ind w:left="153" w:right="1130" w:firstLine="420"/>
        <w:jc w:val="both"/>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18</w:t>
      </w:r>
      <w:r>
        <w:rPr/>
        <w:t>日，公司</w:t>
      </w:r>
      <w:r>
        <w:rPr>
          <w:rFonts w:ascii="Times New Roman" w:hAnsi="Times New Roman" w:cs="Times New Roman" w:eastAsia="Times New Roman" w:hint="default"/>
        </w:rPr>
        <w:t>2018</w:t>
      </w:r>
      <w:r>
        <w:rPr/>
        <w:t>年年度股东大会审议通过了《</w:t>
      </w:r>
      <w:r>
        <w:rPr>
          <w:rFonts w:ascii="Times New Roman" w:hAnsi="Times New Roman" w:cs="Times New Roman" w:eastAsia="Times New Roman" w:hint="default"/>
        </w:rPr>
        <w:t>2019</w:t>
      </w:r>
      <w:r>
        <w:rPr/>
        <w:t>年股票期权与限制性股票激励计划（草</w:t>
      </w:r>
      <w:r>
        <w:rPr>
          <w:w w:val="100"/>
        </w:rPr>
        <w:t> </w:t>
      </w:r>
      <w:r>
        <w:rPr>
          <w:spacing w:val="-1"/>
        </w:rPr>
        <w:t>案）》。</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5</w:t>
      </w:r>
      <w:r>
        <w:rPr>
          <w:spacing w:val="-1"/>
        </w:rPr>
        <w:t>月</w:t>
      </w:r>
      <w:r>
        <w:rPr>
          <w:rFonts w:ascii="Times New Roman" w:hAnsi="Times New Roman" w:cs="Times New Roman" w:eastAsia="Times New Roman" w:hint="default"/>
          <w:spacing w:val="-1"/>
        </w:rPr>
        <w:t>6</w:t>
      </w:r>
      <w:r>
        <w:rPr>
          <w:spacing w:val="-1"/>
        </w:rPr>
        <w:t>日，公司向</w:t>
      </w:r>
      <w:r>
        <w:rPr>
          <w:rFonts w:ascii="Times New Roman" w:hAnsi="Times New Roman" w:cs="Times New Roman" w:eastAsia="Times New Roman" w:hint="default"/>
          <w:spacing w:val="-1"/>
        </w:rPr>
        <w:t>961</w:t>
      </w:r>
      <w:r>
        <w:rPr>
          <w:spacing w:val="-1"/>
        </w:rPr>
        <w:t>名员工授予限制性股票，授予数量</w:t>
      </w:r>
      <w:r>
        <w:rPr>
          <w:rFonts w:ascii="Times New Roman" w:hAnsi="Times New Roman" w:cs="Times New Roman" w:eastAsia="Times New Roman" w:hint="default"/>
          <w:spacing w:val="-1"/>
        </w:rPr>
        <w:t>957.79</w:t>
      </w:r>
      <w:r>
        <w:rPr>
          <w:spacing w:val="-1"/>
        </w:rPr>
        <w:t>万股，每股面值</w:t>
      </w:r>
      <w:r>
        <w:rPr>
          <w:rFonts w:ascii="Times New Roman" w:hAnsi="Times New Roman" w:cs="Times New Roman" w:eastAsia="Times New Roman" w:hint="default"/>
          <w:spacing w:val="-1"/>
        </w:rPr>
        <w:t>1</w:t>
      </w:r>
      <w:r>
        <w:rPr>
          <w:spacing w:val="-1"/>
        </w:rPr>
        <w:t>元，发行价</w:t>
      </w:r>
      <w:r>
        <w:rPr>
          <w:spacing w:val="-23"/>
        </w:rPr>
        <w:t> </w:t>
      </w:r>
      <w:r>
        <w:rPr>
          <w:spacing w:val="-23"/>
        </w:rPr>
      </w:r>
      <w:r>
        <w:rPr>
          <w:spacing w:val="-4"/>
        </w:rPr>
        <w:t>格每股</w:t>
      </w:r>
      <w:r>
        <w:rPr>
          <w:rFonts w:ascii="Times New Roman" w:hAnsi="Times New Roman" w:cs="Times New Roman" w:eastAsia="Times New Roman" w:hint="default"/>
          <w:spacing w:val="-4"/>
        </w:rPr>
        <w:t>8.55</w:t>
      </w:r>
      <w:r>
        <w:rPr>
          <w:spacing w:val="-4"/>
        </w:rPr>
        <w:t>元</w:t>
      </w:r>
      <w:r>
        <w:rPr>
          <w:rFonts w:ascii="Times New Roman" w:hAnsi="Times New Roman" w:cs="Times New Roman" w:eastAsia="Times New Roman" w:hint="default"/>
          <w:spacing w:val="-4"/>
        </w:rPr>
        <w:t>/</w:t>
      </w:r>
      <w:r>
        <w:rPr>
          <w:spacing w:val="-4"/>
        </w:rPr>
        <w:t>股，募集资金总额</w:t>
      </w:r>
      <w:r>
        <w:rPr>
          <w:rFonts w:ascii="Times New Roman" w:hAnsi="Times New Roman" w:cs="Times New Roman" w:eastAsia="Times New Roman" w:hint="default"/>
          <w:spacing w:val="-4"/>
        </w:rPr>
        <w:t>81,891,045.00</w:t>
      </w:r>
      <w:r>
        <w:rPr>
          <w:spacing w:val="-4"/>
        </w:rPr>
        <w:t>元，其中计入股本</w:t>
      </w:r>
      <w:r>
        <w:rPr>
          <w:rFonts w:ascii="Times New Roman" w:hAnsi="Times New Roman" w:cs="Times New Roman" w:eastAsia="Times New Roman" w:hint="default"/>
          <w:spacing w:val="-4"/>
        </w:rPr>
        <w:t>9,577,900.00</w:t>
      </w:r>
      <w:r>
        <w:rPr>
          <w:spacing w:val="-4"/>
        </w:rPr>
        <w:t>元，计入资本公积</w:t>
      </w:r>
      <w:r>
        <w:rPr>
          <w:rFonts w:ascii="Times New Roman" w:hAnsi="Times New Roman" w:cs="Times New Roman" w:eastAsia="Times New Roman" w:hint="default"/>
          <w:spacing w:val="-4"/>
        </w:rPr>
        <w:t>72,313,145.00</w:t>
      </w:r>
      <w:r>
        <w:rPr>
          <w:rFonts w:ascii="Times New Roman" w:hAnsi="Times New Roman" w:cs="Times New Roman" w:eastAsia="Times New Roman" w:hint="default"/>
          <w:spacing w:val="28"/>
        </w:rPr>
        <w:t> </w:t>
      </w:r>
      <w:r>
        <w:rPr>
          <w:rFonts w:ascii="Times New Roman" w:hAnsi="Times New Roman" w:cs="Times New Roman" w:eastAsia="Times New Roman" w:hint="default"/>
          <w:spacing w:val="28"/>
        </w:rPr>
      </w:r>
      <w:r>
        <w:rPr/>
        <w:t>元；向</w:t>
      </w:r>
      <w:r>
        <w:rPr>
          <w:rFonts w:ascii="Times New Roman" w:hAnsi="Times New Roman" w:cs="Times New Roman" w:eastAsia="Times New Roman" w:hint="default"/>
        </w:rPr>
        <w:t>961</w:t>
      </w:r>
      <w:r>
        <w:rPr/>
        <w:t>名员工授予股票期权，授予数量</w:t>
      </w:r>
      <w:r>
        <w:rPr>
          <w:rFonts w:ascii="Times New Roman" w:hAnsi="Times New Roman" w:cs="Times New Roman" w:eastAsia="Times New Roman" w:hint="default"/>
        </w:rPr>
        <w:t>468.54</w:t>
      </w:r>
      <w:r>
        <w:rPr/>
        <w:t>万股，每股授予价格</w:t>
      </w:r>
      <w:r>
        <w:rPr>
          <w:rFonts w:ascii="Times New Roman" w:hAnsi="Times New Roman" w:cs="Times New Roman" w:eastAsia="Times New Roman" w:hint="default"/>
        </w:rPr>
        <w:t>17.17</w:t>
      </w:r>
      <w:r>
        <w:rPr/>
        <w:t>元。上述增资后实收资本变更</w:t>
      </w:r>
      <w:r>
        <w:rPr>
          <w:spacing w:val="-28"/>
        </w:rPr>
        <w:t> </w:t>
      </w:r>
      <w:r>
        <w:rPr>
          <w:spacing w:val="-28"/>
        </w:rPr>
      </w:r>
      <w:r>
        <w:rPr/>
        <w:t>为人民币</w:t>
      </w:r>
      <w:r>
        <w:rPr>
          <w:rFonts w:ascii="Times New Roman" w:hAnsi="Times New Roman" w:cs="Times New Roman" w:eastAsia="Times New Roman" w:hint="default"/>
        </w:rPr>
        <w:t>804,410,709.00</w:t>
      </w:r>
      <w:r>
        <w:rPr/>
        <w:t>元。</w:t>
      </w:r>
    </w:p>
    <w:p>
      <w:pPr>
        <w:spacing w:after="0" w:line="386" w:lineRule="auto"/>
        <w:jc w:val="both"/>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386" w:lineRule="auto" w:before="175"/>
        <w:ind w:right="1128" w:firstLine="420"/>
        <w:jc w:val="both"/>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29</w:t>
      </w:r>
      <w:r>
        <w:rPr/>
        <w:t>日，公司实际控制人郭永芳、滕达及股东李国林、卓桂英、刘冬颖、苏学武、韦玉荣与</w:t>
      </w:r>
      <w:r>
        <w:rPr>
          <w:w w:val="100"/>
        </w:rPr>
        <w:t> </w:t>
      </w:r>
      <w:r>
        <w:rPr>
          <w:spacing w:val="-2"/>
        </w:rPr>
        <w:t>国投智能科技有限公司（以下简称</w:t>
      </w:r>
      <w:r>
        <w:rPr>
          <w:rFonts w:ascii="Times New Roman" w:hAnsi="Times New Roman" w:cs="Times New Roman" w:eastAsia="Times New Roman" w:hint="default"/>
          <w:spacing w:val="-2"/>
        </w:rPr>
        <w:t>“</w:t>
      </w:r>
      <w:r>
        <w:rPr>
          <w:spacing w:val="-2"/>
        </w:rPr>
        <w:t>国投智能</w:t>
      </w:r>
      <w:r>
        <w:rPr>
          <w:rFonts w:ascii="Times New Roman" w:hAnsi="Times New Roman" w:cs="Times New Roman" w:eastAsia="Times New Roman" w:hint="default"/>
          <w:spacing w:val="-2"/>
        </w:rPr>
        <w:t>”</w:t>
      </w:r>
      <w:r>
        <w:rPr>
          <w:spacing w:val="-2"/>
        </w:rPr>
        <w:t>）签署了《股份转让协议》，通过协议转让方式，向国投智</w:t>
      </w:r>
      <w:r>
        <w:rPr>
          <w:spacing w:val="-16"/>
        </w:rPr>
        <w:t> </w:t>
      </w:r>
      <w:r>
        <w:rPr>
          <w:spacing w:val="-16"/>
        </w:rPr>
      </w:r>
      <w:r>
        <w:rPr>
          <w:spacing w:val="-3"/>
        </w:rPr>
        <w:t>能转让美亚柏科合计</w:t>
      </w:r>
      <w:r>
        <w:rPr>
          <w:rFonts w:ascii="Times New Roman" w:hAnsi="Times New Roman" w:cs="Times New Roman" w:eastAsia="Times New Roman" w:hint="default"/>
          <w:spacing w:val="-3"/>
        </w:rPr>
        <w:t>125,475,942.00</w:t>
      </w:r>
      <w:r>
        <w:rPr>
          <w:spacing w:val="-3"/>
        </w:rPr>
        <w:t>股的股份，占本公司总股本的</w:t>
      </w:r>
      <w:r>
        <w:rPr>
          <w:rFonts w:ascii="Times New Roman" w:hAnsi="Times New Roman" w:cs="Times New Roman" w:eastAsia="Times New Roman" w:hint="default"/>
          <w:spacing w:val="-3"/>
        </w:rPr>
        <w:t>15.79%</w:t>
      </w:r>
      <w:r>
        <w:rPr>
          <w:spacing w:val="-3"/>
        </w:rPr>
        <w:t>。同时股东李国林、刘冬颖与国投</w:t>
      </w:r>
      <w:r>
        <w:rPr>
          <w:spacing w:val="-36"/>
        </w:rPr>
        <w:t> </w:t>
      </w:r>
      <w:r>
        <w:rPr>
          <w:spacing w:val="-36"/>
        </w:rPr>
      </w:r>
      <w:r>
        <w:rPr>
          <w:spacing w:val="-1"/>
        </w:rPr>
        <w:t>智能签署了《表决权委托协议》，李国林，刘冬颖另将其各自持有的</w:t>
      </w:r>
      <w:r>
        <w:rPr>
          <w:rFonts w:ascii="Times New Roman" w:hAnsi="Times New Roman" w:cs="Times New Roman" w:eastAsia="Times New Roman" w:hint="default"/>
          <w:spacing w:val="-1"/>
        </w:rPr>
        <w:t>27,024,316.00</w:t>
      </w:r>
      <w:r>
        <w:rPr>
          <w:spacing w:val="-1"/>
        </w:rPr>
        <w:t>股表决权不可撤销的委</w:t>
      </w:r>
      <w:r>
        <w:rPr>
          <w:spacing w:val="-24"/>
        </w:rPr>
        <w:t> </w:t>
      </w:r>
      <w:r>
        <w:rPr>
          <w:spacing w:val="-24"/>
        </w:rPr>
      </w:r>
      <w:r>
        <w:rPr/>
        <w:t>托给国投智能行使。</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10</w:t>
      </w:r>
      <w:r>
        <w:rPr/>
        <w:t>日，该事项获得国家市场监督管理总局批复。</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4</w:t>
      </w:r>
      <w:r>
        <w:rPr/>
        <w:t>日，该事项获</w:t>
      </w:r>
      <w:r>
        <w:rPr>
          <w:spacing w:val="-30"/>
        </w:rPr>
        <w:t> </w:t>
      </w:r>
      <w:r>
        <w:rPr>
          <w:spacing w:val="-30"/>
        </w:rPr>
      </w:r>
      <w:r>
        <w:rPr/>
        <w:t>得国务院国资委批复。</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17</w:t>
      </w:r>
      <w:r>
        <w:rPr/>
        <w:t>日，上述协议转让股份完成过户登记手续。至此，国投智能成为公司</w:t>
      </w:r>
      <w:r>
        <w:rPr>
          <w:spacing w:val="-29"/>
        </w:rPr>
        <w:t> </w:t>
      </w:r>
      <w:r>
        <w:rPr>
          <w:spacing w:val="-29"/>
        </w:rPr>
      </w:r>
      <w:r>
        <w:rPr/>
        <w:t>控股股东。</w:t>
      </w:r>
    </w:p>
    <w:p>
      <w:pPr>
        <w:pStyle w:val="BodyText"/>
        <w:spacing w:line="386" w:lineRule="auto" w:before="65"/>
        <w:ind w:right="1131" w:firstLine="420"/>
        <w:jc w:val="both"/>
      </w:pPr>
      <w:r>
        <w:rPr/>
        <w:t>根据</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17</w:t>
      </w:r>
      <w:r>
        <w:rPr/>
        <w:t>日召开的第四届董事会第九次会议，审议通过了《关于注销部分股票期权和回购注</w:t>
      </w:r>
      <w:r>
        <w:rPr>
          <w:w w:val="100"/>
        </w:rPr>
        <w:t> </w:t>
      </w:r>
      <w:r>
        <w:rPr>
          <w:spacing w:val="11"/>
        </w:rPr>
        <w:t>销部分限制性股票的议案》。公司回购已离职的</w:t>
      </w:r>
      <w:r>
        <w:rPr>
          <w:rFonts w:ascii="Times New Roman" w:hAnsi="Times New Roman" w:cs="Times New Roman" w:eastAsia="Times New Roman" w:hint="default"/>
          <w:spacing w:val="11"/>
        </w:rPr>
        <w:t>33</w:t>
      </w:r>
      <w:r>
        <w:rPr>
          <w:spacing w:val="11"/>
        </w:rPr>
        <w:t>名限制性股票激励对象和</w:t>
      </w:r>
      <w:r>
        <w:rPr>
          <w:rFonts w:ascii="Times New Roman" w:hAnsi="Times New Roman" w:cs="Times New Roman" w:eastAsia="Times New Roman" w:hint="default"/>
          <w:spacing w:val="11"/>
        </w:rPr>
        <w:t>11</w:t>
      </w:r>
      <w:r>
        <w:rPr>
          <w:spacing w:val="11"/>
        </w:rPr>
        <w:t>名股权激励对象共计</w:t>
      </w:r>
      <w:r>
        <w:rPr>
          <w:spacing w:val="-1"/>
        </w:rPr>
        <w:t> </w:t>
      </w:r>
      <w:r>
        <w:rPr>
          <w:spacing w:val="-1"/>
        </w:rPr>
      </w:r>
      <w:r>
        <w:rPr>
          <w:rFonts w:ascii="Times New Roman" w:hAnsi="Times New Roman" w:cs="Times New Roman" w:eastAsia="Times New Roman" w:hint="default"/>
          <w:spacing w:val="-3"/>
        </w:rPr>
        <w:t>248,092.00</w:t>
      </w:r>
      <w:r>
        <w:rPr>
          <w:spacing w:val="-3"/>
        </w:rPr>
        <w:t>股限制性股票及</w:t>
      </w:r>
      <w:r>
        <w:rPr>
          <w:rFonts w:ascii="Times New Roman" w:hAnsi="Times New Roman" w:cs="Times New Roman" w:eastAsia="Times New Roman" w:hint="default"/>
          <w:spacing w:val="-3"/>
        </w:rPr>
        <w:t>50,000.00</w:t>
      </w:r>
      <w:r>
        <w:rPr>
          <w:spacing w:val="-3"/>
        </w:rPr>
        <w:t>股股票期权，减少股本</w:t>
      </w:r>
      <w:r>
        <w:rPr>
          <w:rFonts w:ascii="Times New Roman" w:hAnsi="Times New Roman" w:cs="Times New Roman" w:eastAsia="Times New Roman" w:hint="default"/>
          <w:spacing w:val="-3"/>
        </w:rPr>
        <w:t>248,092.00</w:t>
      </w:r>
      <w:r>
        <w:rPr>
          <w:spacing w:val="-3"/>
        </w:rPr>
        <w:t>股，减少资本公积</w:t>
      </w:r>
      <w:r>
        <w:rPr>
          <w:rFonts w:ascii="Times New Roman" w:hAnsi="Times New Roman" w:cs="Times New Roman" w:eastAsia="Times New Roman" w:hint="default"/>
          <w:spacing w:val="-3"/>
        </w:rPr>
        <w:t>1,568,043.64</w:t>
      </w:r>
      <w:r>
        <w:rPr>
          <w:spacing w:val="-3"/>
        </w:rPr>
        <w:t>元，上</w:t>
      </w:r>
      <w:r>
        <w:rPr>
          <w:spacing w:val="-15"/>
        </w:rPr>
        <w:t> </w:t>
      </w:r>
      <w:r>
        <w:rPr>
          <w:spacing w:val="-15"/>
        </w:rPr>
      </w:r>
      <w:r>
        <w:rPr/>
        <w:t>述减资后注册资本变更为人民币</w:t>
      </w:r>
      <w:r>
        <w:rPr>
          <w:rFonts w:ascii="Times New Roman" w:hAnsi="Times New Roman" w:cs="Times New Roman" w:eastAsia="Times New Roman" w:hint="default"/>
        </w:rPr>
        <w:t>804,162,617.00</w:t>
      </w:r>
      <w:r>
        <w:rPr/>
        <w:t>元。</w:t>
      </w:r>
    </w:p>
    <w:p>
      <w:pPr>
        <w:pStyle w:val="BodyText"/>
        <w:spacing w:line="386" w:lineRule="auto" w:before="35"/>
        <w:ind w:right="1129" w:firstLine="420"/>
        <w:jc w:val="both"/>
      </w:pPr>
      <w:r>
        <w:rPr/>
        <w:t>根据</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29</w:t>
      </w:r>
      <w:r>
        <w:rPr/>
        <w:t>日召开的第四届董事会第十二次会议，审议通过了《关于注销部分股票期权和回购</w:t>
      </w:r>
      <w:r>
        <w:rPr>
          <w:w w:val="100"/>
        </w:rPr>
        <w:t> </w:t>
      </w:r>
      <w:r>
        <w:rPr>
          <w:spacing w:val="-2"/>
        </w:rPr>
        <w:t>注销部分限制性股票的议案》。公司回购已离职的</w:t>
      </w:r>
      <w:r>
        <w:rPr>
          <w:rFonts w:ascii="Times New Roman" w:hAnsi="Times New Roman" w:cs="Times New Roman" w:eastAsia="Times New Roman" w:hint="default"/>
          <w:spacing w:val="-2"/>
        </w:rPr>
        <w:t>18</w:t>
      </w:r>
      <w:r>
        <w:rPr>
          <w:spacing w:val="-2"/>
        </w:rPr>
        <w:t>名限制性股票激励对象和</w:t>
      </w:r>
      <w:r>
        <w:rPr>
          <w:rFonts w:ascii="Times New Roman" w:hAnsi="Times New Roman" w:cs="Times New Roman" w:eastAsia="Times New Roman" w:hint="default"/>
          <w:spacing w:val="-2"/>
        </w:rPr>
        <w:t>21</w:t>
      </w:r>
      <w:r>
        <w:rPr>
          <w:spacing w:val="-2"/>
        </w:rPr>
        <w:t>名股票期权激励对象共计</w:t>
      </w:r>
      <w:r>
        <w:rPr>
          <w:spacing w:val="-45"/>
        </w:rPr>
        <w:t> </w:t>
      </w:r>
      <w:r>
        <w:rPr>
          <w:spacing w:val="-45"/>
        </w:rPr>
      </w:r>
      <w:r>
        <w:rPr>
          <w:rFonts w:ascii="Times New Roman" w:hAnsi="Times New Roman" w:cs="Times New Roman" w:eastAsia="Times New Roman" w:hint="default"/>
          <w:spacing w:val="-1"/>
        </w:rPr>
        <w:t>168,900.00</w:t>
      </w:r>
      <w:r>
        <w:rPr>
          <w:spacing w:val="-1"/>
        </w:rPr>
        <w:t>股限制性股票及</w:t>
      </w:r>
      <w:r>
        <w:rPr>
          <w:rFonts w:ascii="Times New Roman" w:hAnsi="Times New Roman" w:cs="Times New Roman" w:eastAsia="Times New Roman" w:hint="default"/>
          <w:spacing w:val="-1"/>
        </w:rPr>
        <w:t>131,700.00</w:t>
      </w:r>
      <w:r>
        <w:rPr>
          <w:spacing w:val="-1"/>
        </w:rPr>
        <w:t>股股票期权，减少股本</w:t>
      </w:r>
      <w:r>
        <w:rPr>
          <w:rFonts w:ascii="Times New Roman" w:hAnsi="Times New Roman" w:cs="Times New Roman" w:eastAsia="Times New Roman" w:hint="default"/>
          <w:spacing w:val="-1"/>
        </w:rPr>
        <w:t>168,900.00</w:t>
      </w:r>
      <w:r>
        <w:rPr>
          <w:spacing w:val="-1"/>
        </w:rPr>
        <w:t>股，减少资本公积</w:t>
      </w:r>
      <w:r>
        <w:rPr>
          <w:rFonts w:ascii="Times New Roman" w:hAnsi="Times New Roman" w:cs="Times New Roman" w:eastAsia="Times New Roman" w:hint="default"/>
          <w:spacing w:val="-1"/>
        </w:rPr>
        <w:t>1,194,372.00</w:t>
      </w:r>
      <w:r>
        <w:rPr>
          <w:spacing w:val="-1"/>
        </w:rPr>
        <w:t>元，</w:t>
      </w:r>
      <w:r>
        <w:rPr>
          <w:spacing w:val="-5"/>
        </w:rPr>
        <w:t> </w:t>
      </w:r>
      <w:r>
        <w:rPr/>
        <w:t>上述减资后注册资本变更为人民币</w:t>
      </w:r>
      <w:r>
        <w:rPr>
          <w:rFonts w:ascii="Times New Roman" w:hAnsi="Times New Roman" w:cs="Times New Roman" w:eastAsia="Times New Roman" w:hint="default"/>
        </w:rPr>
        <w:t>803,993,717.00</w:t>
      </w:r>
      <w:r>
        <w:rPr/>
        <w:t>元。</w:t>
      </w:r>
    </w:p>
    <w:p>
      <w:pPr>
        <w:spacing w:line="408" w:lineRule="auto" w:before="35"/>
        <w:ind w:left="572" w:right="986" w:firstLine="2"/>
        <w:jc w:val="left"/>
        <w:rPr>
          <w:rFonts w:ascii="宋体" w:hAnsi="宋体" w:cs="宋体" w:eastAsia="宋体" w:hint="default"/>
          <w:sz w:val="21"/>
          <w:szCs w:val="21"/>
        </w:rPr>
      </w:pPr>
      <w:r>
        <w:rPr>
          <w:rFonts w:ascii="宋体" w:hAnsi="宋体" w:cs="宋体" w:eastAsia="宋体" w:hint="default"/>
          <w:b/>
          <w:bCs/>
          <w:sz w:val="21"/>
          <w:szCs w:val="21"/>
        </w:rPr>
        <w:t>（二）业务性质和主要经营活动</w:t>
      </w:r>
      <w:r>
        <w:rPr>
          <w:rFonts w:ascii="宋体" w:hAnsi="宋体" w:cs="宋体" w:eastAsia="宋体" w:hint="default"/>
          <w:b/>
          <w:bCs/>
          <w:w w:val="100"/>
          <w:sz w:val="21"/>
          <w:szCs w:val="21"/>
        </w:rPr>
        <w:t> </w:t>
      </w:r>
      <w:r>
        <w:rPr>
          <w:rFonts w:ascii="宋体" w:hAnsi="宋体" w:cs="宋体" w:eastAsia="宋体" w:hint="default"/>
          <w:spacing w:val="-2"/>
          <w:sz w:val="21"/>
          <w:szCs w:val="21"/>
        </w:rPr>
        <w:t>本公司及其子公司（以下简称</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本集团</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）属电子信息行业，经营范围主要包括：系统集成、计算机软</w:t>
      </w:r>
    </w:p>
    <w:p>
      <w:pPr>
        <w:pStyle w:val="BodyText"/>
        <w:spacing w:line="398" w:lineRule="auto" w:before="14"/>
        <w:ind w:right="1128"/>
        <w:jc w:val="both"/>
      </w:pPr>
      <w:r>
        <w:rPr>
          <w:spacing w:val="-2"/>
        </w:rPr>
        <w:t>件开发、信息咨询服务等。主要产品包括：电子数据取证产品、智能执法与便民设备、网络空间安全产品</w:t>
      </w:r>
      <w:r>
        <w:rPr>
          <w:spacing w:val="-43"/>
        </w:rPr>
        <w:t> </w:t>
      </w:r>
      <w:r>
        <w:rPr>
          <w:spacing w:val="-43"/>
        </w:rPr>
      </w:r>
      <w:r>
        <w:rPr>
          <w:spacing w:val="-3"/>
        </w:rPr>
        <w:t>及大数据智能化平台，在四大产品的技术基础上衍生发展出存证云</w:t>
      </w:r>
      <w:r>
        <w:rPr>
          <w:rFonts w:ascii="Times New Roman" w:hAnsi="Times New Roman" w:cs="Times New Roman" w:eastAsia="Times New Roman" w:hint="default"/>
          <w:spacing w:val="-3"/>
        </w:rPr>
        <w:t>+</w:t>
      </w:r>
      <w:r>
        <w:rPr>
          <w:spacing w:val="-3"/>
        </w:rPr>
        <w:t>、搜索云</w:t>
      </w:r>
      <w:r>
        <w:rPr>
          <w:rFonts w:ascii="Times New Roman" w:hAnsi="Times New Roman" w:cs="Times New Roman" w:eastAsia="Times New Roman" w:hint="default"/>
          <w:spacing w:val="-3"/>
        </w:rPr>
        <w:t>+</w:t>
      </w:r>
      <w:r>
        <w:rPr>
          <w:spacing w:val="-3"/>
        </w:rPr>
        <w:t>、数据服务及信息安全服务</w:t>
      </w:r>
      <w:r>
        <w:rPr>
          <w:spacing w:val="-29"/>
        </w:rPr>
        <w:t> </w:t>
      </w:r>
      <w:r>
        <w:rPr>
          <w:spacing w:val="-29"/>
        </w:rPr>
      </w:r>
      <w:r>
        <w:rPr/>
        <w:t>四大服务体系。主要客户包括全国各级司法机关、行政执法部门。</w:t>
      </w:r>
    </w:p>
    <w:p>
      <w:pPr>
        <w:pStyle w:val="BodyText"/>
        <w:spacing w:line="408" w:lineRule="auto" w:before="54"/>
        <w:ind w:left="575" w:right="986" w:hanging="15"/>
        <w:jc w:val="left"/>
      </w:pPr>
      <w:r>
        <w:rPr>
          <w:rFonts w:ascii="宋体" w:hAnsi="宋体" w:cs="宋体" w:eastAsia="宋体" w:hint="default"/>
          <w:b/>
          <w:bCs/>
        </w:rPr>
        <w:t>（三）财务报表的批准</w:t>
      </w:r>
      <w:r>
        <w:rPr>
          <w:rFonts w:ascii="宋体" w:hAnsi="宋体" w:cs="宋体" w:eastAsia="宋体" w:hint="default"/>
          <w:b/>
          <w:bCs/>
          <w:w w:val="100"/>
        </w:rPr>
        <w:t> </w:t>
      </w:r>
      <w:r>
        <w:rPr>
          <w:spacing w:val="-2"/>
        </w:rPr>
        <w:t>本财务报表及财务报表附注业经本公司第四届董事会第十六次会议于</w:t>
      </w:r>
      <w:r>
        <w:rPr>
          <w:rFonts w:ascii="Times New Roman" w:hAnsi="Times New Roman" w:cs="Times New Roman" w:eastAsia="Times New Roman" w:hint="default"/>
          <w:spacing w:val="-2"/>
        </w:rPr>
        <w:t>2020</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27</w:t>
      </w:r>
      <w:r>
        <w:rPr>
          <w:spacing w:val="-2"/>
        </w:rPr>
        <w:t>日批准报出。</w:t>
      </w:r>
      <w:r>
        <w:rPr/>
      </w:r>
    </w:p>
    <w:p>
      <w:pPr>
        <w:spacing w:line="408" w:lineRule="auto" w:before="14"/>
        <w:ind w:left="572" w:right="986" w:firstLine="2"/>
        <w:jc w:val="left"/>
        <w:rPr>
          <w:rFonts w:ascii="宋体" w:hAnsi="宋体" w:cs="宋体" w:eastAsia="宋体" w:hint="default"/>
          <w:sz w:val="21"/>
          <w:szCs w:val="21"/>
        </w:rPr>
      </w:pPr>
      <w:r>
        <w:rPr>
          <w:rFonts w:ascii="宋体" w:hAnsi="宋体" w:cs="宋体" w:eastAsia="宋体" w:hint="default"/>
          <w:b/>
          <w:bCs/>
          <w:sz w:val="21"/>
          <w:szCs w:val="21"/>
        </w:rPr>
        <w:t>（四）合并财务报表范围</w:t>
      </w:r>
      <w:r>
        <w:rPr>
          <w:rFonts w:ascii="宋体" w:hAnsi="宋体" w:cs="宋体" w:eastAsia="宋体" w:hint="default"/>
          <w:b/>
          <w:bCs/>
          <w:w w:val="100"/>
          <w:sz w:val="21"/>
          <w:szCs w:val="21"/>
        </w:rPr>
        <w:t> </w:t>
      </w:r>
      <w:r>
        <w:rPr>
          <w:rFonts w:ascii="宋体" w:hAnsi="宋体" w:cs="宋体" w:eastAsia="宋体" w:hint="default"/>
          <w:spacing w:val="-2"/>
          <w:sz w:val="21"/>
          <w:szCs w:val="21"/>
        </w:rPr>
        <w:t>本集团合并财务报表范围包括本公司及全部子公司，本报告期新设成立子公司：云南美亚信安信息技</w:t>
      </w:r>
    </w:p>
    <w:p>
      <w:pPr>
        <w:pStyle w:val="BodyText"/>
        <w:spacing w:line="408" w:lineRule="auto"/>
        <w:ind w:right="1128"/>
        <w:jc w:val="both"/>
      </w:pPr>
      <w:r>
        <w:rPr>
          <w:spacing w:val="-2"/>
        </w:rPr>
        <w:t>术有限公司、陕西美亚秦安信息科技有限公司、四川美亚川安信息科技有限公司、甘肃美亚陇安信息科技</w:t>
      </w:r>
      <w:r>
        <w:rPr>
          <w:spacing w:val="-44"/>
        </w:rPr>
        <w:t> </w:t>
      </w:r>
      <w:r>
        <w:rPr>
          <w:spacing w:val="-44"/>
        </w:rPr>
      </w:r>
      <w:r>
        <w:rPr>
          <w:spacing w:val="-2"/>
        </w:rPr>
        <w:t>有限公司，通过非同一控制企业合并增加的子公司：中检美亚（北京）科技有限公司，合并财务报表范围</w:t>
      </w:r>
      <w:r>
        <w:rPr>
          <w:spacing w:val="-43"/>
        </w:rPr>
        <w:t> </w:t>
      </w:r>
      <w:r>
        <w:rPr>
          <w:spacing w:val="-43"/>
        </w:rPr>
      </w:r>
      <w:r>
        <w:rPr/>
        <w:t>变化情况详见本“附注八、合并范围的变更”及“附注九、在其他主体中的权益”。</w:t>
      </w:r>
    </w:p>
    <w:p>
      <w:pPr>
        <w:spacing w:after="0" w:line="408" w:lineRule="auto"/>
        <w:jc w:val="both"/>
        <w:sectPr>
          <w:pgSz w:w="11910" w:h="16840"/>
          <w:pgMar w:header="745" w:footer="982" w:top="1060" w:bottom="118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986"/>
        <w:jc w:val="left"/>
        <w:rPr>
          <w:b w:val="0"/>
          <w:bCs w:val="0"/>
        </w:rPr>
      </w:pPr>
      <w:bookmarkStart w:name="四、财务报表的编制基础" w:id="168"/>
      <w:bookmarkEnd w:id="168"/>
      <w:r>
        <w:rPr>
          <w:b w:val="0"/>
          <w:bCs w:val="0"/>
        </w:rPr>
      </w:r>
      <w:r>
        <w:rPr/>
        <w:t>四、财务报表的编制基础</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6"/>
        <w:jc w:val="left"/>
        <w:rPr>
          <w:b w:val="0"/>
          <w:bCs w:val="0"/>
        </w:rPr>
      </w:pPr>
      <w:bookmarkStart w:name="1、编制基础" w:id="169"/>
      <w:bookmarkEnd w:id="169"/>
      <w:r>
        <w:rPr>
          <w:b w:val="0"/>
          <w:bCs w:val="0"/>
        </w:rPr>
      </w:r>
      <w:r>
        <w:rPr>
          <w:rFonts w:ascii="Times New Roman" w:hAnsi="Times New Roman" w:cs="Times New Roman" w:eastAsia="Times New Roman" w:hint="default"/>
        </w:rPr>
        <w:t>1</w:t>
      </w:r>
      <w:r>
        <w:rPr/>
        <w:t>、编制基础</w:t>
      </w:r>
      <w:r>
        <w:rPr>
          <w:b w:val="0"/>
          <w:bCs w:val="0"/>
        </w:rPr>
      </w:r>
    </w:p>
    <w:p>
      <w:pPr>
        <w:spacing w:line="240" w:lineRule="auto" w:before="5"/>
        <w:rPr>
          <w:rFonts w:ascii="宋体" w:hAnsi="宋体" w:cs="宋体" w:eastAsia="宋体" w:hint="default"/>
          <w:b/>
          <w:bCs/>
          <w:sz w:val="30"/>
          <w:szCs w:val="30"/>
        </w:rPr>
      </w:pPr>
    </w:p>
    <w:p>
      <w:pPr>
        <w:pStyle w:val="BodyText"/>
        <w:spacing w:line="386" w:lineRule="auto" w:before="0"/>
        <w:ind w:right="1128" w:firstLine="420"/>
        <w:jc w:val="both"/>
      </w:pPr>
      <w:r>
        <w:rPr/>
        <w:t>本财务报表按照财政部颁布的企业会计准则及其应用指南、解释及其他有关规定（统称</w:t>
      </w:r>
      <w:r>
        <w:rPr>
          <w:rFonts w:ascii="Times New Roman" w:hAnsi="Times New Roman" w:cs="Times New Roman" w:eastAsia="Times New Roman" w:hint="default"/>
        </w:rPr>
        <w:t>“</w:t>
      </w:r>
      <w:r>
        <w:rPr/>
        <w:t>企业会计准</w:t>
      </w:r>
      <w:r>
        <w:rPr>
          <w:w w:val="100"/>
        </w:rPr>
        <w:t> </w:t>
      </w:r>
      <w:r>
        <w:rPr/>
        <w:t>则</w:t>
      </w:r>
      <w:r>
        <w:rPr>
          <w:rFonts w:ascii="Times New Roman" w:hAnsi="Times New Roman" w:cs="Times New Roman" w:eastAsia="Times New Roman" w:hint="default"/>
        </w:rPr>
        <w:t>”</w:t>
      </w:r>
      <w:r>
        <w:rPr/>
        <w:t>）编制。此外，本集团还按照中国证监会《公开发行证券的公司信息披露编报规则第</w:t>
      </w:r>
      <w:r>
        <w:rPr>
          <w:rFonts w:ascii="Times New Roman" w:hAnsi="Times New Roman" w:cs="Times New Roman" w:eastAsia="Times New Roman" w:hint="default"/>
        </w:rPr>
        <w:t>15</w:t>
      </w:r>
      <w:r>
        <w:rPr/>
        <w:t>号</w:t>
      </w:r>
      <w:r>
        <w:rPr>
          <w:rFonts w:ascii="Times New Roman" w:hAnsi="Times New Roman" w:cs="Times New Roman" w:eastAsia="Times New Roman" w:hint="default"/>
        </w:rPr>
        <w:t>—</w:t>
      </w:r>
      <w:r>
        <w:rPr/>
        <w:t>财务报告</w:t>
      </w:r>
      <w:r>
        <w:rPr>
          <w:spacing w:val="-19"/>
        </w:rPr>
        <w:t> </w:t>
      </w:r>
      <w:r>
        <w:rPr>
          <w:spacing w:val="-19"/>
        </w:rPr>
      </w:r>
      <w:r>
        <w:rPr/>
        <w:t>的一般规定》（</w:t>
      </w:r>
      <w:r>
        <w:rPr>
          <w:rFonts w:ascii="Times New Roman" w:hAnsi="Times New Roman" w:cs="Times New Roman" w:eastAsia="Times New Roman" w:hint="default"/>
        </w:rPr>
        <w:t>2014</w:t>
      </w:r>
      <w:r>
        <w:rPr/>
        <w:t>年修订）披露有关财务信息。</w:t>
      </w:r>
    </w:p>
    <w:p>
      <w:pPr>
        <w:pStyle w:val="BodyText"/>
        <w:spacing w:line="408" w:lineRule="auto" w:before="35"/>
        <w:ind w:left="572" w:right="986"/>
        <w:jc w:val="left"/>
      </w:pPr>
      <w:r>
        <w:rPr/>
        <w:t>本财务报表以持续经营为基础列报。</w:t>
      </w:r>
      <w:r>
        <w:rPr>
          <w:w w:val="100"/>
        </w:rPr>
        <w:t> </w:t>
      </w:r>
      <w:r>
        <w:rPr>
          <w:spacing w:val="-2"/>
        </w:rPr>
        <w:t>本集团会计核算以权责发生制为基础。除某些金融工具外，本财务报表均以历史成本为计量基础。资</w:t>
      </w:r>
    </w:p>
    <w:p>
      <w:pPr>
        <w:pStyle w:val="BodyText"/>
        <w:spacing w:line="240" w:lineRule="auto"/>
        <w:ind w:right="986"/>
        <w:jc w:val="left"/>
      </w:pPr>
      <w:r>
        <w:rPr/>
        <w:t>产如果发生减值，则按照相关规定计提相应的减值准备。</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7"/>
          <w:szCs w:val="17"/>
        </w:rPr>
      </w:pPr>
    </w:p>
    <w:p>
      <w:pPr>
        <w:pStyle w:val="Heading4"/>
        <w:spacing w:line="240" w:lineRule="auto"/>
        <w:ind w:right="986"/>
        <w:jc w:val="left"/>
        <w:rPr>
          <w:b w:val="0"/>
          <w:bCs w:val="0"/>
        </w:rPr>
      </w:pPr>
      <w:bookmarkStart w:name="2、持续经营" w:id="170"/>
      <w:bookmarkEnd w:id="170"/>
      <w:r>
        <w:rPr>
          <w:b w:val="0"/>
          <w:bCs w:val="0"/>
        </w:rPr>
      </w:r>
      <w:r>
        <w:rPr>
          <w:rFonts w:ascii="Times New Roman" w:hAnsi="Times New Roman" w:cs="Times New Roman" w:eastAsia="Times New Roman" w:hint="default"/>
        </w:rPr>
        <w:t>2</w:t>
      </w:r>
      <w:r>
        <w:rPr/>
        <w:t>、持续经营</w:t>
      </w:r>
      <w:r>
        <w:rPr>
          <w:b w:val="0"/>
          <w:bCs w:val="0"/>
        </w:rPr>
      </w:r>
    </w:p>
    <w:p>
      <w:pPr>
        <w:spacing w:line="240" w:lineRule="auto" w:before="0"/>
        <w:rPr>
          <w:rFonts w:ascii="宋体" w:hAnsi="宋体" w:cs="宋体" w:eastAsia="宋体" w:hint="default"/>
          <w:b/>
          <w:bCs/>
          <w:sz w:val="22"/>
          <w:szCs w:val="22"/>
        </w:rPr>
      </w:pPr>
    </w:p>
    <w:p>
      <w:pPr>
        <w:pStyle w:val="BodyText"/>
        <w:spacing w:line="386" w:lineRule="auto" w:before="189"/>
        <w:ind w:right="986" w:firstLine="419"/>
        <w:jc w:val="left"/>
      </w:pPr>
      <w:r>
        <w:rPr>
          <w:spacing w:val="-2"/>
        </w:rPr>
        <w:t>本集团利用所有可获得信息，未发现自报告期末起</w:t>
      </w:r>
      <w:r>
        <w:rPr>
          <w:rFonts w:ascii="Times New Roman" w:hAnsi="Times New Roman" w:cs="Times New Roman" w:eastAsia="Times New Roman" w:hint="default"/>
          <w:spacing w:val="-2"/>
        </w:rPr>
        <w:t>12</w:t>
      </w:r>
      <w:r>
        <w:rPr>
          <w:spacing w:val="-2"/>
        </w:rPr>
        <w:t>个月内对持续经营能力产生重大疑虑的事项或情</w:t>
      </w:r>
      <w:r>
        <w:rPr>
          <w:spacing w:val="-3"/>
          <w:w w:val="100"/>
        </w:rPr>
        <w:t> </w:t>
      </w:r>
      <w:r>
        <w:rPr/>
        <w:t>况。</w:t>
      </w:r>
    </w:p>
    <w:p>
      <w:pPr>
        <w:spacing w:line="240" w:lineRule="auto" w:before="1"/>
        <w:rPr>
          <w:rFonts w:ascii="宋体" w:hAnsi="宋体" w:cs="宋体" w:eastAsia="宋体" w:hint="default"/>
          <w:sz w:val="20"/>
          <w:szCs w:val="20"/>
        </w:rPr>
      </w:pPr>
    </w:p>
    <w:p>
      <w:pPr>
        <w:pStyle w:val="Heading2"/>
        <w:spacing w:line="240" w:lineRule="auto"/>
        <w:ind w:right="986"/>
        <w:jc w:val="left"/>
        <w:rPr>
          <w:b w:val="0"/>
          <w:bCs w:val="0"/>
        </w:rPr>
      </w:pPr>
      <w:bookmarkStart w:name="五、重要会计政策及会计估计" w:id="171"/>
      <w:bookmarkEnd w:id="171"/>
      <w:r>
        <w:rPr>
          <w:b w:val="0"/>
          <w:bCs w:val="0"/>
        </w:rPr>
      </w:r>
      <w:r>
        <w:rPr/>
        <w:t>五、重要会计政策及会计估计</w:t>
      </w:r>
      <w:r>
        <w:rPr>
          <w:b w:val="0"/>
          <w:bCs w:val="0"/>
        </w:rPr>
      </w:r>
    </w:p>
    <w:p>
      <w:pPr>
        <w:spacing w:line="240" w:lineRule="auto" w:before="6"/>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具体会计政策和会计估计提示：</w:t>
      </w:r>
    </w:p>
    <w:p>
      <w:pPr>
        <w:spacing w:line="692" w:lineRule="exact" w:before="45"/>
        <w:ind w:left="572" w:right="986" w:hanging="420"/>
        <w:jc w:val="left"/>
        <w:rPr>
          <w:rFonts w:ascii="宋体" w:hAnsi="宋体" w:cs="宋体" w:eastAsia="宋体" w:hint="default"/>
          <w:sz w:val="21"/>
          <w:szCs w:val="21"/>
        </w:rPr>
      </w:pPr>
      <w:bookmarkStart w:name="1、遵循企业会计准则的声明" w:id="172"/>
      <w:bookmarkEnd w:id="172"/>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、遵循企业会计准则的声明</w:t>
      </w:r>
      <w:r>
        <w:rPr>
          <w:rFonts w:ascii="宋体" w:hAnsi="宋体" w:cs="宋体" w:eastAsia="宋体" w:hint="default"/>
          <w:b/>
          <w:bCs/>
          <w:w w:val="100"/>
          <w:sz w:val="21"/>
          <w:szCs w:val="21"/>
        </w:rPr>
        <w:t> </w:t>
      </w:r>
      <w:r>
        <w:rPr>
          <w:rFonts w:ascii="宋体" w:hAnsi="宋体" w:cs="宋体" w:eastAsia="宋体" w:hint="default"/>
          <w:spacing w:val="-2"/>
          <w:sz w:val="21"/>
          <w:szCs w:val="21"/>
        </w:rPr>
        <w:t>本财务报表符合企业会计准则的要求，真实、完整地反映了本集团</w:t>
      </w:r>
      <w:r>
        <w:rPr>
          <w:rFonts w:ascii="Times New Roman" w:hAnsi="Times New Roman" w:cs="Times New Roman" w:eastAsia="Times New Roman" w:hint="default"/>
          <w:spacing w:val="-2"/>
          <w:sz w:val="21"/>
          <w:szCs w:val="21"/>
        </w:rPr>
        <w:t>2019</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12</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31</w:t>
      </w:r>
      <w:r>
        <w:rPr>
          <w:rFonts w:ascii="宋体" w:hAnsi="宋体" w:cs="宋体" w:eastAsia="宋体" w:hint="default"/>
          <w:spacing w:val="-2"/>
          <w:sz w:val="21"/>
          <w:szCs w:val="21"/>
        </w:rPr>
        <w:t>日的合并及公司财务</w:t>
      </w:r>
    </w:p>
    <w:p>
      <w:pPr>
        <w:pStyle w:val="BodyText"/>
        <w:spacing w:line="240" w:lineRule="auto" w:before="84"/>
        <w:ind w:right="986"/>
        <w:jc w:val="left"/>
      </w:pPr>
      <w:r>
        <w:rPr/>
        <w:t>状况以及</w:t>
      </w:r>
      <w:r>
        <w:rPr>
          <w:rFonts w:ascii="Times New Roman" w:hAnsi="Times New Roman" w:cs="Times New Roman" w:eastAsia="Times New Roman" w:hint="default"/>
        </w:rPr>
        <w:t>2019</w:t>
      </w:r>
      <w:r>
        <w:rPr/>
        <w:t>年度的合并及公司经营成果和合并及公司现金流量等有关信息。</w:t>
      </w:r>
    </w:p>
    <w:p>
      <w:pPr>
        <w:spacing w:line="240" w:lineRule="auto" w:before="8"/>
        <w:rPr>
          <w:rFonts w:ascii="宋体" w:hAnsi="宋体" w:cs="宋体" w:eastAsia="宋体" w:hint="default"/>
          <w:sz w:val="30"/>
          <w:szCs w:val="30"/>
        </w:rPr>
      </w:pPr>
    </w:p>
    <w:p>
      <w:pPr>
        <w:pStyle w:val="Heading4"/>
        <w:spacing w:line="240" w:lineRule="auto"/>
        <w:ind w:right="986"/>
        <w:jc w:val="left"/>
        <w:rPr>
          <w:b w:val="0"/>
          <w:bCs w:val="0"/>
        </w:rPr>
      </w:pPr>
      <w:bookmarkStart w:name="2、会计期间" w:id="173"/>
      <w:bookmarkEnd w:id="173"/>
      <w:r>
        <w:rPr>
          <w:b w:val="0"/>
          <w:bCs w:val="0"/>
        </w:rPr>
      </w:r>
      <w:r>
        <w:rPr>
          <w:rFonts w:ascii="Times New Roman" w:hAnsi="Times New Roman" w:cs="Times New Roman" w:eastAsia="Times New Roman" w:hint="default"/>
        </w:rPr>
        <w:t>2</w:t>
      </w:r>
      <w:r>
        <w:rPr/>
        <w:t>、会计期间</w:t>
      </w:r>
      <w:r>
        <w:rPr>
          <w:b w:val="0"/>
          <w:bCs w:val="0"/>
        </w:rPr>
      </w:r>
    </w:p>
    <w:p>
      <w:pPr>
        <w:spacing w:line="240" w:lineRule="auto" w:before="10"/>
        <w:rPr>
          <w:rFonts w:ascii="宋体" w:hAnsi="宋体" w:cs="宋体" w:eastAsia="宋体" w:hint="default"/>
          <w:b/>
          <w:bCs/>
          <w:sz w:val="24"/>
          <w:szCs w:val="24"/>
        </w:rPr>
      </w:pPr>
    </w:p>
    <w:p>
      <w:pPr>
        <w:pStyle w:val="BodyText"/>
        <w:spacing w:line="240" w:lineRule="auto" w:before="0"/>
        <w:ind w:left="572" w:right="986"/>
        <w:jc w:val="left"/>
      </w:pPr>
      <w:r>
        <w:rPr/>
        <w:t>本集团会计年度为公历年度，即每年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日起至</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26"/>
          <w:szCs w:val="26"/>
        </w:rPr>
      </w:pPr>
    </w:p>
    <w:p>
      <w:pPr>
        <w:pStyle w:val="Heading4"/>
        <w:spacing w:line="240" w:lineRule="auto"/>
        <w:ind w:right="986"/>
        <w:jc w:val="left"/>
        <w:rPr>
          <w:b w:val="0"/>
          <w:bCs w:val="0"/>
        </w:rPr>
      </w:pPr>
      <w:bookmarkStart w:name="3、营业周期" w:id="174"/>
      <w:bookmarkEnd w:id="174"/>
      <w:r>
        <w:rPr>
          <w:b w:val="0"/>
          <w:bCs w:val="0"/>
        </w:rPr>
      </w:r>
      <w:r>
        <w:rPr>
          <w:rFonts w:ascii="Times New Roman" w:hAnsi="Times New Roman" w:cs="Times New Roman" w:eastAsia="Times New Roman" w:hint="default"/>
        </w:rPr>
        <w:t>3</w:t>
      </w:r>
      <w:r>
        <w:rPr/>
        <w:t>、营业周期</w:t>
      </w:r>
      <w:r>
        <w:rPr>
          <w:b w:val="0"/>
          <w:bCs w:val="0"/>
        </w:rPr>
      </w:r>
    </w:p>
    <w:p>
      <w:pPr>
        <w:spacing w:line="240" w:lineRule="auto" w:before="7"/>
        <w:rPr>
          <w:rFonts w:ascii="宋体" w:hAnsi="宋体" w:cs="宋体" w:eastAsia="宋体" w:hint="default"/>
          <w:b/>
          <w:bCs/>
          <w:sz w:val="24"/>
          <w:szCs w:val="24"/>
        </w:rPr>
      </w:pPr>
    </w:p>
    <w:p>
      <w:pPr>
        <w:pStyle w:val="BodyText"/>
        <w:spacing w:line="240" w:lineRule="auto" w:before="0"/>
        <w:ind w:left="572" w:right="986"/>
        <w:jc w:val="left"/>
      </w:pPr>
      <w:r>
        <w:rPr/>
        <w:t>本集团的营业周期为</w:t>
      </w:r>
      <w:r>
        <w:rPr>
          <w:rFonts w:ascii="Times New Roman" w:hAnsi="Times New Roman" w:cs="Times New Roman" w:eastAsia="Times New Roman" w:hint="default"/>
        </w:rPr>
        <w:t>12</w:t>
      </w:r>
      <w:r>
        <w:rPr/>
        <w:t>个月。</w:t>
      </w:r>
    </w:p>
    <w:p>
      <w:pPr>
        <w:spacing w:line="240" w:lineRule="auto" w:before="7"/>
        <w:rPr>
          <w:rFonts w:ascii="宋体" w:hAnsi="宋体" w:cs="宋体" w:eastAsia="宋体" w:hint="default"/>
          <w:sz w:val="24"/>
          <w:szCs w:val="24"/>
        </w:rPr>
      </w:pPr>
    </w:p>
    <w:p>
      <w:pPr>
        <w:pStyle w:val="Heading4"/>
        <w:spacing w:line="240" w:lineRule="auto"/>
        <w:ind w:right="986"/>
        <w:jc w:val="left"/>
        <w:rPr>
          <w:b w:val="0"/>
          <w:bCs w:val="0"/>
        </w:rPr>
      </w:pPr>
      <w:bookmarkStart w:name="4、记账本位币" w:id="175"/>
      <w:bookmarkEnd w:id="175"/>
      <w:r>
        <w:rPr>
          <w:b w:val="0"/>
          <w:bCs w:val="0"/>
        </w:rPr>
      </w:r>
      <w:r>
        <w:rPr>
          <w:rFonts w:ascii="Times New Roman" w:hAnsi="Times New Roman" w:cs="Times New Roman" w:eastAsia="Times New Roman" w:hint="default"/>
        </w:rPr>
        <w:t>4</w:t>
      </w:r>
      <w:r>
        <w:rPr/>
        <w:t>、记账本位币</w:t>
      </w:r>
      <w:r>
        <w:rPr>
          <w:b w:val="0"/>
          <w:bCs w:val="0"/>
        </w:rPr>
      </w:r>
    </w:p>
    <w:p>
      <w:pPr>
        <w:spacing w:line="240" w:lineRule="auto" w:before="10"/>
        <w:rPr>
          <w:rFonts w:ascii="宋体" w:hAnsi="宋体" w:cs="宋体" w:eastAsia="宋体" w:hint="default"/>
          <w:b/>
          <w:bCs/>
          <w:sz w:val="24"/>
          <w:szCs w:val="24"/>
        </w:rPr>
      </w:pPr>
    </w:p>
    <w:p>
      <w:pPr>
        <w:pStyle w:val="BodyText"/>
        <w:spacing w:line="240" w:lineRule="auto" w:before="0"/>
        <w:ind w:left="572" w:right="986"/>
        <w:jc w:val="left"/>
      </w:pPr>
      <w:r>
        <w:rPr/>
        <w:t>本集团及境内子公司以人民币为记账本位币。本集团编制本财务报表时所采用的货币为人民币。</w:t>
      </w:r>
    </w:p>
    <w:p>
      <w:pPr>
        <w:spacing w:after="0" w:line="240" w:lineRule="auto"/>
        <w:jc w:val="left"/>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5、同一控制下和非同一控制下企业合并的会计处理方法" w:id="176"/>
      <w:bookmarkEnd w:id="176"/>
      <w:r>
        <w:rPr>
          <w:b w:val="0"/>
          <w:bCs w:val="0"/>
        </w:rPr>
      </w:r>
      <w:r>
        <w:rPr>
          <w:rFonts w:ascii="Times New Roman" w:hAnsi="Times New Roman" w:cs="Times New Roman" w:eastAsia="Times New Roman" w:hint="default"/>
        </w:rPr>
        <w:t>5</w:t>
      </w:r>
      <w:r>
        <w:rPr/>
        <w:t>、同一控制下和非同一控制下企业合并的会计处理方法</w:t>
      </w:r>
      <w:r>
        <w:rPr>
          <w:b w:val="0"/>
          <w:bCs w:val="0"/>
        </w:rPr>
      </w:r>
    </w:p>
    <w:p>
      <w:pPr>
        <w:spacing w:line="240" w:lineRule="auto" w:before="8"/>
        <w:rPr>
          <w:rFonts w:ascii="宋体" w:hAnsi="宋体" w:cs="宋体" w:eastAsia="宋体" w:hint="default"/>
          <w:b/>
          <w:bCs/>
          <w:sz w:val="30"/>
          <w:szCs w:val="30"/>
        </w:rPr>
      </w:pPr>
    </w:p>
    <w:p>
      <w:pPr>
        <w:pStyle w:val="BodyText"/>
        <w:spacing w:line="386" w:lineRule="auto" w:before="0"/>
        <w:ind w:left="572" w:right="986"/>
        <w:jc w:val="left"/>
      </w:pPr>
      <w:r>
        <w:rPr>
          <w:rFonts w:ascii="Times New Roman" w:hAnsi="Times New Roman" w:cs="Times New Roman" w:eastAsia="Times New Roman" w:hint="default"/>
        </w:rPr>
        <w:t>1</w:t>
      </w:r>
      <w:r>
        <w:rPr/>
        <w:t>）同一控制下的企业合并</w:t>
      </w:r>
      <w:r>
        <w:rPr>
          <w:spacing w:val="-3"/>
          <w:w w:val="100"/>
        </w:rPr>
        <w:t> </w:t>
      </w:r>
      <w:r>
        <w:rPr>
          <w:spacing w:val="-2"/>
        </w:rPr>
        <w:t>同一控制下的企业合并，合并方以支付现金、转让非现金资产或承担债务方式作为合并对价的，合并</w:t>
      </w:r>
      <w:r>
        <w:rPr/>
      </w:r>
    </w:p>
    <w:p>
      <w:pPr>
        <w:pStyle w:val="BodyText"/>
        <w:spacing w:line="408" w:lineRule="auto" w:before="65"/>
        <w:ind w:right="986"/>
        <w:jc w:val="left"/>
      </w:pPr>
      <w:r>
        <w:rPr>
          <w:spacing w:val="2"/>
        </w:rPr>
        <w:t>日按被合并方所有者权益在最终控制方合并财务报表中的账面价值的份额作为长期股权投资的初始投资</w:t>
      </w:r>
      <w:r>
        <w:rPr>
          <w:spacing w:val="-28"/>
        </w:rPr>
        <w:t> </w:t>
      </w:r>
      <w:r>
        <w:rPr>
          <w:spacing w:val="-28"/>
        </w:rPr>
      </w:r>
      <w:r>
        <w:rPr>
          <w:spacing w:val="-5"/>
        </w:rPr>
        <w:t>成本。长期股权投资初始投资成本与支付的现金、转让的非现金资产以及所承担债务账面价值之间的差额， </w:t>
      </w:r>
      <w:r>
        <w:rPr>
          <w:spacing w:val="-5"/>
        </w:rPr>
      </w:r>
      <w:r>
        <w:rPr/>
        <w:t>调整资本公积；资本公积不足冲减的，调整留存收益。</w:t>
      </w:r>
    </w:p>
    <w:p>
      <w:pPr>
        <w:pStyle w:val="BodyText"/>
        <w:spacing w:line="408" w:lineRule="auto"/>
        <w:ind w:right="1028" w:firstLine="420"/>
        <w:jc w:val="both"/>
      </w:pPr>
      <w:r>
        <w:rPr>
          <w:spacing w:val="-2"/>
        </w:rPr>
        <w:t>合并方以发行权益性证券作为合并对价的，合并日按被合并方所有者权益在最终控制方合并财务报表</w:t>
      </w:r>
      <w:r>
        <w:rPr>
          <w:w w:val="100"/>
        </w:rPr>
        <w:t> </w:t>
      </w:r>
      <w:r>
        <w:rPr>
          <w:spacing w:val="-2"/>
        </w:rPr>
        <w:t>中的账面价值的份额作为长期股权投资的初始投资成本。按照发行股份的面值总额作为股本，长期股权投</w:t>
      </w:r>
      <w:r>
        <w:rPr>
          <w:spacing w:val="-42"/>
        </w:rPr>
        <w:t> </w:t>
      </w:r>
      <w:r>
        <w:rPr>
          <w:spacing w:val="-42"/>
        </w:rPr>
      </w:r>
      <w:r>
        <w:rPr>
          <w:spacing w:val="-5"/>
        </w:rPr>
        <w:t>资初始投资成本与所发行股份面值总额之间的差额，调整资本公积；资本公积不足冲减的，调整留存收益。</w:t>
      </w:r>
      <w:r>
        <w:rPr/>
      </w:r>
    </w:p>
    <w:p>
      <w:pPr>
        <w:pStyle w:val="BodyText"/>
        <w:spacing w:line="386" w:lineRule="auto"/>
        <w:ind w:left="572" w:right="986"/>
        <w:jc w:val="left"/>
      </w:pPr>
      <w:r>
        <w:rPr>
          <w:rFonts w:ascii="Times New Roman" w:hAnsi="Times New Roman" w:cs="Times New Roman" w:eastAsia="Times New Roman" w:hint="default"/>
        </w:rPr>
        <w:t>2</w:t>
      </w:r>
      <w:r>
        <w:rPr/>
        <w:t>）非同一控制下的企业合并</w:t>
      </w:r>
      <w:r>
        <w:rPr>
          <w:spacing w:val="-3"/>
          <w:w w:val="100"/>
        </w:rPr>
        <w:t> </w:t>
      </w:r>
      <w:r>
        <w:rPr>
          <w:spacing w:val="-2"/>
        </w:rPr>
        <w:t>本集团在购买日对作为企业合并对价付出的资产、发生或承担的负债按照公允价值计量。公允价值与</w:t>
      </w:r>
    </w:p>
    <w:p>
      <w:pPr>
        <w:pStyle w:val="BodyText"/>
        <w:spacing w:line="408" w:lineRule="auto" w:before="65"/>
        <w:ind w:left="572" w:right="986" w:hanging="421"/>
        <w:jc w:val="left"/>
      </w:pPr>
      <w:r>
        <w:rPr/>
        <w:t>其账面价值的差额，计入当期损益。本集团在购买日对合并成本进行分配。</w:t>
      </w:r>
      <w:r>
        <w:rPr>
          <w:w w:val="100"/>
        </w:rPr>
        <w:t> </w:t>
      </w:r>
      <w:r>
        <w:rPr>
          <w:spacing w:val="-2"/>
        </w:rPr>
        <w:t>本集团对合并成本大于合并中取得的被购买方可辨认净资产公允价值份额的差额，确认为商誉；合并</w:t>
      </w:r>
    </w:p>
    <w:p>
      <w:pPr>
        <w:pStyle w:val="BodyText"/>
        <w:spacing w:line="408" w:lineRule="auto"/>
        <w:ind w:left="572" w:right="986" w:hanging="421"/>
        <w:jc w:val="left"/>
      </w:pPr>
      <w:r>
        <w:rPr/>
        <w:t>成本小于合并中取得的被购买方可辨认净资产公允价值份额的差额，计入当期损益。</w:t>
      </w:r>
      <w:r>
        <w:rPr>
          <w:w w:val="100"/>
        </w:rPr>
        <w:t> </w:t>
      </w:r>
      <w:r>
        <w:rPr>
          <w:spacing w:val="-2"/>
        </w:rPr>
        <w:t>企业合并中取得的被购买方除无形资产外的其他各项资产（不仅限于被购买方原已确认的资产），其</w:t>
      </w:r>
    </w:p>
    <w:p>
      <w:pPr>
        <w:pStyle w:val="BodyText"/>
        <w:spacing w:line="408" w:lineRule="auto"/>
        <w:ind w:right="1128"/>
        <w:jc w:val="both"/>
      </w:pPr>
      <w:r>
        <w:rPr>
          <w:spacing w:val="-2"/>
        </w:rPr>
        <w:t>所带来的经济利益很可能流入本集团且公允价值能够可靠计量的，单独确认并按公允价值计量；公允价值</w:t>
      </w:r>
      <w:r>
        <w:rPr>
          <w:spacing w:val="-42"/>
        </w:rPr>
        <w:t> </w:t>
      </w:r>
      <w:r>
        <w:rPr>
          <w:spacing w:val="-42"/>
        </w:rPr>
      </w:r>
      <w:r>
        <w:rPr>
          <w:spacing w:val="-2"/>
        </w:rPr>
        <w:t>能够可靠计量的无形资产，单独确认为无形资产并按公允价值计量；取得的被购买方除或有负债以外的其</w:t>
      </w:r>
      <w:r>
        <w:rPr>
          <w:spacing w:val="-42"/>
        </w:rPr>
        <w:t> </w:t>
      </w:r>
      <w:r>
        <w:rPr>
          <w:spacing w:val="-42"/>
        </w:rPr>
      </w:r>
      <w:r>
        <w:rPr>
          <w:spacing w:val="-2"/>
        </w:rPr>
        <w:t>他各项负债，履行有关义务很可能导致经济利益流出本集团且公允价值能够可靠计量的，单独确认并按照</w:t>
      </w:r>
      <w:r>
        <w:rPr>
          <w:spacing w:val="-42"/>
        </w:rPr>
        <w:t> </w:t>
      </w:r>
      <w:r>
        <w:rPr>
          <w:spacing w:val="-42"/>
        </w:rPr>
      </w:r>
      <w:r>
        <w:rPr>
          <w:spacing w:val="-2"/>
        </w:rPr>
        <w:t>公允价值计量；取得的被购买方或有负债，其公允价值能可靠计量的，单独确认为负债并按照公允价值计</w:t>
      </w:r>
      <w:r>
        <w:rPr>
          <w:spacing w:val="-44"/>
        </w:rPr>
        <w:t> </w:t>
      </w:r>
      <w:r>
        <w:rPr>
          <w:spacing w:val="-44"/>
        </w:rPr>
      </w:r>
      <w:r>
        <w:rPr/>
        <w:t>量。</w:t>
      </w:r>
    </w:p>
    <w:p>
      <w:pPr>
        <w:pStyle w:val="BodyText"/>
        <w:spacing w:line="386" w:lineRule="auto"/>
        <w:ind w:left="572" w:right="986"/>
        <w:jc w:val="left"/>
      </w:pPr>
      <w:r>
        <w:rPr>
          <w:rFonts w:ascii="Times New Roman" w:hAnsi="Times New Roman" w:cs="Times New Roman" w:eastAsia="Times New Roman" w:hint="default"/>
        </w:rPr>
        <w:t>3</w:t>
      </w:r>
      <w:r>
        <w:rPr/>
        <w:t>）企业合并中有关交易费用的处理</w:t>
      </w:r>
      <w:r>
        <w:rPr>
          <w:spacing w:val="-3"/>
          <w:w w:val="100"/>
        </w:rPr>
        <w:t> </w:t>
      </w:r>
      <w:r>
        <w:rPr>
          <w:spacing w:val="-2"/>
        </w:rPr>
        <w:t>为进行企业合并发生的审计、法律服务、评估咨询等中介费用以及其他相关管理费用，于发生时计入</w:t>
      </w:r>
    </w:p>
    <w:p>
      <w:pPr>
        <w:pStyle w:val="BodyText"/>
        <w:spacing w:line="408" w:lineRule="auto" w:before="65"/>
        <w:ind w:right="986"/>
        <w:jc w:val="left"/>
      </w:pPr>
      <w:r>
        <w:rPr>
          <w:spacing w:val="-2"/>
        </w:rPr>
        <w:t>当期损益。作为合并对价发行的权益性证券或债务性证券的交易费用，计入权益性证券或债务性证券的初</w:t>
      </w:r>
      <w:r>
        <w:rPr>
          <w:spacing w:val="-42"/>
        </w:rPr>
        <w:t> </w:t>
      </w:r>
      <w:r>
        <w:rPr>
          <w:spacing w:val="-42"/>
        </w:rPr>
      </w:r>
      <w:r>
        <w:rPr/>
        <w:t>始确认金额。</w:t>
      </w:r>
    </w:p>
    <w:p>
      <w:pPr>
        <w:spacing w:line="240" w:lineRule="auto" w:before="6"/>
        <w:rPr>
          <w:rFonts w:ascii="宋体" w:hAnsi="宋体" w:cs="宋体" w:eastAsia="宋体" w:hint="default"/>
          <w:sz w:val="26"/>
          <w:szCs w:val="26"/>
        </w:rPr>
      </w:pPr>
    </w:p>
    <w:p>
      <w:pPr>
        <w:pStyle w:val="Heading4"/>
        <w:spacing w:line="240" w:lineRule="auto"/>
        <w:ind w:right="986"/>
        <w:jc w:val="left"/>
        <w:rPr>
          <w:b w:val="0"/>
          <w:bCs w:val="0"/>
        </w:rPr>
      </w:pPr>
      <w:bookmarkStart w:name="6、合并财务报表的编制方法" w:id="177"/>
      <w:bookmarkEnd w:id="177"/>
      <w:r>
        <w:rPr>
          <w:b w:val="0"/>
          <w:bCs w:val="0"/>
        </w:rPr>
      </w:r>
      <w:r>
        <w:rPr>
          <w:rFonts w:ascii="Times New Roman" w:hAnsi="Times New Roman" w:cs="Times New Roman" w:eastAsia="Times New Roman" w:hint="default"/>
        </w:rPr>
        <w:t>6</w:t>
      </w:r>
      <w:r>
        <w:rPr/>
        <w:t>、合并财务报表的编制方法</w:t>
      </w:r>
      <w:r>
        <w:rPr>
          <w:b w:val="0"/>
          <w:bCs w:val="0"/>
        </w:rPr>
      </w:r>
    </w:p>
    <w:p>
      <w:pPr>
        <w:spacing w:line="240" w:lineRule="auto" w:before="0"/>
        <w:rPr>
          <w:rFonts w:ascii="宋体" w:hAnsi="宋体" w:cs="宋体" w:eastAsia="宋体" w:hint="default"/>
          <w:b/>
          <w:bCs/>
          <w:sz w:val="22"/>
          <w:szCs w:val="22"/>
        </w:rPr>
      </w:pPr>
    </w:p>
    <w:p>
      <w:pPr>
        <w:pStyle w:val="BodyText"/>
        <w:spacing w:line="386" w:lineRule="auto" w:before="189"/>
        <w:ind w:left="572" w:right="986"/>
        <w:jc w:val="left"/>
      </w:pPr>
      <w:r>
        <w:rPr>
          <w:rFonts w:ascii="Times New Roman" w:hAnsi="Times New Roman" w:cs="Times New Roman" w:eastAsia="Times New Roman" w:hint="default"/>
        </w:rPr>
        <w:t>1</w:t>
      </w:r>
      <w:r>
        <w:rPr/>
        <w:t>）合并范围</w:t>
      </w:r>
      <w:r>
        <w:rPr>
          <w:spacing w:val="-3"/>
          <w:w w:val="100"/>
        </w:rPr>
        <w:t> </w:t>
      </w:r>
      <w:r>
        <w:rPr>
          <w:spacing w:val="-2"/>
        </w:rPr>
        <w:t>合并财务报表的合并范围以控制为基础予以确定。控制，是指本公司拥有对被投资单位的权力，通过</w:t>
      </w:r>
    </w:p>
    <w:p>
      <w:pPr>
        <w:pStyle w:val="BodyText"/>
        <w:spacing w:line="240" w:lineRule="auto" w:before="65"/>
        <w:ind w:right="986"/>
        <w:jc w:val="left"/>
      </w:pPr>
      <w:r>
        <w:rPr/>
        <w:t>参与被投资单位的相关活动而享有可变回报，并且有能力运用对被投资单位的权力影响其回报金额。子公</w:t>
      </w:r>
    </w:p>
    <w:p>
      <w:pPr>
        <w:spacing w:after="0" w:line="240"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240" w:lineRule="auto" w:before="175"/>
        <w:ind w:right="986"/>
        <w:jc w:val="left"/>
      </w:pPr>
      <w:r>
        <w:rPr/>
        <w:t>司，是指被本公司控制的主体（含企业、被投资单位中可分割的部分、结构化主体等）。</w:t>
      </w:r>
    </w:p>
    <w:p>
      <w:pPr>
        <w:spacing w:line="240" w:lineRule="auto" w:before="10"/>
        <w:rPr>
          <w:rFonts w:ascii="宋体" w:hAnsi="宋体" w:cs="宋体" w:eastAsia="宋体" w:hint="default"/>
          <w:sz w:val="14"/>
          <w:szCs w:val="14"/>
        </w:rPr>
      </w:pPr>
    </w:p>
    <w:p>
      <w:pPr>
        <w:pStyle w:val="BodyText"/>
        <w:spacing w:line="484" w:lineRule="auto" w:before="0"/>
        <w:ind w:left="572" w:right="986"/>
        <w:jc w:val="left"/>
      </w:pPr>
      <w:r>
        <w:rPr>
          <w:rFonts w:ascii="Times New Roman" w:hAnsi="Times New Roman" w:cs="Times New Roman" w:eastAsia="Times New Roman" w:hint="default"/>
        </w:rPr>
        <w:t>2</w:t>
      </w:r>
      <w:r>
        <w:rPr/>
        <w:t>）合并财务报表的编制方法</w:t>
      </w:r>
      <w:r>
        <w:rPr>
          <w:spacing w:val="-3"/>
          <w:w w:val="100"/>
        </w:rPr>
        <w:t> </w:t>
      </w:r>
      <w:r>
        <w:rPr>
          <w:spacing w:val="-2"/>
        </w:rPr>
        <w:t>合并财务报表以本公司和子公司的财务报表为基础，根据其他有关资料，由本公司编制。在编制合并</w:t>
      </w:r>
    </w:p>
    <w:p>
      <w:pPr>
        <w:pStyle w:val="BodyText"/>
        <w:spacing w:line="254" w:lineRule="exact" w:before="0"/>
        <w:ind w:right="986"/>
        <w:jc w:val="left"/>
      </w:pPr>
      <w:r>
        <w:rPr/>
        <w:t>财务报表时，本公司和子公司的会计政策和会计期间要求保持一致，公司间的重大交易和往来余额予以抵</w:t>
      </w:r>
    </w:p>
    <w:p>
      <w:pPr>
        <w:spacing w:line="240" w:lineRule="auto" w:before="10"/>
        <w:rPr>
          <w:rFonts w:ascii="宋体" w:hAnsi="宋体" w:cs="宋体" w:eastAsia="宋体" w:hint="default"/>
          <w:sz w:val="14"/>
          <w:szCs w:val="14"/>
        </w:rPr>
      </w:pPr>
    </w:p>
    <w:p>
      <w:pPr>
        <w:pStyle w:val="BodyText"/>
        <w:spacing w:line="240" w:lineRule="auto" w:before="0"/>
        <w:ind w:right="986"/>
        <w:jc w:val="left"/>
      </w:pPr>
      <w:r>
        <w:rPr/>
        <w:t>销。</w:t>
      </w:r>
    </w:p>
    <w:p>
      <w:pPr>
        <w:spacing w:line="240" w:lineRule="auto" w:before="10"/>
        <w:rPr>
          <w:rFonts w:ascii="宋体" w:hAnsi="宋体" w:cs="宋体" w:eastAsia="宋体" w:hint="default"/>
          <w:sz w:val="14"/>
          <w:szCs w:val="14"/>
        </w:rPr>
      </w:pPr>
    </w:p>
    <w:p>
      <w:pPr>
        <w:pStyle w:val="BodyText"/>
        <w:spacing w:line="408" w:lineRule="auto" w:before="0"/>
        <w:ind w:right="1128" w:firstLine="420"/>
        <w:jc w:val="both"/>
      </w:pPr>
      <w:r>
        <w:rPr>
          <w:spacing w:val="-2"/>
        </w:rPr>
        <w:t>在报告期内因同一控制下企业合并增加的子公司以及业务，视同该子公司以及业务自同受最终控制方</w:t>
      </w:r>
      <w:r>
        <w:rPr>
          <w:w w:val="100"/>
        </w:rPr>
        <w:t> </w:t>
      </w:r>
      <w:r>
        <w:rPr>
          <w:spacing w:val="-2"/>
        </w:rPr>
        <w:t>控制之日起纳入本公司的合并范围，将其自同受最终控制方控制之日起的经营成果、现金流量分别纳入合</w:t>
      </w:r>
      <w:r>
        <w:rPr>
          <w:spacing w:val="-42"/>
        </w:rPr>
        <w:t> </w:t>
      </w:r>
      <w:r>
        <w:rPr>
          <w:spacing w:val="-42"/>
        </w:rPr>
      </w:r>
      <w:r>
        <w:rPr/>
        <w:t>并利润表、合并现金流量表中。</w:t>
      </w:r>
    </w:p>
    <w:p>
      <w:pPr>
        <w:pStyle w:val="BodyText"/>
        <w:spacing w:line="408" w:lineRule="auto"/>
        <w:ind w:right="1128" w:firstLine="420"/>
        <w:jc w:val="both"/>
      </w:pPr>
      <w:r>
        <w:rPr>
          <w:spacing w:val="-2"/>
        </w:rPr>
        <w:t>在报告期内因非同一控制下企业合并增加的子公司以及业务，将该子公司以及业务自购买日至报告期</w:t>
      </w:r>
      <w:r>
        <w:rPr>
          <w:w w:val="100"/>
        </w:rPr>
        <w:t> </w:t>
      </w:r>
      <w:r>
        <w:rPr/>
        <w:t>末的收入、费用、利润纳入合并利润表，将其现金流量纳入合并现金流量表。</w:t>
      </w:r>
    </w:p>
    <w:p>
      <w:pPr>
        <w:pStyle w:val="BodyText"/>
        <w:spacing w:line="393" w:lineRule="auto"/>
        <w:ind w:right="1128" w:firstLine="420"/>
        <w:jc w:val="both"/>
      </w:pPr>
      <w:r>
        <w:rPr>
          <w:spacing w:val="-2"/>
        </w:rPr>
        <w:t>子公司的股东权益中不属于本公司所拥有的部分，作为少数股东权益在合并资产负债表中股东权益项</w:t>
      </w:r>
      <w:r>
        <w:rPr>
          <w:w w:val="100"/>
        </w:rPr>
        <w:t> </w:t>
      </w:r>
      <w:r>
        <w:rPr/>
        <w:t>下单独列示；子公司当期净损益中属于少数股东权益的份额，在合并利润表中净利润项目下以</w:t>
      </w:r>
      <w:r>
        <w:rPr>
          <w:rFonts w:ascii="Times New Roman" w:hAnsi="Times New Roman" w:cs="Times New Roman" w:eastAsia="Times New Roman" w:hint="default"/>
        </w:rPr>
        <w:t>“</w:t>
      </w:r>
      <w:r>
        <w:rPr/>
        <w:t>少数股东</w:t>
      </w:r>
      <w:r>
        <w:rPr>
          <w:spacing w:val="-18"/>
        </w:rPr>
        <w:t> </w:t>
      </w:r>
      <w:r>
        <w:rPr>
          <w:spacing w:val="-18"/>
        </w:rPr>
      </w:r>
      <w:r>
        <w:rPr/>
        <w:t>损益</w:t>
      </w:r>
      <w:r>
        <w:rPr>
          <w:rFonts w:ascii="Times New Roman" w:hAnsi="Times New Roman" w:cs="Times New Roman" w:eastAsia="Times New Roman" w:hint="default"/>
        </w:rPr>
        <w:t>”</w:t>
      </w:r>
      <w:r>
        <w:rPr/>
        <w:t>项目列示。少数股东分担的子公司的亏损超过了少数股东在该子公司期初所有者权益中所享有的份</w:t>
      </w:r>
      <w:r>
        <w:rPr>
          <w:spacing w:val="-17"/>
        </w:rPr>
        <w:t> </w:t>
      </w:r>
      <w:r>
        <w:rPr>
          <w:spacing w:val="-17"/>
        </w:rPr>
      </w:r>
      <w:r>
        <w:rPr/>
        <w:t>额，其余额仍冲减少数股东权益。</w:t>
      </w:r>
    </w:p>
    <w:p>
      <w:pPr>
        <w:pStyle w:val="Heading3"/>
        <w:spacing w:line="240" w:lineRule="auto" w:before="33"/>
        <w:ind w:right="986"/>
        <w:jc w:val="left"/>
      </w:pPr>
      <w:r>
        <w:rPr>
          <w:rFonts w:ascii="Times New Roman" w:hAnsi="Times New Roman" w:cs="Times New Roman" w:eastAsia="Times New Roman" w:hint="default"/>
          <w:sz w:val="21"/>
          <w:szCs w:val="21"/>
        </w:rPr>
        <w:t>3</w:t>
      </w:r>
      <w:r>
        <w:rPr>
          <w:sz w:val="21"/>
          <w:szCs w:val="21"/>
        </w:rPr>
        <w:t>）</w:t>
      </w:r>
      <w:r>
        <w:rPr/>
        <w:t>购买子公司少数股东股权</w:t>
      </w:r>
    </w:p>
    <w:p>
      <w:pPr>
        <w:spacing w:line="240" w:lineRule="auto" w:before="13"/>
        <w:rPr>
          <w:rFonts w:ascii="宋体" w:hAnsi="宋体" w:cs="宋体" w:eastAsia="宋体" w:hint="default"/>
          <w:sz w:val="21"/>
          <w:szCs w:val="21"/>
        </w:rPr>
      </w:pPr>
    </w:p>
    <w:p>
      <w:pPr>
        <w:pStyle w:val="BodyText"/>
        <w:spacing w:line="408" w:lineRule="auto" w:before="0"/>
        <w:ind w:right="1109" w:firstLine="420"/>
        <w:jc w:val="both"/>
      </w:pPr>
      <w:r>
        <w:rPr>
          <w:spacing w:val="2"/>
        </w:rPr>
        <w:t>因购买少数股权新取得的长期股权投资成本与按照新增持股比例计算应享有子公司自购买日或合并</w:t>
      </w:r>
      <w:r>
        <w:rPr>
          <w:w w:val="100"/>
        </w:rPr>
        <w:t> </w:t>
      </w:r>
      <w:r>
        <w:rPr>
          <w:spacing w:val="-2"/>
        </w:rPr>
        <w:t>日开始持续计算的净资产份额之间的差额，以及在不丧失控制权的情况下因部分处置对子公司的股权投资</w:t>
      </w:r>
      <w:r>
        <w:rPr>
          <w:spacing w:val="-42"/>
        </w:rPr>
        <w:t> </w:t>
      </w:r>
      <w:r>
        <w:rPr>
          <w:spacing w:val="-42"/>
        </w:rPr>
      </w:r>
      <w:r>
        <w:rPr>
          <w:spacing w:val="2"/>
        </w:rPr>
        <w:t>而取得的处置价款与处置长期股权投资相对应享有子公司自购买日或合并日开始持续计算的净资产份额</w:t>
      </w:r>
      <w:r>
        <w:rPr>
          <w:spacing w:val="-28"/>
        </w:rPr>
        <w:t> </w:t>
      </w:r>
      <w:r>
        <w:rPr>
          <w:spacing w:val="-28"/>
        </w:rPr>
      </w:r>
      <w:r>
        <w:rPr>
          <w:spacing w:val="-2"/>
        </w:rPr>
        <w:t>之间的差额，均调整合并资产负债表中的资本公积（股本溢价），资本公积不足冲减的，调整留存收益。</w:t>
      </w:r>
      <w:r>
        <w:rPr/>
      </w:r>
    </w:p>
    <w:p>
      <w:pPr>
        <w:pStyle w:val="Heading3"/>
        <w:spacing w:line="240" w:lineRule="auto" w:before="20"/>
        <w:ind w:right="986"/>
        <w:jc w:val="left"/>
      </w:pPr>
      <w:r>
        <w:rPr>
          <w:rFonts w:ascii="Times New Roman" w:hAnsi="Times New Roman" w:cs="Times New Roman" w:eastAsia="Times New Roman" w:hint="default"/>
          <w:sz w:val="21"/>
          <w:szCs w:val="21"/>
        </w:rPr>
        <w:t>4</w:t>
      </w:r>
      <w:r>
        <w:rPr>
          <w:sz w:val="21"/>
          <w:szCs w:val="21"/>
        </w:rPr>
        <w:t>）</w:t>
      </w:r>
      <w:r>
        <w:rPr/>
        <w:t>丧失子公司控制权的处理</w:t>
      </w:r>
    </w:p>
    <w:p>
      <w:pPr>
        <w:spacing w:line="240" w:lineRule="auto" w:before="13"/>
        <w:rPr>
          <w:rFonts w:ascii="宋体" w:hAnsi="宋体" w:cs="宋体" w:eastAsia="宋体" w:hint="default"/>
          <w:sz w:val="21"/>
          <w:szCs w:val="21"/>
        </w:rPr>
      </w:pPr>
    </w:p>
    <w:p>
      <w:pPr>
        <w:pStyle w:val="BodyText"/>
        <w:spacing w:line="408" w:lineRule="auto" w:before="0"/>
        <w:ind w:right="1128" w:firstLine="420"/>
        <w:jc w:val="both"/>
      </w:pPr>
      <w:r>
        <w:rPr>
          <w:spacing w:val="-2"/>
        </w:rPr>
        <w:t>因处置部分股权投资或其他原因丧失了对原有子公司控制权的，剩余股权按照其在丧失控制权日的公</w:t>
      </w:r>
      <w:r>
        <w:rPr>
          <w:w w:val="100"/>
        </w:rPr>
        <w:t> </w:t>
      </w:r>
      <w:r>
        <w:rPr>
          <w:spacing w:val="-2"/>
        </w:rPr>
        <w:t>允价值进行重新计量；处置股权取得的对价与剩余股权公允价值之和，减去按原持股比例计算应享有原有</w:t>
      </w:r>
      <w:r>
        <w:rPr>
          <w:spacing w:val="-42"/>
        </w:rPr>
        <w:t> </w:t>
      </w:r>
      <w:r>
        <w:rPr>
          <w:spacing w:val="-42"/>
        </w:rPr>
      </w:r>
      <w:r>
        <w:rPr>
          <w:spacing w:val="-2"/>
        </w:rPr>
        <w:t>子公司自购买日开始持续计算的净资产账面价值的份额与商誉之和，形成的差额计入丧失控制权当期的投</w:t>
      </w:r>
      <w:r>
        <w:rPr>
          <w:spacing w:val="-42"/>
        </w:rPr>
        <w:t> </w:t>
      </w:r>
      <w:r>
        <w:rPr>
          <w:spacing w:val="-42"/>
        </w:rPr>
      </w:r>
      <w:r>
        <w:rPr/>
        <w:t>资收益。</w:t>
      </w:r>
    </w:p>
    <w:p>
      <w:pPr>
        <w:pStyle w:val="BodyText"/>
        <w:spacing w:line="408" w:lineRule="auto" w:before="166"/>
        <w:ind w:right="1128" w:firstLine="420"/>
        <w:jc w:val="both"/>
      </w:pPr>
      <w:r>
        <w:rPr>
          <w:spacing w:val="-2"/>
        </w:rPr>
        <w:t>与原有子公司的股权投资相关的其他综合收益等，在丧失控制权时转入当期损益，由于被投资方重新</w:t>
      </w:r>
      <w:r>
        <w:rPr>
          <w:w w:val="100"/>
        </w:rPr>
        <w:t> </w:t>
      </w:r>
      <w:r>
        <w:rPr/>
        <w:t>计量设定收益计划净负债或净资产变动而产生的其他综合收益除外。</w:t>
      </w:r>
    </w:p>
    <w:p>
      <w:pPr>
        <w:spacing w:line="240" w:lineRule="auto" w:before="8"/>
        <w:rPr>
          <w:rFonts w:ascii="宋体" w:hAnsi="宋体" w:cs="宋体" w:eastAsia="宋体" w:hint="default"/>
          <w:sz w:val="20"/>
          <w:szCs w:val="20"/>
        </w:rPr>
      </w:pPr>
    </w:p>
    <w:p>
      <w:pPr>
        <w:pStyle w:val="Heading4"/>
        <w:spacing w:line="240" w:lineRule="auto"/>
        <w:ind w:right="986"/>
        <w:jc w:val="left"/>
        <w:rPr>
          <w:b w:val="0"/>
          <w:bCs w:val="0"/>
        </w:rPr>
      </w:pPr>
      <w:bookmarkStart w:name="7、合营安排分类及共同经营会计处理方法" w:id="178"/>
      <w:bookmarkEnd w:id="178"/>
      <w:r>
        <w:rPr>
          <w:b w:val="0"/>
          <w:bCs w:val="0"/>
        </w:rPr>
      </w:r>
      <w:r>
        <w:rPr>
          <w:rFonts w:ascii="Times New Roman" w:hAnsi="Times New Roman" w:cs="Times New Roman" w:eastAsia="Times New Roman" w:hint="default"/>
        </w:rPr>
        <w:t>7</w:t>
      </w:r>
      <w:r>
        <w:rPr/>
        <w:t>、合营安排分类及共同经营会计处理方法</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8、现金及现金等价物的确定标准" w:id="179"/>
      <w:bookmarkEnd w:id="179"/>
      <w:r>
        <w:rPr>
          <w:b w:val="0"/>
          <w:bCs w:val="0"/>
        </w:rPr>
      </w:r>
      <w:r>
        <w:rPr>
          <w:rFonts w:ascii="Times New Roman" w:hAnsi="Times New Roman" w:cs="Times New Roman" w:eastAsia="Times New Roman" w:hint="default"/>
        </w:rPr>
        <w:t>8</w:t>
      </w:r>
      <w:r>
        <w:rPr/>
        <w:t>、现金及现金等价物的确定标准</w:t>
      </w:r>
      <w:r>
        <w:rPr>
          <w:b w:val="0"/>
          <w:bCs w:val="0"/>
        </w:rPr>
      </w:r>
    </w:p>
    <w:p>
      <w:pPr>
        <w:spacing w:line="240" w:lineRule="auto" w:before="8"/>
        <w:rPr>
          <w:rFonts w:ascii="宋体" w:hAnsi="宋体" w:cs="宋体" w:eastAsia="宋体" w:hint="default"/>
          <w:b/>
          <w:bCs/>
          <w:sz w:val="30"/>
          <w:szCs w:val="30"/>
        </w:rPr>
      </w:pPr>
    </w:p>
    <w:p>
      <w:pPr>
        <w:pStyle w:val="BodyText"/>
        <w:spacing w:line="408" w:lineRule="auto" w:before="0"/>
        <w:ind w:right="986" w:firstLine="420"/>
        <w:jc w:val="left"/>
      </w:pPr>
      <w:r>
        <w:rPr>
          <w:spacing w:val="-5"/>
        </w:rPr>
        <w:t>现金是指库存现金以及可以随时用于支付的存款。现金等价物，是指本集团持有的期限短、流动性强、</w:t>
      </w:r>
      <w:r>
        <w:rPr>
          <w:w w:val="100"/>
        </w:rPr>
        <w:t> </w:t>
      </w:r>
      <w:r>
        <w:rPr/>
        <w:t>易于转换为已知金额现金、价值变动风险很小的投资。</w:t>
      </w:r>
    </w:p>
    <w:p>
      <w:pPr>
        <w:spacing w:line="240" w:lineRule="auto" w:before="8"/>
        <w:rPr>
          <w:rFonts w:ascii="宋体" w:hAnsi="宋体" w:cs="宋体" w:eastAsia="宋体" w:hint="default"/>
          <w:sz w:val="20"/>
          <w:szCs w:val="20"/>
        </w:rPr>
      </w:pPr>
    </w:p>
    <w:p>
      <w:pPr>
        <w:pStyle w:val="Heading4"/>
        <w:spacing w:line="240" w:lineRule="auto"/>
        <w:ind w:right="986"/>
        <w:jc w:val="left"/>
        <w:rPr>
          <w:b w:val="0"/>
          <w:bCs w:val="0"/>
        </w:rPr>
      </w:pPr>
      <w:bookmarkStart w:name="9、外币业务和外币报表折算" w:id="180"/>
      <w:bookmarkEnd w:id="180"/>
      <w:r>
        <w:rPr>
          <w:b w:val="0"/>
          <w:bCs w:val="0"/>
        </w:rPr>
      </w:r>
      <w:r>
        <w:rPr>
          <w:rFonts w:ascii="Times New Roman" w:hAnsi="Times New Roman" w:cs="Times New Roman" w:eastAsia="Times New Roman" w:hint="default"/>
        </w:rPr>
        <w:t>9</w:t>
      </w:r>
      <w:r>
        <w:rPr/>
        <w:t>、外币业务和外币报表折算</w:t>
      </w:r>
      <w:r>
        <w:rPr>
          <w:b w:val="0"/>
          <w:bCs w:val="0"/>
        </w:rPr>
      </w:r>
    </w:p>
    <w:p>
      <w:pPr>
        <w:spacing w:line="240" w:lineRule="auto" w:before="5"/>
        <w:rPr>
          <w:rFonts w:ascii="宋体" w:hAnsi="宋体" w:cs="宋体" w:eastAsia="宋体" w:hint="default"/>
          <w:b/>
          <w:bCs/>
          <w:sz w:val="30"/>
          <w:szCs w:val="30"/>
        </w:rPr>
      </w:pPr>
    </w:p>
    <w:p>
      <w:pPr>
        <w:pStyle w:val="BodyText"/>
        <w:spacing w:line="386" w:lineRule="auto" w:before="0"/>
        <w:ind w:left="572" w:right="2654"/>
        <w:jc w:val="left"/>
      </w:pPr>
      <w:r>
        <w:rPr>
          <w:rFonts w:ascii="Times New Roman" w:hAnsi="Times New Roman" w:cs="Times New Roman" w:eastAsia="Times New Roman" w:hint="default"/>
        </w:rPr>
        <w:t>1</w:t>
      </w:r>
      <w:r>
        <w:rPr/>
        <w:t>）外币业务</w:t>
      </w:r>
      <w:r>
        <w:rPr>
          <w:spacing w:val="-3"/>
          <w:w w:val="100"/>
        </w:rPr>
        <w:t> </w:t>
      </w:r>
      <w:r>
        <w:rPr>
          <w:spacing w:val="-2"/>
        </w:rPr>
        <w:t>本集团发生的外币交易，采用交易发生日的即期汇率折合为本位币记账。</w:t>
      </w:r>
    </w:p>
    <w:p>
      <w:pPr>
        <w:pStyle w:val="BodyText"/>
        <w:spacing w:line="408" w:lineRule="auto" w:before="65"/>
        <w:ind w:right="1128" w:firstLine="420"/>
        <w:jc w:val="both"/>
      </w:pPr>
      <w:r>
        <w:rPr>
          <w:spacing w:val="-2"/>
        </w:rPr>
        <w:t>资产负债表日，对外币货币性项目，采用资产负债表日即期汇率折算。因资产负债表日即期汇率与初</w:t>
      </w:r>
      <w:r>
        <w:rPr>
          <w:w w:val="100"/>
        </w:rPr>
        <w:t> </w:t>
      </w:r>
      <w:r>
        <w:rPr>
          <w:spacing w:val="-2"/>
        </w:rPr>
        <w:t>始确认时或者前一资产负债表日即期汇率不同而产生的汇兑差额，计入当期损益；对以历史成本计量的外</w:t>
      </w:r>
      <w:r>
        <w:rPr>
          <w:spacing w:val="-42"/>
        </w:rPr>
        <w:t> </w:t>
      </w:r>
      <w:r>
        <w:rPr>
          <w:spacing w:val="-42"/>
        </w:rPr>
      </w:r>
      <w:r>
        <w:rPr>
          <w:spacing w:val="-2"/>
        </w:rPr>
        <w:t>币非货币性项目，仍采用交易发生日的即期汇率折算；对以公允价值计量的外币非货币性项目，采用公允</w:t>
      </w:r>
      <w:r>
        <w:rPr>
          <w:spacing w:val="-43"/>
        </w:rPr>
        <w:t> </w:t>
      </w:r>
      <w:r>
        <w:rPr>
          <w:spacing w:val="-43"/>
        </w:rPr>
      </w:r>
      <w:r>
        <w:rPr/>
        <w:t>价值确定日的即期汇率折算，折算后的记账本位币金额与原记账本位币金额的差额，计入当期损益。</w:t>
      </w:r>
    </w:p>
    <w:p>
      <w:pPr>
        <w:pStyle w:val="BodyText"/>
        <w:spacing w:line="386" w:lineRule="auto"/>
        <w:ind w:left="572" w:right="986"/>
        <w:jc w:val="left"/>
      </w:pPr>
      <w:r>
        <w:rPr>
          <w:rFonts w:ascii="Times New Roman" w:hAnsi="Times New Roman" w:cs="Times New Roman" w:eastAsia="Times New Roman" w:hint="default"/>
        </w:rPr>
        <w:t>2</w:t>
      </w:r>
      <w:r>
        <w:rPr/>
        <w:t>）外币财务报表的折算</w:t>
      </w:r>
      <w:r>
        <w:rPr>
          <w:w w:val="100"/>
        </w:rPr>
        <w:t> </w:t>
      </w:r>
      <w:r>
        <w:rPr>
          <w:spacing w:val="-2"/>
        </w:rPr>
        <w:t>资产负债表日，对境外子公司外币财务报表进行折算时，资产负债表中的资产和负债项目，采用资产</w:t>
      </w:r>
      <w:r>
        <w:rPr/>
      </w:r>
    </w:p>
    <w:p>
      <w:pPr>
        <w:pStyle w:val="BodyText"/>
        <w:spacing w:line="398" w:lineRule="auto" w:before="65"/>
        <w:ind w:left="572" w:right="986" w:hanging="421"/>
        <w:jc w:val="left"/>
      </w:pPr>
      <w:r>
        <w:rPr/>
        <w:t>负债表日的即期汇率折算，股东权益项目除</w:t>
      </w:r>
      <w:r>
        <w:rPr>
          <w:rFonts w:ascii="Times New Roman" w:hAnsi="Times New Roman" w:cs="Times New Roman" w:eastAsia="Times New Roman" w:hint="default"/>
        </w:rPr>
        <w:t>“</w:t>
      </w:r>
      <w:r>
        <w:rPr/>
        <w:t>未分配利润</w:t>
      </w:r>
      <w:r>
        <w:rPr>
          <w:rFonts w:ascii="Times New Roman" w:hAnsi="Times New Roman" w:cs="Times New Roman" w:eastAsia="Times New Roman" w:hint="default"/>
        </w:rPr>
        <w:t>”</w:t>
      </w:r>
      <w:r>
        <w:rPr/>
        <w:t>外，其他项目采用发生日的即期汇率折算。</w:t>
      </w:r>
      <w:r>
        <w:rPr>
          <w:spacing w:val="-3"/>
          <w:w w:val="100"/>
        </w:rPr>
        <w:t> </w:t>
      </w:r>
      <w:r>
        <w:rPr/>
        <w:t>利润表中的收入和费用项目，采用交易发生日的即期汇率折算。</w:t>
      </w:r>
      <w:r>
        <w:rPr>
          <w:w w:val="100"/>
        </w:rPr>
        <w:t> </w:t>
      </w:r>
      <w:r>
        <w:rPr>
          <w:spacing w:val="2"/>
        </w:rPr>
        <w:t>现金流量表所有项目均按照现金流量发生日的即期汇率折算。汇率变动对现金的影响额作为调节项</w:t>
      </w:r>
    </w:p>
    <w:p>
      <w:pPr>
        <w:pStyle w:val="BodyText"/>
        <w:spacing w:line="386" w:lineRule="auto" w:before="54"/>
        <w:ind w:left="572" w:right="986" w:hanging="421"/>
        <w:jc w:val="left"/>
      </w:pPr>
      <w:r>
        <w:rPr/>
        <w:t>目，在现金流量表中单独列示</w:t>
      </w:r>
      <w:r>
        <w:rPr>
          <w:rFonts w:ascii="Times New Roman" w:hAnsi="Times New Roman" w:cs="Times New Roman" w:eastAsia="Times New Roman" w:hint="default"/>
        </w:rPr>
        <w:t>“</w:t>
      </w:r>
      <w:r>
        <w:rPr/>
        <w:t>汇率变动对现金及现金等价物的影响</w:t>
      </w:r>
      <w:r>
        <w:rPr>
          <w:rFonts w:ascii="Times New Roman" w:hAnsi="Times New Roman" w:cs="Times New Roman" w:eastAsia="Times New Roman" w:hint="default"/>
        </w:rPr>
        <w:t>”</w:t>
      </w:r>
      <w:r>
        <w:rPr>
          <w:rFonts w:ascii="Times New Roman" w:hAnsi="Times New Roman" w:cs="Times New Roman" w:eastAsia="Times New Roman" w:hint="default"/>
          <w:spacing w:val="30"/>
        </w:rPr>
        <w:t> </w:t>
      </w:r>
      <w:r>
        <w:rPr/>
        <w:t>项目反映。</w:t>
      </w:r>
      <w:r>
        <w:rPr>
          <w:w w:val="100"/>
        </w:rPr>
        <w:t> </w:t>
      </w:r>
      <w:r>
        <w:rPr/>
        <w:t>由于财务报表折算而产生的差额，在资产负债表股东权益项目下的</w:t>
      </w:r>
      <w:r>
        <w:rPr>
          <w:rFonts w:ascii="Times New Roman" w:hAnsi="Times New Roman" w:cs="Times New Roman" w:eastAsia="Times New Roman" w:hint="default"/>
        </w:rPr>
        <w:t>“</w:t>
      </w:r>
      <w:r>
        <w:rPr/>
        <w:t>其他综合收益</w:t>
      </w:r>
      <w:r>
        <w:rPr>
          <w:rFonts w:ascii="Times New Roman" w:hAnsi="Times New Roman" w:cs="Times New Roman" w:eastAsia="Times New Roman" w:hint="default"/>
        </w:rPr>
        <w:t>”</w:t>
      </w:r>
      <w:r>
        <w:rPr/>
        <w:t>项目反映。</w:t>
      </w:r>
      <w:r>
        <w:rPr>
          <w:spacing w:val="-3"/>
          <w:w w:val="100"/>
        </w:rPr>
        <w:t> </w:t>
      </w:r>
      <w:r>
        <w:rPr>
          <w:spacing w:val="-2"/>
        </w:rPr>
        <w:t>处置境外经营并丧失控制权时，将资产负债表中股东权益项目下列示的、与该境外经营相关的外币报</w:t>
      </w:r>
    </w:p>
    <w:p>
      <w:pPr>
        <w:pStyle w:val="BodyText"/>
        <w:spacing w:line="240" w:lineRule="auto" w:before="65"/>
        <w:ind w:right="986"/>
        <w:jc w:val="left"/>
      </w:pPr>
      <w:r>
        <w:rPr/>
        <w:t>表折算差额，全部或按处置该境外经营的比例转入处置当期损益。</w:t>
      </w:r>
    </w:p>
    <w:p>
      <w:pPr>
        <w:spacing w:line="240" w:lineRule="auto" w:before="0"/>
        <w:rPr>
          <w:rFonts w:ascii="宋体" w:hAnsi="宋体" w:cs="宋体" w:eastAsia="宋体" w:hint="default"/>
          <w:sz w:val="20"/>
          <w:szCs w:val="20"/>
        </w:rPr>
      </w:pPr>
    </w:p>
    <w:p>
      <w:pPr>
        <w:pStyle w:val="Heading4"/>
        <w:spacing w:line="240" w:lineRule="auto" w:before="154"/>
        <w:ind w:right="986"/>
        <w:jc w:val="left"/>
        <w:rPr>
          <w:b w:val="0"/>
          <w:bCs w:val="0"/>
        </w:rPr>
      </w:pPr>
      <w:bookmarkStart w:name="10、金融工具" w:id="181"/>
      <w:bookmarkEnd w:id="181"/>
      <w:r>
        <w:rPr>
          <w:b w:val="0"/>
          <w:bCs w:val="0"/>
        </w:rPr>
      </w:r>
      <w:r>
        <w:rPr>
          <w:rFonts w:ascii="Times New Roman" w:hAnsi="Times New Roman" w:cs="Times New Roman" w:eastAsia="Times New Roman" w:hint="default"/>
        </w:rPr>
        <w:t>10</w:t>
      </w:r>
      <w:r>
        <w:rPr/>
        <w:t>、金融工具</w:t>
      </w:r>
      <w:r>
        <w:rPr>
          <w:b w:val="0"/>
          <w:bCs w:val="0"/>
        </w:rPr>
      </w:r>
    </w:p>
    <w:p>
      <w:pPr>
        <w:spacing w:line="240" w:lineRule="auto" w:before="8"/>
        <w:rPr>
          <w:rFonts w:ascii="宋体" w:hAnsi="宋体" w:cs="宋体" w:eastAsia="宋体" w:hint="default"/>
          <w:b/>
          <w:bCs/>
          <w:sz w:val="30"/>
          <w:szCs w:val="30"/>
        </w:rPr>
      </w:pPr>
    </w:p>
    <w:p>
      <w:pPr>
        <w:pStyle w:val="BodyText"/>
        <w:spacing w:line="398" w:lineRule="auto" w:before="0"/>
        <w:ind w:left="572" w:right="986"/>
        <w:jc w:val="left"/>
      </w:pPr>
      <w:r>
        <w:rPr/>
        <w:t>金融工具是指形成一个企业的金融资产，并形成其他单位的金融负债或权益工具的合同。</w:t>
      </w:r>
      <w:r>
        <w:rPr>
          <w:w w:val="100"/>
        </w:rPr>
        <w:t> </w:t>
      </w:r>
      <w:r>
        <w:rPr>
          <w:rFonts w:ascii="Times New Roman" w:hAnsi="Times New Roman" w:cs="Times New Roman" w:eastAsia="Times New Roman" w:hint="default"/>
        </w:rPr>
        <w:t>1</w:t>
      </w:r>
      <w:r>
        <w:rPr/>
        <w:t>、金融工具的确认和终止确认</w:t>
      </w:r>
      <w:r>
        <w:rPr>
          <w:w w:val="100"/>
        </w:rPr>
        <w:t> </w:t>
      </w:r>
      <w:r>
        <w:rPr>
          <w:spacing w:val="-2"/>
        </w:rPr>
        <w:t>本集团于成为金融工具合同的一方时确认一项金融资产或金融负债。金融资产满足下列条件之一的，</w:t>
      </w:r>
      <w:r>
        <w:rPr/>
      </w:r>
    </w:p>
    <w:p>
      <w:pPr>
        <w:pStyle w:val="BodyText"/>
        <w:spacing w:line="240" w:lineRule="auto" w:before="54"/>
        <w:ind w:right="986"/>
        <w:jc w:val="left"/>
      </w:pPr>
      <w:r>
        <w:rPr/>
        <w:t>终止确认：</w:t>
      </w:r>
    </w:p>
    <w:p>
      <w:pPr>
        <w:spacing w:line="240" w:lineRule="auto" w:before="10"/>
        <w:rPr>
          <w:rFonts w:ascii="宋体" w:hAnsi="宋体" w:cs="宋体" w:eastAsia="宋体" w:hint="default"/>
          <w:sz w:val="14"/>
          <w:szCs w:val="14"/>
        </w:rPr>
      </w:pPr>
    </w:p>
    <w:p>
      <w:pPr>
        <w:pStyle w:val="BodyText"/>
        <w:spacing w:line="240" w:lineRule="auto" w:before="0"/>
        <w:ind w:left="572" w:right="986"/>
        <w:jc w:val="left"/>
      </w:pPr>
      <w:r>
        <w:rPr/>
        <w:t>①</w:t>
      </w:r>
      <w:r>
        <w:rPr>
          <w:spacing w:val="-21"/>
        </w:rPr>
        <w:t> </w:t>
      </w:r>
      <w:r>
        <w:rPr/>
        <w:t>收取该金融资产现金流量的合同权利终止；</w:t>
      </w:r>
    </w:p>
    <w:p>
      <w:pPr>
        <w:spacing w:line="240" w:lineRule="auto" w:before="10"/>
        <w:rPr>
          <w:rFonts w:ascii="宋体" w:hAnsi="宋体" w:cs="宋体" w:eastAsia="宋体" w:hint="default"/>
          <w:sz w:val="14"/>
          <w:szCs w:val="14"/>
        </w:rPr>
      </w:pPr>
    </w:p>
    <w:p>
      <w:pPr>
        <w:pStyle w:val="BodyText"/>
        <w:spacing w:line="240" w:lineRule="auto" w:before="0"/>
        <w:ind w:left="572" w:right="986"/>
        <w:jc w:val="left"/>
      </w:pPr>
      <w:r>
        <w:rPr/>
        <w:t>②</w:t>
      </w:r>
      <w:r>
        <w:rPr>
          <w:spacing w:val="-23"/>
        </w:rPr>
        <w:t> </w:t>
      </w:r>
      <w:r>
        <w:rPr/>
        <w:t>该金融资产已转移，且符合下述金融资产转移的终止确认条件。</w:t>
      </w:r>
    </w:p>
    <w:p>
      <w:pPr>
        <w:spacing w:line="240" w:lineRule="auto" w:before="10"/>
        <w:rPr>
          <w:rFonts w:ascii="宋体" w:hAnsi="宋体" w:cs="宋体" w:eastAsia="宋体" w:hint="default"/>
          <w:sz w:val="14"/>
          <w:szCs w:val="14"/>
        </w:rPr>
      </w:pPr>
    </w:p>
    <w:p>
      <w:pPr>
        <w:pStyle w:val="BodyText"/>
        <w:spacing w:line="240" w:lineRule="auto" w:before="0"/>
        <w:ind w:left="572" w:right="986"/>
        <w:jc w:val="left"/>
      </w:pPr>
      <w:r>
        <w:rPr>
          <w:rFonts w:ascii="Times New Roman" w:hAnsi="Times New Roman" w:cs="Times New Roman" w:eastAsia="Times New Roman" w:hint="default"/>
        </w:rPr>
        <w:t>2</w:t>
      </w:r>
      <w:r>
        <w:rPr/>
        <w:t>、金融资产分类和计量</w:t>
      </w:r>
    </w:p>
    <w:p>
      <w:pPr>
        <w:spacing w:after="0" w:line="240"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1128" w:firstLine="420"/>
        <w:jc w:val="both"/>
      </w:pPr>
      <w:r>
        <w:rPr>
          <w:spacing w:val="-2"/>
        </w:rPr>
        <w:t>本集团在初始确认时根据管理金融资产的业务模式和金融资产的合同现金流量特征，将金融资产分为</w:t>
      </w:r>
      <w:r>
        <w:rPr>
          <w:w w:val="100"/>
        </w:rPr>
        <w:t> </w:t>
      </w:r>
      <w:r>
        <w:rPr>
          <w:spacing w:val="-2"/>
        </w:rPr>
        <w:t>以下三类：以摊余成本计量的金融资产、以公允价值计量且其变动计入其他综合收益的金融资产、以公允</w:t>
      </w:r>
      <w:r>
        <w:rPr>
          <w:spacing w:val="-48"/>
        </w:rPr>
        <w:t> </w:t>
      </w:r>
      <w:r>
        <w:rPr>
          <w:spacing w:val="-48"/>
        </w:rPr>
      </w:r>
      <w:r>
        <w:rPr/>
        <w:t>价值计量且其变动计入当期损益的金融资产。</w:t>
      </w:r>
    </w:p>
    <w:p>
      <w:pPr>
        <w:pStyle w:val="BodyText"/>
        <w:spacing w:line="408" w:lineRule="auto"/>
        <w:ind w:left="572" w:right="986"/>
        <w:jc w:val="left"/>
      </w:pPr>
      <w:r>
        <w:rPr/>
        <w:t>第一类：以摊余成本计量的金融资产</w:t>
      </w:r>
      <w:r>
        <w:rPr>
          <w:w w:val="100"/>
        </w:rPr>
        <w:t> </w:t>
      </w:r>
      <w:r>
        <w:rPr>
          <w:spacing w:val="-2"/>
        </w:rPr>
        <w:t>本集团将同时符合下列条件且未被指定为以公允价值计量且其变动计入当期损益的金融资产，分类为</w:t>
      </w:r>
    </w:p>
    <w:p>
      <w:pPr>
        <w:pStyle w:val="BodyText"/>
        <w:spacing w:line="240" w:lineRule="auto"/>
        <w:ind w:right="986"/>
        <w:jc w:val="left"/>
      </w:pPr>
      <w:r>
        <w:rPr/>
        <w:t>以摊余成本计量的金融资产：</w:t>
      </w:r>
    </w:p>
    <w:p>
      <w:pPr>
        <w:spacing w:line="240" w:lineRule="auto" w:before="10"/>
        <w:rPr>
          <w:rFonts w:ascii="宋体" w:hAnsi="宋体" w:cs="宋体" w:eastAsia="宋体" w:hint="default"/>
          <w:sz w:val="14"/>
          <w:szCs w:val="14"/>
        </w:rPr>
      </w:pPr>
    </w:p>
    <w:p>
      <w:pPr>
        <w:pStyle w:val="BodyText"/>
        <w:spacing w:line="240" w:lineRule="auto" w:before="0"/>
        <w:ind w:left="572" w:right="986"/>
        <w:jc w:val="left"/>
      </w:pPr>
      <w:r>
        <w:rPr/>
        <w:t>①</w:t>
      </w:r>
      <w:r>
        <w:rPr>
          <w:spacing w:val="-24"/>
        </w:rPr>
        <w:t> </w:t>
      </w:r>
      <w:r>
        <w:rPr/>
        <w:t>本集团管理该金融资产的业务模式是以收取合同现金流量为目标；</w:t>
      </w:r>
    </w:p>
    <w:p>
      <w:pPr>
        <w:spacing w:line="240" w:lineRule="auto" w:before="10"/>
        <w:rPr>
          <w:rFonts w:ascii="宋体" w:hAnsi="宋体" w:cs="宋体" w:eastAsia="宋体" w:hint="default"/>
          <w:sz w:val="14"/>
          <w:szCs w:val="14"/>
        </w:rPr>
      </w:pPr>
    </w:p>
    <w:p>
      <w:pPr>
        <w:pStyle w:val="BodyText"/>
        <w:spacing w:line="408" w:lineRule="auto" w:before="0"/>
        <w:ind w:right="1130" w:firstLine="420"/>
        <w:jc w:val="both"/>
      </w:pPr>
      <w:r>
        <w:rPr/>
        <w:t>②</w:t>
      </w:r>
      <w:r>
        <w:rPr>
          <w:spacing w:val="64"/>
        </w:rPr>
        <w:t> </w:t>
      </w:r>
      <w:r>
        <w:rPr/>
        <w:t>该金融资产的合同条款规定，在特定日期产生的现金流量，仅为对本金和以未偿付本金金额为基</w:t>
      </w:r>
      <w:r>
        <w:rPr>
          <w:w w:val="100"/>
        </w:rPr>
        <w:t> </w:t>
      </w:r>
      <w:r>
        <w:rPr/>
        <w:t>础的利息的支付。</w:t>
      </w:r>
    </w:p>
    <w:p>
      <w:pPr>
        <w:pStyle w:val="BodyText"/>
        <w:spacing w:line="408" w:lineRule="auto"/>
        <w:ind w:right="1128" w:firstLine="420"/>
        <w:jc w:val="both"/>
      </w:pPr>
      <w:r>
        <w:rPr>
          <w:spacing w:val="-2"/>
        </w:rPr>
        <w:t>初始确认后，对于该类金融资产采用实际利率法以摊余成本计量。以摊余成本计量且不属于任何套期</w:t>
      </w:r>
      <w:r>
        <w:rPr>
          <w:w w:val="100"/>
        </w:rPr>
        <w:t> </w:t>
      </w:r>
      <w:r>
        <w:rPr>
          <w:spacing w:val="-2"/>
        </w:rPr>
        <w:t>关系的一部分的金融资产所产生的利得或损失，在终止确认、按照实际利率法摊销或确认减值时，计入当</w:t>
      </w:r>
      <w:r>
        <w:rPr>
          <w:spacing w:val="-48"/>
        </w:rPr>
        <w:t> </w:t>
      </w:r>
      <w:r>
        <w:rPr>
          <w:spacing w:val="-48"/>
        </w:rPr>
      </w:r>
      <w:r>
        <w:rPr/>
        <w:t>期损益。</w:t>
      </w:r>
    </w:p>
    <w:p>
      <w:pPr>
        <w:pStyle w:val="BodyText"/>
        <w:spacing w:line="408" w:lineRule="auto"/>
        <w:ind w:left="572" w:right="986"/>
        <w:jc w:val="left"/>
      </w:pPr>
      <w:r>
        <w:rPr/>
        <w:t>第二类：以公允价值计量且其变动计入其他综合收益的金融资产</w:t>
      </w:r>
      <w:r>
        <w:rPr>
          <w:w w:val="100"/>
        </w:rPr>
        <w:t> </w:t>
      </w:r>
      <w:r>
        <w:rPr>
          <w:spacing w:val="-2"/>
        </w:rPr>
        <w:t>本集团将同时符合下列条件的金融资产，分类为以公允价值计量且其变动计入其他综合收益的金融资</w:t>
      </w:r>
    </w:p>
    <w:p>
      <w:pPr>
        <w:pStyle w:val="BodyText"/>
        <w:spacing w:line="240" w:lineRule="auto"/>
        <w:ind w:right="986"/>
        <w:jc w:val="left"/>
      </w:pPr>
      <w:r>
        <w:rPr/>
        <w:t>产：</w:t>
      </w:r>
    </w:p>
    <w:p>
      <w:pPr>
        <w:spacing w:line="240" w:lineRule="auto" w:before="10"/>
        <w:rPr>
          <w:rFonts w:ascii="宋体" w:hAnsi="宋体" w:cs="宋体" w:eastAsia="宋体" w:hint="default"/>
          <w:sz w:val="14"/>
          <w:szCs w:val="14"/>
        </w:rPr>
      </w:pPr>
    </w:p>
    <w:p>
      <w:pPr>
        <w:pStyle w:val="BodyText"/>
        <w:spacing w:line="240" w:lineRule="auto" w:before="0"/>
        <w:ind w:left="572" w:right="986"/>
        <w:jc w:val="left"/>
      </w:pPr>
      <w:r>
        <w:rPr/>
        <w:t>①</w:t>
      </w:r>
      <w:r>
        <w:rPr>
          <w:spacing w:val="-25"/>
        </w:rPr>
        <w:t> </w:t>
      </w:r>
      <w:r>
        <w:rPr/>
        <w:t>本集团管理该金融资产的业务模式既以收取合同现金流量为目标又以出售该金融资产为目标；</w:t>
      </w:r>
    </w:p>
    <w:p>
      <w:pPr>
        <w:spacing w:line="240" w:lineRule="auto" w:before="10"/>
        <w:rPr>
          <w:rFonts w:ascii="宋体" w:hAnsi="宋体" w:cs="宋体" w:eastAsia="宋体" w:hint="default"/>
          <w:sz w:val="14"/>
          <w:szCs w:val="14"/>
        </w:rPr>
      </w:pPr>
    </w:p>
    <w:p>
      <w:pPr>
        <w:pStyle w:val="BodyText"/>
        <w:spacing w:line="408" w:lineRule="auto" w:before="0"/>
        <w:ind w:right="1130" w:firstLine="420"/>
        <w:jc w:val="both"/>
      </w:pPr>
      <w:r>
        <w:rPr/>
        <w:t>②</w:t>
      </w:r>
      <w:r>
        <w:rPr>
          <w:spacing w:val="64"/>
        </w:rPr>
        <w:t> </w:t>
      </w:r>
      <w:r>
        <w:rPr/>
        <w:t>该金融资产的合同条款规定，在特定日期产生的现金流量，仅为对本金和以未偿付本金金额为基</w:t>
      </w:r>
      <w:r>
        <w:rPr>
          <w:w w:val="100"/>
        </w:rPr>
        <w:t> </w:t>
      </w:r>
      <w:r>
        <w:rPr/>
        <w:t>础的利息的支付。</w:t>
      </w:r>
    </w:p>
    <w:p>
      <w:pPr>
        <w:pStyle w:val="BodyText"/>
        <w:spacing w:line="408" w:lineRule="auto"/>
        <w:ind w:right="1128" w:firstLine="420"/>
        <w:jc w:val="both"/>
      </w:pPr>
      <w:r>
        <w:rPr>
          <w:spacing w:val="-2"/>
        </w:rPr>
        <w:t>初始确认后，对于该类金融资产以公允价值进行后续计量。采用实际利率法计算的利息、减值损失或</w:t>
      </w:r>
      <w:r>
        <w:rPr>
          <w:w w:val="100"/>
        </w:rPr>
        <w:t> </w:t>
      </w:r>
      <w:r>
        <w:rPr>
          <w:spacing w:val="-2"/>
        </w:rPr>
        <w:t>利得及汇兑损益计入当期损益，其他利得或损失计入其他综合收益。终止确认时，将之前计入其他综合收</w:t>
      </w:r>
      <w:r>
        <w:rPr>
          <w:spacing w:val="-48"/>
        </w:rPr>
        <w:t> </w:t>
      </w:r>
      <w:r>
        <w:rPr>
          <w:spacing w:val="-48"/>
        </w:rPr>
      </w:r>
      <w:r>
        <w:rPr/>
        <w:t>益的累计利得或损失从其他综合收益中转出，计入当期损益。</w:t>
      </w:r>
    </w:p>
    <w:p>
      <w:pPr>
        <w:pStyle w:val="BodyText"/>
        <w:spacing w:line="408" w:lineRule="auto"/>
        <w:ind w:right="1128" w:firstLine="420"/>
        <w:jc w:val="both"/>
      </w:pPr>
      <w:r>
        <w:rPr>
          <w:spacing w:val="-2"/>
        </w:rPr>
        <w:t>本集团将非交易性权益工具投资指定为以公允价值计量且其变动计入其他综合收益的金融资产，当该</w:t>
      </w:r>
      <w:r>
        <w:rPr>
          <w:spacing w:val="-3"/>
          <w:w w:val="100"/>
        </w:rPr>
        <w:t> </w:t>
      </w:r>
      <w:r>
        <w:rPr>
          <w:spacing w:val="-2"/>
        </w:rPr>
        <w:t>金融资产终止确认时，之前计入其他综合收益的累计利得或损失应当从其他综合收益中转出，计入留存收</w:t>
      </w:r>
      <w:r>
        <w:rPr>
          <w:spacing w:val="-42"/>
        </w:rPr>
        <w:t> </w:t>
      </w:r>
      <w:r>
        <w:rPr>
          <w:spacing w:val="-42"/>
        </w:rPr>
      </w:r>
      <w:r>
        <w:rPr/>
        <w:t>益。</w:t>
      </w:r>
    </w:p>
    <w:p>
      <w:pPr>
        <w:pStyle w:val="BodyText"/>
        <w:spacing w:line="408" w:lineRule="auto"/>
        <w:ind w:left="572" w:right="986"/>
        <w:jc w:val="left"/>
      </w:pPr>
      <w:r>
        <w:rPr/>
        <w:t>第三类：以公允价值计量且其变动计入当期损益的金融资产</w:t>
      </w:r>
      <w:r>
        <w:rPr>
          <w:w w:val="100"/>
        </w:rPr>
        <w:t> </w:t>
      </w:r>
      <w:r>
        <w:rPr>
          <w:spacing w:val="-2"/>
        </w:rPr>
        <w:t>除上述以摊余成本计量和以公允价值计量且其变动计入其他综合收益的金融资产外，本集团将其余所</w:t>
      </w:r>
    </w:p>
    <w:p>
      <w:pPr>
        <w:pStyle w:val="BodyText"/>
        <w:spacing w:line="408" w:lineRule="auto"/>
        <w:ind w:left="572" w:right="986" w:hanging="421"/>
        <w:jc w:val="left"/>
      </w:pPr>
      <w:r>
        <w:rPr/>
        <w:t>有的金融资产分类为以公允价值计量且其变动计入当期损益的金融资产。</w:t>
      </w:r>
      <w:r>
        <w:rPr>
          <w:w w:val="100"/>
        </w:rPr>
        <w:t> </w:t>
      </w:r>
      <w:r>
        <w:rPr>
          <w:spacing w:val="-2"/>
        </w:rPr>
        <w:t>在初始确认时，为消除或显著减少会计错配，本集团会将部分应以摊余成本计量或以公允价值计量且</w:t>
      </w:r>
    </w:p>
    <w:p>
      <w:pPr>
        <w:pStyle w:val="BodyText"/>
        <w:spacing w:line="408" w:lineRule="auto"/>
        <w:ind w:right="986"/>
        <w:jc w:val="left"/>
      </w:pPr>
      <w:r>
        <w:rPr>
          <w:spacing w:val="2"/>
        </w:rPr>
        <w:t>其变动计入其他综合收益的金融资产不可撤销地指定为以公允价值计量且其变动计入当期损益的金融资</w:t>
      </w:r>
      <w:r>
        <w:rPr>
          <w:spacing w:val="-28"/>
        </w:rPr>
        <w:t> </w:t>
      </w:r>
      <w:r>
        <w:rPr>
          <w:spacing w:val="-28"/>
        </w:rPr>
      </w:r>
      <w:r>
        <w:rPr/>
        <w:t>产。</w:t>
      </w:r>
    </w:p>
    <w:p>
      <w:pPr>
        <w:spacing w:after="0" w:line="408"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386" w:lineRule="auto" w:before="175"/>
        <w:ind w:left="572" w:right="986"/>
        <w:jc w:val="left"/>
      </w:pPr>
      <w:r>
        <w:rPr>
          <w:rFonts w:ascii="Times New Roman" w:hAnsi="Times New Roman" w:cs="Times New Roman" w:eastAsia="Times New Roman" w:hint="default"/>
        </w:rPr>
        <w:t>3</w:t>
      </w:r>
      <w:r>
        <w:rPr/>
        <w:t>、金融负债分类和计量</w:t>
      </w:r>
      <w:r>
        <w:rPr>
          <w:w w:val="100"/>
        </w:rPr>
        <w:t> </w:t>
      </w:r>
      <w:r>
        <w:rPr>
          <w:spacing w:val="-2"/>
        </w:rPr>
        <w:t>本集团的金融负债于初始确认时分类为：以公允价值计量且其变动计入当期损益的金融负债、以摊余</w:t>
      </w:r>
    </w:p>
    <w:p>
      <w:pPr>
        <w:pStyle w:val="BodyText"/>
        <w:spacing w:line="408" w:lineRule="auto" w:before="65"/>
        <w:ind w:right="1128"/>
        <w:jc w:val="both"/>
      </w:pPr>
      <w:r>
        <w:rPr>
          <w:spacing w:val="-2"/>
        </w:rPr>
        <w:t>成本计量的金融负债。对于未划分为以公允价值计量且其变动计入当期损益的金融负债的，相关交易费用</w:t>
      </w:r>
      <w:r>
        <w:rPr>
          <w:spacing w:val="-42"/>
        </w:rPr>
        <w:t> </w:t>
      </w:r>
      <w:r>
        <w:rPr>
          <w:spacing w:val="-42"/>
        </w:rPr>
      </w:r>
      <w:r>
        <w:rPr/>
        <w:t>计入其初始确认金额。</w:t>
      </w:r>
    </w:p>
    <w:p>
      <w:pPr>
        <w:pStyle w:val="BodyText"/>
        <w:spacing w:line="386" w:lineRule="auto"/>
        <w:ind w:left="572" w:right="986"/>
        <w:jc w:val="left"/>
      </w:pPr>
      <w:r>
        <w:rPr/>
        <w:t>（</w:t>
      </w:r>
      <w:r>
        <w:rPr>
          <w:rFonts w:ascii="Times New Roman" w:hAnsi="Times New Roman" w:cs="Times New Roman" w:eastAsia="Times New Roman" w:hint="default"/>
        </w:rPr>
        <w:t>1</w:t>
      </w:r>
      <w:r>
        <w:rPr/>
        <w:t>）以公允价值计量且其变动计入当期损益的金融负债。</w:t>
      </w:r>
      <w:r>
        <w:rPr>
          <w:w w:val="100"/>
        </w:rPr>
        <w:t> </w:t>
      </w:r>
      <w:r>
        <w:rPr>
          <w:spacing w:val="-2"/>
        </w:rPr>
        <w:t>以公允价值计量且其变动计入当期损益的金融负债，包括交易性金融负债和初始确认时指定为以公允</w:t>
      </w:r>
    </w:p>
    <w:p>
      <w:pPr>
        <w:pStyle w:val="BodyText"/>
        <w:spacing w:line="408" w:lineRule="auto" w:before="65"/>
        <w:ind w:right="1128"/>
        <w:jc w:val="both"/>
      </w:pPr>
      <w:r>
        <w:rPr>
          <w:spacing w:val="-2"/>
        </w:rPr>
        <w:t>价值计量且其变动计入当期损益的金融负债。对于此类金融负债，按照公允价值进行后续计量，公允价值</w:t>
      </w:r>
      <w:r>
        <w:rPr>
          <w:spacing w:val="-43"/>
        </w:rPr>
        <w:t> </w:t>
      </w:r>
      <w:r>
        <w:rPr>
          <w:spacing w:val="-43"/>
        </w:rPr>
      </w:r>
      <w:r>
        <w:rPr/>
        <w:t>变动形成的利得或损失以及与该等金融负债相关的股利和利息支出计入当期损益。</w:t>
      </w:r>
    </w:p>
    <w:p>
      <w:pPr>
        <w:pStyle w:val="BodyText"/>
        <w:spacing w:line="386" w:lineRule="auto"/>
        <w:ind w:left="572" w:right="986"/>
        <w:jc w:val="left"/>
      </w:pPr>
      <w:r>
        <w:rPr/>
        <w:t>（</w:t>
      </w:r>
      <w:r>
        <w:rPr>
          <w:rFonts w:ascii="Times New Roman" w:hAnsi="Times New Roman" w:cs="Times New Roman" w:eastAsia="Times New Roman" w:hint="default"/>
        </w:rPr>
        <w:t>2</w:t>
      </w:r>
      <w:r>
        <w:rPr/>
        <w:t>）以摊余成本计量的金融负债</w:t>
      </w:r>
      <w:r>
        <w:rPr>
          <w:w w:val="100"/>
        </w:rPr>
        <w:t> </w:t>
      </w:r>
      <w:r>
        <w:rPr>
          <w:spacing w:val="-2"/>
        </w:rPr>
        <w:t>其他金融负债采用实际利率法，按摊余成本进行后续计量，终止确认或摊销产生的利得或损失计入当</w:t>
      </w:r>
    </w:p>
    <w:p>
      <w:pPr>
        <w:pStyle w:val="BodyText"/>
        <w:spacing w:line="240" w:lineRule="auto" w:before="65"/>
        <w:ind w:right="0"/>
        <w:jc w:val="both"/>
      </w:pPr>
      <w:r>
        <w:rPr/>
        <w:t>期损益。</w:t>
      </w:r>
    </w:p>
    <w:p>
      <w:pPr>
        <w:spacing w:line="240" w:lineRule="auto" w:before="10"/>
        <w:rPr>
          <w:rFonts w:ascii="宋体" w:hAnsi="宋体" w:cs="宋体" w:eastAsia="宋体" w:hint="default"/>
          <w:sz w:val="14"/>
          <w:szCs w:val="14"/>
        </w:rPr>
      </w:pPr>
    </w:p>
    <w:p>
      <w:pPr>
        <w:pStyle w:val="BodyText"/>
        <w:spacing w:line="408" w:lineRule="auto" w:before="0"/>
        <w:ind w:left="572" w:right="4273"/>
        <w:jc w:val="left"/>
      </w:pPr>
      <w:r>
        <w:rPr/>
        <w:t>金融负债与权益工具的区分</w:t>
      </w:r>
      <w:r>
        <w:rPr>
          <w:w w:val="100"/>
        </w:rPr>
        <w:t> </w:t>
      </w:r>
      <w:r>
        <w:rPr>
          <w:spacing w:val="-2"/>
        </w:rPr>
        <w:t>金融负债，是指符合下列条件之一的负债：</w:t>
      </w:r>
    </w:p>
    <w:p>
      <w:pPr>
        <w:pStyle w:val="BodyText"/>
        <w:spacing w:line="240" w:lineRule="auto"/>
        <w:ind w:left="572" w:right="986"/>
        <w:jc w:val="left"/>
      </w:pPr>
      <w:r>
        <w:rPr/>
        <w:t>①向其他方交付现金或其他金融资产的合同义务。</w:t>
      </w:r>
    </w:p>
    <w:p>
      <w:pPr>
        <w:spacing w:line="240" w:lineRule="auto" w:before="10"/>
        <w:rPr>
          <w:rFonts w:ascii="宋体" w:hAnsi="宋体" w:cs="宋体" w:eastAsia="宋体" w:hint="default"/>
          <w:sz w:val="14"/>
          <w:szCs w:val="14"/>
        </w:rPr>
      </w:pPr>
    </w:p>
    <w:p>
      <w:pPr>
        <w:pStyle w:val="BodyText"/>
        <w:spacing w:line="240" w:lineRule="auto" w:before="0"/>
        <w:ind w:left="572" w:right="986"/>
        <w:jc w:val="left"/>
      </w:pPr>
      <w:r>
        <w:rPr/>
        <w:t>②在潜在不利条件下，与其他方交换金融资产或金融负债的合同义务。</w:t>
      </w:r>
    </w:p>
    <w:p>
      <w:pPr>
        <w:spacing w:line="240" w:lineRule="auto" w:before="10"/>
        <w:rPr>
          <w:rFonts w:ascii="宋体" w:hAnsi="宋体" w:cs="宋体" w:eastAsia="宋体" w:hint="default"/>
          <w:sz w:val="14"/>
          <w:szCs w:val="14"/>
        </w:rPr>
      </w:pPr>
    </w:p>
    <w:p>
      <w:pPr>
        <w:pStyle w:val="BodyText"/>
        <w:spacing w:line="408" w:lineRule="auto" w:before="0"/>
        <w:ind w:right="986" w:firstLine="420"/>
        <w:jc w:val="left"/>
      </w:pPr>
      <w:r>
        <w:rPr>
          <w:spacing w:val="-2"/>
        </w:rPr>
        <w:t>③将来须用或可用企业自身权益工具进行结算的非衍生工具合同，且企业根据该合同将交付可变数量</w:t>
      </w:r>
      <w:r>
        <w:rPr>
          <w:w w:val="100"/>
        </w:rPr>
        <w:t> </w:t>
      </w:r>
      <w:r>
        <w:rPr/>
        <w:t>的自身权益工具。</w:t>
      </w:r>
    </w:p>
    <w:p>
      <w:pPr>
        <w:pStyle w:val="BodyText"/>
        <w:spacing w:line="408" w:lineRule="auto"/>
        <w:ind w:right="986" w:firstLine="420"/>
        <w:jc w:val="left"/>
      </w:pPr>
      <w:r>
        <w:rPr>
          <w:spacing w:val="-2"/>
        </w:rPr>
        <w:t>④将来须用或可用企业自身权益工具进行结算的衍生工具合同，但以固定数量的自身权益工具交换固</w:t>
      </w:r>
      <w:r>
        <w:rPr>
          <w:w w:val="100"/>
        </w:rPr>
        <w:t> </w:t>
      </w:r>
      <w:r>
        <w:rPr/>
        <w:t>定金额的现金或其他金融资产的衍生工具合同除外。</w:t>
      </w:r>
    </w:p>
    <w:p>
      <w:pPr>
        <w:pStyle w:val="BodyText"/>
        <w:spacing w:line="408" w:lineRule="auto"/>
        <w:ind w:left="572" w:right="986"/>
        <w:jc w:val="left"/>
      </w:pPr>
      <w:r>
        <w:rPr/>
        <w:t>权益工具，是指能证明拥有某个企业在扣除所有负债后的资产中剩余权益的合同。</w:t>
      </w:r>
      <w:r>
        <w:rPr>
          <w:w w:val="100"/>
        </w:rPr>
        <w:t> </w:t>
      </w:r>
      <w:r>
        <w:rPr>
          <w:spacing w:val="-2"/>
        </w:rPr>
        <w:t>如果本集团不能无条件地避免以交付现金或其他金融资产来履行一项合同义务，则该合同义务符合金</w:t>
      </w:r>
    </w:p>
    <w:p>
      <w:pPr>
        <w:pStyle w:val="BodyText"/>
        <w:spacing w:line="408" w:lineRule="auto"/>
        <w:ind w:left="572" w:right="986" w:hanging="421"/>
        <w:jc w:val="left"/>
      </w:pPr>
      <w:r>
        <w:rPr/>
        <w:t>融负债的定义。</w:t>
      </w:r>
      <w:r>
        <w:rPr>
          <w:spacing w:val="-103"/>
        </w:rPr>
        <w:t> </w:t>
      </w:r>
      <w:r>
        <w:rPr>
          <w:spacing w:val="-103"/>
        </w:rPr>
      </w:r>
      <w:r>
        <w:rPr>
          <w:spacing w:val="-2"/>
        </w:rPr>
        <w:t>如果一项金融工具须用或可用本集团自身权益工具进行结算，需要考虑用于结算该工具的本集团自身</w:t>
      </w:r>
    </w:p>
    <w:p>
      <w:pPr>
        <w:pStyle w:val="BodyText"/>
        <w:spacing w:line="408" w:lineRule="auto"/>
        <w:ind w:right="1129"/>
        <w:jc w:val="both"/>
      </w:pPr>
      <w:r>
        <w:rPr>
          <w:spacing w:val="-2"/>
        </w:rPr>
        <w:t>权益工具，是作为现金或其他金融资产的替代品，还是为了使该工具持有方享有在发行方扣除所有负债后</w:t>
      </w:r>
      <w:r>
        <w:rPr>
          <w:spacing w:val="-42"/>
        </w:rPr>
        <w:t> </w:t>
      </w:r>
      <w:r>
        <w:rPr>
          <w:spacing w:val="-42"/>
        </w:rPr>
      </w:r>
      <w:r>
        <w:rPr>
          <w:spacing w:val="-2"/>
        </w:rPr>
        <w:t>的资产中的剩余权益。如果是前者，该工具是本集团的金融负债；如果是后者，该工具是本集团的权益工</w:t>
      </w:r>
      <w:r>
        <w:rPr>
          <w:spacing w:val="-50"/>
        </w:rPr>
        <w:t> </w:t>
      </w:r>
      <w:r>
        <w:rPr>
          <w:spacing w:val="-50"/>
        </w:rPr>
      </w:r>
      <w:r>
        <w:rPr/>
        <w:t>具。</w:t>
      </w:r>
    </w:p>
    <w:p>
      <w:pPr>
        <w:pStyle w:val="BodyText"/>
        <w:spacing w:line="386" w:lineRule="auto"/>
        <w:ind w:left="572" w:right="3561"/>
        <w:jc w:val="left"/>
      </w:pPr>
      <w:r>
        <w:rPr>
          <w:rFonts w:ascii="Times New Roman" w:hAnsi="Times New Roman" w:cs="Times New Roman" w:eastAsia="Times New Roman" w:hint="default"/>
        </w:rPr>
        <w:t>4</w:t>
      </w:r>
      <w:r>
        <w:rPr/>
        <w:t>、金融工具的公允价值</w:t>
      </w:r>
      <w:r>
        <w:rPr>
          <w:w w:val="100"/>
        </w:rPr>
        <w:t> </w:t>
      </w:r>
      <w:r>
        <w:rPr>
          <w:spacing w:val="-2"/>
        </w:rPr>
        <w:t>金融资产和金融负债的公允价值确定方法见附注五、</w:t>
      </w:r>
      <w:r>
        <w:rPr>
          <w:rFonts w:ascii="Times New Roman" w:hAnsi="Times New Roman" w:cs="Times New Roman" w:eastAsia="Times New Roman" w:hint="default"/>
          <w:spacing w:val="-2"/>
        </w:rPr>
        <w:t>43</w:t>
      </w:r>
      <w:r>
        <w:rPr>
          <w:spacing w:val="-2"/>
        </w:rPr>
        <w:t>之（</w:t>
      </w:r>
      <w:r>
        <w:rPr>
          <w:rFonts w:ascii="Times New Roman" w:hAnsi="Times New Roman" w:cs="Times New Roman" w:eastAsia="Times New Roman" w:hint="default"/>
          <w:spacing w:val="-2"/>
        </w:rPr>
        <w:t>3</w:t>
      </w:r>
      <w:r>
        <w:rPr>
          <w:spacing w:val="-2"/>
        </w:rPr>
        <w:t>）。</w:t>
      </w:r>
      <w:r>
        <w:rPr>
          <w:spacing w:val="-47"/>
        </w:rPr>
        <w:t> </w:t>
      </w:r>
      <w:r>
        <w:rPr>
          <w:rFonts w:ascii="Times New Roman" w:hAnsi="Times New Roman" w:cs="Times New Roman" w:eastAsia="Times New Roman" w:hint="default"/>
        </w:rPr>
        <w:t>5</w:t>
      </w:r>
      <w:r>
        <w:rPr/>
        <w:t>、金融资产减值</w:t>
      </w:r>
    </w:p>
    <w:p>
      <w:pPr>
        <w:pStyle w:val="BodyText"/>
        <w:spacing w:line="240" w:lineRule="auto" w:before="35"/>
        <w:ind w:left="572" w:right="986"/>
        <w:jc w:val="left"/>
      </w:pPr>
      <w:r>
        <w:rPr>
          <w:spacing w:val="2"/>
        </w:rPr>
        <w:t>本集团对于以摊余成本计量的金融资产、以公允价值计量且其变动计入其他综合收益的债务工具投</w:t>
      </w:r>
    </w:p>
    <w:p>
      <w:pPr>
        <w:spacing w:after="0" w:line="240"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left="572" w:right="986" w:hanging="421"/>
        <w:jc w:val="left"/>
      </w:pPr>
      <w:r>
        <w:rPr/>
        <w:t>资、合同资产和财务担保合同等，以预期信用损失为基础确认损失准备。</w:t>
      </w:r>
      <w:r>
        <w:rPr>
          <w:w w:val="100"/>
        </w:rPr>
        <w:t> </w:t>
      </w:r>
      <w:r>
        <w:rPr>
          <w:spacing w:val="-2"/>
        </w:rPr>
        <w:t>本公司考虑有关过去事项、当前状况以及对未来经济状况的预测等合理且有依据的信息，计算并确认</w:t>
      </w:r>
    </w:p>
    <w:p>
      <w:pPr>
        <w:pStyle w:val="BodyText"/>
        <w:spacing w:line="408" w:lineRule="auto"/>
        <w:ind w:left="572" w:right="986" w:hanging="421"/>
        <w:jc w:val="left"/>
      </w:pPr>
      <w:r>
        <w:rPr/>
        <w:t>预期信用损失。</w:t>
      </w:r>
      <w:r>
        <w:rPr>
          <w:spacing w:val="-103"/>
        </w:rPr>
        <w:t> </w:t>
      </w:r>
      <w:r>
        <w:rPr>
          <w:spacing w:val="-103"/>
        </w:rPr>
      </w:r>
      <w:r>
        <w:rPr>
          <w:spacing w:val="-2"/>
        </w:rPr>
        <w:t>于每个资产负债表日，本公司对于处于不同阶段的金融工具的预期信用损失分别进行计量。金融工具</w:t>
      </w:r>
    </w:p>
    <w:p>
      <w:pPr>
        <w:pStyle w:val="BodyText"/>
        <w:spacing w:line="400" w:lineRule="auto"/>
        <w:ind w:right="1128"/>
        <w:jc w:val="both"/>
      </w:pPr>
      <w:r>
        <w:rPr/>
        <w:t>自初始确认后信用风险未显著增加的，处于第一阶段，本公司按照未来</w:t>
      </w:r>
      <w:r>
        <w:rPr>
          <w:rFonts w:ascii="Times New Roman" w:hAnsi="Times New Roman" w:cs="Times New Roman" w:eastAsia="Times New Roman" w:hint="default"/>
        </w:rPr>
        <w:t>12 </w:t>
      </w:r>
      <w:r>
        <w:rPr/>
        <w:t>个月内的预期信用损失计量损</w:t>
      </w:r>
      <w:r>
        <w:rPr>
          <w:spacing w:val="-85"/>
        </w:rPr>
        <w:t> </w:t>
      </w:r>
      <w:r>
        <w:rPr>
          <w:spacing w:val="-85"/>
        </w:rPr>
      </w:r>
      <w:r>
        <w:rPr>
          <w:spacing w:val="-2"/>
        </w:rPr>
        <w:t>失准备；金融工具自初始确认后信用风险已显著增加但尚未发生信用减值的，处于第二阶段，本公司按照</w:t>
      </w:r>
      <w:r>
        <w:rPr>
          <w:spacing w:val="-43"/>
        </w:rPr>
        <w:t> </w:t>
      </w:r>
      <w:r>
        <w:rPr>
          <w:spacing w:val="-43"/>
        </w:rPr>
      </w:r>
      <w:r>
        <w:rPr>
          <w:spacing w:val="-2"/>
        </w:rPr>
        <w:t>该工具整个存续期的预期信用损失计量损失准备；金融工具自初始确认后已经发生信用减值的，处于第三</w:t>
      </w:r>
      <w:r>
        <w:rPr>
          <w:spacing w:val="-42"/>
        </w:rPr>
        <w:t> </w:t>
      </w:r>
      <w:r>
        <w:rPr>
          <w:spacing w:val="-42"/>
        </w:rPr>
      </w:r>
      <w:r>
        <w:rPr/>
        <w:t>阶段，本公司按照该工具整个存续期的预期信用损失计量损失准备。</w:t>
      </w:r>
    </w:p>
    <w:p>
      <w:pPr>
        <w:pStyle w:val="BodyText"/>
        <w:spacing w:line="408" w:lineRule="auto" w:before="52"/>
        <w:ind w:right="1128" w:firstLine="420"/>
        <w:jc w:val="both"/>
      </w:pPr>
      <w:r>
        <w:rPr>
          <w:spacing w:val="-2"/>
        </w:rPr>
        <w:t>对于在资产负债表日具有较低信用风险的金融工具，本公司假设其信用风险自初始确认后并未显著增</w:t>
      </w:r>
      <w:r>
        <w:rPr>
          <w:w w:val="100"/>
        </w:rPr>
        <w:t> </w:t>
      </w:r>
      <w:r>
        <w:rPr/>
        <w:t>加，按照未来</w:t>
      </w:r>
      <w:r>
        <w:rPr>
          <w:rFonts w:ascii="Times New Roman" w:hAnsi="Times New Roman" w:cs="Times New Roman" w:eastAsia="Times New Roman" w:hint="default"/>
        </w:rPr>
        <w:t>12</w:t>
      </w:r>
      <w:r>
        <w:rPr/>
        <w:t>个月内的预期信用损失计量损失准备。</w:t>
      </w:r>
    </w:p>
    <w:p>
      <w:pPr>
        <w:pStyle w:val="BodyText"/>
        <w:spacing w:line="244" w:lineRule="exact" w:before="0"/>
        <w:ind w:left="572" w:right="986"/>
        <w:jc w:val="left"/>
      </w:pPr>
      <w:r>
        <w:rPr>
          <w:rFonts w:ascii="Arial" w:hAnsi="Arial" w:cs="Arial" w:eastAsia="Arial" w:hint="default"/>
        </w:rPr>
        <w:t>6</w:t>
      </w:r>
      <w:r>
        <w:rPr/>
        <w:t>、金融资产转移</w:t>
      </w:r>
    </w:p>
    <w:p>
      <w:pPr>
        <w:pStyle w:val="BodyText"/>
        <w:spacing w:line="391" w:lineRule="auto" w:before="159"/>
        <w:ind w:left="572" w:right="986"/>
        <w:jc w:val="left"/>
      </w:pPr>
      <w:r>
        <w:rPr>
          <w:spacing w:val="-4"/>
          <w:w w:val="100"/>
        </w:rPr>
        <w:t>金融资产转移，是指将金融资产让与或交付给该金融资产发行方以外的另一方（转入方）。</w:t>
      </w:r>
      <w:r>
        <w:rPr>
          <w:spacing w:val="-103"/>
          <w:w w:val="100"/>
        </w:rPr>
        <w:t> </w:t>
      </w:r>
      <w:r>
        <w:rPr>
          <w:spacing w:val="-103"/>
          <w:w w:val="100"/>
        </w:rPr>
      </w:r>
      <w:r>
        <w:rPr>
          <w:spacing w:val="-2"/>
        </w:rPr>
        <w:t>本集团已将金融资产所有权上几乎所有的风险和报酬转移给转入方的，终止确认该金融资产；保留了</w:t>
      </w:r>
    </w:p>
    <w:p>
      <w:pPr>
        <w:pStyle w:val="BodyText"/>
        <w:spacing w:line="391" w:lineRule="auto" w:before="1"/>
        <w:ind w:left="572" w:right="986" w:hanging="421"/>
        <w:jc w:val="left"/>
      </w:pPr>
      <w:r>
        <w:rPr/>
        <w:t>金融资产所有权上几乎所有的风险和报酬的，不终止确认该金融资产。</w:t>
      </w:r>
      <w:r>
        <w:rPr>
          <w:w w:val="100"/>
        </w:rPr>
        <w:t> </w:t>
      </w:r>
      <w:r>
        <w:rPr>
          <w:spacing w:val="-2"/>
        </w:rPr>
        <w:t>本集团既没有转移也没有保留金融资产所有权上几乎所有的风险和报酬的，分别下列情况处理：放弃</w:t>
      </w:r>
    </w:p>
    <w:p>
      <w:pPr>
        <w:pStyle w:val="BodyText"/>
        <w:spacing w:line="355" w:lineRule="auto" w:before="3"/>
        <w:ind w:right="986"/>
        <w:jc w:val="left"/>
      </w:pPr>
      <w:r>
        <w:rPr>
          <w:spacing w:val="-2"/>
        </w:rPr>
        <w:t>了对该金融资产控制的，终止确认该金融资产并确认产生的资产和负债；未放弃对该金融资产控制的，按</w:t>
      </w:r>
      <w:r>
        <w:rPr>
          <w:spacing w:val="-43"/>
        </w:rPr>
        <w:t> </w:t>
      </w:r>
      <w:r>
        <w:rPr>
          <w:spacing w:val="-43"/>
        </w:rPr>
      </w:r>
      <w:r>
        <w:rPr/>
        <w:t>照其继续涉入所转移金融资产的程度确认有关金融资产，并相应确认有关负债。</w:t>
      </w:r>
    </w:p>
    <w:p>
      <w:pPr>
        <w:pStyle w:val="BodyText"/>
        <w:spacing w:line="456" w:lineRule="auto" w:before="73"/>
        <w:ind w:left="572" w:right="986"/>
        <w:jc w:val="left"/>
      </w:pPr>
      <w:r>
        <w:rPr>
          <w:rFonts w:ascii="Arial" w:hAnsi="Arial" w:cs="Arial" w:eastAsia="Arial" w:hint="default"/>
        </w:rPr>
        <w:t>7</w:t>
      </w:r>
      <w:r>
        <w:rPr/>
        <w:t>、金融资产和金融负债的抵销</w:t>
      </w:r>
      <w:r>
        <w:rPr>
          <w:w w:val="100"/>
        </w:rPr>
        <w:t> </w:t>
      </w:r>
      <w:r>
        <w:rPr>
          <w:spacing w:val="-2"/>
        </w:rPr>
        <w:t>当本集团具有抵销已确认金融资产和金融负债的法定权利，且目前可执行该种法定权利，同时本集团</w:t>
      </w:r>
    </w:p>
    <w:p>
      <w:pPr>
        <w:pStyle w:val="BodyText"/>
        <w:spacing w:line="408" w:lineRule="auto" w:before="4"/>
        <w:ind w:right="986"/>
        <w:jc w:val="left"/>
      </w:pPr>
      <w:r>
        <w:rPr>
          <w:spacing w:val="-2"/>
        </w:rPr>
        <w:t>计划以净额结算或同时变现该金融资产和清偿该金融负债时，金融资产和金融负债以相互抵销后的金额在</w:t>
      </w:r>
      <w:r>
        <w:rPr>
          <w:spacing w:val="-43"/>
        </w:rPr>
        <w:t> </w:t>
      </w:r>
      <w:r>
        <w:rPr>
          <w:spacing w:val="-43"/>
        </w:rPr>
      </w:r>
      <w:r>
        <w:rPr/>
        <w:t>资产负债表内列示。除此以外，金融资产和金融负债在资产负债表内分别列示，不予相互抵销。</w:t>
      </w:r>
    </w:p>
    <w:p>
      <w:pPr>
        <w:spacing w:line="240" w:lineRule="auto" w:before="8"/>
        <w:rPr>
          <w:rFonts w:ascii="宋体" w:hAnsi="宋体" w:cs="宋体" w:eastAsia="宋体" w:hint="default"/>
          <w:sz w:val="20"/>
          <w:szCs w:val="20"/>
        </w:rPr>
      </w:pPr>
    </w:p>
    <w:p>
      <w:pPr>
        <w:spacing w:line="585" w:lineRule="auto" w:before="0"/>
        <w:ind w:left="152" w:right="2114" w:firstLine="0"/>
        <w:jc w:val="left"/>
        <w:rPr>
          <w:rFonts w:ascii="宋体" w:hAnsi="宋体" w:cs="宋体" w:eastAsia="宋体" w:hint="default"/>
          <w:sz w:val="21"/>
          <w:szCs w:val="21"/>
        </w:rPr>
      </w:pPr>
      <w:bookmarkStart w:name="11、应收票据" w:id="182"/>
      <w:bookmarkEnd w:id="182"/>
      <w:r>
        <w:rPr/>
      </w:r>
      <w:r>
        <w:rPr>
          <w:rFonts w:ascii="Times New Roman" w:hAnsi="Times New Roman" w:cs="Times New Roman" w:eastAsia="Times New Roman" w:hint="default"/>
          <w:b/>
          <w:bCs/>
          <w:sz w:val="21"/>
          <w:szCs w:val="21"/>
        </w:rPr>
        <w:t>11</w:t>
      </w:r>
      <w:r>
        <w:rPr>
          <w:rFonts w:ascii="宋体" w:hAnsi="宋体" w:cs="宋体" w:eastAsia="宋体" w:hint="default"/>
          <w:b/>
          <w:bCs/>
          <w:sz w:val="21"/>
          <w:szCs w:val="21"/>
        </w:rPr>
        <w:t>、应收票据</w:t>
      </w:r>
      <w:r>
        <w:rPr>
          <w:rFonts w:ascii="宋体" w:hAnsi="宋体" w:cs="宋体" w:eastAsia="宋体" w:hint="default"/>
          <w:b/>
          <w:bCs/>
          <w:w w:val="100"/>
          <w:sz w:val="21"/>
          <w:szCs w:val="21"/>
        </w:rPr>
        <w:t> </w:t>
      </w:r>
      <w:r>
        <w:rPr>
          <w:rFonts w:ascii="宋体" w:hAnsi="宋体" w:cs="宋体" w:eastAsia="宋体" w:hint="default"/>
          <w:spacing w:val="-2"/>
          <w:sz w:val="21"/>
          <w:szCs w:val="21"/>
        </w:rPr>
        <w:t>本公司应收票据均为银行承兑汇票，无显著回收风险，不计提预期信用损失准备。</w:t>
      </w:r>
      <w:r>
        <w:rPr>
          <w:rFonts w:ascii="宋体" w:hAnsi="宋体" w:cs="宋体" w:eastAsia="宋体" w:hint="default"/>
          <w:spacing w:val="-35"/>
          <w:sz w:val="21"/>
          <w:szCs w:val="21"/>
        </w:rPr>
        <w:t> </w:t>
      </w:r>
      <w:r>
        <w:rPr>
          <w:rFonts w:ascii="宋体" w:hAnsi="宋体" w:cs="宋体" w:eastAsia="宋体" w:hint="default"/>
          <w:spacing w:val="-35"/>
          <w:sz w:val="21"/>
          <w:szCs w:val="21"/>
        </w:rPr>
      </w:r>
      <w:bookmarkStart w:name="12、应收账款" w:id="183"/>
      <w:bookmarkEnd w:id="183"/>
      <w:r>
        <w:rPr>
          <w:rFonts w:ascii="宋体" w:hAnsi="宋体" w:cs="宋体" w:eastAsia="宋体" w:hint="default"/>
          <w:spacing w:val="-35"/>
          <w:sz w:val="21"/>
          <w:szCs w:val="21"/>
        </w:rPr>
      </w:r>
      <w:r>
        <w:rPr>
          <w:rFonts w:ascii="Times New Roman" w:hAnsi="Times New Roman" w:cs="Times New Roman" w:eastAsia="Times New Roman" w:hint="default"/>
          <w:b/>
          <w:bCs/>
          <w:sz w:val="21"/>
          <w:szCs w:val="21"/>
        </w:rPr>
        <w:t>12</w:t>
      </w:r>
      <w:r>
        <w:rPr>
          <w:rFonts w:ascii="宋体" w:hAnsi="宋体" w:cs="宋体" w:eastAsia="宋体" w:hint="default"/>
          <w:b/>
          <w:bCs/>
          <w:sz w:val="21"/>
          <w:szCs w:val="21"/>
        </w:rPr>
        <w:t>、应收账款</w:t>
      </w:r>
      <w:r>
        <w:rPr>
          <w:rFonts w:ascii="宋体" w:hAnsi="宋体" w:cs="宋体" w:eastAsia="宋体" w:hint="default"/>
          <w:sz w:val="21"/>
          <w:szCs w:val="21"/>
        </w:rPr>
      </w:r>
    </w:p>
    <w:p>
      <w:pPr>
        <w:pStyle w:val="BodyText"/>
        <w:spacing w:line="408" w:lineRule="auto" w:before="65"/>
        <w:ind w:right="1128" w:firstLine="420"/>
        <w:jc w:val="both"/>
      </w:pPr>
      <w:r>
        <w:rPr>
          <w:spacing w:val="-2"/>
        </w:rPr>
        <w:t>对于存在客观证据表明存在减值，以及其他适用于单项评估的应收款项，单独进行减值测试，确认预</w:t>
      </w:r>
      <w:r>
        <w:rPr>
          <w:w w:val="100"/>
        </w:rPr>
        <w:t> </w:t>
      </w:r>
      <w:r>
        <w:rPr>
          <w:spacing w:val="-2"/>
        </w:rPr>
        <w:t>期信用损失，计提单项减值准备。对于不存在减值客观证据的应收款项或当单项金融资产无法以合理成本</w:t>
      </w:r>
      <w:r>
        <w:rPr>
          <w:spacing w:val="-42"/>
        </w:rPr>
        <w:t> </w:t>
      </w:r>
      <w:r>
        <w:rPr>
          <w:spacing w:val="-42"/>
        </w:rPr>
      </w:r>
      <w:r>
        <w:rPr>
          <w:spacing w:val="-2"/>
        </w:rPr>
        <w:t>评估预期信用损失的信息时，本集团依据信用风险特征将应收款项划分为若干组合，在组合基础上计算预</w:t>
      </w:r>
      <w:r>
        <w:rPr>
          <w:spacing w:val="-42"/>
        </w:rPr>
        <w:t> </w:t>
      </w:r>
      <w:r>
        <w:rPr>
          <w:spacing w:val="-42"/>
        </w:rPr>
      </w:r>
      <w:r>
        <w:rPr/>
        <w:t>期信用损失，确定组合的依据如下：</w:t>
      </w:r>
    </w:p>
    <w:p>
      <w:pPr>
        <w:spacing w:after="0" w:line="408" w:lineRule="auto"/>
        <w:jc w:val="both"/>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5" w:type="dxa"/>
        <w:tblLayout w:type="fixed"/>
        <w:tblCellMar>
          <w:top w:w="0" w:type="dxa"/>
          <w:left w:w="0" w:type="dxa"/>
          <w:bottom w:w="0" w:type="dxa"/>
          <w:right w:w="0" w:type="dxa"/>
        </w:tblCellMar>
        <w:tblLook w:val="01E0"/>
      </w:tblPr>
      <w:tblGrid>
        <w:gridCol w:w="3742"/>
        <w:gridCol w:w="5122"/>
      </w:tblGrid>
      <w:tr>
        <w:trPr>
          <w:trHeight w:val="434" w:hRule="exact"/>
        </w:trPr>
        <w:tc>
          <w:tcPr>
            <w:tcW w:w="374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8"/>
              <w:ind w:left="2"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5122"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58"/>
              <w:ind w:right="5"/>
              <w:jc w:val="center"/>
              <w:rPr>
                <w:rFonts w:ascii="宋体" w:hAnsi="宋体" w:cs="宋体" w:eastAsia="宋体" w:hint="default"/>
                <w:sz w:val="18"/>
                <w:szCs w:val="18"/>
              </w:rPr>
            </w:pPr>
            <w:r>
              <w:rPr>
                <w:rFonts w:ascii="宋体" w:hAnsi="宋体" w:cs="宋体" w:eastAsia="宋体" w:hint="default"/>
                <w:sz w:val="18"/>
                <w:szCs w:val="18"/>
              </w:rPr>
              <w:t>预期信用损失准备计提方法</w:t>
            </w:r>
          </w:p>
        </w:tc>
      </w:tr>
      <w:tr>
        <w:trPr>
          <w:trHeight w:val="432" w:hRule="exact"/>
        </w:trPr>
        <w:tc>
          <w:tcPr>
            <w:tcW w:w="374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49"/>
              <w:ind w:left="4" w:right="0"/>
              <w:jc w:val="left"/>
              <w:rPr>
                <w:rFonts w:ascii="宋体" w:hAnsi="宋体" w:cs="宋体" w:eastAsia="宋体" w:hint="default"/>
                <w:sz w:val="18"/>
                <w:szCs w:val="18"/>
              </w:rPr>
            </w:pPr>
            <w:r>
              <w:rPr>
                <w:rFonts w:ascii="宋体" w:hAnsi="宋体" w:cs="宋体" w:eastAsia="宋体" w:hint="default"/>
                <w:sz w:val="18"/>
                <w:szCs w:val="18"/>
              </w:rPr>
              <w:t>销售货款及其他</w:t>
            </w:r>
          </w:p>
        </w:tc>
        <w:tc>
          <w:tcPr>
            <w:tcW w:w="5122"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49"/>
              <w:ind w:right="7"/>
              <w:jc w:val="center"/>
              <w:rPr>
                <w:rFonts w:ascii="宋体" w:hAnsi="宋体" w:cs="宋体" w:eastAsia="宋体" w:hint="default"/>
                <w:sz w:val="18"/>
                <w:szCs w:val="18"/>
              </w:rPr>
            </w:pPr>
            <w:r>
              <w:rPr>
                <w:rFonts w:ascii="宋体" w:hAnsi="宋体" w:cs="宋体" w:eastAsia="宋体" w:hint="default"/>
                <w:sz w:val="18"/>
                <w:szCs w:val="18"/>
              </w:rPr>
              <w:t>账龄分析法</w:t>
            </w:r>
          </w:p>
        </w:tc>
      </w:tr>
      <w:tr>
        <w:trPr>
          <w:trHeight w:val="432" w:hRule="exact"/>
        </w:trPr>
        <w:tc>
          <w:tcPr>
            <w:tcW w:w="374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49"/>
              <w:ind w:left="4" w:right="0"/>
              <w:jc w:val="left"/>
              <w:rPr>
                <w:rFonts w:ascii="宋体" w:hAnsi="宋体" w:cs="宋体" w:eastAsia="宋体" w:hint="default"/>
                <w:sz w:val="18"/>
                <w:szCs w:val="18"/>
              </w:rPr>
            </w:pPr>
            <w:r>
              <w:rPr>
                <w:rFonts w:ascii="宋体" w:hAnsi="宋体" w:cs="宋体" w:eastAsia="宋体" w:hint="default"/>
                <w:sz w:val="18"/>
                <w:szCs w:val="18"/>
              </w:rPr>
              <w:t>合并范围内应收款项</w:t>
            </w:r>
          </w:p>
        </w:tc>
        <w:tc>
          <w:tcPr>
            <w:tcW w:w="5122"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49"/>
              <w:ind w:right="7"/>
              <w:jc w:val="center"/>
              <w:rPr>
                <w:rFonts w:ascii="宋体" w:hAnsi="宋体" w:cs="宋体" w:eastAsia="宋体" w:hint="default"/>
                <w:sz w:val="18"/>
                <w:szCs w:val="18"/>
              </w:rPr>
            </w:pPr>
            <w:r>
              <w:rPr>
                <w:rFonts w:ascii="宋体" w:hAnsi="宋体" w:cs="宋体" w:eastAsia="宋体" w:hint="default"/>
                <w:sz w:val="18"/>
                <w:szCs w:val="18"/>
              </w:rPr>
              <w:t>不计提</w:t>
            </w:r>
          </w:p>
        </w:tc>
      </w:tr>
    </w:tbl>
    <w:p>
      <w:pPr>
        <w:pStyle w:val="BodyText"/>
        <w:spacing w:line="408" w:lineRule="auto" w:before="64"/>
        <w:ind w:right="1128" w:firstLine="420"/>
        <w:jc w:val="both"/>
      </w:pPr>
      <w:r>
        <w:rPr>
          <w:spacing w:val="-2"/>
        </w:rPr>
        <w:t>对于划分为销售货款及其他的应收款项，本集团参考历史信用损失经验，结合当前状况以及对未来经</w:t>
      </w:r>
      <w:r>
        <w:rPr>
          <w:w w:val="100"/>
        </w:rPr>
        <w:t> </w:t>
      </w:r>
      <w:r>
        <w:rPr>
          <w:spacing w:val="-2"/>
        </w:rPr>
        <w:t>济状况的预测，编制应收款项账龄与整个存续期预期信用损失率对照表，计算预期信用损失，本集团确定</w:t>
      </w:r>
      <w:r>
        <w:rPr>
          <w:spacing w:val="-48"/>
        </w:rPr>
        <w:t> </w:t>
      </w:r>
      <w:r>
        <w:rPr>
          <w:spacing w:val="-48"/>
        </w:rPr>
      </w:r>
      <w:r>
        <w:rPr/>
        <w:t>的预期信用损失率如下：</w:t>
      </w:r>
    </w:p>
    <w:tbl>
      <w:tblPr>
        <w:tblW w:w="0" w:type="auto"/>
        <w:jc w:val="left"/>
        <w:tblInd w:w="145" w:type="dxa"/>
        <w:tblLayout w:type="fixed"/>
        <w:tblCellMar>
          <w:top w:w="0" w:type="dxa"/>
          <w:left w:w="0" w:type="dxa"/>
          <w:bottom w:w="0" w:type="dxa"/>
          <w:right w:w="0" w:type="dxa"/>
        </w:tblCellMar>
        <w:tblLook w:val="01E0"/>
      </w:tblPr>
      <w:tblGrid>
        <w:gridCol w:w="3768"/>
        <w:gridCol w:w="5021"/>
      </w:tblGrid>
      <w:tr>
        <w:trPr>
          <w:trHeight w:val="434" w:hRule="exact"/>
        </w:trPr>
        <w:tc>
          <w:tcPr>
            <w:tcW w:w="376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2"/>
              <w:ind w:left="4" w:right="0"/>
              <w:jc w:val="center"/>
              <w:rPr>
                <w:rFonts w:ascii="宋体" w:hAnsi="宋体" w:cs="宋体" w:eastAsia="宋体" w:hint="default"/>
                <w:sz w:val="18"/>
                <w:szCs w:val="18"/>
              </w:rPr>
            </w:pPr>
            <w:r>
              <w:rPr>
                <w:rFonts w:ascii="宋体" w:hAnsi="宋体" w:cs="宋体" w:eastAsia="宋体" w:hint="default"/>
                <w:sz w:val="18"/>
                <w:szCs w:val="18"/>
              </w:rPr>
              <w:t>账</w:t>
            </w:r>
            <w:r>
              <w:rPr>
                <w:rFonts w:ascii="宋体" w:hAnsi="宋体" w:cs="宋体" w:eastAsia="宋体" w:hint="default"/>
                <w:spacing w:val="54"/>
                <w:sz w:val="18"/>
                <w:szCs w:val="18"/>
              </w:rPr>
              <w:t> </w:t>
            </w:r>
            <w:r>
              <w:rPr>
                <w:rFonts w:ascii="宋体" w:hAnsi="宋体" w:cs="宋体" w:eastAsia="宋体" w:hint="default"/>
                <w:sz w:val="18"/>
                <w:szCs w:val="18"/>
              </w:rPr>
              <w:t>龄</w:t>
            </w:r>
          </w:p>
        </w:tc>
        <w:tc>
          <w:tcPr>
            <w:tcW w:w="5021"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42"/>
              <w:ind w:right="2"/>
              <w:jc w:val="center"/>
              <w:rPr>
                <w:rFonts w:ascii="宋体" w:hAnsi="宋体" w:cs="宋体" w:eastAsia="宋体" w:hint="default"/>
                <w:sz w:val="18"/>
                <w:szCs w:val="18"/>
              </w:rPr>
            </w:pPr>
            <w:r>
              <w:rPr>
                <w:rFonts w:ascii="宋体" w:hAnsi="宋体" w:cs="宋体" w:eastAsia="宋体" w:hint="default"/>
                <w:sz w:val="18"/>
                <w:szCs w:val="18"/>
              </w:rPr>
              <w:t>预期信用损失率</w:t>
            </w:r>
          </w:p>
        </w:tc>
      </w:tr>
      <w:tr>
        <w:trPr>
          <w:trHeight w:val="432" w:hRule="exact"/>
        </w:trPr>
        <w:tc>
          <w:tcPr>
            <w:tcW w:w="376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年以内（含</w:t>
            </w:r>
            <w:r>
              <w:rPr>
                <w:rFonts w:ascii="Times New Roman" w:hAnsi="Times New Roman" w:cs="Times New Roman" w:eastAsia="Times New Roman" w:hint="default"/>
                <w:sz w:val="18"/>
                <w:szCs w:val="18"/>
              </w:rPr>
              <w:t>1</w:t>
            </w:r>
            <w:r>
              <w:rPr>
                <w:rFonts w:ascii="宋体" w:hAnsi="宋体" w:cs="宋体" w:eastAsia="宋体" w:hint="default"/>
                <w:sz w:val="18"/>
                <w:szCs w:val="18"/>
              </w:rPr>
              <w:t>年）</w:t>
            </w:r>
          </w:p>
        </w:tc>
        <w:tc>
          <w:tcPr>
            <w:tcW w:w="5021"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75"/>
              <w:ind w:right="2"/>
              <w:jc w:val="center"/>
              <w:rPr>
                <w:rFonts w:ascii="Times New Roman" w:hAnsi="Times New Roman" w:cs="Times New Roman" w:eastAsia="Times New Roman" w:hint="default"/>
                <w:sz w:val="18"/>
                <w:szCs w:val="18"/>
              </w:rPr>
            </w:pPr>
            <w:r>
              <w:rPr>
                <w:rFonts w:ascii="Times New Roman"/>
                <w:sz w:val="18"/>
              </w:rPr>
              <w:t>5.00%</w:t>
            </w:r>
          </w:p>
        </w:tc>
      </w:tr>
      <w:tr>
        <w:trPr>
          <w:trHeight w:val="432" w:hRule="exact"/>
        </w:trPr>
        <w:tc>
          <w:tcPr>
            <w:tcW w:w="376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至</w:t>
            </w:r>
            <w:r>
              <w:rPr>
                <w:rFonts w:ascii="Times New Roman" w:hAnsi="Times New Roman" w:cs="Times New Roman" w:eastAsia="Times New Roman" w:hint="default"/>
                <w:sz w:val="18"/>
                <w:szCs w:val="18"/>
              </w:rPr>
              <w:t>2</w:t>
            </w:r>
            <w:r>
              <w:rPr>
                <w:rFonts w:ascii="宋体" w:hAnsi="宋体" w:cs="宋体" w:eastAsia="宋体" w:hint="default"/>
                <w:sz w:val="18"/>
                <w:szCs w:val="18"/>
              </w:rPr>
              <w:t>年（含</w:t>
            </w:r>
            <w:r>
              <w:rPr>
                <w:rFonts w:ascii="Times New Roman" w:hAnsi="Times New Roman" w:cs="Times New Roman" w:eastAsia="Times New Roman" w:hint="default"/>
                <w:sz w:val="18"/>
                <w:szCs w:val="18"/>
              </w:rPr>
              <w:t>2</w:t>
            </w:r>
            <w:r>
              <w:rPr>
                <w:rFonts w:ascii="宋体" w:hAnsi="宋体" w:cs="宋体" w:eastAsia="宋体" w:hint="default"/>
                <w:sz w:val="18"/>
                <w:szCs w:val="18"/>
              </w:rPr>
              <w:t>年）</w:t>
            </w:r>
          </w:p>
        </w:tc>
        <w:tc>
          <w:tcPr>
            <w:tcW w:w="5021"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75"/>
              <w:ind w:right="0"/>
              <w:jc w:val="center"/>
              <w:rPr>
                <w:rFonts w:ascii="Times New Roman" w:hAnsi="Times New Roman" w:cs="Times New Roman" w:eastAsia="Times New Roman" w:hint="default"/>
                <w:sz w:val="18"/>
                <w:szCs w:val="18"/>
              </w:rPr>
            </w:pPr>
            <w:r>
              <w:rPr>
                <w:rFonts w:ascii="Times New Roman"/>
                <w:sz w:val="18"/>
              </w:rPr>
              <w:t>10.00%</w:t>
            </w:r>
          </w:p>
        </w:tc>
      </w:tr>
      <w:tr>
        <w:trPr>
          <w:trHeight w:val="432" w:hRule="exact"/>
        </w:trPr>
        <w:tc>
          <w:tcPr>
            <w:tcW w:w="376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至</w:t>
            </w:r>
            <w:r>
              <w:rPr>
                <w:rFonts w:ascii="Times New Roman" w:hAnsi="Times New Roman" w:cs="Times New Roman" w:eastAsia="Times New Roman" w:hint="default"/>
                <w:sz w:val="18"/>
                <w:szCs w:val="18"/>
              </w:rPr>
              <w:t>3</w:t>
            </w:r>
            <w:r>
              <w:rPr>
                <w:rFonts w:ascii="宋体" w:hAnsi="宋体" w:cs="宋体" w:eastAsia="宋体" w:hint="default"/>
                <w:sz w:val="18"/>
                <w:szCs w:val="18"/>
              </w:rPr>
              <w:t>年（含</w:t>
            </w:r>
            <w:r>
              <w:rPr>
                <w:rFonts w:ascii="Times New Roman" w:hAnsi="Times New Roman" w:cs="Times New Roman" w:eastAsia="Times New Roman" w:hint="default"/>
                <w:sz w:val="18"/>
                <w:szCs w:val="18"/>
              </w:rPr>
              <w:t>3</w:t>
            </w:r>
            <w:r>
              <w:rPr>
                <w:rFonts w:ascii="宋体" w:hAnsi="宋体" w:cs="宋体" w:eastAsia="宋体" w:hint="default"/>
                <w:sz w:val="18"/>
                <w:szCs w:val="18"/>
              </w:rPr>
              <w:t>年）</w:t>
            </w:r>
          </w:p>
        </w:tc>
        <w:tc>
          <w:tcPr>
            <w:tcW w:w="5021"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75"/>
              <w:ind w:right="0"/>
              <w:jc w:val="center"/>
              <w:rPr>
                <w:rFonts w:ascii="Times New Roman" w:hAnsi="Times New Roman" w:cs="Times New Roman" w:eastAsia="Times New Roman" w:hint="default"/>
                <w:sz w:val="18"/>
                <w:szCs w:val="18"/>
              </w:rPr>
            </w:pPr>
            <w:r>
              <w:rPr>
                <w:rFonts w:ascii="Times New Roman"/>
                <w:sz w:val="18"/>
              </w:rPr>
              <w:t>30.00%</w:t>
            </w:r>
          </w:p>
        </w:tc>
      </w:tr>
      <w:tr>
        <w:trPr>
          <w:trHeight w:val="432" w:hRule="exact"/>
        </w:trPr>
        <w:tc>
          <w:tcPr>
            <w:tcW w:w="376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至</w:t>
            </w:r>
            <w:r>
              <w:rPr>
                <w:rFonts w:ascii="Times New Roman" w:hAnsi="Times New Roman" w:cs="Times New Roman" w:eastAsia="Times New Roman" w:hint="default"/>
                <w:sz w:val="18"/>
                <w:szCs w:val="18"/>
              </w:rPr>
              <w:t>4</w:t>
            </w:r>
            <w:r>
              <w:rPr>
                <w:rFonts w:ascii="宋体" w:hAnsi="宋体" w:cs="宋体" w:eastAsia="宋体" w:hint="default"/>
                <w:sz w:val="18"/>
                <w:szCs w:val="18"/>
              </w:rPr>
              <w:t>年（含</w:t>
            </w:r>
            <w:r>
              <w:rPr>
                <w:rFonts w:ascii="Times New Roman" w:hAnsi="Times New Roman" w:cs="Times New Roman" w:eastAsia="Times New Roman" w:hint="default"/>
                <w:sz w:val="18"/>
                <w:szCs w:val="18"/>
              </w:rPr>
              <w:t>4</w:t>
            </w:r>
            <w:r>
              <w:rPr>
                <w:rFonts w:ascii="宋体" w:hAnsi="宋体" w:cs="宋体" w:eastAsia="宋体" w:hint="default"/>
                <w:sz w:val="18"/>
                <w:szCs w:val="18"/>
              </w:rPr>
              <w:t>年）</w:t>
            </w:r>
          </w:p>
        </w:tc>
        <w:tc>
          <w:tcPr>
            <w:tcW w:w="5021"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75"/>
              <w:ind w:right="0"/>
              <w:jc w:val="center"/>
              <w:rPr>
                <w:rFonts w:ascii="Times New Roman" w:hAnsi="Times New Roman" w:cs="Times New Roman" w:eastAsia="Times New Roman" w:hint="default"/>
                <w:sz w:val="18"/>
                <w:szCs w:val="18"/>
              </w:rPr>
            </w:pPr>
            <w:r>
              <w:rPr>
                <w:rFonts w:ascii="Times New Roman"/>
                <w:sz w:val="18"/>
              </w:rPr>
              <w:t>50.00%</w:t>
            </w:r>
          </w:p>
        </w:tc>
      </w:tr>
      <w:tr>
        <w:trPr>
          <w:trHeight w:val="432" w:hRule="exact"/>
        </w:trPr>
        <w:tc>
          <w:tcPr>
            <w:tcW w:w="376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至</w:t>
            </w:r>
            <w:r>
              <w:rPr>
                <w:rFonts w:ascii="Times New Roman" w:hAnsi="Times New Roman" w:cs="Times New Roman" w:eastAsia="Times New Roman" w:hint="default"/>
                <w:sz w:val="18"/>
                <w:szCs w:val="18"/>
              </w:rPr>
              <w:t>5</w:t>
            </w:r>
            <w:r>
              <w:rPr>
                <w:rFonts w:ascii="宋体" w:hAnsi="宋体" w:cs="宋体" w:eastAsia="宋体" w:hint="default"/>
                <w:sz w:val="18"/>
                <w:szCs w:val="18"/>
              </w:rPr>
              <w:t>年（含</w:t>
            </w:r>
            <w:r>
              <w:rPr>
                <w:rFonts w:ascii="Times New Roman" w:hAnsi="Times New Roman" w:cs="Times New Roman" w:eastAsia="Times New Roman" w:hint="default"/>
                <w:sz w:val="18"/>
                <w:szCs w:val="18"/>
              </w:rPr>
              <w:t>5</w:t>
            </w:r>
            <w:r>
              <w:rPr>
                <w:rFonts w:ascii="宋体" w:hAnsi="宋体" w:cs="宋体" w:eastAsia="宋体" w:hint="default"/>
                <w:sz w:val="18"/>
                <w:szCs w:val="18"/>
              </w:rPr>
              <w:t>年）</w:t>
            </w:r>
          </w:p>
        </w:tc>
        <w:tc>
          <w:tcPr>
            <w:tcW w:w="5021"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75"/>
              <w:ind w:right="0"/>
              <w:jc w:val="center"/>
              <w:rPr>
                <w:rFonts w:ascii="Times New Roman" w:hAnsi="Times New Roman" w:cs="Times New Roman" w:eastAsia="Times New Roman" w:hint="default"/>
                <w:sz w:val="18"/>
                <w:szCs w:val="18"/>
              </w:rPr>
            </w:pPr>
            <w:r>
              <w:rPr>
                <w:rFonts w:ascii="Times New Roman"/>
                <w:sz w:val="18"/>
              </w:rPr>
              <w:t>80.00%</w:t>
            </w:r>
          </w:p>
        </w:tc>
      </w:tr>
      <w:tr>
        <w:trPr>
          <w:trHeight w:val="434" w:hRule="exact"/>
        </w:trPr>
        <w:tc>
          <w:tcPr>
            <w:tcW w:w="376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年以上</w:t>
            </w:r>
          </w:p>
        </w:tc>
        <w:tc>
          <w:tcPr>
            <w:tcW w:w="5021"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75"/>
              <w:ind w:right="0"/>
              <w:jc w:val="center"/>
              <w:rPr>
                <w:rFonts w:ascii="Times New Roman" w:hAnsi="Times New Roman" w:cs="Times New Roman" w:eastAsia="Times New Roman" w:hint="default"/>
                <w:sz w:val="18"/>
                <w:szCs w:val="18"/>
              </w:rPr>
            </w:pPr>
            <w:r>
              <w:rPr>
                <w:rFonts w:ascii="Times New Roman"/>
                <w:sz w:val="18"/>
              </w:rPr>
              <w:t>100.00%</w:t>
            </w:r>
          </w:p>
        </w:tc>
      </w:tr>
    </w:tbl>
    <w:p>
      <w:pPr>
        <w:pStyle w:val="BodyText"/>
        <w:spacing w:line="240" w:lineRule="auto"/>
        <w:ind w:left="572" w:right="986"/>
        <w:jc w:val="left"/>
      </w:pPr>
      <w:r>
        <w:rPr/>
        <w:t>对于划分为合并范围内应收款项等无显著回收风险的应收款项，不计提预期信用损失准备。</w:t>
      </w:r>
    </w:p>
    <w:p>
      <w:pPr>
        <w:spacing w:line="240" w:lineRule="auto" w:before="0"/>
        <w:rPr>
          <w:rFonts w:ascii="宋体" w:hAnsi="宋体" w:cs="宋体" w:eastAsia="宋体" w:hint="default"/>
          <w:sz w:val="20"/>
          <w:szCs w:val="20"/>
        </w:rPr>
      </w:pPr>
    </w:p>
    <w:p>
      <w:pPr>
        <w:pStyle w:val="Heading4"/>
        <w:spacing w:line="240" w:lineRule="auto" w:before="154"/>
        <w:ind w:right="986"/>
        <w:jc w:val="left"/>
        <w:rPr>
          <w:b w:val="0"/>
          <w:bCs w:val="0"/>
        </w:rPr>
      </w:pPr>
      <w:bookmarkStart w:name="13、应收款项融资" w:id="184"/>
      <w:bookmarkEnd w:id="184"/>
      <w:r>
        <w:rPr>
          <w:b w:val="0"/>
          <w:bCs w:val="0"/>
        </w:rPr>
      </w:r>
      <w:r>
        <w:rPr>
          <w:rFonts w:ascii="Times New Roman" w:hAnsi="Times New Roman" w:cs="Times New Roman" w:eastAsia="Times New Roman" w:hint="default"/>
        </w:rPr>
        <w:t>13</w:t>
      </w:r>
      <w:r>
        <w:rPr/>
        <w:t>、应收款项融资</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14、其他应收款" w:id="185"/>
      <w:bookmarkEnd w:id="185"/>
      <w:r>
        <w:rPr>
          <w:b w:val="0"/>
          <w:bCs w:val="0"/>
        </w:rPr>
      </w:r>
      <w:r>
        <w:rPr>
          <w:rFonts w:ascii="Times New Roman" w:hAnsi="Times New Roman" w:cs="Times New Roman" w:eastAsia="Times New Roman" w:hint="default"/>
        </w:rPr>
        <w:t>14</w:t>
      </w:r>
      <w:r>
        <w:rPr/>
        <w:t>、其他应收款</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其他应收款的预期信用损失的确定方法及会计处理方法</w:t>
      </w:r>
    </w:p>
    <w:p>
      <w:pPr>
        <w:spacing w:line="240" w:lineRule="auto" w:before="3"/>
        <w:rPr>
          <w:rFonts w:ascii="宋体" w:hAnsi="宋体" w:cs="宋体" w:eastAsia="宋体" w:hint="default"/>
          <w:sz w:val="13"/>
          <w:szCs w:val="13"/>
        </w:rPr>
      </w:pPr>
    </w:p>
    <w:p>
      <w:pPr>
        <w:pStyle w:val="BodyText"/>
        <w:spacing w:line="408" w:lineRule="auto" w:before="0"/>
        <w:ind w:right="1128" w:firstLine="420"/>
        <w:jc w:val="both"/>
      </w:pPr>
      <w:r>
        <w:rPr>
          <w:spacing w:val="-2"/>
        </w:rPr>
        <w:t>对于存在客观证据表明存在减值，以及其他适用于单项评估的应收款项，单独进行减值测试，确认预</w:t>
      </w:r>
      <w:r>
        <w:rPr>
          <w:w w:val="100"/>
        </w:rPr>
        <w:t> </w:t>
      </w:r>
      <w:r>
        <w:rPr>
          <w:spacing w:val="-2"/>
        </w:rPr>
        <w:t>期信用损失，计提单项减值准备。对于不存在减值客观证据的应收款项或当单项金融资产无法以合理成本</w:t>
      </w:r>
      <w:r>
        <w:rPr>
          <w:spacing w:val="-42"/>
        </w:rPr>
        <w:t> </w:t>
      </w:r>
      <w:r>
        <w:rPr>
          <w:spacing w:val="-42"/>
        </w:rPr>
      </w:r>
      <w:r>
        <w:rPr>
          <w:spacing w:val="-2"/>
        </w:rPr>
        <w:t>评估预期信用损失的信息时，本集团依据信用风险特征将应收款项划分为若干组合，在组合基础上计算预</w:t>
      </w:r>
      <w:r>
        <w:rPr>
          <w:spacing w:val="-42"/>
        </w:rPr>
        <w:t> </w:t>
      </w:r>
      <w:r>
        <w:rPr>
          <w:spacing w:val="-42"/>
        </w:rPr>
      </w:r>
      <w:r>
        <w:rPr/>
        <w:t>期信用损失，确定组合的依据如下：</w:t>
      </w:r>
    </w:p>
    <w:tbl>
      <w:tblPr>
        <w:tblW w:w="0" w:type="auto"/>
        <w:jc w:val="left"/>
        <w:tblInd w:w="145" w:type="dxa"/>
        <w:tblLayout w:type="fixed"/>
        <w:tblCellMar>
          <w:top w:w="0" w:type="dxa"/>
          <w:left w:w="0" w:type="dxa"/>
          <w:bottom w:w="0" w:type="dxa"/>
          <w:right w:w="0" w:type="dxa"/>
        </w:tblCellMar>
        <w:tblLook w:val="01E0"/>
      </w:tblPr>
      <w:tblGrid>
        <w:gridCol w:w="3742"/>
        <w:gridCol w:w="5122"/>
      </w:tblGrid>
      <w:tr>
        <w:trPr>
          <w:trHeight w:val="432" w:hRule="exact"/>
        </w:trPr>
        <w:tc>
          <w:tcPr>
            <w:tcW w:w="374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0"/>
              <w:ind w:left="2"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5122"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40"/>
              <w:ind w:right="5"/>
              <w:jc w:val="center"/>
              <w:rPr>
                <w:rFonts w:ascii="宋体" w:hAnsi="宋体" w:cs="宋体" w:eastAsia="宋体" w:hint="default"/>
                <w:sz w:val="18"/>
                <w:szCs w:val="18"/>
              </w:rPr>
            </w:pPr>
            <w:r>
              <w:rPr>
                <w:rFonts w:ascii="宋体" w:hAnsi="宋体" w:cs="宋体" w:eastAsia="宋体" w:hint="default"/>
                <w:sz w:val="18"/>
                <w:szCs w:val="18"/>
              </w:rPr>
              <w:t>预期信用损失准备计提方法</w:t>
            </w:r>
          </w:p>
        </w:tc>
      </w:tr>
      <w:tr>
        <w:trPr>
          <w:trHeight w:val="432" w:hRule="exact"/>
        </w:trPr>
        <w:tc>
          <w:tcPr>
            <w:tcW w:w="374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4" w:right="0"/>
              <w:jc w:val="left"/>
              <w:rPr>
                <w:rFonts w:ascii="宋体" w:hAnsi="宋体" w:cs="宋体" w:eastAsia="宋体" w:hint="default"/>
                <w:sz w:val="18"/>
                <w:szCs w:val="18"/>
              </w:rPr>
            </w:pPr>
            <w:r>
              <w:rPr>
                <w:rFonts w:ascii="宋体" w:hAnsi="宋体" w:cs="宋体" w:eastAsia="宋体" w:hint="default"/>
                <w:sz w:val="18"/>
                <w:szCs w:val="18"/>
              </w:rPr>
              <w:t>销售货款及其他</w:t>
            </w:r>
          </w:p>
        </w:tc>
        <w:tc>
          <w:tcPr>
            <w:tcW w:w="5122"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3"/>
              <w:ind w:right="7"/>
              <w:jc w:val="center"/>
              <w:rPr>
                <w:rFonts w:ascii="宋体" w:hAnsi="宋体" w:cs="宋体" w:eastAsia="宋体" w:hint="default"/>
                <w:sz w:val="18"/>
                <w:szCs w:val="18"/>
              </w:rPr>
            </w:pPr>
            <w:r>
              <w:rPr>
                <w:rFonts w:ascii="宋体" w:hAnsi="宋体" w:cs="宋体" w:eastAsia="宋体" w:hint="default"/>
                <w:sz w:val="18"/>
                <w:szCs w:val="18"/>
              </w:rPr>
              <w:t>账龄分析法</w:t>
            </w:r>
          </w:p>
        </w:tc>
      </w:tr>
      <w:tr>
        <w:trPr>
          <w:trHeight w:val="432" w:hRule="exact"/>
        </w:trPr>
        <w:tc>
          <w:tcPr>
            <w:tcW w:w="374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4" w:right="0"/>
              <w:jc w:val="left"/>
              <w:rPr>
                <w:rFonts w:ascii="宋体" w:hAnsi="宋体" w:cs="宋体" w:eastAsia="宋体" w:hint="default"/>
                <w:sz w:val="18"/>
                <w:szCs w:val="18"/>
              </w:rPr>
            </w:pPr>
            <w:r>
              <w:rPr>
                <w:rFonts w:ascii="宋体" w:hAnsi="宋体" w:cs="宋体" w:eastAsia="宋体" w:hint="default"/>
                <w:sz w:val="18"/>
                <w:szCs w:val="18"/>
              </w:rPr>
              <w:t>员工暂借款</w:t>
            </w:r>
          </w:p>
        </w:tc>
        <w:tc>
          <w:tcPr>
            <w:tcW w:w="5122"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3"/>
              <w:ind w:right="7"/>
              <w:jc w:val="center"/>
              <w:rPr>
                <w:rFonts w:ascii="宋体" w:hAnsi="宋体" w:cs="宋体" w:eastAsia="宋体" w:hint="default"/>
                <w:sz w:val="18"/>
                <w:szCs w:val="18"/>
              </w:rPr>
            </w:pPr>
            <w:r>
              <w:rPr>
                <w:rFonts w:ascii="宋体" w:hAnsi="宋体" w:cs="宋体" w:eastAsia="宋体" w:hint="default"/>
                <w:sz w:val="18"/>
                <w:szCs w:val="18"/>
              </w:rPr>
              <w:t>不计提</w:t>
            </w:r>
          </w:p>
        </w:tc>
      </w:tr>
      <w:tr>
        <w:trPr>
          <w:trHeight w:val="432" w:hRule="exact"/>
        </w:trPr>
        <w:tc>
          <w:tcPr>
            <w:tcW w:w="374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4" w:right="0"/>
              <w:jc w:val="left"/>
              <w:rPr>
                <w:rFonts w:ascii="宋体" w:hAnsi="宋体" w:cs="宋体" w:eastAsia="宋体" w:hint="default"/>
                <w:sz w:val="18"/>
                <w:szCs w:val="18"/>
              </w:rPr>
            </w:pPr>
            <w:r>
              <w:rPr>
                <w:rFonts w:ascii="宋体" w:hAnsi="宋体" w:cs="宋体" w:eastAsia="宋体" w:hint="default"/>
                <w:sz w:val="18"/>
                <w:szCs w:val="18"/>
              </w:rPr>
              <w:t>应收退税款</w:t>
            </w:r>
          </w:p>
        </w:tc>
        <w:tc>
          <w:tcPr>
            <w:tcW w:w="5122"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3"/>
              <w:ind w:right="7"/>
              <w:jc w:val="center"/>
              <w:rPr>
                <w:rFonts w:ascii="宋体" w:hAnsi="宋体" w:cs="宋体" w:eastAsia="宋体" w:hint="default"/>
                <w:sz w:val="18"/>
                <w:szCs w:val="18"/>
              </w:rPr>
            </w:pPr>
            <w:r>
              <w:rPr>
                <w:rFonts w:ascii="宋体" w:hAnsi="宋体" w:cs="宋体" w:eastAsia="宋体" w:hint="default"/>
                <w:sz w:val="18"/>
                <w:szCs w:val="18"/>
              </w:rPr>
              <w:t>不计提</w:t>
            </w:r>
          </w:p>
        </w:tc>
      </w:tr>
      <w:tr>
        <w:trPr>
          <w:trHeight w:val="434" w:hRule="exact"/>
        </w:trPr>
        <w:tc>
          <w:tcPr>
            <w:tcW w:w="374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4" w:right="0"/>
              <w:jc w:val="left"/>
              <w:rPr>
                <w:rFonts w:ascii="宋体" w:hAnsi="宋体" w:cs="宋体" w:eastAsia="宋体" w:hint="default"/>
                <w:sz w:val="18"/>
                <w:szCs w:val="18"/>
              </w:rPr>
            </w:pPr>
            <w:r>
              <w:rPr>
                <w:rFonts w:ascii="宋体" w:hAnsi="宋体" w:cs="宋体" w:eastAsia="宋体" w:hint="default"/>
                <w:sz w:val="18"/>
                <w:szCs w:val="18"/>
              </w:rPr>
              <w:t>合并范围内应收款项</w:t>
            </w:r>
          </w:p>
        </w:tc>
        <w:tc>
          <w:tcPr>
            <w:tcW w:w="5122"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3"/>
              <w:ind w:right="7"/>
              <w:jc w:val="center"/>
              <w:rPr>
                <w:rFonts w:ascii="宋体" w:hAnsi="宋体" w:cs="宋体" w:eastAsia="宋体" w:hint="default"/>
                <w:sz w:val="18"/>
                <w:szCs w:val="18"/>
              </w:rPr>
            </w:pPr>
            <w:r>
              <w:rPr>
                <w:rFonts w:ascii="宋体" w:hAnsi="宋体" w:cs="宋体" w:eastAsia="宋体" w:hint="default"/>
                <w:sz w:val="18"/>
                <w:szCs w:val="18"/>
              </w:rPr>
              <w:t>不计提</w:t>
            </w:r>
          </w:p>
        </w:tc>
      </w:tr>
    </w:tbl>
    <w:p>
      <w:pPr>
        <w:pStyle w:val="BodyText"/>
        <w:spacing w:line="408" w:lineRule="auto"/>
        <w:ind w:right="986" w:firstLine="420"/>
        <w:jc w:val="left"/>
      </w:pPr>
      <w:r>
        <w:rPr>
          <w:spacing w:val="-2"/>
        </w:rPr>
        <w:t>对于划分为销售货款及其他的应收款项，本集团参考历史信用损失经验，结合当前状况以及对未来经</w:t>
      </w:r>
      <w:r>
        <w:rPr>
          <w:w w:val="100"/>
        </w:rPr>
        <w:t> </w:t>
      </w:r>
      <w:r>
        <w:rPr>
          <w:spacing w:val="-2"/>
        </w:rPr>
        <w:t>济状况的预测，编制应收款项账龄与整个存续期预期信用损失率对照表，计算预期信用损失，本集团确定</w:t>
      </w:r>
      <w:r>
        <w:rPr/>
      </w:r>
    </w:p>
    <w:p>
      <w:pPr>
        <w:spacing w:after="0" w:line="408"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240" w:lineRule="auto" w:before="175"/>
        <w:ind w:right="986"/>
        <w:jc w:val="left"/>
      </w:pPr>
      <w:r>
        <w:rPr/>
        <w:t>的预期信用损失率如下：</w:t>
      </w:r>
    </w:p>
    <w:p>
      <w:pPr>
        <w:spacing w:line="240" w:lineRule="auto" w:before="11"/>
        <w:rPr>
          <w:rFonts w:ascii="宋体" w:hAnsi="宋体" w:cs="宋体" w:eastAsia="宋体" w:hint="default"/>
          <w:sz w:val="9"/>
          <w:szCs w:val="9"/>
        </w:rPr>
      </w:pPr>
    </w:p>
    <w:tbl>
      <w:tblPr>
        <w:tblW w:w="0" w:type="auto"/>
        <w:jc w:val="left"/>
        <w:tblInd w:w="145" w:type="dxa"/>
        <w:tblLayout w:type="fixed"/>
        <w:tblCellMar>
          <w:top w:w="0" w:type="dxa"/>
          <w:left w:w="0" w:type="dxa"/>
          <w:bottom w:w="0" w:type="dxa"/>
          <w:right w:w="0" w:type="dxa"/>
        </w:tblCellMar>
        <w:tblLook w:val="01E0"/>
      </w:tblPr>
      <w:tblGrid>
        <w:gridCol w:w="3768"/>
        <w:gridCol w:w="5021"/>
      </w:tblGrid>
      <w:tr>
        <w:trPr>
          <w:trHeight w:val="434" w:hRule="exact"/>
        </w:trPr>
        <w:tc>
          <w:tcPr>
            <w:tcW w:w="376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sz w:val="18"/>
                <w:szCs w:val="18"/>
              </w:rPr>
              <w:t>账</w:t>
            </w:r>
            <w:r>
              <w:rPr>
                <w:rFonts w:ascii="宋体" w:hAnsi="宋体" w:cs="宋体" w:eastAsia="宋体" w:hint="default"/>
                <w:spacing w:val="54"/>
                <w:sz w:val="18"/>
                <w:szCs w:val="18"/>
              </w:rPr>
              <w:t> </w:t>
            </w:r>
            <w:r>
              <w:rPr>
                <w:rFonts w:ascii="宋体" w:hAnsi="宋体" w:cs="宋体" w:eastAsia="宋体" w:hint="default"/>
                <w:sz w:val="18"/>
                <w:szCs w:val="18"/>
              </w:rPr>
              <w:t>龄</w:t>
            </w:r>
          </w:p>
        </w:tc>
        <w:tc>
          <w:tcPr>
            <w:tcW w:w="5021"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预期信用损失率</w:t>
            </w:r>
          </w:p>
        </w:tc>
      </w:tr>
      <w:tr>
        <w:trPr>
          <w:trHeight w:val="432" w:hRule="exact"/>
        </w:trPr>
        <w:tc>
          <w:tcPr>
            <w:tcW w:w="376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49"/>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年以内（含</w:t>
            </w:r>
            <w:r>
              <w:rPr>
                <w:rFonts w:ascii="Times New Roman" w:hAnsi="Times New Roman" w:cs="Times New Roman" w:eastAsia="Times New Roman" w:hint="default"/>
                <w:sz w:val="18"/>
                <w:szCs w:val="18"/>
              </w:rPr>
              <w:t>1</w:t>
            </w:r>
            <w:r>
              <w:rPr>
                <w:rFonts w:ascii="宋体" w:hAnsi="宋体" w:cs="宋体" w:eastAsia="宋体" w:hint="default"/>
                <w:sz w:val="18"/>
                <w:szCs w:val="18"/>
              </w:rPr>
              <w:t>年）</w:t>
            </w:r>
          </w:p>
        </w:tc>
        <w:tc>
          <w:tcPr>
            <w:tcW w:w="5021"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91"/>
              <w:ind w:right="2"/>
              <w:jc w:val="center"/>
              <w:rPr>
                <w:rFonts w:ascii="Times New Roman" w:hAnsi="Times New Roman" w:cs="Times New Roman" w:eastAsia="Times New Roman" w:hint="default"/>
                <w:sz w:val="18"/>
                <w:szCs w:val="18"/>
              </w:rPr>
            </w:pPr>
            <w:r>
              <w:rPr>
                <w:rFonts w:ascii="Times New Roman"/>
                <w:sz w:val="18"/>
              </w:rPr>
              <w:t>5.00%</w:t>
            </w:r>
          </w:p>
        </w:tc>
      </w:tr>
      <w:tr>
        <w:trPr>
          <w:trHeight w:val="432" w:hRule="exact"/>
        </w:trPr>
        <w:tc>
          <w:tcPr>
            <w:tcW w:w="376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49"/>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至</w:t>
            </w:r>
            <w:r>
              <w:rPr>
                <w:rFonts w:ascii="Times New Roman" w:hAnsi="Times New Roman" w:cs="Times New Roman" w:eastAsia="Times New Roman" w:hint="default"/>
                <w:sz w:val="18"/>
                <w:szCs w:val="18"/>
              </w:rPr>
              <w:t>2</w:t>
            </w:r>
            <w:r>
              <w:rPr>
                <w:rFonts w:ascii="宋体" w:hAnsi="宋体" w:cs="宋体" w:eastAsia="宋体" w:hint="default"/>
                <w:sz w:val="18"/>
                <w:szCs w:val="18"/>
              </w:rPr>
              <w:t>年（含</w:t>
            </w:r>
            <w:r>
              <w:rPr>
                <w:rFonts w:ascii="Times New Roman" w:hAnsi="Times New Roman" w:cs="Times New Roman" w:eastAsia="Times New Roman" w:hint="default"/>
                <w:sz w:val="18"/>
                <w:szCs w:val="18"/>
              </w:rPr>
              <w:t>2</w:t>
            </w:r>
            <w:r>
              <w:rPr>
                <w:rFonts w:ascii="宋体" w:hAnsi="宋体" w:cs="宋体" w:eastAsia="宋体" w:hint="default"/>
                <w:sz w:val="18"/>
                <w:szCs w:val="18"/>
              </w:rPr>
              <w:t>年）</w:t>
            </w:r>
          </w:p>
        </w:tc>
        <w:tc>
          <w:tcPr>
            <w:tcW w:w="5021"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10.00%</w:t>
            </w:r>
          </w:p>
        </w:tc>
      </w:tr>
      <w:tr>
        <w:trPr>
          <w:trHeight w:val="432" w:hRule="exact"/>
        </w:trPr>
        <w:tc>
          <w:tcPr>
            <w:tcW w:w="376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49"/>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至</w:t>
            </w:r>
            <w:r>
              <w:rPr>
                <w:rFonts w:ascii="Times New Roman" w:hAnsi="Times New Roman" w:cs="Times New Roman" w:eastAsia="Times New Roman" w:hint="default"/>
                <w:sz w:val="18"/>
                <w:szCs w:val="18"/>
              </w:rPr>
              <w:t>3</w:t>
            </w:r>
            <w:r>
              <w:rPr>
                <w:rFonts w:ascii="宋体" w:hAnsi="宋体" w:cs="宋体" w:eastAsia="宋体" w:hint="default"/>
                <w:sz w:val="18"/>
                <w:szCs w:val="18"/>
              </w:rPr>
              <w:t>年（含</w:t>
            </w:r>
            <w:r>
              <w:rPr>
                <w:rFonts w:ascii="Times New Roman" w:hAnsi="Times New Roman" w:cs="Times New Roman" w:eastAsia="Times New Roman" w:hint="default"/>
                <w:sz w:val="18"/>
                <w:szCs w:val="18"/>
              </w:rPr>
              <w:t>3</w:t>
            </w:r>
            <w:r>
              <w:rPr>
                <w:rFonts w:ascii="宋体" w:hAnsi="宋体" w:cs="宋体" w:eastAsia="宋体" w:hint="default"/>
                <w:sz w:val="18"/>
                <w:szCs w:val="18"/>
              </w:rPr>
              <w:t>年）</w:t>
            </w:r>
          </w:p>
        </w:tc>
        <w:tc>
          <w:tcPr>
            <w:tcW w:w="5021"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30.00%</w:t>
            </w:r>
          </w:p>
        </w:tc>
      </w:tr>
      <w:tr>
        <w:trPr>
          <w:trHeight w:val="432" w:hRule="exact"/>
        </w:trPr>
        <w:tc>
          <w:tcPr>
            <w:tcW w:w="376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49"/>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至</w:t>
            </w:r>
            <w:r>
              <w:rPr>
                <w:rFonts w:ascii="Times New Roman" w:hAnsi="Times New Roman" w:cs="Times New Roman" w:eastAsia="Times New Roman" w:hint="default"/>
                <w:sz w:val="18"/>
                <w:szCs w:val="18"/>
              </w:rPr>
              <w:t>4</w:t>
            </w:r>
            <w:r>
              <w:rPr>
                <w:rFonts w:ascii="宋体" w:hAnsi="宋体" w:cs="宋体" w:eastAsia="宋体" w:hint="default"/>
                <w:sz w:val="18"/>
                <w:szCs w:val="18"/>
              </w:rPr>
              <w:t>年（含</w:t>
            </w:r>
            <w:r>
              <w:rPr>
                <w:rFonts w:ascii="Times New Roman" w:hAnsi="Times New Roman" w:cs="Times New Roman" w:eastAsia="Times New Roman" w:hint="default"/>
                <w:sz w:val="18"/>
                <w:szCs w:val="18"/>
              </w:rPr>
              <w:t>4</w:t>
            </w:r>
            <w:r>
              <w:rPr>
                <w:rFonts w:ascii="宋体" w:hAnsi="宋体" w:cs="宋体" w:eastAsia="宋体" w:hint="default"/>
                <w:sz w:val="18"/>
                <w:szCs w:val="18"/>
              </w:rPr>
              <w:t>年）</w:t>
            </w:r>
          </w:p>
        </w:tc>
        <w:tc>
          <w:tcPr>
            <w:tcW w:w="5021"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50.00%</w:t>
            </w:r>
          </w:p>
        </w:tc>
      </w:tr>
      <w:tr>
        <w:trPr>
          <w:trHeight w:val="432" w:hRule="exact"/>
        </w:trPr>
        <w:tc>
          <w:tcPr>
            <w:tcW w:w="376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49"/>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至</w:t>
            </w:r>
            <w:r>
              <w:rPr>
                <w:rFonts w:ascii="Times New Roman" w:hAnsi="Times New Roman" w:cs="Times New Roman" w:eastAsia="Times New Roman" w:hint="default"/>
                <w:sz w:val="18"/>
                <w:szCs w:val="18"/>
              </w:rPr>
              <w:t>5</w:t>
            </w:r>
            <w:r>
              <w:rPr>
                <w:rFonts w:ascii="宋体" w:hAnsi="宋体" w:cs="宋体" w:eastAsia="宋体" w:hint="default"/>
                <w:sz w:val="18"/>
                <w:szCs w:val="18"/>
              </w:rPr>
              <w:t>年（含</w:t>
            </w:r>
            <w:r>
              <w:rPr>
                <w:rFonts w:ascii="Times New Roman" w:hAnsi="Times New Roman" w:cs="Times New Roman" w:eastAsia="Times New Roman" w:hint="default"/>
                <w:sz w:val="18"/>
                <w:szCs w:val="18"/>
              </w:rPr>
              <w:t>5</w:t>
            </w:r>
            <w:r>
              <w:rPr>
                <w:rFonts w:ascii="宋体" w:hAnsi="宋体" w:cs="宋体" w:eastAsia="宋体" w:hint="default"/>
                <w:sz w:val="18"/>
                <w:szCs w:val="18"/>
              </w:rPr>
              <w:t>年）</w:t>
            </w:r>
          </w:p>
        </w:tc>
        <w:tc>
          <w:tcPr>
            <w:tcW w:w="5021"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80.00%</w:t>
            </w:r>
          </w:p>
        </w:tc>
      </w:tr>
      <w:tr>
        <w:trPr>
          <w:trHeight w:val="432" w:hRule="exact"/>
        </w:trPr>
        <w:tc>
          <w:tcPr>
            <w:tcW w:w="376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49"/>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年以上</w:t>
            </w:r>
          </w:p>
        </w:tc>
        <w:tc>
          <w:tcPr>
            <w:tcW w:w="5021"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100.00%</w:t>
            </w:r>
          </w:p>
        </w:tc>
      </w:tr>
    </w:tbl>
    <w:p>
      <w:pPr>
        <w:pStyle w:val="BodyText"/>
        <w:spacing w:line="408" w:lineRule="auto" w:before="64"/>
        <w:ind w:right="1128" w:firstLine="420"/>
        <w:jc w:val="both"/>
      </w:pPr>
      <w:r>
        <w:rPr>
          <w:spacing w:val="-2"/>
        </w:rPr>
        <w:t>对于划分为员工暂借款、应收退税款及合并范围内应收款项等无显著回收风险的应收款项，不计提预</w:t>
      </w:r>
      <w:r>
        <w:rPr>
          <w:w w:val="100"/>
        </w:rPr>
        <w:t> </w:t>
      </w:r>
      <w:r>
        <w:rPr/>
        <w:t>期信用损失准备。</w:t>
      </w:r>
    </w:p>
    <w:p>
      <w:pPr>
        <w:spacing w:line="240" w:lineRule="auto" w:before="8"/>
        <w:rPr>
          <w:rFonts w:ascii="宋体" w:hAnsi="宋体" w:cs="宋体" w:eastAsia="宋体" w:hint="default"/>
          <w:sz w:val="20"/>
          <w:szCs w:val="20"/>
        </w:rPr>
      </w:pPr>
    </w:p>
    <w:p>
      <w:pPr>
        <w:pStyle w:val="Heading4"/>
        <w:spacing w:line="240" w:lineRule="auto"/>
        <w:ind w:right="986"/>
        <w:jc w:val="left"/>
        <w:rPr>
          <w:b w:val="0"/>
          <w:bCs w:val="0"/>
        </w:rPr>
      </w:pPr>
      <w:bookmarkStart w:name="15、存货" w:id="186"/>
      <w:bookmarkEnd w:id="186"/>
      <w:r>
        <w:rPr>
          <w:b w:val="0"/>
          <w:bCs w:val="0"/>
        </w:rPr>
      </w:r>
      <w:r>
        <w:rPr>
          <w:rFonts w:ascii="Times New Roman" w:hAnsi="Times New Roman" w:cs="Times New Roman" w:eastAsia="Times New Roman" w:hint="default"/>
        </w:rPr>
        <w:t>15</w:t>
      </w:r>
      <w:r>
        <w:rPr/>
        <w:t>、存货</w:t>
      </w:r>
      <w:r>
        <w:rPr>
          <w:b w:val="0"/>
          <w:bCs w:val="0"/>
        </w:rPr>
      </w:r>
    </w:p>
    <w:p>
      <w:pPr>
        <w:spacing w:line="240" w:lineRule="auto" w:before="8"/>
        <w:rPr>
          <w:rFonts w:ascii="宋体" w:hAnsi="宋体" w:cs="宋体" w:eastAsia="宋体" w:hint="default"/>
          <w:b/>
          <w:bCs/>
          <w:sz w:val="30"/>
          <w:szCs w:val="30"/>
        </w:rPr>
      </w:pPr>
    </w:p>
    <w:p>
      <w:pPr>
        <w:pStyle w:val="BodyText"/>
        <w:spacing w:line="398" w:lineRule="auto" w:before="0"/>
        <w:ind w:left="572" w:right="2114"/>
        <w:jc w:val="left"/>
      </w:pPr>
      <w:r>
        <w:rPr>
          <w:rFonts w:ascii="Times New Roman" w:hAnsi="Times New Roman" w:cs="Times New Roman" w:eastAsia="Times New Roman" w:hint="default"/>
        </w:rPr>
        <w:t>1</w:t>
      </w:r>
      <w:r>
        <w:rPr/>
        <w:t>、存货的分类</w:t>
      </w:r>
      <w:r>
        <w:rPr>
          <w:w w:val="100"/>
        </w:rPr>
        <w:t> </w:t>
      </w:r>
      <w:r>
        <w:rPr>
          <w:spacing w:val="-2"/>
        </w:rPr>
        <w:t>本集团存货分为原材料、在产品、低值易耗品、库存商品、发出商品、工程施工等。</w:t>
      </w:r>
      <w:r>
        <w:rPr>
          <w:spacing w:val="-35"/>
        </w:rPr>
        <w:t> </w:t>
      </w:r>
      <w:r>
        <w:rPr>
          <w:spacing w:val="-35"/>
        </w:rPr>
      </w:r>
      <w:r>
        <w:rPr>
          <w:rFonts w:ascii="Times New Roman" w:hAnsi="Times New Roman" w:cs="Times New Roman" w:eastAsia="Times New Roman" w:hint="default"/>
        </w:rPr>
        <w:t>2</w:t>
      </w:r>
      <w:r>
        <w:rPr/>
        <w:t>、发出存货的计价方法</w:t>
      </w:r>
    </w:p>
    <w:p>
      <w:pPr>
        <w:pStyle w:val="BodyText"/>
        <w:spacing w:line="408" w:lineRule="auto" w:before="24"/>
        <w:ind w:right="1128" w:firstLine="419"/>
        <w:jc w:val="both"/>
      </w:pPr>
      <w:r>
        <w:rPr>
          <w:spacing w:val="-2"/>
        </w:rPr>
        <w:t>本集团存货取得时按实际成本计价。原材料、在产品、库存商品、发出商品等发出时采用加权平均法</w:t>
      </w:r>
      <w:r>
        <w:rPr>
          <w:w w:val="100"/>
        </w:rPr>
        <w:t> </w:t>
      </w:r>
      <w:r>
        <w:rPr/>
        <w:t>计价。</w:t>
      </w:r>
    </w:p>
    <w:p>
      <w:pPr>
        <w:pStyle w:val="BodyText"/>
        <w:spacing w:line="408" w:lineRule="auto"/>
        <w:ind w:right="986" w:firstLine="420"/>
        <w:jc w:val="left"/>
      </w:pPr>
      <w:r>
        <w:rPr/>
        <w:t>工程施工成本的具体核算方法为：按照单个项目为核算对象，分别归集所发生的实际施工成本，包括</w:t>
      </w:r>
      <w:r>
        <w:rPr>
          <w:w w:val="100"/>
        </w:rPr>
        <w:t> </w:t>
      </w:r>
      <w:r>
        <w:rPr>
          <w:spacing w:val="-5"/>
        </w:rPr>
        <w:t>材料、人工、其他费用等。资产负债表日，按照完工进度确认收入的同时结转该项目相应进度的项目成本。</w:t>
      </w:r>
    </w:p>
    <w:p>
      <w:pPr>
        <w:pStyle w:val="BodyText"/>
        <w:spacing w:line="386" w:lineRule="auto"/>
        <w:ind w:left="572" w:right="986"/>
        <w:jc w:val="left"/>
      </w:pPr>
      <w:r>
        <w:rPr>
          <w:rFonts w:ascii="Times New Roman" w:hAnsi="Times New Roman" w:cs="Times New Roman" w:eastAsia="Times New Roman" w:hint="default"/>
        </w:rPr>
        <w:t>3</w:t>
      </w:r>
      <w:r>
        <w:rPr/>
        <w:t>、存货可变现净值的确定依据及存货跌从准备的计提方法</w:t>
      </w:r>
      <w:r>
        <w:rPr>
          <w:w w:val="100"/>
        </w:rPr>
        <w:t> </w:t>
      </w:r>
      <w:r>
        <w:rPr>
          <w:spacing w:val="-2"/>
        </w:rPr>
        <w:t>存货可变现净值是按存货的估计售价减去至完工时估计将要发生的成本、估计的销售费用以及相关税</w:t>
      </w:r>
    </w:p>
    <w:p>
      <w:pPr>
        <w:pStyle w:val="BodyText"/>
        <w:spacing w:line="408" w:lineRule="auto" w:before="65"/>
        <w:ind w:right="986"/>
        <w:jc w:val="left"/>
      </w:pPr>
      <w:r>
        <w:rPr>
          <w:spacing w:val="-2"/>
        </w:rPr>
        <w:t>费后的金额。在确定存货的可变现净值时，以取得的确凿证据为基础，同时考虑持有存货的目的以及资产</w:t>
      </w:r>
      <w:r>
        <w:rPr>
          <w:spacing w:val="-43"/>
        </w:rPr>
        <w:t> </w:t>
      </w:r>
      <w:r>
        <w:rPr>
          <w:spacing w:val="-43"/>
        </w:rPr>
      </w:r>
      <w:r>
        <w:rPr/>
        <w:t>负债表日后事项的影响。</w:t>
      </w:r>
    </w:p>
    <w:p>
      <w:pPr>
        <w:pStyle w:val="BodyText"/>
        <w:spacing w:line="408" w:lineRule="auto"/>
        <w:ind w:right="1128" w:firstLine="420"/>
        <w:jc w:val="both"/>
      </w:pPr>
      <w:r>
        <w:rPr>
          <w:spacing w:val="-2"/>
        </w:rPr>
        <w:t>资产负债表日，存货成本高于其可变现净值的，计提存货跌价准备。本集团通常按照单个存货项目计</w:t>
      </w:r>
      <w:r>
        <w:rPr>
          <w:spacing w:val="-3"/>
          <w:w w:val="100"/>
        </w:rPr>
        <w:t> </w:t>
      </w:r>
      <w:r>
        <w:rPr>
          <w:spacing w:val="-2"/>
        </w:rPr>
        <w:t>提存货跌价准备，资产负债表日，以前减记存货价值的影响因素已经消失的，存货跌价准备在原已计提的</w:t>
      </w:r>
      <w:r>
        <w:rPr>
          <w:spacing w:val="-44"/>
        </w:rPr>
        <w:t> </w:t>
      </w:r>
      <w:r>
        <w:rPr>
          <w:spacing w:val="-44"/>
        </w:rPr>
      </w:r>
      <w:r>
        <w:rPr/>
        <w:t>金额内转回。</w:t>
      </w:r>
    </w:p>
    <w:p>
      <w:pPr>
        <w:pStyle w:val="BodyText"/>
        <w:spacing w:line="386" w:lineRule="auto"/>
        <w:ind w:left="572" w:right="6434"/>
        <w:jc w:val="left"/>
      </w:pPr>
      <w:r>
        <w:rPr>
          <w:rFonts w:ascii="Times New Roman" w:hAnsi="Times New Roman" w:cs="Times New Roman" w:eastAsia="Times New Roman" w:hint="default"/>
        </w:rPr>
        <w:t>4</w:t>
      </w:r>
      <w:r>
        <w:rPr/>
        <w:t>、存货的盘存制度</w:t>
      </w:r>
      <w:r>
        <w:rPr>
          <w:w w:val="100"/>
        </w:rPr>
        <w:t> </w:t>
      </w:r>
      <w:r>
        <w:rPr/>
        <w:t>本集团的存货盘存制度为永续盘存制。</w:t>
      </w:r>
    </w:p>
    <w:p>
      <w:pPr>
        <w:pStyle w:val="BodyText"/>
        <w:spacing w:line="324" w:lineRule="auto" w:before="65"/>
        <w:ind w:left="572" w:right="4273"/>
        <w:jc w:val="left"/>
      </w:pPr>
      <w:r>
        <w:rPr>
          <w:rFonts w:ascii="Times New Roman" w:hAnsi="Times New Roman" w:cs="Times New Roman" w:eastAsia="Times New Roman" w:hint="default"/>
        </w:rPr>
        <w:t>5</w:t>
      </w:r>
      <w:r>
        <w:rPr/>
        <w:t>、低值易耗品的摊销方法</w:t>
      </w:r>
      <w:r>
        <w:rPr>
          <w:spacing w:val="-3"/>
          <w:w w:val="100"/>
        </w:rPr>
        <w:t> </w:t>
      </w:r>
      <w:r>
        <w:rPr>
          <w:spacing w:val="-2"/>
        </w:rPr>
        <w:t>本集团低值易耗品领用时采用一次转销法摊销。</w:t>
      </w:r>
    </w:p>
    <w:p>
      <w:pPr>
        <w:spacing w:after="0" w:line="324" w:lineRule="auto"/>
        <w:jc w:val="left"/>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16、合同资产" w:id="187"/>
      <w:bookmarkEnd w:id="187"/>
      <w:r>
        <w:rPr>
          <w:b w:val="0"/>
          <w:bCs w:val="0"/>
        </w:rPr>
      </w:r>
      <w:r>
        <w:rPr>
          <w:rFonts w:ascii="Times New Roman" w:hAnsi="Times New Roman" w:cs="Times New Roman" w:eastAsia="Times New Roman" w:hint="default"/>
        </w:rPr>
        <w:t>16</w:t>
      </w:r>
      <w:r>
        <w:rPr/>
        <w:t>、合同资产</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17、合同成本" w:id="188"/>
      <w:bookmarkEnd w:id="188"/>
      <w:r>
        <w:rPr>
          <w:b w:val="0"/>
          <w:bCs w:val="0"/>
        </w:rPr>
      </w:r>
      <w:r>
        <w:rPr>
          <w:rFonts w:ascii="Times New Roman" w:hAnsi="Times New Roman" w:cs="Times New Roman" w:eastAsia="Times New Roman" w:hint="default"/>
        </w:rPr>
        <w:t>17</w:t>
      </w:r>
      <w:r>
        <w:rPr/>
        <w:t>、合同成本</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18、持有待售资产" w:id="189"/>
      <w:bookmarkEnd w:id="189"/>
      <w:r>
        <w:rPr>
          <w:b w:val="0"/>
          <w:bCs w:val="0"/>
        </w:rPr>
      </w:r>
      <w:r>
        <w:rPr>
          <w:rFonts w:ascii="Times New Roman" w:hAnsi="Times New Roman" w:cs="Times New Roman" w:eastAsia="Times New Roman" w:hint="default"/>
        </w:rPr>
        <w:t>18</w:t>
      </w:r>
      <w:r>
        <w:rPr/>
        <w:t>、持有待售资产</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19、债权投资" w:id="190"/>
      <w:bookmarkEnd w:id="190"/>
      <w:r>
        <w:rPr>
          <w:b w:val="0"/>
          <w:bCs w:val="0"/>
        </w:rPr>
      </w:r>
      <w:r>
        <w:rPr>
          <w:rFonts w:ascii="Times New Roman" w:hAnsi="Times New Roman" w:cs="Times New Roman" w:eastAsia="Times New Roman" w:hint="default"/>
        </w:rPr>
        <w:t>19</w:t>
      </w:r>
      <w:r>
        <w:rPr/>
        <w:t>、债权投资</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20、其他债权投资" w:id="191"/>
      <w:bookmarkEnd w:id="191"/>
      <w:r>
        <w:rPr>
          <w:b w:val="0"/>
          <w:bCs w:val="0"/>
        </w:rPr>
      </w:r>
      <w:r>
        <w:rPr>
          <w:rFonts w:ascii="Times New Roman" w:hAnsi="Times New Roman" w:cs="Times New Roman" w:eastAsia="Times New Roman" w:hint="default"/>
        </w:rPr>
        <w:t>20</w:t>
      </w:r>
      <w:r>
        <w:rPr/>
        <w:t>、其他债权投资</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21、长期应收款" w:id="192"/>
      <w:bookmarkEnd w:id="192"/>
      <w:r>
        <w:rPr>
          <w:b w:val="0"/>
          <w:bCs w:val="0"/>
        </w:rPr>
      </w:r>
      <w:r>
        <w:rPr>
          <w:rFonts w:ascii="Times New Roman" w:hAnsi="Times New Roman" w:cs="Times New Roman" w:eastAsia="Times New Roman" w:hint="default"/>
        </w:rPr>
        <w:t>21</w:t>
      </w:r>
      <w:r>
        <w:rPr/>
        <w:t>、长期应收款</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pStyle w:val="BodyText"/>
        <w:spacing w:line="692" w:lineRule="exact" w:before="47"/>
        <w:ind w:left="572" w:right="986" w:hanging="420"/>
        <w:jc w:val="left"/>
      </w:pPr>
      <w:bookmarkStart w:name="22、长期股权投资" w:id="193"/>
      <w:bookmarkEnd w:id="193"/>
      <w:r>
        <w:rPr/>
      </w:r>
      <w:r>
        <w:rPr>
          <w:rFonts w:ascii="Times New Roman" w:hAnsi="Times New Roman" w:cs="Times New Roman" w:eastAsia="Times New Roman" w:hint="default"/>
          <w:b/>
          <w:bCs/>
        </w:rPr>
        <w:t>22</w:t>
      </w:r>
      <w:r>
        <w:rPr>
          <w:rFonts w:ascii="宋体" w:hAnsi="宋体" w:cs="宋体" w:eastAsia="宋体" w:hint="default"/>
          <w:b/>
          <w:bCs/>
        </w:rPr>
        <w:t>、长期股权投资</w:t>
      </w:r>
      <w:r>
        <w:rPr>
          <w:rFonts w:ascii="宋体" w:hAnsi="宋体" w:cs="宋体" w:eastAsia="宋体" w:hint="default"/>
          <w:b/>
          <w:bCs/>
          <w:w w:val="100"/>
        </w:rPr>
        <w:t> </w:t>
      </w:r>
      <w:r>
        <w:rPr>
          <w:spacing w:val="-2"/>
        </w:rPr>
        <w:t>长期股权投资包括对子公司、合营企业和联营企业的权益性投资。本集团能够对被投资单位施加重大</w:t>
      </w:r>
    </w:p>
    <w:p>
      <w:pPr>
        <w:pStyle w:val="BodyText"/>
        <w:spacing w:line="240" w:lineRule="auto" w:before="84"/>
        <w:ind w:right="986"/>
        <w:jc w:val="left"/>
      </w:pPr>
      <w:r>
        <w:rPr/>
        <w:t>影响的，为本集团的联营企业。</w:t>
      </w:r>
    </w:p>
    <w:p>
      <w:pPr>
        <w:spacing w:line="240" w:lineRule="auto" w:before="10"/>
        <w:rPr>
          <w:rFonts w:ascii="宋体" w:hAnsi="宋体" w:cs="宋体" w:eastAsia="宋体" w:hint="default"/>
          <w:sz w:val="14"/>
          <w:szCs w:val="14"/>
        </w:rPr>
      </w:pPr>
    </w:p>
    <w:p>
      <w:pPr>
        <w:pStyle w:val="BodyText"/>
        <w:spacing w:line="386" w:lineRule="auto" w:before="0"/>
        <w:ind w:left="572" w:right="986" w:firstLine="105"/>
        <w:jc w:val="left"/>
      </w:pPr>
      <w:r>
        <w:rPr>
          <w:rFonts w:ascii="Times New Roman" w:hAnsi="Times New Roman" w:cs="Times New Roman" w:eastAsia="Times New Roman" w:hint="default"/>
        </w:rPr>
        <w:t>1</w:t>
      </w:r>
      <w:r>
        <w:rPr/>
        <w:t>、初始投资成本确定</w:t>
      </w:r>
      <w:r>
        <w:rPr>
          <w:spacing w:val="-3"/>
          <w:w w:val="100"/>
        </w:rPr>
        <w:t> </w:t>
      </w:r>
      <w:r>
        <w:rPr>
          <w:spacing w:val="-2"/>
        </w:rPr>
        <w:t>形成企业合并的长期股权投资：同一控制下企业合并取得的长期股权投资，在合并日按照取得被合并</w:t>
      </w:r>
    </w:p>
    <w:p>
      <w:pPr>
        <w:pStyle w:val="BodyText"/>
        <w:spacing w:line="408" w:lineRule="auto" w:before="65"/>
        <w:ind w:right="986"/>
        <w:jc w:val="left"/>
      </w:pPr>
      <w:r>
        <w:rPr>
          <w:spacing w:val="-2"/>
        </w:rPr>
        <w:t>方所有者权益在最终控制方合并财务报表中的账面价值份额作为投资成本；非同一控制下企业合并取得的</w:t>
      </w:r>
      <w:r>
        <w:rPr>
          <w:spacing w:val="-42"/>
        </w:rPr>
        <w:t> </w:t>
      </w:r>
      <w:r>
        <w:rPr>
          <w:spacing w:val="-42"/>
        </w:rPr>
      </w:r>
      <w:r>
        <w:rPr/>
        <w:t>长期股权投资，按照合并成本作为长期股权投资的投资成本。</w:t>
      </w:r>
      <w:r>
        <w:rPr>
          <w:w w:val="100"/>
        </w:rPr>
        <w:t> </w:t>
      </w:r>
      <w:r>
        <w:rPr>
          <w:spacing w:val="-2"/>
        </w:rPr>
        <w:t>对于其他方式取得的长期股权投资：支付现金取得的长期股权投资，按照实际支付的购买价款作为初始投</w:t>
      </w:r>
      <w:r>
        <w:rPr>
          <w:spacing w:val="-42"/>
        </w:rPr>
        <w:t> </w:t>
      </w:r>
      <w:r>
        <w:rPr>
          <w:spacing w:val="-42"/>
        </w:rPr>
      </w:r>
      <w:r>
        <w:rPr/>
        <w:t>资成本；发行权益性证券取得的长期股权投资，以发行权益性证券的公允价值作为初始投资成本。</w:t>
      </w:r>
    </w:p>
    <w:p>
      <w:pPr>
        <w:pStyle w:val="BodyText"/>
        <w:spacing w:line="386" w:lineRule="auto"/>
        <w:ind w:left="572" w:right="986" w:firstLine="105"/>
        <w:jc w:val="left"/>
      </w:pPr>
      <w:r>
        <w:rPr>
          <w:rFonts w:ascii="Times New Roman" w:hAnsi="Times New Roman" w:cs="Times New Roman" w:eastAsia="Times New Roman" w:hint="default"/>
        </w:rPr>
        <w:t>2</w:t>
      </w:r>
      <w:r>
        <w:rPr/>
        <w:t>、后续计量及损益确认方法</w:t>
      </w:r>
      <w:r>
        <w:rPr>
          <w:spacing w:val="-3"/>
          <w:w w:val="100"/>
        </w:rPr>
        <w:t> </w:t>
      </w:r>
      <w:r>
        <w:rPr>
          <w:spacing w:val="-2"/>
        </w:rPr>
        <w:t>对子公司的投资，采用成本法核算，除非投资符合持有待售的条件；对联营企业和合营企业的投资，</w:t>
      </w:r>
    </w:p>
    <w:p>
      <w:pPr>
        <w:pStyle w:val="BodyText"/>
        <w:spacing w:line="408" w:lineRule="auto" w:before="65"/>
        <w:ind w:left="572" w:right="986" w:hanging="421"/>
        <w:jc w:val="left"/>
      </w:pPr>
      <w:r>
        <w:rPr/>
        <w:t>采用权益法核算。</w:t>
      </w:r>
      <w:r>
        <w:rPr>
          <w:w w:val="100"/>
        </w:rPr>
        <w:t> </w:t>
      </w:r>
      <w:r>
        <w:rPr>
          <w:spacing w:val="-2"/>
        </w:rPr>
        <w:t>采用成本法核算的长期股权投资，除取得投资时实际支付的价款或对价中包含的已宣告但尚未发放的</w:t>
      </w:r>
    </w:p>
    <w:p>
      <w:pPr>
        <w:pStyle w:val="BodyText"/>
        <w:spacing w:line="240" w:lineRule="auto"/>
        <w:ind w:right="986"/>
        <w:jc w:val="left"/>
      </w:pPr>
      <w:r>
        <w:rPr/>
        <w:t>现金股利或利润外，被投资单位宣告分派的现金股利或利润，确认为投资收益计入当期损益。</w:t>
      </w:r>
    </w:p>
    <w:p>
      <w:pPr>
        <w:spacing w:after="0" w:line="240"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986" w:firstLine="420"/>
        <w:jc w:val="left"/>
      </w:pPr>
      <w:r>
        <w:rPr>
          <w:spacing w:val="-2"/>
        </w:rPr>
        <w:t>采用权益法核算的长期股权投资，初始投资成本大于投资时应享有被投资单位可辨认净资产公允价值</w:t>
      </w:r>
      <w:r>
        <w:rPr>
          <w:w w:val="100"/>
        </w:rPr>
        <w:t> </w:t>
      </w:r>
      <w:r>
        <w:rPr>
          <w:spacing w:val="-2"/>
        </w:rPr>
        <w:t>份额的，不调整长期股权投资的投资成本；初始投资成本小于投资时应享有被投资单位可辨认净资产公允</w:t>
      </w:r>
      <w:r>
        <w:rPr>
          <w:spacing w:val="-42"/>
        </w:rPr>
        <w:t> </w:t>
      </w:r>
      <w:r>
        <w:rPr>
          <w:spacing w:val="-42"/>
        </w:rPr>
      </w:r>
      <w:r>
        <w:rPr/>
        <w:t>价值份额的，对长期股权投资的账面价值进行调整，差额计入投资当期的损益。</w:t>
      </w:r>
      <w:r>
        <w:rPr>
          <w:w w:val="100"/>
        </w:rPr>
        <w:t> </w:t>
      </w:r>
      <w:r>
        <w:rPr>
          <w:spacing w:val="-2"/>
        </w:rPr>
        <w:t>采用权益法核算时，按照应享有或应分担的被投资单位实现的净损益和其他综合收益的份额，分别确认投</w:t>
      </w:r>
      <w:r>
        <w:rPr>
          <w:spacing w:val="-42"/>
        </w:rPr>
        <w:t> </w:t>
      </w:r>
      <w:r>
        <w:rPr>
          <w:spacing w:val="-42"/>
        </w:rPr>
      </w:r>
      <w:r>
        <w:rPr>
          <w:spacing w:val="-2"/>
        </w:rPr>
        <w:t>资收益和其他综合收益，同时调整长期股权投资的账面价值；按照被投资单位宣告分派的利润或现金股利</w:t>
      </w:r>
      <w:r>
        <w:rPr>
          <w:spacing w:val="-42"/>
        </w:rPr>
        <w:t> </w:t>
      </w:r>
      <w:r>
        <w:rPr>
          <w:spacing w:val="-42"/>
        </w:rPr>
      </w:r>
      <w:r>
        <w:rPr>
          <w:spacing w:val="-2"/>
        </w:rPr>
        <w:t>计算应享有的部分，相应减少长期股权投资的账面价值；被投资单位除净损益、其他综合收益和利润分配</w:t>
      </w:r>
      <w:r>
        <w:rPr>
          <w:spacing w:val="-43"/>
        </w:rPr>
        <w:t> </w:t>
      </w:r>
      <w:r>
        <w:rPr>
          <w:spacing w:val="-43"/>
        </w:rPr>
      </w:r>
      <w:r>
        <w:rPr>
          <w:spacing w:val="-2"/>
        </w:rPr>
        <w:t>以外所有者权益的其他变动，调整长期股权投资的账面价值并计入资本公积（其他资本公积）。在确认应</w:t>
      </w:r>
      <w:r>
        <w:rPr>
          <w:spacing w:val="-44"/>
        </w:rPr>
        <w:t> </w:t>
      </w:r>
      <w:r>
        <w:rPr>
          <w:spacing w:val="-44"/>
        </w:rPr>
      </w:r>
      <w:r>
        <w:rPr>
          <w:spacing w:val="-2"/>
        </w:rPr>
        <w:t>享有被投资单位净损益的份额时，以取得投资时被投资单位各项可辨认资产等的公允价值为基础，并按照</w:t>
      </w:r>
      <w:r>
        <w:rPr>
          <w:spacing w:val="-42"/>
        </w:rPr>
        <w:t> </w:t>
      </w:r>
      <w:r>
        <w:rPr>
          <w:spacing w:val="-42"/>
        </w:rPr>
      </w:r>
      <w:r>
        <w:rPr/>
        <w:t>本集团的会计政策及会计期间，对被投资单位的净利润进行调整后确认。</w:t>
      </w:r>
    </w:p>
    <w:p>
      <w:pPr>
        <w:pStyle w:val="BodyText"/>
        <w:spacing w:line="408" w:lineRule="auto"/>
        <w:ind w:right="1128" w:firstLine="420"/>
        <w:jc w:val="both"/>
      </w:pPr>
      <w:r>
        <w:rPr>
          <w:spacing w:val="-2"/>
        </w:rPr>
        <w:t>因追加投资等原因能够对被投资单位施加重大影响或实施共同控制但不构成控制的，在转换日，按照</w:t>
      </w:r>
      <w:r>
        <w:rPr>
          <w:w w:val="100"/>
        </w:rPr>
        <w:t> </w:t>
      </w:r>
      <w:r>
        <w:rPr>
          <w:spacing w:val="-2"/>
        </w:rPr>
        <w:t>原股权的公允价值加上新增投资成本之和，作为改按权益法核算的初始投资成本。原股权于转换日的公允</w:t>
      </w:r>
      <w:r>
        <w:rPr>
          <w:spacing w:val="-42"/>
        </w:rPr>
        <w:t> </w:t>
      </w:r>
      <w:r>
        <w:rPr>
          <w:spacing w:val="-42"/>
        </w:rPr>
      </w:r>
      <w:r>
        <w:rPr>
          <w:spacing w:val="-2"/>
        </w:rPr>
        <w:t>价值与账面价值之间的差额，以及原计入其他综合收益的累计公允价值变动转入改按权益法核算的当期损</w:t>
      </w:r>
      <w:r>
        <w:rPr>
          <w:spacing w:val="-42"/>
        </w:rPr>
        <w:t> </w:t>
      </w:r>
      <w:r>
        <w:rPr>
          <w:spacing w:val="-42"/>
        </w:rPr>
      </w:r>
      <w:r>
        <w:rPr/>
        <w:t>益。</w:t>
      </w:r>
    </w:p>
    <w:p>
      <w:pPr>
        <w:pStyle w:val="BodyText"/>
        <w:spacing w:line="403" w:lineRule="auto"/>
        <w:ind w:right="1127" w:firstLine="420"/>
        <w:jc w:val="both"/>
      </w:pPr>
      <w:r>
        <w:rPr>
          <w:spacing w:val="-2"/>
        </w:rPr>
        <w:t>因处置部分股权投资等原因丧失了对被投资单位的共同控制或重大影响的，处置后的剩余股权在丧失</w:t>
      </w:r>
      <w:r>
        <w:rPr>
          <w:w w:val="100"/>
        </w:rPr>
        <w:t> </w:t>
      </w:r>
      <w:r>
        <w:rPr>
          <w:spacing w:val="-2"/>
        </w:rPr>
        <w:t>共同控制或重大影响之日改按《企业会计准则第</w:t>
      </w:r>
      <w:r>
        <w:rPr>
          <w:rFonts w:ascii="Times New Roman" w:hAnsi="Times New Roman" w:cs="Times New Roman" w:eastAsia="Times New Roman" w:hint="default"/>
          <w:spacing w:val="-2"/>
        </w:rPr>
        <w:t>22</w:t>
      </w:r>
      <w:r>
        <w:rPr>
          <w:spacing w:val="-2"/>
        </w:rPr>
        <w:t>号</w:t>
      </w:r>
      <w:r>
        <w:rPr>
          <w:rFonts w:ascii="Times New Roman" w:hAnsi="Times New Roman" w:cs="Times New Roman" w:eastAsia="Times New Roman" w:hint="default"/>
          <w:spacing w:val="-2"/>
        </w:rPr>
        <w:t>—</w:t>
      </w:r>
      <w:r>
        <w:rPr>
          <w:spacing w:val="-2"/>
        </w:rPr>
        <w:t>金融工具确认和计量》进行会计处理，公允价值与</w:t>
      </w:r>
      <w:r>
        <w:rPr>
          <w:spacing w:val="-41"/>
        </w:rPr>
        <w:t> </w:t>
      </w:r>
      <w:r>
        <w:rPr>
          <w:spacing w:val="-41"/>
        </w:rPr>
      </w:r>
      <w:r>
        <w:rPr>
          <w:spacing w:val="-2"/>
        </w:rPr>
        <w:t>账面价值之间的差额计入当期损益。原股权投资因采用权益法核算而确认的其他综合收益，在终止采用权</w:t>
      </w:r>
      <w:r>
        <w:rPr>
          <w:spacing w:val="-42"/>
        </w:rPr>
        <w:t> </w:t>
      </w:r>
      <w:r>
        <w:rPr>
          <w:spacing w:val="-42"/>
        </w:rPr>
      </w:r>
      <w:r>
        <w:rPr>
          <w:spacing w:val="-2"/>
        </w:rPr>
        <w:t>益法核算时采用与被投资单位直接处置相关资产或负债相同的基础进行会计处理；原股权投资相关的其他</w:t>
      </w:r>
      <w:r>
        <w:rPr>
          <w:spacing w:val="-43"/>
        </w:rPr>
        <w:t> </w:t>
      </w:r>
      <w:r>
        <w:rPr>
          <w:spacing w:val="-43"/>
        </w:rPr>
      </w:r>
      <w:r>
        <w:rPr/>
        <w:t>所有者权益变动转入当期损益。</w:t>
      </w:r>
    </w:p>
    <w:p>
      <w:pPr>
        <w:pStyle w:val="BodyText"/>
        <w:spacing w:line="403" w:lineRule="auto" w:before="50"/>
        <w:ind w:right="986" w:firstLine="420"/>
        <w:jc w:val="left"/>
      </w:pPr>
      <w:r>
        <w:rPr/>
        <w:t>因处置部分股权投资等原因丧失了对被投资单位的控制的，处置后的剩余股权能够对被投资单位实施</w:t>
      </w:r>
      <w:r>
        <w:rPr>
          <w:w w:val="100"/>
        </w:rPr>
        <w:t> </w:t>
      </w:r>
      <w:r>
        <w:rPr>
          <w:spacing w:val="-5"/>
        </w:rPr>
        <w:t>共同控制或施加重大影响的，改按权益法核算，并对该剩余股权视同自取得时即采用权益法核算进行调整； </w:t>
      </w:r>
      <w:r>
        <w:rPr>
          <w:spacing w:val="-5"/>
        </w:rPr>
      </w:r>
      <w:r>
        <w:rPr>
          <w:spacing w:val="-2"/>
        </w:rPr>
        <w:t>处置后的剩余股权不能对被投资单位实施共同控制或施加重大影响的，改按《企业会计准则第</w:t>
      </w:r>
      <w:r>
        <w:rPr>
          <w:rFonts w:ascii="Times New Roman" w:hAnsi="Times New Roman" w:cs="Times New Roman" w:eastAsia="Times New Roman" w:hint="default"/>
          <w:spacing w:val="-2"/>
        </w:rPr>
        <w:t>22</w:t>
      </w:r>
      <w:r>
        <w:rPr>
          <w:spacing w:val="-2"/>
        </w:rPr>
        <w:t>号</w:t>
      </w:r>
      <w:r>
        <w:rPr>
          <w:rFonts w:ascii="Times New Roman" w:hAnsi="Times New Roman" w:cs="Times New Roman" w:eastAsia="Times New Roman" w:hint="default"/>
          <w:spacing w:val="-2"/>
        </w:rPr>
        <w:t>—</w:t>
      </w:r>
      <w:r>
        <w:rPr>
          <w:spacing w:val="-2"/>
        </w:rPr>
        <w:t>金融</w:t>
      </w:r>
      <w:r>
        <w:rPr>
          <w:spacing w:val="-40"/>
        </w:rPr>
        <w:t> </w:t>
      </w:r>
      <w:r>
        <w:rPr>
          <w:spacing w:val="-2"/>
        </w:rPr>
        <w:t>工具确认和计量》的有关规定进行会计处理，其在丧失控制之日的公允价值与账面价值之间的差额计入当</w:t>
      </w:r>
      <w:r>
        <w:rPr>
          <w:spacing w:val="-42"/>
        </w:rPr>
        <w:t> </w:t>
      </w:r>
      <w:r>
        <w:rPr>
          <w:spacing w:val="-42"/>
        </w:rPr>
      </w:r>
      <w:r>
        <w:rPr/>
        <w:t>期损益。</w:t>
      </w:r>
    </w:p>
    <w:p>
      <w:pPr>
        <w:pStyle w:val="BodyText"/>
        <w:spacing w:line="408" w:lineRule="auto" w:before="50"/>
        <w:ind w:right="1128" w:firstLine="420"/>
        <w:jc w:val="both"/>
      </w:pPr>
      <w:r>
        <w:rPr>
          <w:spacing w:val="-2"/>
        </w:rPr>
        <w:t>因其他投资方增资而导致本公司持股比例下降、从而丧失控制权但能对被投资单位实施共同控制或施</w:t>
      </w:r>
      <w:r>
        <w:rPr>
          <w:w w:val="100"/>
        </w:rPr>
        <w:t> </w:t>
      </w:r>
      <w:r>
        <w:rPr>
          <w:spacing w:val="-2"/>
        </w:rPr>
        <w:t>加重大影响的，按照新的持股比例确认本公司应享有的被投资单位因增资扩股而增加净资产的份额，与应</w:t>
      </w:r>
      <w:r>
        <w:rPr>
          <w:spacing w:val="-42"/>
        </w:rPr>
        <w:t> </w:t>
      </w:r>
      <w:r>
        <w:rPr>
          <w:spacing w:val="-42"/>
        </w:rPr>
      </w:r>
      <w:r>
        <w:rPr>
          <w:spacing w:val="-2"/>
        </w:rPr>
        <w:t>结转持股比例下降部分所对应的长期股权投资原账面价值之间的差额计入当期损益；然后，按照新的持股</w:t>
      </w:r>
      <w:r>
        <w:rPr>
          <w:spacing w:val="-42"/>
        </w:rPr>
        <w:t> </w:t>
      </w:r>
      <w:r>
        <w:rPr>
          <w:spacing w:val="-42"/>
        </w:rPr>
      </w:r>
      <w:r>
        <w:rPr/>
        <w:t>比例视同自取得投资时即采用权益法核算进行调整。</w:t>
      </w:r>
    </w:p>
    <w:p>
      <w:pPr>
        <w:pStyle w:val="BodyText"/>
        <w:spacing w:line="408" w:lineRule="auto"/>
        <w:ind w:right="1130" w:firstLine="420"/>
        <w:jc w:val="both"/>
      </w:pPr>
      <w:r>
        <w:rPr>
          <w:spacing w:val="2"/>
        </w:rPr>
        <w:t>本集团与联营企业及合营企业之间发生的未实现内部交易损益按照持股比例计算归属于本集团的部</w:t>
      </w:r>
      <w:r>
        <w:rPr>
          <w:w w:val="100"/>
        </w:rPr>
        <w:t> </w:t>
      </w:r>
      <w:r>
        <w:rPr>
          <w:spacing w:val="-2"/>
        </w:rPr>
        <w:t>分，在抵销基础上确认投资损益。但本集团与被投资单位发生的未实现内部交易损失，属于所转让资产减</w:t>
      </w:r>
      <w:r>
        <w:rPr>
          <w:spacing w:val="-46"/>
        </w:rPr>
        <w:t> </w:t>
      </w:r>
      <w:r>
        <w:rPr>
          <w:spacing w:val="-46"/>
        </w:rPr>
      </w:r>
      <w:r>
        <w:rPr/>
        <w:t>值损失的，不予以抵销。</w:t>
      </w:r>
    </w:p>
    <w:p>
      <w:pPr>
        <w:spacing w:after="0" w:line="408" w:lineRule="auto"/>
        <w:jc w:val="both"/>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386" w:lineRule="auto" w:before="175"/>
        <w:ind w:left="572" w:right="986"/>
        <w:jc w:val="left"/>
      </w:pPr>
      <w:r>
        <w:rPr>
          <w:rFonts w:ascii="Times New Roman" w:hAnsi="Times New Roman" w:cs="Times New Roman" w:eastAsia="Times New Roman" w:hint="default"/>
        </w:rPr>
        <w:t>3</w:t>
      </w:r>
      <w:r>
        <w:rPr/>
        <w:t>、确定对被投资单位具有共同控制、重大影响的依据</w:t>
      </w:r>
      <w:r>
        <w:rPr>
          <w:spacing w:val="-3"/>
          <w:w w:val="100"/>
        </w:rPr>
        <w:t> </w:t>
      </w:r>
      <w:r>
        <w:rPr>
          <w:spacing w:val="-2"/>
        </w:rPr>
        <w:t>共同控制，是指按照相关约定对某项安排所共有的控制，并且该安排的相关活动必须经过分享控制权</w:t>
      </w:r>
    </w:p>
    <w:p>
      <w:pPr>
        <w:pStyle w:val="BodyText"/>
        <w:spacing w:line="408" w:lineRule="auto" w:before="65"/>
        <w:ind w:right="1106"/>
        <w:jc w:val="both"/>
      </w:pPr>
      <w:r>
        <w:rPr>
          <w:spacing w:val="-2"/>
        </w:rPr>
        <w:t>的参与方一致同意后才能决策。在判断是否存在共同控制时，首先判断是否由所有参与方或参与方组合集</w:t>
      </w:r>
      <w:r>
        <w:rPr>
          <w:spacing w:val="-42"/>
        </w:rPr>
        <w:t> </w:t>
      </w:r>
      <w:r>
        <w:rPr>
          <w:spacing w:val="-42"/>
        </w:rPr>
      </w:r>
      <w:r>
        <w:rPr>
          <w:spacing w:val="-2"/>
        </w:rPr>
        <w:t>体控制该安排，其次再判断该安排相关活动的决策是否必须经过这些集体控制该安排的参与方一致同意。</w:t>
      </w:r>
      <w:r>
        <w:rPr>
          <w:spacing w:val="-21"/>
        </w:rPr>
        <w:t> </w:t>
      </w:r>
      <w:r>
        <w:rPr>
          <w:spacing w:val="-21"/>
        </w:rPr>
      </w:r>
      <w:r>
        <w:rPr>
          <w:spacing w:val="-2"/>
        </w:rPr>
        <w:t>如果所有参与方或一组参与方必须一致行动才能决定某项安排的相关活动，则认为所有参与方或一组参与</w:t>
      </w:r>
      <w:r>
        <w:rPr>
          <w:spacing w:val="-42"/>
        </w:rPr>
        <w:t> </w:t>
      </w:r>
      <w:r>
        <w:rPr>
          <w:spacing w:val="-42"/>
        </w:rPr>
      </w:r>
      <w:r>
        <w:rPr>
          <w:spacing w:val="-2"/>
        </w:rPr>
        <w:t>方集体控制该安排；如果存在两个或两个以上的参与方组合能够集体控制某项安排的，不构成共同控制。</w:t>
      </w:r>
      <w:r>
        <w:rPr>
          <w:spacing w:val="-21"/>
        </w:rPr>
        <w:t> </w:t>
      </w:r>
      <w:r>
        <w:rPr>
          <w:spacing w:val="-21"/>
        </w:rPr>
      </w:r>
      <w:r>
        <w:rPr/>
        <w:t>判断是否存在共同控制时，不考虑享有的保护性权利。</w:t>
      </w:r>
    </w:p>
    <w:p>
      <w:pPr>
        <w:pStyle w:val="BodyText"/>
        <w:spacing w:line="408" w:lineRule="auto"/>
        <w:ind w:right="1128" w:firstLine="420"/>
        <w:jc w:val="both"/>
      </w:pPr>
      <w:r>
        <w:rPr>
          <w:spacing w:val="-2"/>
        </w:rPr>
        <w:t>重大影响，是指投资方对被投资单位的财务和经营政策有参与决策的权力，但并不能够控制或者与其</w:t>
      </w:r>
      <w:r>
        <w:rPr>
          <w:w w:val="100"/>
        </w:rPr>
        <w:t> </w:t>
      </w:r>
      <w:r>
        <w:rPr>
          <w:spacing w:val="-2"/>
        </w:rPr>
        <w:t>他方一起共同控制这些政策的制定。在确定能否对被投资单位施加重大影响时，考虑投资方直接或间接持</w:t>
      </w:r>
      <w:r>
        <w:rPr>
          <w:spacing w:val="-42"/>
        </w:rPr>
        <w:t> </w:t>
      </w:r>
      <w:r>
        <w:rPr>
          <w:spacing w:val="-42"/>
        </w:rPr>
      </w:r>
      <w:r>
        <w:rPr>
          <w:spacing w:val="2"/>
        </w:rPr>
        <w:t>有被投资单位的表决权股份以及投资方及其他方持有的当期可执行潜在表决权在假定转换为对被投资方</w:t>
      </w:r>
      <w:r>
        <w:rPr>
          <w:spacing w:val="-28"/>
        </w:rPr>
        <w:t> </w:t>
      </w:r>
      <w:r>
        <w:rPr>
          <w:spacing w:val="-28"/>
        </w:rPr>
      </w:r>
      <w:r>
        <w:rPr>
          <w:spacing w:val="-2"/>
        </w:rPr>
        <w:t>单位的股权后产生的影响，包括被投资单位发行的当期可转换的认股权证、股份期权及可转换公司债券等</w:t>
      </w:r>
      <w:r>
        <w:rPr>
          <w:spacing w:val="-42"/>
        </w:rPr>
        <w:t> </w:t>
      </w:r>
      <w:r>
        <w:rPr>
          <w:spacing w:val="-42"/>
        </w:rPr>
      </w:r>
      <w:r>
        <w:rPr/>
        <w:t>的影响。</w:t>
      </w:r>
    </w:p>
    <w:p>
      <w:pPr>
        <w:pStyle w:val="BodyText"/>
        <w:spacing w:line="393" w:lineRule="auto"/>
        <w:ind w:right="1109" w:firstLine="420"/>
        <w:jc w:val="both"/>
      </w:pPr>
      <w:r>
        <w:rPr/>
        <w:t>当本公司直接或通过子公司间接拥有被投资单位</w:t>
      </w:r>
      <w:r>
        <w:rPr>
          <w:rFonts w:ascii="Times New Roman" w:hAnsi="Times New Roman" w:cs="Times New Roman" w:eastAsia="Times New Roman" w:hint="default"/>
        </w:rPr>
        <w:t>20%</w:t>
      </w:r>
      <w:r>
        <w:rPr/>
        <w:t>（含</w:t>
      </w:r>
      <w:r>
        <w:rPr>
          <w:rFonts w:ascii="Times New Roman" w:hAnsi="Times New Roman" w:cs="Times New Roman" w:eastAsia="Times New Roman" w:hint="default"/>
        </w:rPr>
        <w:t>20%</w:t>
      </w:r>
      <w:r>
        <w:rPr/>
        <w:t>）以上但低于</w:t>
      </w:r>
      <w:r>
        <w:rPr>
          <w:rFonts w:ascii="Times New Roman" w:hAnsi="Times New Roman" w:cs="Times New Roman" w:eastAsia="Times New Roman" w:hint="default"/>
        </w:rPr>
        <w:t>50%</w:t>
      </w:r>
      <w:r>
        <w:rPr/>
        <w:t>的表决权股份时，一</w:t>
      </w:r>
      <w:r>
        <w:rPr>
          <w:w w:val="100"/>
        </w:rPr>
        <w:t> </w:t>
      </w:r>
      <w:r>
        <w:rPr>
          <w:spacing w:val="2"/>
        </w:rPr>
        <w:t>般认为对被投资单位具有重大影响，除非有明确证据表明该种情况下不能参与被投资单位的生产经营决</w:t>
      </w:r>
      <w:r>
        <w:rPr>
          <w:spacing w:val="-28"/>
        </w:rPr>
        <w:t> </w:t>
      </w:r>
      <w:r>
        <w:rPr>
          <w:spacing w:val="-28"/>
        </w:rPr>
      </w:r>
      <w:r>
        <w:rPr>
          <w:spacing w:val="-2"/>
        </w:rPr>
        <w:t>策，不形成重大影响；本集团拥有被投资单位</w:t>
      </w:r>
      <w:r>
        <w:rPr>
          <w:rFonts w:ascii="Times New Roman" w:hAnsi="Times New Roman" w:cs="Times New Roman" w:eastAsia="Times New Roman" w:hint="default"/>
          <w:spacing w:val="-2"/>
        </w:rPr>
        <w:t>20%</w:t>
      </w:r>
      <w:r>
        <w:rPr>
          <w:spacing w:val="-2"/>
        </w:rPr>
        <w:t>（不含）以下的表决权股份时，一般不认为对被投资单</w:t>
      </w:r>
      <w:r>
        <w:rPr>
          <w:spacing w:val="-5"/>
        </w:rPr>
        <w:t> </w:t>
      </w:r>
      <w:r>
        <w:rPr>
          <w:spacing w:val="-5"/>
        </w:rPr>
      </w:r>
      <w:r>
        <w:rPr>
          <w:spacing w:val="-2"/>
        </w:rPr>
        <w:t>位具有重大影响，除非有明确证据表明该种情况下能够参与被投资单位的生产经营决策，形成重大影响。</w:t>
      </w:r>
    </w:p>
    <w:p>
      <w:pPr>
        <w:pStyle w:val="BodyText"/>
        <w:spacing w:line="386" w:lineRule="auto" w:before="59"/>
        <w:ind w:left="572" w:right="986" w:hanging="1"/>
        <w:jc w:val="left"/>
      </w:pPr>
      <w:r>
        <w:rPr>
          <w:rFonts w:ascii="Times New Roman" w:hAnsi="Times New Roman" w:cs="Times New Roman" w:eastAsia="Times New Roman" w:hint="default"/>
        </w:rPr>
        <w:t>4</w:t>
      </w:r>
      <w:r>
        <w:rPr/>
        <w:t>、减值测试方法及减值准备计提方法</w:t>
      </w:r>
      <w:r>
        <w:rPr>
          <w:w w:val="100"/>
        </w:rPr>
        <w:t> </w:t>
      </w:r>
      <w:r>
        <w:rPr>
          <w:spacing w:val="-2"/>
        </w:rPr>
        <w:t>对子公司、联营企业及合营企业的投资，计提资产减值的方法见附注五、</w:t>
      </w:r>
      <w:r>
        <w:rPr>
          <w:rFonts w:ascii="Times New Roman" w:hAnsi="Times New Roman" w:cs="Times New Roman" w:eastAsia="Times New Roman" w:hint="default"/>
          <w:spacing w:val="-2"/>
        </w:rPr>
        <w:t>31</w:t>
      </w:r>
      <w:r>
        <w:rPr>
          <w:spacing w:val="-2"/>
        </w:rPr>
        <w:t>。</w:t>
      </w:r>
    </w:p>
    <w:p>
      <w:pPr>
        <w:spacing w:line="240" w:lineRule="auto" w:before="10"/>
        <w:rPr>
          <w:rFonts w:ascii="宋体" w:hAnsi="宋体" w:cs="宋体" w:eastAsia="宋体" w:hint="default"/>
          <w:sz w:val="19"/>
          <w:szCs w:val="19"/>
        </w:rPr>
      </w:pPr>
    </w:p>
    <w:p>
      <w:pPr>
        <w:pStyle w:val="Heading4"/>
        <w:spacing w:line="240" w:lineRule="auto"/>
        <w:ind w:right="986"/>
        <w:jc w:val="left"/>
        <w:rPr>
          <w:b w:val="0"/>
          <w:bCs w:val="0"/>
        </w:rPr>
      </w:pPr>
      <w:bookmarkStart w:name="23、投资性房地产" w:id="194"/>
      <w:bookmarkEnd w:id="194"/>
      <w:r>
        <w:rPr>
          <w:b w:val="0"/>
          <w:bCs w:val="0"/>
        </w:rPr>
      </w:r>
      <w:r>
        <w:rPr>
          <w:rFonts w:ascii="Times New Roman" w:hAnsi="Times New Roman" w:cs="Times New Roman" w:eastAsia="Times New Roman" w:hint="default"/>
        </w:rPr>
        <w:t>23</w:t>
      </w:r>
      <w:r>
        <w:rPr/>
        <w:t>、投资性房地产</w:t>
      </w:r>
      <w:r>
        <w:rPr>
          <w:b w:val="0"/>
          <w:bCs w:val="0"/>
        </w:rPr>
      </w:r>
    </w:p>
    <w:p>
      <w:pPr>
        <w:spacing w:line="240" w:lineRule="auto" w:before="2"/>
        <w:rPr>
          <w:rFonts w:ascii="宋体" w:hAnsi="宋体" w:cs="宋体" w:eastAsia="宋体" w:hint="default"/>
          <w:b/>
          <w:bCs/>
          <w:sz w:val="26"/>
          <w:szCs w:val="26"/>
        </w:rPr>
      </w:pPr>
    </w:p>
    <w:p>
      <w:pPr>
        <w:spacing w:line="360" w:lineRule="auto" w:before="0"/>
        <w:ind w:left="152" w:right="8954" w:firstLine="0"/>
        <w:jc w:val="left"/>
        <w:rPr>
          <w:rFonts w:ascii="宋体" w:hAnsi="宋体" w:cs="宋体" w:eastAsia="宋体" w:hint="default"/>
          <w:sz w:val="18"/>
          <w:szCs w:val="18"/>
        </w:rPr>
      </w:pPr>
      <w:r>
        <w:rPr>
          <w:rFonts w:ascii="宋体" w:hAnsi="宋体" w:cs="宋体" w:eastAsia="宋体" w:hint="default"/>
          <w:sz w:val="18"/>
          <w:szCs w:val="18"/>
        </w:rPr>
        <w:t>投资性房地产计量模式 成本法计量 折旧或摊销方法</w:t>
      </w:r>
    </w:p>
    <w:p>
      <w:pPr>
        <w:pStyle w:val="BodyText"/>
        <w:spacing w:line="408" w:lineRule="auto" w:before="81"/>
        <w:ind w:right="1128" w:firstLine="420"/>
        <w:jc w:val="both"/>
      </w:pPr>
      <w:r>
        <w:rPr>
          <w:spacing w:val="-2"/>
        </w:rPr>
        <w:t>投资性房地产是指为赚取租金或资本增值，或两者兼有而持有的房地产。本集团投资性房地产包括已</w:t>
      </w:r>
      <w:r>
        <w:rPr>
          <w:w w:val="100"/>
        </w:rPr>
        <w:t> </w:t>
      </w:r>
      <w:r>
        <w:rPr/>
        <w:t>出租的土地使用权、持有并准备增值后转让的土地使用权、已出租的建筑物。</w:t>
      </w:r>
    </w:p>
    <w:p>
      <w:pPr>
        <w:pStyle w:val="BodyText"/>
        <w:spacing w:line="408" w:lineRule="auto"/>
        <w:ind w:right="1128" w:firstLine="420"/>
        <w:jc w:val="both"/>
      </w:pPr>
      <w:r>
        <w:rPr>
          <w:spacing w:val="-2"/>
        </w:rPr>
        <w:t>本集团投资性房地产按照取得时的成本进行初始计量，并按照固定资产或无形资产的有关规定，按期</w:t>
      </w:r>
      <w:r>
        <w:rPr>
          <w:w w:val="100"/>
        </w:rPr>
        <w:t> </w:t>
      </w:r>
      <w:r>
        <w:rPr/>
        <w:t>计提折旧或摊销。本集团确定投资性房地产的年折旧率如下：</w:t>
      </w:r>
    </w:p>
    <w:tbl>
      <w:tblPr>
        <w:tblW w:w="0" w:type="auto"/>
        <w:jc w:val="left"/>
        <w:tblInd w:w="145" w:type="dxa"/>
        <w:tblLayout w:type="fixed"/>
        <w:tblCellMar>
          <w:top w:w="0" w:type="dxa"/>
          <w:left w:w="0" w:type="dxa"/>
          <w:bottom w:w="0" w:type="dxa"/>
          <w:right w:w="0" w:type="dxa"/>
        </w:tblCellMar>
        <w:tblLook w:val="01E0"/>
      </w:tblPr>
      <w:tblGrid>
        <w:gridCol w:w="2698"/>
        <w:gridCol w:w="2110"/>
        <w:gridCol w:w="2122"/>
        <w:gridCol w:w="2131"/>
      </w:tblGrid>
      <w:tr>
        <w:trPr>
          <w:trHeight w:val="355" w:hRule="exact"/>
        </w:trPr>
        <w:tc>
          <w:tcPr>
            <w:tcW w:w="269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
              <w:ind w:left="4" w:right="0"/>
              <w:jc w:val="center"/>
              <w:rPr>
                <w:rFonts w:ascii="宋体" w:hAnsi="宋体" w:cs="宋体" w:eastAsia="宋体" w:hint="default"/>
                <w:sz w:val="18"/>
                <w:szCs w:val="18"/>
              </w:rPr>
            </w:pPr>
            <w:r>
              <w:rPr>
                <w:rFonts w:ascii="宋体" w:hAnsi="宋体" w:cs="宋体" w:eastAsia="宋体" w:hint="default"/>
                <w:sz w:val="18"/>
                <w:szCs w:val="18"/>
              </w:rPr>
              <w:t>类</w:t>
            </w:r>
            <w:r>
              <w:rPr>
                <w:rFonts w:ascii="宋体" w:hAnsi="宋体" w:cs="宋体" w:eastAsia="宋体" w:hint="default"/>
                <w:spacing w:val="54"/>
                <w:sz w:val="18"/>
                <w:szCs w:val="18"/>
              </w:rPr>
              <w:t> </w:t>
            </w:r>
            <w:r>
              <w:rPr>
                <w:rFonts w:ascii="宋体" w:hAnsi="宋体" w:cs="宋体" w:eastAsia="宋体" w:hint="default"/>
                <w:sz w:val="18"/>
                <w:szCs w:val="18"/>
              </w:rPr>
              <w:t>别</w:t>
            </w:r>
          </w:p>
        </w:tc>
        <w:tc>
          <w:tcPr>
            <w:tcW w:w="211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
              <w:ind w:left="472" w:right="0"/>
              <w:jc w:val="left"/>
              <w:rPr>
                <w:rFonts w:ascii="宋体" w:hAnsi="宋体" w:cs="宋体" w:eastAsia="宋体" w:hint="default"/>
                <w:sz w:val="18"/>
                <w:szCs w:val="18"/>
              </w:rPr>
            </w:pPr>
            <w:r>
              <w:rPr>
                <w:rFonts w:ascii="宋体" w:hAnsi="宋体" w:cs="宋体" w:eastAsia="宋体" w:hint="default"/>
                <w:sz w:val="18"/>
                <w:szCs w:val="18"/>
              </w:rPr>
              <w:t>使用年限（年）</w:t>
            </w:r>
          </w:p>
        </w:tc>
        <w:tc>
          <w:tcPr>
            <w:tcW w:w="212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
              <w:ind w:left="36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残值率</w:t>
            </w:r>
            <w:r>
              <w:rPr>
                <w:rFonts w:ascii="Times New Roman" w:hAnsi="Times New Roman" w:cs="Times New Roman" w:eastAsia="Times New Roman" w:hint="default"/>
                <w:sz w:val="18"/>
                <w:szCs w:val="18"/>
              </w:rPr>
              <w:t>%</w:t>
            </w:r>
          </w:p>
        </w:tc>
        <w:tc>
          <w:tcPr>
            <w:tcW w:w="2131"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2"/>
              <w:ind w:left="80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年折旧率</w:t>
            </w:r>
            <w:r>
              <w:rPr>
                <w:rFonts w:ascii="Times New Roman" w:hAnsi="Times New Roman" w:cs="Times New Roman" w:eastAsia="Times New Roman" w:hint="default"/>
                <w:sz w:val="18"/>
                <w:szCs w:val="18"/>
              </w:rPr>
              <w:t>%</w:t>
            </w:r>
          </w:p>
        </w:tc>
      </w:tr>
      <w:tr>
        <w:trPr>
          <w:trHeight w:val="353" w:hRule="exact"/>
        </w:trPr>
        <w:tc>
          <w:tcPr>
            <w:tcW w:w="2698" w:type="dxa"/>
            <w:tcBorders>
              <w:top w:val="single" w:sz="12" w:space="0" w:color="000000"/>
              <w:left w:val="single" w:sz="6" w:space="0" w:color="000000"/>
              <w:bottom w:val="single" w:sz="12" w:space="0" w:color="000000"/>
              <w:right w:val="single" w:sz="6" w:space="0" w:color="000000"/>
            </w:tcBorders>
          </w:tcPr>
          <w:p>
            <w:pPr>
              <w:pStyle w:val="TableParagraph"/>
              <w:spacing w:line="228" w:lineRule="exact"/>
              <w:ind w:left="4" w:right="0"/>
              <w:jc w:val="left"/>
              <w:rPr>
                <w:rFonts w:ascii="宋体" w:hAnsi="宋体" w:cs="宋体" w:eastAsia="宋体" w:hint="default"/>
                <w:sz w:val="18"/>
                <w:szCs w:val="18"/>
              </w:rPr>
            </w:pPr>
            <w:r>
              <w:rPr>
                <w:rFonts w:ascii="宋体" w:hAnsi="宋体" w:cs="宋体" w:eastAsia="宋体" w:hint="default"/>
                <w:sz w:val="18"/>
                <w:szCs w:val="18"/>
              </w:rPr>
              <w:t>出租的建筑物</w:t>
            </w:r>
          </w:p>
        </w:tc>
        <w:tc>
          <w:tcPr>
            <w:tcW w:w="21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8"/>
              <w:ind w:left="1012" w:right="0"/>
              <w:jc w:val="left"/>
              <w:rPr>
                <w:rFonts w:ascii="Times New Roman" w:hAnsi="Times New Roman" w:cs="Times New Roman" w:eastAsia="Times New Roman" w:hint="default"/>
                <w:sz w:val="21"/>
                <w:szCs w:val="21"/>
              </w:rPr>
            </w:pPr>
            <w:r>
              <w:rPr>
                <w:rFonts w:ascii="Times New Roman"/>
                <w:sz w:val="21"/>
              </w:rPr>
              <w:t>20-30</w:t>
            </w:r>
          </w:p>
        </w:tc>
        <w:tc>
          <w:tcPr>
            <w:tcW w:w="212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8"/>
              <w:ind w:left="244" w:right="0"/>
              <w:jc w:val="center"/>
              <w:rPr>
                <w:rFonts w:ascii="Times New Roman" w:hAnsi="Times New Roman" w:cs="Times New Roman" w:eastAsia="Times New Roman" w:hint="default"/>
                <w:sz w:val="21"/>
                <w:szCs w:val="21"/>
              </w:rPr>
            </w:pPr>
            <w:r>
              <w:rPr>
                <w:rFonts w:ascii="Times New Roman"/>
                <w:w w:val="100"/>
                <w:sz w:val="21"/>
              </w:rPr>
              <w:t>5</w:t>
            </w:r>
          </w:p>
        </w:tc>
        <w:tc>
          <w:tcPr>
            <w:tcW w:w="2131"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8"/>
              <w:ind w:left="755" w:right="0"/>
              <w:jc w:val="left"/>
              <w:rPr>
                <w:rFonts w:ascii="Times New Roman" w:hAnsi="Times New Roman" w:cs="Times New Roman" w:eastAsia="Times New Roman" w:hint="default"/>
                <w:sz w:val="21"/>
                <w:szCs w:val="21"/>
              </w:rPr>
            </w:pPr>
            <w:r>
              <w:rPr>
                <w:rFonts w:ascii="Times New Roman"/>
                <w:sz w:val="21"/>
              </w:rPr>
              <w:t>3.17-4.75</w:t>
            </w:r>
          </w:p>
        </w:tc>
      </w:tr>
    </w:tbl>
    <w:p>
      <w:pPr>
        <w:spacing w:line="240" w:lineRule="auto" w:before="12"/>
        <w:rPr>
          <w:rFonts w:ascii="宋体" w:hAnsi="宋体" w:cs="宋体" w:eastAsia="宋体" w:hint="default"/>
          <w:sz w:val="9"/>
          <w:szCs w:val="9"/>
        </w:rPr>
      </w:pPr>
    </w:p>
    <w:p>
      <w:pPr>
        <w:pStyle w:val="BodyText"/>
        <w:spacing w:line="386" w:lineRule="auto" w:before="36"/>
        <w:ind w:left="572" w:right="986"/>
        <w:jc w:val="left"/>
      </w:pPr>
      <w:r>
        <w:rPr/>
        <w:t>采用成本模式进行后续计量的投资性房地产，计提资产减值方法见附注五、</w:t>
      </w:r>
      <w:r>
        <w:rPr>
          <w:rFonts w:ascii="Times New Roman" w:hAnsi="Times New Roman" w:cs="Times New Roman" w:eastAsia="Times New Roman" w:hint="default"/>
        </w:rPr>
        <w:t>31</w:t>
      </w:r>
      <w:r>
        <w:rPr/>
        <w:t>。</w:t>
      </w:r>
      <w:r>
        <w:rPr>
          <w:w w:val="100"/>
        </w:rPr>
        <w:t> </w:t>
      </w:r>
      <w:r>
        <w:rPr>
          <w:spacing w:val="-5"/>
        </w:rPr>
        <w:t>投资性房地产出售、转让、报废或毁损的处置收入扣除其账面价值和相关税费后的差额计入当期损益。</w:t>
      </w:r>
    </w:p>
    <w:p>
      <w:pPr>
        <w:spacing w:after="0" w:line="386" w:lineRule="auto"/>
        <w:jc w:val="left"/>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0"/>
        <w:jc w:val="both"/>
        <w:rPr>
          <w:b w:val="0"/>
          <w:bCs w:val="0"/>
        </w:rPr>
      </w:pPr>
      <w:bookmarkStart w:name="24、固定资产" w:id="195"/>
      <w:bookmarkEnd w:id="195"/>
      <w:r>
        <w:rPr>
          <w:b w:val="0"/>
          <w:bCs w:val="0"/>
        </w:rPr>
      </w:r>
      <w:r>
        <w:rPr>
          <w:rFonts w:ascii="Times New Roman" w:hAnsi="Times New Roman" w:cs="Times New Roman" w:eastAsia="Times New Roman" w:hint="default"/>
        </w:rPr>
        <w:t>24</w:t>
      </w:r>
      <w:r>
        <w:rPr/>
        <w:t>、固定资产</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both"/>
        <w:rPr>
          <w:b w:val="0"/>
          <w:bCs w:val="0"/>
        </w:rPr>
      </w:pPr>
      <w:bookmarkStart w:name="（1）确认条件" w:id="196"/>
      <w:bookmarkEnd w:id="196"/>
      <w:r>
        <w:rPr>
          <w:b w:val="0"/>
          <w:bCs w:val="0"/>
        </w:rPr>
      </w:r>
      <w:r>
        <w:rPr/>
        <w:t>（</w:t>
      </w:r>
      <w:r>
        <w:rPr>
          <w:rFonts w:ascii="Times New Roman" w:hAnsi="Times New Roman" w:cs="Times New Roman" w:eastAsia="Times New Roman" w:hint="default"/>
        </w:rPr>
        <w:t>1</w:t>
      </w:r>
      <w:r>
        <w:rPr/>
        <w:t>）确认条件</w:t>
      </w:r>
      <w:r>
        <w:rPr>
          <w:b w:val="0"/>
          <w:bCs w:val="0"/>
        </w:rPr>
      </w:r>
    </w:p>
    <w:p>
      <w:pPr>
        <w:spacing w:line="240" w:lineRule="auto" w:before="5"/>
        <w:rPr>
          <w:rFonts w:ascii="宋体" w:hAnsi="宋体" w:cs="宋体" w:eastAsia="宋体" w:hint="default"/>
          <w:b/>
          <w:bCs/>
          <w:sz w:val="30"/>
          <w:szCs w:val="30"/>
        </w:rPr>
      </w:pPr>
    </w:p>
    <w:p>
      <w:pPr>
        <w:pStyle w:val="BodyText"/>
        <w:spacing w:line="408" w:lineRule="auto" w:before="0"/>
        <w:ind w:right="1128"/>
        <w:jc w:val="both"/>
      </w:pPr>
      <w:r>
        <w:rPr>
          <w:spacing w:val="-2"/>
        </w:rPr>
        <w:t>本集团固定资产是指为生产商品、提供劳务、出租或经营管理而持有的，使用寿命超过一个会计年度的有</w:t>
      </w:r>
      <w:r>
        <w:rPr>
          <w:spacing w:val="-44"/>
        </w:rPr>
        <w:t> </w:t>
      </w:r>
      <w:r>
        <w:rPr>
          <w:spacing w:val="-44"/>
        </w:rPr>
      </w:r>
      <w:r>
        <w:rPr>
          <w:spacing w:val="-2"/>
        </w:rPr>
        <w:t>形资产。与该固定资产有关的经济利益很可能流入企业，并且该固定资产的成本能够可靠地计量时，固定</w:t>
      </w:r>
      <w:r>
        <w:rPr>
          <w:spacing w:val="-43"/>
        </w:rPr>
        <w:t> </w:t>
      </w:r>
      <w:r>
        <w:rPr>
          <w:spacing w:val="-43"/>
        </w:rPr>
      </w:r>
      <w:r>
        <w:rPr/>
        <w:t>资产才能予以确认。本集团固定资产按照取得时的实际成本进行初始计量。</w:t>
      </w:r>
    </w:p>
    <w:p>
      <w:pPr>
        <w:spacing w:line="240" w:lineRule="auto" w:before="8"/>
        <w:rPr>
          <w:rFonts w:ascii="宋体" w:hAnsi="宋体" w:cs="宋体" w:eastAsia="宋体" w:hint="default"/>
          <w:sz w:val="20"/>
          <w:szCs w:val="20"/>
        </w:rPr>
      </w:pPr>
    </w:p>
    <w:p>
      <w:pPr>
        <w:pStyle w:val="Heading4"/>
        <w:spacing w:line="240" w:lineRule="auto"/>
        <w:ind w:right="0"/>
        <w:jc w:val="both"/>
        <w:rPr>
          <w:b w:val="0"/>
          <w:bCs w:val="0"/>
        </w:rPr>
      </w:pPr>
      <w:bookmarkStart w:name="（2）折旧方法" w:id="197"/>
      <w:bookmarkEnd w:id="197"/>
      <w:r>
        <w:rPr>
          <w:b w:val="0"/>
          <w:bCs w:val="0"/>
        </w:rPr>
      </w:r>
      <w:r>
        <w:rPr/>
        <w:t>（</w:t>
      </w:r>
      <w:r>
        <w:rPr>
          <w:rFonts w:ascii="Times New Roman" w:hAnsi="Times New Roman" w:cs="Times New Roman" w:eastAsia="Times New Roman" w:hint="default"/>
        </w:rPr>
        <w:t>2</w:t>
      </w:r>
      <w:r>
        <w:rPr/>
        <w:t>）折旧方法</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915"/>
        <w:gridCol w:w="1913"/>
        <w:gridCol w:w="1915"/>
        <w:gridCol w:w="1913"/>
        <w:gridCol w:w="1915"/>
      </w:tblGrid>
      <w:tr>
        <w:trPr>
          <w:trHeight w:val="401" w:hRule="exact"/>
        </w:trPr>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4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残值率</w:t>
            </w:r>
            <w:r>
              <w:rPr>
                <w:rFonts w:ascii="Times New Roman" w:hAnsi="Times New Roman" w:cs="Times New Roman" w:eastAsia="Times New Roman" w:hint="default"/>
                <w:sz w:val="18"/>
                <w:szCs w:val="18"/>
              </w:rPr>
              <w:t>(%)</w:t>
            </w: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5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年折旧率</w:t>
            </w:r>
            <w:r>
              <w:rPr>
                <w:rFonts w:ascii="Times New Roman" w:hAnsi="Times New Roman" w:cs="Times New Roman" w:eastAsia="Times New Roman" w:hint="default"/>
                <w:sz w:val="18"/>
                <w:szCs w:val="18"/>
              </w:rPr>
              <w:t>(%)</w:t>
            </w:r>
          </w:p>
        </w:tc>
      </w:tr>
      <w:tr>
        <w:trPr>
          <w:trHeight w:val="403"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20-30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4.75-3.17</w:t>
            </w:r>
          </w:p>
        </w:tc>
      </w:tr>
      <w:tr>
        <w:trPr>
          <w:trHeight w:val="401"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电子及办公设备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31.67-19</w:t>
            </w:r>
          </w:p>
        </w:tc>
      </w:tr>
      <w:tr>
        <w:trPr>
          <w:trHeight w:val="403"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4-5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23.75-19</w:t>
            </w:r>
          </w:p>
        </w:tc>
      </w:tr>
      <w:tr>
        <w:trPr>
          <w:trHeight w:val="401"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31.67-19</w:t>
            </w:r>
          </w:p>
        </w:tc>
      </w:tr>
    </w:tbl>
    <w:p>
      <w:pPr>
        <w:spacing w:line="417" w:lineRule="auto" w:before="64"/>
        <w:ind w:left="152" w:right="986" w:firstLine="420"/>
        <w:jc w:val="left"/>
        <w:rPr>
          <w:rFonts w:ascii="宋体" w:hAnsi="宋体" w:cs="宋体" w:eastAsia="宋体" w:hint="default"/>
          <w:sz w:val="18"/>
          <w:szCs w:val="18"/>
        </w:rPr>
      </w:pPr>
      <w:r>
        <w:rPr>
          <w:rFonts w:ascii="宋体" w:hAnsi="宋体" w:cs="宋体" w:eastAsia="宋体" w:hint="default"/>
          <w:spacing w:val="-2"/>
          <w:sz w:val="21"/>
          <w:szCs w:val="21"/>
        </w:rPr>
        <w:t>本集团采用年限平均法计提折旧。固定资产自达到预定可使用状态时开始计提折旧，终止确认时或划</w:t>
      </w:r>
      <w:r>
        <w:rPr>
          <w:rFonts w:ascii="宋体" w:hAnsi="宋体" w:cs="宋体" w:eastAsia="宋体" w:hint="default"/>
          <w:w w:val="100"/>
          <w:sz w:val="21"/>
          <w:szCs w:val="21"/>
        </w:rPr>
        <w:t> </w:t>
      </w:r>
      <w:r>
        <w:rPr>
          <w:rFonts w:ascii="宋体" w:hAnsi="宋体" w:cs="宋体" w:eastAsia="宋体" w:hint="default"/>
          <w:sz w:val="21"/>
          <w:szCs w:val="21"/>
        </w:rPr>
        <w:t>分为持有待售非流动资产时停止计提折旧。</w:t>
      </w:r>
      <w:r>
        <w:rPr>
          <w:rFonts w:ascii="宋体" w:hAnsi="宋体" w:cs="宋体" w:eastAsia="宋体" w:hint="default"/>
          <w:sz w:val="18"/>
          <w:szCs w:val="18"/>
        </w:rPr>
        <w:t>其中，已计提减值准备的固定资产，还应扣除已计提的固定资产减值准</w:t>
      </w:r>
      <w:r>
        <w:rPr>
          <w:rFonts w:ascii="宋体" w:hAnsi="宋体" w:cs="宋体" w:eastAsia="宋体" w:hint="default"/>
          <w:sz w:val="18"/>
          <w:szCs w:val="18"/>
        </w:rPr>
        <w:t> 备累计金额计算确定折旧率。</w:t>
      </w:r>
    </w:p>
    <w:p>
      <w:pPr>
        <w:pStyle w:val="BodyText"/>
        <w:spacing w:line="398" w:lineRule="auto" w:before="76"/>
        <w:ind w:left="572" w:right="986"/>
        <w:jc w:val="left"/>
      </w:pPr>
      <w:r>
        <w:rPr/>
        <w:t>固定资产的减值测试方法、减值准备计提方法见附注五、</w:t>
      </w:r>
      <w:r>
        <w:rPr>
          <w:rFonts w:ascii="Times New Roman" w:hAnsi="Times New Roman" w:cs="Times New Roman" w:eastAsia="Times New Roman" w:hint="default"/>
        </w:rPr>
        <w:t>31</w:t>
      </w:r>
      <w:r>
        <w:rPr/>
        <w:t>。</w:t>
      </w:r>
      <w:r>
        <w:rPr>
          <w:w w:val="100"/>
        </w:rPr>
        <w:t> </w:t>
      </w:r>
      <w:r>
        <w:rPr/>
        <w:t>每年年度终了，本集团对固定资产的使用寿命、预计净残值和折旧方法进行复核。</w:t>
      </w:r>
      <w:r>
        <w:rPr>
          <w:w w:val="100"/>
        </w:rPr>
        <w:t> </w:t>
      </w:r>
      <w:r>
        <w:rPr>
          <w:spacing w:val="-2"/>
        </w:rPr>
        <w:t>使用寿命预计数与原先估计数有差异的，调整固定资产使用寿命；预计净残值预计数与原先估计数有</w:t>
      </w:r>
    </w:p>
    <w:p>
      <w:pPr>
        <w:pStyle w:val="BodyText"/>
        <w:spacing w:line="408" w:lineRule="auto" w:before="54"/>
        <w:ind w:left="573" w:right="7334" w:hanging="421"/>
        <w:jc w:val="left"/>
      </w:pPr>
      <w:r>
        <w:rPr>
          <w:spacing w:val="-2"/>
        </w:rPr>
        <w:t>差异的，调整预计净残值。</w:t>
      </w:r>
      <w:r>
        <w:rPr>
          <w:spacing w:val="-82"/>
        </w:rPr>
        <w:t> </w:t>
      </w:r>
      <w:r>
        <w:rPr>
          <w:spacing w:val="-82"/>
        </w:rPr>
      </w:r>
      <w:r>
        <w:rPr/>
        <w:t>大修理费用</w:t>
      </w:r>
    </w:p>
    <w:p>
      <w:pPr>
        <w:pStyle w:val="BodyText"/>
        <w:spacing w:line="408" w:lineRule="auto"/>
        <w:ind w:right="1106" w:firstLine="420"/>
        <w:jc w:val="both"/>
      </w:pPr>
      <w:r>
        <w:rPr>
          <w:spacing w:val="-2"/>
        </w:rPr>
        <w:t>本集团对固定资产进行定期检查发生的大修理费用，有确凿证据表明符合固定资产确认条件的部分，</w:t>
      </w:r>
      <w:r>
        <w:rPr>
          <w:w w:val="100"/>
        </w:rPr>
        <w:t> </w:t>
      </w:r>
      <w:r>
        <w:rPr>
          <w:spacing w:val="-2"/>
        </w:rPr>
        <w:t>计入固定资产成本，不符合固定资产确认条件的计入当期损益。固定资产在定期大修理间隔期间，照提折</w:t>
      </w:r>
      <w:r>
        <w:rPr>
          <w:spacing w:val="-43"/>
        </w:rPr>
        <w:t> </w:t>
      </w:r>
      <w:r>
        <w:rPr>
          <w:spacing w:val="-43"/>
        </w:rPr>
      </w:r>
      <w:r>
        <w:rPr/>
        <w:t>旧。</w:t>
      </w:r>
    </w:p>
    <w:p>
      <w:pPr>
        <w:spacing w:line="240" w:lineRule="auto" w:before="8"/>
        <w:rPr>
          <w:rFonts w:ascii="宋体" w:hAnsi="宋体" w:cs="宋体" w:eastAsia="宋体" w:hint="default"/>
          <w:sz w:val="20"/>
          <w:szCs w:val="20"/>
        </w:rPr>
      </w:pPr>
    </w:p>
    <w:p>
      <w:pPr>
        <w:pStyle w:val="Heading4"/>
        <w:spacing w:line="240" w:lineRule="auto"/>
        <w:ind w:right="986"/>
        <w:jc w:val="left"/>
        <w:rPr>
          <w:b w:val="0"/>
          <w:bCs w:val="0"/>
        </w:rPr>
      </w:pPr>
      <w:bookmarkStart w:name="（3）融资租入固定资产的认定依据、计价和折旧方法" w:id="198"/>
      <w:bookmarkEnd w:id="198"/>
      <w:r>
        <w:rPr>
          <w:b w:val="0"/>
          <w:bCs w:val="0"/>
        </w:rPr>
      </w:r>
      <w:r>
        <w:rPr/>
        <w:t>（</w:t>
      </w:r>
      <w:r>
        <w:rPr>
          <w:rFonts w:ascii="Times New Roman" w:hAnsi="Times New Roman" w:cs="Times New Roman" w:eastAsia="Times New Roman" w:hint="default"/>
        </w:rPr>
        <w:t>3</w:t>
      </w:r>
      <w:r>
        <w:rPr/>
        <w:t>）融资租入固定资产的认定依据、计价和折旧方法</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25、在建工程" w:id="199"/>
      <w:bookmarkEnd w:id="199"/>
      <w:r>
        <w:rPr>
          <w:b w:val="0"/>
          <w:bCs w:val="0"/>
        </w:rPr>
      </w:r>
      <w:r>
        <w:rPr>
          <w:rFonts w:ascii="Times New Roman" w:hAnsi="Times New Roman" w:cs="Times New Roman" w:eastAsia="Times New Roman" w:hint="default"/>
        </w:rPr>
        <w:t>25</w:t>
      </w:r>
      <w:r>
        <w:rPr/>
        <w:t>、在建工程</w:t>
      </w:r>
      <w:r>
        <w:rPr>
          <w:b w:val="0"/>
          <w:bCs w:val="0"/>
        </w:rPr>
      </w:r>
    </w:p>
    <w:p>
      <w:pPr>
        <w:spacing w:line="240" w:lineRule="auto" w:before="8"/>
        <w:rPr>
          <w:rFonts w:ascii="宋体" w:hAnsi="宋体" w:cs="宋体" w:eastAsia="宋体" w:hint="default"/>
          <w:b/>
          <w:bCs/>
          <w:sz w:val="30"/>
          <w:szCs w:val="30"/>
        </w:rPr>
      </w:pPr>
    </w:p>
    <w:p>
      <w:pPr>
        <w:pStyle w:val="BodyText"/>
        <w:spacing w:line="408" w:lineRule="auto" w:before="0"/>
        <w:ind w:right="986" w:firstLine="420"/>
        <w:jc w:val="left"/>
      </w:pPr>
      <w:r>
        <w:rPr>
          <w:spacing w:val="-2"/>
        </w:rPr>
        <w:t>本集团在建工程成本按实际工程支出确定，包括在建期间发生的各项必要工程支出、工程达到预定可</w:t>
      </w:r>
      <w:r>
        <w:rPr>
          <w:w w:val="100"/>
        </w:rPr>
        <w:t> </w:t>
      </w:r>
      <w:r>
        <w:rPr/>
        <w:t>使用状态前的应予资本化的借款费用以及其他相关费用等。</w:t>
      </w:r>
    </w:p>
    <w:p>
      <w:pPr>
        <w:spacing w:after="0" w:line="408"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left="572" w:right="2114"/>
        <w:jc w:val="left"/>
      </w:pPr>
      <w:r>
        <w:rPr>
          <w:spacing w:val="-2"/>
        </w:rPr>
        <w:t>在建工程在达到预定可使用状态时转入固定资产。</w:t>
      </w:r>
      <w:r>
        <w:rPr>
          <w:spacing w:val="-62"/>
        </w:rPr>
        <w:t> </w:t>
      </w:r>
      <w:r>
        <w:rPr>
          <w:spacing w:val="-62"/>
        </w:rPr>
      </w:r>
      <w:r>
        <w:rPr/>
        <w:t>在建工程计提资产减值方法见附注五、</w:t>
      </w:r>
      <w:r>
        <w:rPr>
          <w:rFonts w:ascii="Times New Roman" w:hAnsi="Times New Roman" w:cs="Times New Roman" w:eastAsia="Times New Roman" w:hint="default"/>
        </w:rPr>
        <w:t>31</w:t>
      </w:r>
      <w:r>
        <w:rPr/>
        <w:t>。</w:t>
      </w:r>
    </w:p>
    <w:p>
      <w:pPr>
        <w:spacing w:line="240" w:lineRule="auto" w:before="2"/>
        <w:rPr>
          <w:rFonts w:ascii="宋体" w:hAnsi="宋体" w:cs="宋体" w:eastAsia="宋体" w:hint="default"/>
          <w:sz w:val="18"/>
          <w:szCs w:val="18"/>
        </w:rPr>
      </w:pPr>
    </w:p>
    <w:p>
      <w:pPr>
        <w:pStyle w:val="Heading4"/>
        <w:spacing w:line="518" w:lineRule="auto"/>
        <w:ind w:right="9490"/>
        <w:jc w:val="left"/>
        <w:rPr>
          <w:rFonts w:ascii="宋体" w:hAnsi="宋体" w:cs="宋体" w:eastAsia="宋体" w:hint="default"/>
          <w:b w:val="0"/>
          <w:bCs w:val="0"/>
        </w:rPr>
      </w:pPr>
      <w:bookmarkStart w:name="26、借款费用" w:id="200"/>
      <w:bookmarkEnd w:id="200"/>
      <w:r>
        <w:rPr>
          <w:b w:val="0"/>
          <w:bCs w:val="0"/>
        </w:rPr>
      </w:r>
      <w:r>
        <w:rPr>
          <w:rFonts w:ascii="Times New Roman" w:hAnsi="Times New Roman" w:cs="Times New Roman" w:eastAsia="Times New Roman" w:hint="default"/>
        </w:rPr>
        <w:t>26</w:t>
      </w:r>
      <w:r>
        <w:rPr/>
        <w:t>、借款费用</w:t>
      </w:r>
      <w:r>
        <w:rPr>
          <w:w w:val="100"/>
        </w:rPr>
        <w:t> </w:t>
      </w:r>
      <w:r>
        <w:rPr>
          <w:rFonts w:ascii="宋体" w:hAnsi="宋体" w:cs="宋体" w:eastAsia="宋体" w:hint="default"/>
          <w:b w:val="0"/>
          <w:bCs w:val="0"/>
        </w:rPr>
        <w:t>无</w:t>
      </w:r>
      <w:r>
        <w:rPr>
          <w:rFonts w:ascii="宋体" w:hAnsi="宋体" w:cs="宋体" w:eastAsia="宋体" w:hint="default"/>
          <w:b w:val="0"/>
          <w:bCs w:val="0"/>
          <w:w w:val="100"/>
        </w:rPr>
        <w:t> </w:t>
      </w:r>
      <w:bookmarkStart w:name="27、生物资产" w:id="201"/>
      <w:bookmarkEnd w:id="201"/>
      <w:r>
        <w:rPr>
          <w:rFonts w:ascii="宋体" w:hAnsi="宋体" w:cs="宋体" w:eastAsia="宋体" w:hint="default"/>
          <w:b w:val="0"/>
          <w:bCs w:val="0"/>
          <w:w w:val="100"/>
        </w:rPr>
      </w:r>
      <w:r>
        <w:rPr>
          <w:rFonts w:ascii="Times New Roman" w:hAnsi="Times New Roman" w:cs="Times New Roman" w:eastAsia="Times New Roman" w:hint="default"/>
        </w:rPr>
        <w:t>27</w:t>
      </w:r>
      <w:r>
        <w:rPr/>
        <w:t>、生物资产</w:t>
      </w:r>
      <w:r>
        <w:rPr>
          <w:w w:val="100"/>
        </w:rPr>
        <w:t> </w:t>
      </w:r>
      <w:r>
        <w:rPr>
          <w:rFonts w:ascii="宋体" w:hAnsi="宋体" w:cs="宋体" w:eastAsia="宋体" w:hint="default"/>
          <w:b w:val="0"/>
          <w:bCs w:val="0"/>
        </w:rPr>
        <w:t>无</w:t>
      </w:r>
      <w:r>
        <w:rPr>
          <w:rFonts w:ascii="宋体" w:hAnsi="宋体" w:cs="宋体" w:eastAsia="宋体" w:hint="default"/>
          <w:b w:val="0"/>
          <w:bCs w:val="0"/>
          <w:w w:val="100"/>
        </w:rPr>
        <w:t> </w:t>
      </w:r>
      <w:bookmarkStart w:name="28、油气资产" w:id="202"/>
      <w:bookmarkEnd w:id="202"/>
      <w:r>
        <w:rPr>
          <w:rFonts w:ascii="宋体" w:hAnsi="宋体" w:cs="宋体" w:eastAsia="宋体" w:hint="default"/>
          <w:b w:val="0"/>
          <w:bCs w:val="0"/>
          <w:w w:val="100"/>
        </w:rPr>
      </w:r>
      <w:r>
        <w:rPr>
          <w:rFonts w:ascii="Times New Roman" w:hAnsi="Times New Roman" w:cs="Times New Roman" w:eastAsia="Times New Roman" w:hint="default"/>
        </w:rPr>
        <w:t>28</w:t>
      </w:r>
      <w:r>
        <w:rPr/>
        <w:t>、油气资产</w:t>
      </w:r>
      <w:r>
        <w:rPr>
          <w:w w:val="100"/>
        </w:rPr>
        <w:t> </w:t>
      </w:r>
      <w:r>
        <w:rPr>
          <w:rFonts w:ascii="宋体" w:hAnsi="宋体" w:cs="宋体" w:eastAsia="宋体" w:hint="default"/>
          <w:b w:val="0"/>
          <w:bCs w:val="0"/>
        </w:rPr>
        <w:t>无</w:t>
      </w:r>
    </w:p>
    <w:p>
      <w:pPr>
        <w:pStyle w:val="Heading4"/>
        <w:spacing w:line="506" w:lineRule="auto" w:before="91"/>
        <w:ind w:right="9279"/>
        <w:jc w:val="left"/>
        <w:rPr>
          <w:rFonts w:ascii="宋体" w:hAnsi="宋体" w:cs="宋体" w:eastAsia="宋体" w:hint="default"/>
          <w:b w:val="0"/>
          <w:bCs w:val="0"/>
        </w:rPr>
      </w:pPr>
      <w:bookmarkStart w:name="29、使用权资产" w:id="203"/>
      <w:bookmarkEnd w:id="203"/>
      <w:r>
        <w:rPr>
          <w:b w:val="0"/>
          <w:bCs w:val="0"/>
        </w:rPr>
      </w:r>
      <w:r>
        <w:rPr>
          <w:rFonts w:ascii="Times New Roman" w:hAnsi="Times New Roman" w:cs="Times New Roman" w:eastAsia="Times New Roman" w:hint="default"/>
        </w:rPr>
        <w:t>29</w:t>
      </w:r>
      <w:r>
        <w:rPr/>
        <w:t>、使用权资产</w:t>
      </w:r>
      <w:r>
        <w:rPr>
          <w:w w:val="100"/>
        </w:rPr>
        <w:t> </w:t>
      </w:r>
      <w:r>
        <w:rPr>
          <w:rFonts w:ascii="宋体" w:hAnsi="宋体" w:cs="宋体" w:eastAsia="宋体" w:hint="default"/>
          <w:b w:val="0"/>
          <w:bCs w:val="0"/>
        </w:rPr>
        <w:t>无</w:t>
      </w:r>
    </w:p>
    <w:p>
      <w:pPr>
        <w:pStyle w:val="Heading4"/>
        <w:spacing w:line="240" w:lineRule="auto" w:before="104"/>
        <w:ind w:right="986"/>
        <w:jc w:val="left"/>
        <w:rPr>
          <w:b w:val="0"/>
          <w:bCs w:val="0"/>
        </w:rPr>
      </w:pPr>
      <w:bookmarkStart w:name="30、无形资产" w:id="204"/>
      <w:bookmarkEnd w:id="204"/>
      <w:r>
        <w:rPr>
          <w:b w:val="0"/>
          <w:bCs w:val="0"/>
        </w:rPr>
      </w:r>
      <w:r>
        <w:rPr>
          <w:rFonts w:ascii="Times New Roman" w:hAnsi="Times New Roman" w:cs="Times New Roman" w:eastAsia="Times New Roman" w:hint="default"/>
        </w:rPr>
        <w:t>30</w:t>
      </w:r>
      <w:r>
        <w:rPr/>
        <w:t>、无形资产</w:t>
      </w:r>
      <w:r>
        <w:rPr>
          <w:b w:val="0"/>
          <w:bCs w:val="0"/>
        </w:rPr>
      </w:r>
    </w:p>
    <w:p>
      <w:pPr>
        <w:spacing w:line="688" w:lineRule="exact" w:before="18"/>
        <w:ind w:left="572" w:right="986" w:hanging="421"/>
        <w:jc w:val="left"/>
        <w:rPr>
          <w:rFonts w:ascii="宋体" w:hAnsi="宋体" w:cs="宋体" w:eastAsia="宋体" w:hint="default"/>
          <w:sz w:val="21"/>
          <w:szCs w:val="21"/>
        </w:rPr>
      </w:pPr>
      <w:bookmarkStart w:name="（1）计价方法、使用寿命、减值测试" w:id="205"/>
      <w:bookmarkEnd w:id="20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）计价方法、使用寿命、减值测试</w:t>
      </w:r>
      <w:r>
        <w:rPr>
          <w:rFonts w:ascii="宋体" w:hAnsi="宋体" w:cs="宋体" w:eastAsia="宋体" w:hint="default"/>
          <w:b/>
          <w:bCs/>
          <w:w w:val="100"/>
          <w:sz w:val="21"/>
          <w:szCs w:val="21"/>
        </w:rPr>
        <w:t> </w:t>
      </w:r>
      <w:r>
        <w:rPr>
          <w:rFonts w:ascii="宋体" w:hAnsi="宋体" w:cs="宋体" w:eastAsia="宋体" w:hint="default"/>
          <w:spacing w:val="-3"/>
          <w:sz w:val="21"/>
          <w:szCs w:val="21"/>
        </w:rPr>
        <w:t>本集团无形资产包括计算机软件、商标权、开发支出、武汉大千无形资产评估增值、中检美亚无形资</w:t>
      </w:r>
      <w:r>
        <w:rPr>
          <w:rFonts w:ascii="宋体" w:hAnsi="宋体" w:cs="宋体" w:eastAsia="宋体" w:hint="default"/>
          <w:sz w:val="21"/>
          <w:szCs w:val="21"/>
        </w:rPr>
      </w:r>
    </w:p>
    <w:p>
      <w:pPr>
        <w:pStyle w:val="BodyText"/>
        <w:spacing w:line="408" w:lineRule="auto" w:before="85"/>
        <w:ind w:left="572" w:right="986" w:hanging="421"/>
        <w:jc w:val="left"/>
      </w:pPr>
      <w:r>
        <w:rPr/>
        <w:t>产评估增值等。</w:t>
      </w:r>
      <w:r>
        <w:rPr>
          <w:spacing w:val="-103"/>
        </w:rPr>
        <w:t> </w:t>
      </w:r>
      <w:r>
        <w:rPr>
          <w:spacing w:val="-103"/>
        </w:rPr>
      </w:r>
      <w:r>
        <w:rPr>
          <w:spacing w:val="-2"/>
        </w:rPr>
        <w:t>无形资产按照成本进行初始计量，并于取得无形资产时分析判断其使用寿命。使用寿命为有限的，自</w:t>
      </w:r>
    </w:p>
    <w:p>
      <w:pPr>
        <w:pStyle w:val="BodyText"/>
        <w:spacing w:line="408" w:lineRule="auto"/>
        <w:ind w:right="986"/>
        <w:jc w:val="left"/>
      </w:pPr>
      <w:r>
        <w:rPr>
          <w:spacing w:val="-2"/>
        </w:rPr>
        <w:t>无形资产可供使用时起，采用能反映与该资产有关的经济利益的预期实现方式的摊销方法，在预计使用年</w:t>
      </w:r>
      <w:r>
        <w:rPr>
          <w:spacing w:val="-42"/>
        </w:rPr>
        <w:t> </w:t>
      </w:r>
      <w:r>
        <w:rPr>
          <w:spacing w:val="-42"/>
        </w:rPr>
      </w:r>
      <w:r>
        <w:rPr/>
        <w:t>限内摊销；无法可靠确定预期实现方式的，采用直线法摊销；使用寿命不确定的无形资产，不作摊销。</w:t>
      </w:r>
    </w:p>
    <w:p>
      <w:pPr>
        <w:pStyle w:val="BodyText"/>
        <w:spacing w:line="240" w:lineRule="auto"/>
        <w:ind w:left="572" w:right="986"/>
        <w:jc w:val="left"/>
      </w:pPr>
      <w:r>
        <w:rPr/>
        <w:t>使用寿命有限的无形资产摊销方法如下：</w:t>
      </w:r>
    </w:p>
    <w:p>
      <w:pPr>
        <w:spacing w:line="240" w:lineRule="auto" w:before="11"/>
        <w:rPr>
          <w:rFonts w:ascii="宋体" w:hAnsi="宋体" w:cs="宋体" w:eastAsia="宋体" w:hint="default"/>
          <w:sz w:val="9"/>
          <w:szCs w:val="9"/>
        </w:rPr>
      </w:pPr>
    </w:p>
    <w:tbl>
      <w:tblPr>
        <w:tblW w:w="0" w:type="auto"/>
        <w:jc w:val="left"/>
        <w:tblInd w:w="145" w:type="dxa"/>
        <w:tblLayout w:type="fixed"/>
        <w:tblCellMar>
          <w:top w:w="0" w:type="dxa"/>
          <w:left w:w="0" w:type="dxa"/>
          <w:bottom w:w="0" w:type="dxa"/>
          <w:right w:w="0" w:type="dxa"/>
        </w:tblCellMar>
        <w:tblLook w:val="01E0"/>
      </w:tblPr>
      <w:tblGrid>
        <w:gridCol w:w="2969"/>
        <w:gridCol w:w="1970"/>
        <w:gridCol w:w="2306"/>
        <w:gridCol w:w="1814"/>
      </w:tblGrid>
      <w:tr>
        <w:trPr>
          <w:trHeight w:val="355" w:hRule="exact"/>
        </w:trPr>
        <w:tc>
          <w:tcPr>
            <w:tcW w:w="296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7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使用寿命</w:t>
            </w:r>
          </w:p>
        </w:tc>
        <w:tc>
          <w:tcPr>
            <w:tcW w:w="230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摊销方法</w:t>
            </w:r>
          </w:p>
        </w:tc>
        <w:tc>
          <w:tcPr>
            <w:tcW w:w="1814"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20"/>
              <w:ind w:right="5"/>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350" w:hRule="exact"/>
        </w:trPr>
        <w:tc>
          <w:tcPr>
            <w:tcW w:w="296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8"/>
              <w:ind w:left="4" w:right="0"/>
              <w:jc w:val="left"/>
              <w:rPr>
                <w:rFonts w:ascii="宋体" w:hAnsi="宋体" w:cs="宋体" w:eastAsia="宋体" w:hint="default"/>
                <w:sz w:val="18"/>
                <w:szCs w:val="18"/>
              </w:rPr>
            </w:pPr>
            <w:r>
              <w:rPr>
                <w:rFonts w:ascii="宋体" w:hAnsi="宋体" w:cs="宋体" w:eastAsia="宋体" w:hint="default"/>
                <w:sz w:val="18"/>
                <w:szCs w:val="18"/>
              </w:rPr>
              <w:t>计算机软件</w:t>
            </w:r>
          </w:p>
        </w:tc>
        <w:tc>
          <w:tcPr>
            <w:tcW w:w="197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年</w:t>
            </w:r>
          </w:p>
        </w:tc>
        <w:tc>
          <w:tcPr>
            <w:tcW w:w="230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年限平均法</w:t>
            </w:r>
          </w:p>
        </w:tc>
        <w:tc>
          <w:tcPr>
            <w:tcW w:w="1814" w:type="dxa"/>
            <w:tcBorders>
              <w:top w:val="single" w:sz="12" w:space="0" w:color="000000"/>
              <w:left w:val="single" w:sz="6" w:space="0" w:color="000000"/>
              <w:bottom w:val="single" w:sz="12" w:space="0" w:color="000000"/>
              <w:right w:val="nil" w:sz="6" w:space="0" w:color="auto"/>
            </w:tcBorders>
          </w:tcPr>
          <w:p>
            <w:pPr/>
          </w:p>
        </w:tc>
      </w:tr>
      <w:tr>
        <w:trPr>
          <w:trHeight w:val="353" w:hRule="exact"/>
        </w:trPr>
        <w:tc>
          <w:tcPr>
            <w:tcW w:w="296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4" w:right="0"/>
              <w:jc w:val="left"/>
              <w:rPr>
                <w:rFonts w:ascii="宋体" w:hAnsi="宋体" w:cs="宋体" w:eastAsia="宋体" w:hint="default"/>
                <w:sz w:val="18"/>
                <w:szCs w:val="18"/>
              </w:rPr>
            </w:pPr>
            <w:r>
              <w:rPr>
                <w:rFonts w:ascii="宋体" w:hAnsi="宋体" w:cs="宋体" w:eastAsia="宋体" w:hint="default"/>
                <w:sz w:val="18"/>
                <w:szCs w:val="18"/>
              </w:rPr>
              <w:t>商标权</w:t>
            </w:r>
          </w:p>
        </w:tc>
        <w:tc>
          <w:tcPr>
            <w:tcW w:w="197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年</w:t>
            </w:r>
          </w:p>
        </w:tc>
        <w:tc>
          <w:tcPr>
            <w:tcW w:w="230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年限平均法</w:t>
            </w:r>
          </w:p>
        </w:tc>
        <w:tc>
          <w:tcPr>
            <w:tcW w:w="1814" w:type="dxa"/>
            <w:tcBorders>
              <w:top w:val="single" w:sz="12" w:space="0" w:color="000000"/>
              <w:left w:val="single" w:sz="6" w:space="0" w:color="000000"/>
              <w:bottom w:val="single" w:sz="12" w:space="0" w:color="000000"/>
              <w:right w:val="nil" w:sz="6" w:space="0" w:color="auto"/>
            </w:tcBorders>
          </w:tcPr>
          <w:p>
            <w:pPr/>
          </w:p>
        </w:tc>
      </w:tr>
      <w:tr>
        <w:trPr>
          <w:trHeight w:val="353" w:hRule="exact"/>
        </w:trPr>
        <w:tc>
          <w:tcPr>
            <w:tcW w:w="296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4"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97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年</w:t>
            </w:r>
          </w:p>
        </w:tc>
        <w:tc>
          <w:tcPr>
            <w:tcW w:w="230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年限平均法</w:t>
            </w:r>
          </w:p>
        </w:tc>
        <w:tc>
          <w:tcPr>
            <w:tcW w:w="1814" w:type="dxa"/>
            <w:tcBorders>
              <w:top w:val="single" w:sz="12" w:space="0" w:color="000000"/>
              <w:left w:val="single" w:sz="6" w:space="0" w:color="000000"/>
              <w:bottom w:val="single" w:sz="12" w:space="0" w:color="000000"/>
              <w:right w:val="nil" w:sz="6" w:space="0" w:color="auto"/>
            </w:tcBorders>
          </w:tcPr>
          <w:p>
            <w:pPr/>
          </w:p>
        </w:tc>
      </w:tr>
      <w:tr>
        <w:trPr>
          <w:trHeight w:val="343" w:hRule="exact"/>
        </w:trPr>
        <w:tc>
          <w:tcPr>
            <w:tcW w:w="296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
              <w:ind w:left="4" w:right="0"/>
              <w:jc w:val="left"/>
              <w:rPr>
                <w:rFonts w:ascii="宋体" w:hAnsi="宋体" w:cs="宋体" w:eastAsia="宋体" w:hint="default"/>
                <w:sz w:val="18"/>
                <w:szCs w:val="18"/>
              </w:rPr>
            </w:pPr>
            <w:r>
              <w:rPr>
                <w:rFonts w:ascii="宋体" w:hAnsi="宋体" w:cs="宋体" w:eastAsia="宋体" w:hint="default"/>
                <w:sz w:val="18"/>
                <w:szCs w:val="18"/>
              </w:rPr>
              <w:t>武汉大千无形资产评估增值</w:t>
            </w:r>
          </w:p>
        </w:tc>
        <w:tc>
          <w:tcPr>
            <w:tcW w:w="197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年</w:t>
            </w:r>
          </w:p>
        </w:tc>
        <w:tc>
          <w:tcPr>
            <w:tcW w:w="230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年限平均法</w:t>
            </w:r>
          </w:p>
        </w:tc>
        <w:tc>
          <w:tcPr>
            <w:tcW w:w="1814" w:type="dxa"/>
            <w:tcBorders>
              <w:top w:val="single" w:sz="12" w:space="0" w:color="000000"/>
              <w:left w:val="single" w:sz="6" w:space="0" w:color="000000"/>
              <w:bottom w:val="single" w:sz="6" w:space="0" w:color="000000"/>
              <w:right w:val="nil" w:sz="6" w:space="0" w:color="auto"/>
            </w:tcBorders>
          </w:tcPr>
          <w:p>
            <w:pPr/>
          </w:p>
        </w:tc>
      </w:tr>
      <w:tr>
        <w:trPr>
          <w:trHeight w:val="358" w:hRule="exact"/>
        </w:trPr>
        <w:tc>
          <w:tcPr>
            <w:tcW w:w="296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中检美亚无形资产评估增值</w:t>
            </w:r>
          </w:p>
        </w:tc>
        <w:tc>
          <w:tcPr>
            <w:tcW w:w="197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年</w:t>
            </w:r>
          </w:p>
        </w:tc>
        <w:tc>
          <w:tcPr>
            <w:tcW w:w="230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年限平均法</w:t>
            </w:r>
          </w:p>
        </w:tc>
        <w:tc>
          <w:tcPr>
            <w:tcW w:w="1814" w:type="dxa"/>
            <w:tcBorders>
              <w:top w:val="single" w:sz="6" w:space="0" w:color="000000"/>
              <w:left w:val="single" w:sz="6" w:space="0" w:color="000000"/>
              <w:bottom w:val="single" w:sz="12" w:space="0" w:color="000000"/>
              <w:right w:val="nil" w:sz="6" w:space="0" w:color="auto"/>
            </w:tcBorders>
          </w:tcPr>
          <w:p>
            <w:pPr/>
          </w:p>
        </w:tc>
      </w:tr>
    </w:tbl>
    <w:p>
      <w:pPr>
        <w:pStyle w:val="BodyText"/>
        <w:spacing w:line="408" w:lineRule="auto" w:before="64"/>
        <w:ind w:right="986" w:firstLine="420"/>
        <w:jc w:val="left"/>
      </w:pPr>
      <w:r>
        <w:rPr>
          <w:spacing w:val="-2"/>
        </w:rPr>
        <w:t>本集团于每年年度终了，对使用寿命有限的无形资产的使用寿命及摊销方法进行复核，与以前估计不</w:t>
      </w:r>
      <w:r>
        <w:rPr>
          <w:w w:val="100"/>
        </w:rPr>
        <w:t> </w:t>
      </w:r>
      <w:r>
        <w:rPr/>
        <w:t>同的，调整原先估计数，并按会计估计变更处理。</w:t>
      </w:r>
    </w:p>
    <w:p>
      <w:pPr>
        <w:pStyle w:val="BodyText"/>
        <w:spacing w:line="240" w:lineRule="auto"/>
        <w:ind w:left="572" w:right="986"/>
        <w:jc w:val="left"/>
      </w:pPr>
      <w:r>
        <w:rPr/>
        <w:t>资产负债表日预计某项无形资产已经不能给企业带来未来经济利益的，将该项无形资产的账面价值全</w:t>
      </w:r>
    </w:p>
    <w:p>
      <w:pPr>
        <w:spacing w:after="0" w:line="240"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left="572" w:right="6434" w:hanging="420"/>
        <w:jc w:val="left"/>
      </w:pPr>
      <w:r>
        <w:rPr/>
        <w:t>部转入当期损益。</w:t>
      </w:r>
      <w:r>
        <w:rPr>
          <w:w w:val="100"/>
        </w:rPr>
        <w:t> </w:t>
      </w:r>
      <w:r>
        <w:rPr>
          <w:spacing w:val="-2"/>
        </w:rPr>
        <w:t>无形资产计提资产减值方法见附注五</w:t>
      </w:r>
      <w:r>
        <w:rPr>
          <w:rFonts w:ascii="Times New Roman" w:hAnsi="Times New Roman" w:cs="Times New Roman" w:eastAsia="Times New Roman" w:hint="default"/>
          <w:spacing w:val="-2"/>
        </w:rPr>
        <w:t>31</w:t>
      </w:r>
      <w:r>
        <w:rPr>
          <w:spacing w:val="-2"/>
        </w:rPr>
        <w:t>。</w:t>
      </w:r>
    </w:p>
    <w:p>
      <w:pPr>
        <w:spacing w:line="240" w:lineRule="auto" w:before="2"/>
        <w:rPr>
          <w:rFonts w:ascii="宋体" w:hAnsi="宋体" w:cs="宋体" w:eastAsia="宋体" w:hint="default"/>
          <w:sz w:val="18"/>
          <w:szCs w:val="18"/>
        </w:rPr>
      </w:pPr>
    </w:p>
    <w:p>
      <w:pPr>
        <w:pStyle w:val="Heading4"/>
        <w:spacing w:line="240" w:lineRule="auto"/>
        <w:ind w:right="0"/>
        <w:jc w:val="both"/>
        <w:rPr>
          <w:b w:val="0"/>
          <w:bCs w:val="0"/>
        </w:rPr>
      </w:pPr>
      <w:bookmarkStart w:name="（2）内部研究开发支出会计政策" w:id="206"/>
      <w:bookmarkEnd w:id="206"/>
      <w:r>
        <w:rPr>
          <w:b w:val="0"/>
          <w:bCs w:val="0"/>
        </w:rPr>
      </w:r>
      <w:r>
        <w:rPr/>
        <w:t>（</w:t>
      </w:r>
      <w:r>
        <w:rPr>
          <w:rFonts w:ascii="Times New Roman" w:hAnsi="Times New Roman" w:cs="Times New Roman" w:eastAsia="Times New Roman" w:hint="default"/>
        </w:rPr>
        <w:t>2</w:t>
      </w:r>
      <w:r>
        <w:rPr/>
        <w:t>）内部研究开发支出会计政策</w:t>
      </w:r>
      <w:r>
        <w:rPr>
          <w:b w:val="0"/>
          <w:bCs w:val="0"/>
        </w:rPr>
      </w:r>
    </w:p>
    <w:p>
      <w:pPr>
        <w:spacing w:line="240" w:lineRule="auto" w:before="8"/>
        <w:rPr>
          <w:rFonts w:ascii="宋体" w:hAnsi="宋体" w:cs="宋体" w:eastAsia="宋体" w:hint="default"/>
          <w:b/>
          <w:bCs/>
          <w:sz w:val="30"/>
          <w:szCs w:val="30"/>
        </w:rPr>
      </w:pPr>
    </w:p>
    <w:p>
      <w:pPr>
        <w:pStyle w:val="BodyText"/>
        <w:spacing w:line="408" w:lineRule="auto" w:before="0"/>
        <w:ind w:left="572" w:right="986"/>
        <w:jc w:val="left"/>
      </w:pPr>
      <w:r>
        <w:rPr/>
        <w:t>本集团将内部研究开发项目的支出，区分为研究阶段支出和开发阶段支出。</w:t>
      </w:r>
      <w:r>
        <w:rPr>
          <w:w w:val="100"/>
        </w:rPr>
        <w:t> </w:t>
      </w:r>
      <w:r>
        <w:rPr/>
        <w:t>研究阶段的支出，于发生时计入当期损益。</w:t>
      </w:r>
      <w:r>
        <w:rPr>
          <w:w w:val="100"/>
        </w:rPr>
        <w:t> </w:t>
      </w:r>
      <w:r>
        <w:rPr>
          <w:spacing w:val="-2"/>
        </w:rPr>
        <w:t>开发阶段的支出，同时满足下列条件的，才能予以资本化，即：完成该无形资产以使其能够使用或出</w:t>
      </w:r>
    </w:p>
    <w:p>
      <w:pPr>
        <w:pStyle w:val="BodyText"/>
        <w:spacing w:line="408" w:lineRule="auto"/>
        <w:ind w:right="1128"/>
        <w:jc w:val="both"/>
      </w:pPr>
      <w:r>
        <w:rPr>
          <w:spacing w:val="-2"/>
        </w:rPr>
        <w:t>售在技术上具有可行性；具有完成该无形资产并使用或出售的意图；无形资产产生经济利益的方式，包括</w:t>
      </w:r>
      <w:r>
        <w:rPr>
          <w:spacing w:val="-43"/>
        </w:rPr>
        <w:t> </w:t>
      </w:r>
      <w:r>
        <w:rPr>
          <w:spacing w:val="-43"/>
        </w:rPr>
      </w:r>
      <w:r>
        <w:rPr>
          <w:spacing w:val="-2"/>
        </w:rPr>
        <w:t>能够证明运用该无形资产生产的产品存在市场或无形资产自身存在市场，无形资产将在内部使用的，能够</w:t>
      </w:r>
      <w:r>
        <w:rPr>
          <w:spacing w:val="-42"/>
        </w:rPr>
        <w:t> </w:t>
      </w:r>
      <w:r>
        <w:rPr>
          <w:spacing w:val="-42"/>
        </w:rPr>
      </w:r>
      <w:r>
        <w:rPr>
          <w:spacing w:val="-2"/>
        </w:rPr>
        <w:t>证明其有用性；有足够的技术、财务资源和其他资源支持，以完成该无形资产的开发，并有能力使用或出</w:t>
      </w:r>
      <w:r>
        <w:rPr>
          <w:spacing w:val="-50"/>
        </w:rPr>
        <w:t> </w:t>
      </w:r>
      <w:r>
        <w:rPr>
          <w:spacing w:val="-50"/>
        </w:rPr>
      </w:r>
      <w:r>
        <w:rPr>
          <w:spacing w:val="-2"/>
        </w:rPr>
        <w:t>售该无形资产；归属于该无形资产开发阶段的支出能够可靠地计量。不满足上述条件的开发支出计入当期</w:t>
      </w:r>
      <w:r>
        <w:rPr>
          <w:spacing w:val="-42"/>
        </w:rPr>
        <w:t> </w:t>
      </w:r>
      <w:r>
        <w:rPr>
          <w:spacing w:val="-42"/>
        </w:rPr>
      </w:r>
      <w:r>
        <w:rPr/>
        <w:t>损益。</w:t>
      </w:r>
    </w:p>
    <w:p>
      <w:pPr>
        <w:pStyle w:val="BodyText"/>
        <w:spacing w:line="408" w:lineRule="auto"/>
        <w:ind w:right="1128" w:firstLine="420"/>
        <w:jc w:val="both"/>
      </w:pPr>
      <w:r>
        <w:rPr>
          <w:spacing w:val="-2"/>
        </w:rPr>
        <w:t>本集团研究开发项目在满足上述条件，通过技术可行性及经济可行性研究，形成项目立项后，进入开</w:t>
      </w:r>
      <w:r>
        <w:rPr>
          <w:w w:val="100"/>
        </w:rPr>
        <w:t> </w:t>
      </w:r>
      <w:r>
        <w:rPr/>
        <w:t>发阶段。</w:t>
      </w:r>
    </w:p>
    <w:p>
      <w:pPr>
        <w:pStyle w:val="BodyText"/>
        <w:spacing w:line="408" w:lineRule="auto"/>
        <w:ind w:right="1128" w:firstLine="420"/>
        <w:jc w:val="both"/>
      </w:pPr>
      <w:r>
        <w:rPr>
          <w:spacing w:val="-2"/>
        </w:rPr>
        <w:t>已资本化的开发阶段的支出在资产负债表上列示为开发支出，自该项目达到预定可使用状态之日转为</w:t>
      </w:r>
      <w:r>
        <w:rPr>
          <w:w w:val="100"/>
        </w:rPr>
        <w:t> </w:t>
      </w:r>
      <w:r>
        <w:rPr/>
        <w:t>无形资产。</w:t>
      </w:r>
    </w:p>
    <w:p>
      <w:pPr>
        <w:spacing w:line="240" w:lineRule="auto" w:before="8"/>
        <w:rPr>
          <w:rFonts w:ascii="宋体" w:hAnsi="宋体" w:cs="宋体" w:eastAsia="宋体" w:hint="default"/>
          <w:sz w:val="20"/>
          <w:szCs w:val="20"/>
        </w:rPr>
      </w:pPr>
    </w:p>
    <w:p>
      <w:pPr>
        <w:pStyle w:val="Heading4"/>
        <w:spacing w:line="240" w:lineRule="auto"/>
        <w:ind w:right="0"/>
        <w:jc w:val="both"/>
        <w:rPr>
          <w:b w:val="0"/>
          <w:bCs w:val="0"/>
        </w:rPr>
      </w:pPr>
      <w:bookmarkStart w:name="31、长期资产减值" w:id="207"/>
      <w:bookmarkEnd w:id="207"/>
      <w:r>
        <w:rPr>
          <w:b w:val="0"/>
          <w:bCs w:val="0"/>
        </w:rPr>
      </w:r>
      <w:r>
        <w:rPr>
          <w:rFonts w:ascii="Times New Roman" w:hAnsi="Times New Roman" w:cs="Times New Roman" w:eastAsia="Times New Roman" w:hint="default"/>
        </w:rPr>
        <w:t>31</w:t>
      </w:r>
      <w:r>
        <w:rPr/>
        <w:t>、长期资产减值</w:t>
      </w:r>
      <w:r>
        <w:rPr>
          <w:b w:val="0"/>
          <w:bCs w:val="0"/>
        </w:rPr>
      </w:r>
    </w:p>
    <w:p>
      <w:pPr>
        <w:spacing w:line="240" w:lineRule="auto" w:before="5"/>
        <w:rPr>
          <w:rFonts w:ascii="宋体" w:hAnsi="宋体" w:cs="宋体" w:eastAsia="宋体" w:hint="default"/>
          <w:b/>
          <w:bCs/>
          <w:sz w:val="30"/>
          <w:szCs w:val="30"/>
        </w:rPr>
      </w:pPr>
    </w:p>
    <w:p>
      <w:pPr>
        <w:pStyle w:val="BodyText"/>
        <w:spacing w:line="408" w:lineRule="auto" w:before="0"/>
        <w:ind w:right="1128" w:firstLine="420"/>
        <w:jc w:val="both"/>
      </w:pPr>
      <w:r>
        <w:rPr>
          <w:spacing w:val="-2"/>
        </w:rPr>
        <w:t>对子公司、联营企业和合营企业的长期股权投资、采用成本模式进行后续计量的投资性房地产、固定</w:t>
      </w:r>
      <w:r>
        <w:rPr>
          <w:w w:val="100"/>
        </w:rPr>
        <w:t> </w:t>
      </w:r>
      <w:r>
        <w:rPr>
          <w:spacing w:val="-2"/>
        </w:rPr>
        <w:t>资产、在建工程、无形资产、商誉等（存货、递延所得税资产、金融资产除外）的资产减值，按以下方法</w:t>
      </w:r>
      <w:r>
        <w:rPr>
          <w:spacing w:val="-49"/>
        </w:rPr>
        <w:t> </w:t>
      </w:r>
      <w:r>
        <w:rPr>
          <w:spacing w:val="-49"/>
        </w:rPr>
      </w:r>
      <w:r>
        <w:rPr/>
        <w:t>确定：</w:t>
      </w:r>
    </w:p>
    <w:p>
      <w:pPr>
        <w:pStyle w:val="BodyText"/>
        <w:spacing w:line="408" w:lineRule="auto"/>
        <w:ind w:right="1128" w:firstLine="420"/>
        <w:jc w:val="both"/>
      </w:pPr>
      <w:r>
        <w:rPr>
          <w:spacing w:val="-2"/>
        </w:rPr>
        <w:t>于资产负债表日判断资产是否存在可能发生减值的迹象，存在减值迹象的，本集团将估计其可收回金</w:t>
      </w:r>
      <w:r>
        <w:rPr>
          <w:w w:val="100"/>
        </w:rPr>
        <w:t> </w:t>
      </w:r>
      <w:r>
        <w:rPr>
          <w:spacing w:val="-2"/>
        </w:rPr>
        <w:t>额，进行减值测试。对因企业合并所形成的商誉、使用寿命不确定的无形资产和尚未达到可使用状态的无</w:t>
      </w:r>
      <w:r>
        <w:rPr>
          <w:spacing w:val="-43"/>
        </w:rPr>
        <w:t> </w:t>
      </w:r>
      <w:r>
        <w:rPr>
          <w:spacing w:val="-43"/>
        </w:rPr>
      </w:r>
      <w:r>
        <w:rPr/>
        <w:t>形资产无论是否存在减值迹象，每年都进行减值测试。</w:t>
      </w:r>
    </w:p>
    <w:p>
      <w:pPr>
        <w:pStyle w:val="BodyText"/>
        <w:spacing w:line="408" w:lineRule="auto"/>
        <w:ind w:right="1128" w:firstLine="420"/>
        <w:jc w:val="both"/>
      </w:pPr>
      <w:r>
        <w:rPr>
          <w:spacing w:val="2"/>
        </w:rPr>
        <w:t>可收回金额根据资产的公允价值减去处置费用后的净额与资产预计未来现金流量的现值两者之间较</w:t>
      </w:r>
      <w:r>
        <w:rPr>
          <w:w w:val="100"/>
        </w:rPr>
        <w:t> </w:t>
      </w:r>
      <w:r>
        <w:rPr>
          <w:spacing w:val="-2"/>
        </w:rPr>
        <w:t>高者确定。本集团以单项资产为基础估计其可收回金额；难以对单项资产的可收回金额进行估计的，以该</w:t>
      </w:r>
      <w:r>
        <w:rPr>
          <w:spacing w:val="-44"/>
        </w:rPr>
        <w:t> </w:t>
      </w:r>
      <w:r>
        <w:rPr>
          <w:spacing w:val="-44"/>
        </w:rPr>
      </w:r>
      <w:r>
        <w:rPr>
          <w:spacing w:val="-2"/>
        </w:rPr>
        <w:t>资产所属的资产组为基础确定资产组的可收回金额。资产组的认定，以资产组产生的主要现金流入是否独</w:t>
      </w:r>
      <w:r>
        <w:rPr>
          <w:spacing w:val="-42"/>
        </w:rPr>
        <w:t> </w:t>
      </w:r>
      <w:r>
        <w:rPr>
          <w:spacing w:val="-42"/>
        </w:rPr>
      </w:r>
      <w:r>
        <w:rPr/>
        <w:t>立于其他资产或者资产组的现金流入为依据。</w:t>
      </w:r>
    </w:p>
    <w:p>
      <w:pPr>
        <w:pStyle w:val="BodyText"/>
        <w:spacing w:line="408" w:lineRule="auto"/>
        <w:ind w:right="1128" w:firstLine="420"/>
        <w:jc w:val="both"/>
      </w:pPr>
      <w:r>
        <w:rPr>
          <w:spacing w:val="-2"/>
        </w:rPr>
        <w:t>当资产或资产组的可收回金额低于其账面价值时，本集团将其账面价值减记至可收回金额，减记的金</w:t>
      </w:r>
      <w:r>
        <w:rPr>
          <w:w w:val="100"/>
        </w:rPr>
        <w:t> </w:t>
      </w:r>
      <w:r>
        <w:rPr/>
        <w:t>额计入当期损益，同时计提相应的资产减值准备。</w:t>
      </w:r>
    </w:p>
    <w:p>
      <w:pPr>
        <w:spacing w:after="0" w:line="408" w:lineRule="auto"/>
        <w:jc w:val="both"/>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986" w:firstLine="420"/>
        <w:jc w:val="left"/>
      </w:pPr>
      <w:r>
        <w:rPr/>
        <w:t>就商誉的减值测试而言，对于因企业合并形成的商誉的账面价值，自购买日起按照合理的方法分摊至</w:t>
      </w:r>
      <w:r>
        <w:rPr>
          <w:w w:val="100"/>
        </w:rPr>
        <w:t> </w:t>
      </w:r>
      <w:r>
        <w:rPr>
          <w:spacing w:val="-5"/>
        </w:rPr>
        <w:t>相关的资产组；难以分摊至相关的资产组的，将其分摊至相关的资产组组合。相关的资产组或资产组组合，</w:t>
      </w:r>
      <w:r>
        <w:rPr>
          <w:spacing w:val="-4"/>
        </w:rPr>
        <w:t> </w:t>
      </w:r>
      <w:r>
        <w:rPr>
          <w:spacing w:val="-4"/>
        </w:rPr>
      </w:r>
      <w:r>
        <w:rPr/>
        <w:t>是能够从企业合并的协同效应中受益的资产组或者资产组组合，且不大于本集团确定的报告分部。</w:t>
      </w:r>
    </w:p>
    <w:p>
      <w:pPr>
        <w:pStyle w:val="BodyText"/>
        <w:spacing w:line="408" w:lineRule="auto"/>
        <w:ind w:right="1128" w:firstLine="420"/>
        <w:jc w:val="both"/>
      </w:pPr>
      <w:r>
        <w:rPr>
          <w:spacing w:val="-2"/>
        </w:rPr>
        <w:t>减值测试时，如与商誉相关的资产组或者资产组组合存在减值迹象的，首先对不包含商誉的资产组或</w:t>
      </w:r>
      <w:r>
        <w:rPr>
          <w:w w:val="100"/>
        </w:rPr>
        <w:t> </w:t>
      </w:r>
      <w:r>
        <w:rPr>
          <w:spacing w:val="-2"/>
        </w:rPr>
        <w:t>者资产组组合进行减值测试，计算可收回金额，确认相应的减值损失。然后对包含商誉的资产组或者资产</w:t>
      </w:r>
      <w:r>
        <w:rPr>
          <w:spacing w:val="-42"/>
        </w:rPr>
        <w:t> </w:t>
      </w:r>
      <w:r>
        <w:rPr>
          <w:spacing w:val="-42"/>
        </w:rPr>
      </w:r>
      <w:r>
        <w:rPr>
          <w:spacing w:val="-2"/>
        </w:rPr>
        <w:t>组组合进行减值测试，比较其账面价值与可收回金额，如可收回金额低于账面价值的，确认商誉的减值损</w:t>
      </w:r>
      <w:r>
        <w:rPr>
          <w:spacing w:val="-44"/>
        </w:rPr>
        <w:t> </w:t>
      </w:r>
      <w:r>
        <w:rPr>
          <w:spacing w:val="-44"/>
        </w:rPr>
      </w:r>
      <w:r>
        <w:rPr/>
        <w:t>失。商誉资产减值损失一经确认，在以后会计期间不再转回。</w:t>
      </w:r>
    </w:p>
    <w:p>
      <w:pPr>
        <w:spacing w:line="240" w:lineRule="auto" w:before="8"/>
        <w:rPr>
          <w:rFonts w:ascii="宋体" w:hAnsi="宋体" w:cs="宋体" w:eastAsia="宋体" w:hint="default"/>
          <w:sz w:val="20"/>
          <w:szCs w:val="20"/>
        </w:rPr>
      </w:pPr>
    </w:p>
    <w:p>
      <w:pPr>
        <w:pStyle w:val="Heading4"/>
        <w:spacing w:line="240" w:lineRule="auto"/>
        <w:ind w:right="986"/>
        <w:jc w:val="left"/>
        <w:rPr>
          <w:b w:val="0"/>
          <w:bCs w:val="0"/>
        </w:rPr>
      </w:pPr>
      <w:bookmarkStart w:name="32、长期待摊费用" w:id="208"/>
      <w:bookmarkEnd w:id="208"/>
      <w:r>
        <w:rPr>
          <w:b w:val="0"/>
          <w:bCs w:val="0"/>
        </w:rPr>
      </w:r>
      <w:r>
        <w:rPr>
          <w:rFonts w:ascii="Times New Roman" w:hAnsi="Times New Roman" w:cs="Times New Roman" w:eastAsia="Times New Roman" w:hint="default"/>
        </w:rPr>
        <w:t>32</w:t>
      </w:r>
      <w:r>
        <w:rPr/>
        <w:t>、长期待摊费用</w:t>
      </w:r>
      <w:r>
        <w:rPr>
          <w:b w:val="0"/>
          <w:bCs w:val="0"/>
        </w:rPr>
      </w:r>
    </w:p>
    <w:p>
      <w:pPr>
        <w:spacing w:line="240" w:lineRule="auto" w:before="8"/>
        <w:rPr>
          <w:rFonts w:ascii="宋体" w:hAnsi="宋体" w:cs="宋体" w:eastAsia="宋体" w:hint="default"/>
          <w:b/>
          <w:bCs/>
          <w:sz w:val="30"/>
          <w:szCs w:val="30"/>
        </w:rPr>
      </w:pPr>
    </w:p>
    <w:p>
      <w:pPr>
        <w:pStyle w:val="BodyText"/>
        <w:spacing w:line="408" w:lineRule="auto" w:before="0"/>
        <w:ind w:right="1128" w:firstLine="420"/>
        <w:jc w:val="both"/>
      </w:pPr>
      <w:r>
        <w:rPr>
          <w:spacing w:val="-2"/>
        </w:rPr>
        <w:t>本集团发生的长期待摊费用按实际成本计价，并按预计受益期限平均摊销。对不能使以后会计期间受</w:t>
      </w:r>
      <w:r>
        <w:rPr>
          <w:w w:val="100"/>
        </w:rPr>
        <w:t> </w:t>
      </w:r>
      <w:r>
        <w:rPr/>
        <w:t>益的长期待摊费用项目，其摊余价值全部计入当期损益。</w:t>
      </w:r>
    </w:p>
    <w:p>
      <w:pPr>
        <w:spacing w:line="240" w:lineRule="auto" w:before="8"/>
        <w:rPr>
          <w:rFonts w:ascii="宋体" w:hAnsi="宋体" w:cs="宋体" w:eastAsia="宋体" w:hint="default"/>
          <w:sz w:val="20"/>
          <w:szCs w:val="20"/>
        </w:rPr>
      </w:pPr>
    </w:p>
    <w:p>
      <w:pPr>
        <w:pStyle w:val="Heading4"/>
        <w:spacing w:line="520" w:lineRule="auto"/>
        <w:ind w:right="9490" w:hanging="1"/>
        <w:jc w:val="left"/>
        <w:rPr>
          <w:b w:val="0"/>
          <w:bCs w:val="0"/>
        </w:rPr>
      </w:pPr>
      <w:bookmarkStart w:name="33、合同负债" w:id="209"/>
      <w:bookmarkEnd w:id="209"/>
      <w:r>
        <w:rPr>
          <w:b w:val="0"/>
          <w:bCs w:val="0"/>
        </w:rPr>
      </w:r>
      <w:r>
        <w:rPr>
          <w:rFonts w:ascii="Times New Roman" w:hAnsi="Times New Roman" w:cs="Times New Roman" w:eastAsia="Times New Roman" w:hint="default"/>
        </w:rPr>
        <w:t>33</w:t>
      </w:r>
      <w:r>
        <w:rPr/>
        <w:t>、合同负债</w:t>
      </w:r>
      <w:r>
        <w:rPr>
          <w:w w:val="100"/>
        </w:rPr>
        <w:t> </w:t>
      </w:r>
      <w:r>
        <w:rPr>
          <w:rFonts w:ascii="宋体" w:hAnsi="宋体" w:cs="宋体" w:eastAsia="宋体" w:hint="default"/>
          <w:b w:val="0"/>
          <w:bCs w:val="0"/>
        </w:rPr>
        <w:t>无</w:t>
      </w:r>
      <w:r>
        <w:rPr>
          <w:rFonts w:ascii="宋体" w:hAnsi="宋体" w:cs="宋体" w:eastAsia="宋体" w:hint="default"/>
          <w:b w:val="0"/>
          <w:bCs w:val="0"/>
          <w:w w:val="100"/>
        </w:rPr>
        <w:t> </w:t>
      </w:r>
      <w:bookmarkStart w:name="34、职工薪酬" w:id="210"/>
      <w:bookmarkEnd w:id="210"/>
      <w:r>
        <w:rPr>
          <w:rFonts w:ascii="宋体" w:hAnsi="宋体" w:cs="宋体" w:eastAsia="宋体" w:hint="default"/>
          <w:b w:val="0"/>
          <w:bCs w:val="0"/>
          <w:w w:val="100"/>
        </w:rPr>
      </w:r>
      <w:r>
        <w:rPr>
          <w:rFonts w:ascii="Times New Roman" w:hAnsi="Times New Roman" w:cs="Times New Roman" w:eastAsia="Times New Roman" w:hint="default"/>
        </w:rPr>
        <w:t>34</w:t>
      </w:r>
      <w:r>
        <w:rPr/>
        <w:t>、职工薪酬</w:t>
      </w:r>
      <w:r>
        <w:rPr>
          <w:b w:val="0"/>
          <w:bCs w:val="0"/>
        </w:rPr>
      </w:r>
    </w:p>
    <w:p>
      <w:pPr>
        <w:pStyle w:val="Heading4"/>
        <w:spacing w:line="240" w:lineRule="auto" w:before="51"/>
        <w:ind w:right="986"/>
        <w:jc w:val="left"/>
        <w:rPr>
          <w:b w:val="0"/>
          <w:bCs w:val="0"/>
        </w:rPr>
      </w:pPr>
      <w:bookmarkStart w:name="（1）短期薪酬的会计处理方法" w:id="211"/>
      <w:bookmarkEnd w:id="211"/>
      <w:r>
        <w:rPr>
          <w:b w:val="0"/>
          <w:bCs w:val="0"/>
        </w:rPr>
      </w:r>
      <w:r>
        <w:rPr/>
        <w:t>（</w:t>
      </w:r>
      <w:r>
        <w:rPr>
          <w:rFonts w:ascii="Times New Roman" w:hAnsi="Times New Roman" w:cs="Times New Roman" w:eastAsia="Times New Roman" w:hint="default"/>
        </w:rPr>
        <w:t>1</w:t>
      </w:r>
      <w:r>
        <w:rPr/>
        <w:t>）短期薪酬的会计处理方法</w:t>
      </w:r>
      <w:r>
        <w:rPr>
          <w:b w:val="0"/>
          <w:bCs w:val="0"/>
        </w:rPr>
      </w:r>
    </w:p>
    <w:p>
      <w:pPr>
        <w:spacing w:line="240" w:lineRule="auto" w:before="5"/>
        <w:rPr>
          <w:rFonts w:ascii="宋体" w:hAnsi="宋体" w:cs="宋体" w:eastAsia="宋体" w:hint="default"/>
          <w:b/>
          <w:bCs/>
          <w:sz w:val="30"/>
          <w:szCs w:val="30"/>
        </w:rPr>
      </w:pPr>
    </w:p>
    <w:p>
      <w:pPr>
        <w:pStyle w:val="BodyText"/>
        <w:spacing w:line="408" w:lineRule="auto" w:before="0"/>
        <w:ind w:right="1128" w:firstLine="420"/>
        <w:jc w:val="both"/>
      </w:pPr>
      <w:r>
        <w:rPr>
          <w:spacing w:val="-2"/>
        </w:rPr>
        <w:t>本集团在职工提供服务的会计期间，将实际发生的职工工资、奖金、按规定的基准和比例为职工缴纳</w:t>
      </w:r>
      <w:r>
        <w:rPr>
          <w:w w:val="100"/>
        </w:rPr>
        <w:t> </w:t>
      </w:r>
      <w:r>
        <w:rPr>
          <w:spacing w:val="-2"/>
        </w:rPr>
        <w:t>的医疗保险费、工伤保险费和生育保险费等社会保险费和住房公积金，确认为负债，并计入当期损益或相</w:t>
      </w:r>
      <w:r>
        <w:rPr>
          <w:spacing w:val="-43"/>
        </w:rPr>
        <w:t> </w:t>
      </w:r>
      <w:r>
        <w:rPr>
          <w:spacing w:val="-43"/>
        </w:rPr>
      </w:r>
      <w:r>
        <w:rPr>
          <w:spacing w:val="-2"/>
        </w:rPr>
        <w:t>关资产成本。如果该负债预期在职工提供相关服务的年度报告期结束后十二个月内不能完全支付，且财务</w:t>
      </w:r>
      <w:r>
        <w:rPr>
          <w:spacing w:val="-42"/>
        </w:rPr>
        <w:t> </w:t>
      </w:r>
      <w:r>
        <w:rPr>
          <w:spacing w:val="-42"/>
        </w:rPr>
      </w:r>
      <w:r>
        <w:rPr/>
        <w:t>影响重大的，则该负债将以折现后的金额计量。</w:t>
      </w:r>
    </w:p>
    <w:p>
      <w:pPr>
        <w:spacing w:line="240" w:lineRule="auto" w:before="8"/>
        <w:rPr>
          <w:rFonts w:ascii="宋体" w:hAnsi="宋体" w:cs="宋体" w:eastAsia="宋体" w:hint="default"/>
          <w:sz w:val="20"/>
          <w:szCs w:val="20"/>
        </w:rPr>
      </w:pPr>
    </w:p>
    <w:p>
      <w:pPr>
        <w:pStyle w:val="Heading4"/>
        <w:spacing w:line="240" w:lineRule="auto"/>
        <w:ind w:right="986"/>
        <w:jc w:val="left"/>
        <w:rPr>
          <w:b w:val="0"/>
          <w:bCs w:val="0"/>
        </w:rPr>
      </w:pPr>
      <w:bookmarkStart w:name="（2）离职后福利的会计处理方法" w:id="212"/>
      <w:bookmarkEnd w:id="212"/>
      <w:r>
        <w:rPr>
          <w:b w:val="0"/>
          <w:bCs w:val="0"/>
        </w:rPr>
      </w:r>
      <w:r>
        <w:rPr/>
        <w:t>（</w:t>
      </w:r>
      <w:r>
        <w:rPr>
          <w:rFonts w:ascii="Times New Roman" w:hAnsi="Times New Roman" w:cs="Times New Roman" w:eastAsia="Times New Roman" w:hint="default"/>
        </w:rPr>
        <w:t>2</w:t>
      </w:r>
      <w:r>
        <w:rPr/>
        <w:t>）离职后福利的会计处理方法</w:t>
      </w:r>
      <w:r>
        <w:rPr>
          <w:b w:val="0"/>
          <w:bCs w:val="0"/>
        </w:rPr>
      </w:r>
    </w:p>
    <w:p>
      <w:pPr>
        <w:spacing w:line="240" w:lineRule="auto" w:before="8"/>
        <w:rPr>
          <w:rFonts w:ascii="宋体" w:hAnsi="宋体" w:cs="宋体" w:eastAsia="宋体" w:hint="default"/>
          <w:b/>
          <w:bCs/>
          <w:sz w:val="30"/>
          <w:szCs w:val="30"/>
        </w:rPr>
      </w:pPr>
    </w:p>
    <w:p>
      <w:pPr>
        <w:pStyle w:val="BodyText"/>
        <w:spacing w:line="408" w:lineRule="auto" w:before="0"/>
        <w:ind w:right="1128" w:firstLine="420"/>
        <w:jc w:val="both"/>
      </w:pPr>
      <w:r>
        <w:rPr>
          <w:spacing w:val="-2"/>
        </w:rPr>
        <w:t>离职后福利计划包括设定提存计划和设定受益计划。其中，设定提存计划，是指向独立的基金缴存固</w:t>
      </w:r>
      <w:r>
        <w:rPr>
          <w:w w:val="100"/>
        </w:rPr>
        <w:t> </w:t>
      </w:r>
      <w:r>
        <w:rPr>
          <w:spacing w:val="-2"/>
        </w:rPr>
        <w:t>定费用后，企业不再承担进一步支付义务的离职后福利计划；设定受益计划，是指除设定提存计划以外的</w:t>
      </w:r>
      <w:r>
        <w:rPr>
          <w:spacing w:val="-45"/>
        </w:rPr>
        <w:t> </w:t>
      </w:r>
      <w:r>
        <w:rPr>
          <w:spacing w:val="-45"/>
        </w:rPr>
      </w:r>
      <w:r>
        <w:rPr/>
        <w:t>离职后福利计划。</w:t>
      </w:r>
    </w:p>
    <w:p>
      <w:pPr>
        <w:pStyle w:val="BodyText"/>
        <w:spacing w:line="408" w:lineRule="auto"/>
        <w:ind w:left="572" w:right="986"/>
        <w:jc w:val="left"/>
      </w:pPr>
      <w:r>
        <w:rPr/>
        <w:t>设定提存计划包括基本养老保险、失业保险以及企业年金计划等。</w:t>
      </w:r>
      <w:r>
        <w:rPr>
          <w:w w:val="100"/>
        </w:rPr>
        <w:t> </w:t>
      </w:r>
      <w:r>
        <w:rPr>
          <w:spacing w:val="-2"/>
        </w:rPr>
        <w:t>在职工提供服务的会计期间，根据设定提存计划计算的应缴存金额确认为负债，并计入当期损益或相</w:t>
      </w:r>
    </w:p>
    <w:p>
      <w:pPr>
        <w:pStyle w:val="BodyText"/>
        <w:spacing w:line="240" w:lineRule="auto"/>
        <w:ind w:right="986"/>
        <w:jc w:val="left"/>
      </w:pPr>
      <w:r>
        <w:rPr/>
        <w:t>关资产成本。</w:t>
      </w:r>
    </w:p>
    <w:p>
      <w:pPr>
        <w:spacing w:after="0" w:line="240" w:lineRule="auto"/>
        <w:jc w:val="left"/>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3）辞退福利的会计处理方法" w:id="213"/>
      <w:bookmarkEnd w:id="213"/>
      <w:r>
        <w:rPr>
          <w:b w:val="0"/>
          <w:bCs w:val="0"/>
        </w:rPr>
      </w:r>
      <w:r>
        <w:rPr/>
        <w:t>（</w:t>
      </w:r>
      <w:r>
        <w:rPr>
          <w:rFonts w:ascii="Times New Roman" w:hAnsi="Times New Roman" w:cs="Times New Roman" w:eastAsia="Times New Roman" w:hint="default"/>
        </w:rPr>
        <w:t>3</w:t>
      </w:r>
      <w:r>
        <w:rPr/>
        <w:t>）辞退福利的会计处理方法</w:t>
      </w:r>
      <w:r>
        <w:rPr>
          <w:b w:val="0"/>
          <w:bCs w:val="0"/>
        </w:rPr>
      </w:r>
    </w:p>
    <w:p>
      <w:pPr>
        <w:spacing w:line="240" w:lineRule="auto" w:before="8"/>
        <w:rPr>
          <w:rFonts w:ascii="宋体" w:hAnsi="宋体" w:cs="宋体" w:eastAsia="宋体" w:hint="default"/>
          <w:b/>
          <w:bCs/>
          <w:sz w:val="30"/>
          <w:szCs w:val="30"/>
        </w:rPr>
      </w:pPr>
    </w:p>
    <w:p>
      <w:pPr>
        <w:pStyle w:val="BodyText"/>
        <w:spacing w:line="408" w:lineRule="auto" w:before="0"/>
        <w:ind w:right="1128" w:firstLine="420"/>
        <w:jc w:val="both"/>
      </w:pPr>
      <w:r>
        <w:rPr>
          <w:spacing w:val="-2"/>
        </w:rPr>
        <w:t>本集团向职工提供辞退福利的，在下列两者孰早日确认辞退福利产生的职工薪酬负债，并计入当期损</w:t>
      </w:r>
      <w:r>
        <w:rPr>
          <w:w w:val="100"/>
        </w:rPr>
        <w:t> </w:t>
      </w:r>
      <w:r>
        <w:rPr>
          <w:spacing w:val="-2"/>
        </w:rPr>
        <w:t>益：本集团不能单方面撤回因解除劳动关系计划或裁减建议所提供的辞退福利时；本集团确认与涉及支付</w:t>
      </w:r>
      <w:r>
        <w:rPr>
          <w:spacing w:val="-42"/>
        </w:rPr>
        <w:t> </w:t>
      </w:r>
      <w:r>
        <w:rPr>
          <w:spacing w:val="-42"/>
        </w:rPr>
      </w:r>
      <w:r>
        <w:rPr/>
        <w:t>辞退福利的重组相关的成本或费用时。</w:t>
      </w:r>
    </w:p>
    <w:p>
      <w:pPr>
        <w:pStyle w:val="BodyText"/>
        <w:spacing w:line="408" w:lineRule="auto"/>
        <w:ind w:right="1128" w:firstLine="419"/>
        <w:jc w:val="both"/>
      </w:pPr>
      <w:r>
        <w:rPr>
          <w:spacing w:val="-2"/>
        </w:rPr>
        <w:t>实行职工内部退休计划的，在正式退休日之前的经济补偿，属于辞退福利，自职工停止提供服务日至</w:t>
      </w:r>
      <w:r>
        <w:rPr>
          <w:w w:val="100"/>
        </w:rPr>
        <w:t> </w:t>
      </w:r>
      <w:r>
        <w:rPr>
          <w:spacing w:val="-2"/>
        </w:rPr>
        <w:t>正常退休日期间，拟支付的内退职工工资和缴纳的社会保险费等一次性计入当期损益。正式退休日期之后</w:t>
      </w:r>
      <w:r>
        <w:rPr>
          <w:spacing w:val="-42"/>
        </w:rPr>
        <w:t> </w:t>
      </w:r>
      <w:r>
        <w:rPr>
          <w:spacing w:val="-42"/>
        </w:rPr>
      </w:r>
      <w:r>
        <w:rPr/>
        <w:t>的经济补偿（如正常养老退休金），按照离职后福利处理。</w:t>
      </w:r>
    </w:p>
    <w:p>
      <w:pPr>
        <w:spacing w:line="240" w:lineRule="auto" w:before="8"/>
        <w:rPr>
          <w:rFonts w:ascii="宋体" w:hAnsi="宋体" w:cs="宋体" w:eastAsia="宋体" w:hint="default"/>
          <w:sz w:val="20"/>
          <w:szCs w:val="20"/>
        </w:rPr>
      </w:pPr>
    </w:p>
    <w:p>
      <w:pPr>
        <w:pStyle w:val="Heading4"/>
        <w:spacing w:line="240" w:lineRule="auto"/>
        <w:ind w:right="986"/>
        <w:jc w:val="left"/>
        <w:rPr>
          <w:b w:val="0"/>
          <w:bCs w:val="0"/>
        </w:rPr>
      </w:pPr>
      <w:bookmarkStart w:name="（4）其他长期职工福利的会计处理方法" w:id="214"/>
      <w:bookmarkEnd w:id="214"/>
      <w:r>
        <w:rPr>
          <w:b w:val="0"/>
          <w:bCs w:val="0"/>
        </w:rPr>
      </w:r>
      <w:r>
        <w:rPr/>
        <w:t>（</w:t>
      </w:r>
      <w:r>
        <w:rPr>
          <w:rFonts w:ascii="Times New Roman" w:hAnsi="Times New Roman" w:cs="Times New Roman" w:eastAsia="Times New Roman" w:hint="default"/>
        </w:rPr>
        <w:t>4</w:t>
      </w:r>
      <w:r>
        <w:rPr/>
        <w:t>）其他长期职工福利的会计处理方法</w:t>
      </w:r>
      <w:r>
        <w:rPr>
          <w:b w:val="0"/>
          <w:bCs w:val="0"/>
        </w:rPr>
      </w:r>
    </w:p>
    <w:p>
      <w:pPr>
        <w:spacing w:line="240" w:lineRule="auto" w:before="5"/>
        <w:rPr>
          <w:rFonts w:ascii="宋体" w:hAnsi="宋体" w:cs="宋体" w:eastAsia="宋体" w:hint="default"/>
          <w:b/>
          <w:bCs/>
          <w:sz w:val="30"/>
          <w:szCs w:val="30"/>
        </w:rPr>
      </w:pPr>
    </w:p>
    <w:p>
      <w:pPr>
        <w:pStyle w:val="BodyText"/>
        <w:spacing w:line="408" w:lineRule="auto" w:before="0"/>
        <w:ind w:right="1128" w:firstLine="420"/>
        <w:jc w:val="both"/>
      </w:pPr>
      <w:r>
        <w:rPr>
          <w:spacing w:val="-2"/>
        </w:rPr>
        <w:t>本集团向职工提供的其他长期职工福利，符合设定提存计划条件的，按照上述关于设定提存计划的有</w:t>
      </w:r>
      <w:r>
        <w:rPr>
          <w:w w:val="100"/>
        </w:rPr>
        <w:t> </w:t>
      </w:r>
      <w:r>
        <w:rPr>
          <w:spacing w:val="-2"/>
        </w:rPr>
        <w:t>关规定进行处理。符合设定受益计划的，按照上述关于设定受益计划的有关规定进行处理，但相关职工薪</w:t>
      </w:r>
      <w:r>
        <w:rPr>
          <w:spacing w:val="-48"/>
        </w:rPr>
        <w:t> </w:t>
      </w:r>
      <w:r>
        <w:rPr>
          <w:spacing w:val="-48"/>
        </w:rPr>
      </w:r>
      <w:r>
        <w:rPr/>
        <w:t>酬成本中</w:t>
      </w:r>
      <w:r>
        <w:rPr>
          <w:rFonts w:ascii="Times New Roman" w:hAnsi="Times New Roman" w:cs="Times New Roman" w:eastAsia="Times New Roman" w:hint="default"/>
        </w:rPr>
        <w:t>“</w:t>
      </w:r>
      <w:r>
        <w:rPr/>
        <w:t>重新计量设定受益计划净负债或净资产所产生的变动</w:t>
      </w:r>
      <w:r>
        <w:rPr>
          <w:rFonts w:ascii="Times New Roman" w:hAnsi="Times New Roman" w:cs="Times New Roman" w:eastAsia="Times New Roman" w:hint="default"/>
        </w:rPr>
        <w:t>”</w:t>
      </w:r>
      <w:r>
        <w:rPr/>
        <w:t>部分计入当期损益或相关资产成本。</w:t>
      </w:r>
    </w:p>
    <w:p>
      <w:pPr>
        <w:spacing w:line="240" w:lineRule="auto" w:before="2"/>
        <w:rPr>
          <w:rFonts w:ascii="宋体" w:hAnsi="宋体" w:cs="宋体" w:eastAsia="宋体" w:hint="default"/>
          <w:sz w:val="18"/>
          <w:szCs w:val="18"/>
        </w:rPr>
      </w:pPr>
    </w:p>
    <w:p>
      <w:pPr>
        <w:pStyle w:val="Heading4"/>
        <w:spacing w:line="520" w:lineRule="auto"/>
        <w:ind w:right="9490"/>
        <w:jc w:val="left"/>
        <w:rPr>
          <w:b w:val="0"/>
          <w:bCs w:val="0"/>
        </w:rPr>
      </w:pPr>
      <w:bookmarkStart w:name="35、租赁负债" w:id="215"/>
      <w:bookmarkEnd w:id="215"/>
      <w:r>
        <w:rPr>
          <w:b w:val="0"/>
          <w:bCs w:val="0"/>
        </w:rPr>
      </w:r>
      <w:r>
        <w:rPr>
          <w:rFonts w:ascii="Times New Roman" w:hAnsi="Times New Roman" w:cs="Times New Roman" w:eastAsia="Times New Roman" w:hint="default"/>
        </w:rPr>
        <w:t>35</w:t>
      </w:r>
      <w:r>
        <w:rPr/>
        <w:t>、租赁负债</w:t>
      </w:r>
      <w:r>
        <w:rPr>
          <w:w w:val="100"/>
        </w:rPr>
        <w:t> </w:t>
      </w:r>
      <w:r>
        <w:rPr>
          <w:rFonts w:ascii="宋体" w:hAnsi="宋体" w:cs="宋体" w:eastAsia="宋体" w:hint="default"/>
          <w:b w:val="0"/>
          <w:bCs w:val="0"/>
        </w:rPr>
        <w:t>无</w:t>
      </w:r>
      <w:r>
        <w:rPr>
          <w:rFonts w:ascii="宋体" w:hAnsi="宋体" w:cs="宋体" w:eastAsia="宋体" w:hint="default"/>
          <w:b w:val="0"/>
          <w:bCs w:val="0"/>
          <w:w w:val="100"/>
        </w:rPr>
        <w:t> </w:t>
      </w:r>
      <w:bookmarkStart w:name="36、预计负债" w:id="216"/>
      <w:bookmarkEnd w:id="216"/>
      <w:r>
        <w:rPr>
          <w:rFonts w:ascii="宋体" w:hAnsi="宋体" w:cs="宋体" w:eastAsia="宋体" w:hint="default"/>
          <w:b w:val="0"/>
          <w:bCs w:val="0"/>
          <w:w w:val="100"/>
        </w:rPr>
      </w:r>
      <w:r>
        <w:rPr>
          <w:rFonts w:ascii="Times New Roman" w:hAnsi="Times New Roman" w:cs="Times New Roman" w:eastAsia="Times New Roman" w:hint="default"/>
        </w:rPr>
        <w:t>36</w:t>
      </w:r>
      <w:r>
        <w:rPr/>
        <w:t>、预计负债</w:t>
      </w:r>
      <w:r>
        <w:rPr>
          <w:w w:val="100"/>
        </w:rPr>
        <w:t> </w:t>
      </w:r>
      <w:r>
        <w:rPr>
          <w:rFonts w:ascii="宋体" w:hAnsi="宋体" w:cs="宋体" w:eastAsia="宋体" w:hint="default"/>
          <w:b w:val="0"/>
          <w:bCs w:val="0"/>
        </w:rPr>
        <w:t>无</w:t>
      </w:r>
      <w:r>
        <w:rPr>
          <w:rFonts w:ascii="宋体" w:hAnsi="宋体" w:cs="宋体" w:eastAsia="宋体" w:hint="default"/>
          <w:b w:val="0"/>
          <w:bCs w:val="0"/>
          <w:w w:val="100"/>
        </w:rPr>
        <w:t> </w:t>
      </w:r>
      <w:bookmarkStart w:name="37、股份支付" w:id="217"/>
      <w:bookmarkEnd w:id="217"/>
      <w:r>
        <w:rPr>
          <w:rFonts w:ascii="宋体" w:hAnsi="宋体" w:cs="宋体" w:eastAsia="宋体" w:hint="default"/>
          <w:b w:val="0"/>
          <w:bCs w:val="0"/>
          <w:w w:val="100"/>
        </w:rPr>
      </w:r>
      <w:r>
        <w:rPr>
          <w:rFonts w:ascii="Times New Roman" w:hAnsi="Times New Roman" w:cs="Times New Roman" w:eastAsia="Times New Roman" w:hint="default"/>
        </w:rPr>
        <w:t>37</w:t>
      </w:r>
      <w:r>
        <w:rPr/>
        <w:t>、股份支付</w:t>
      </w:r>
      <w:r>
        <w:rPr>
          <w:b w:val="0"/>
          <w:bCs w:val="0"/>
        </w:rPr>
      </w:r>
    </w:p>
    <w:p>
      <w:pPr>
        <w:pStyle w:val="BodyText"/>
        <w:spacing w:line="408" w:lineRule="auto" w:before="128"/>
        <w:ind w:left="572" w:right="2654"/>
        <w:jc w:val="left"/>
      </w:pPr>
      <w:r>
        <w:rPr>
          <w:rFonts w:ascii="宋体" w:hAnsi="宋体" w:cs="宋体" w:eastAsia="宋体" w:hint="default"/>
        </w:rPr>
        <w:t>1</w:t>
      </w:r>
      <w:r>
        <w:rPr/>
        <w:t>、股份支付的种类</w:t>
      </w:r>
      <w:r>
        <w:rPr>
          <w:w w:val="100"/>
        </w:rPr>
        <w:t> </w:t>
      </w:r>
      <w:r>
        <w:rPr>
          <w:spacing w:val="-2"/>
        </w:rPr>
        <w:t>本集团股份支付分为以权益结算的股份支付和以现金结算的股份支付。</w:t>
      </w:r>
      <w:r>
        <w:rPr>
          <w:spacing w:val="-45"/>
        </w:rPr>
        <w:t> </w:t>
      </w:r>
      <w:r>
        <w:rPr>
          <w:spacing w:val="-45"/>
        </w:rPr>
      </w:r>
      <w:r>
        <w:rPr>
          <w:rFonts w:ascii="宋体" w:hAnsi="宋体" w:cs="宋体" w:eastAsia="宋体" w:hint="default"/>
        </w:rPr>
        <w:t>2</w:t>
      </w:r>
      <w:r>
        <w:rPr/>
        <w:t>、权益工具公允价值的确定方法</w:t>
      </w:r>
    </w:p>
    <w:p>
      <w:pPr>
        <w:pStyle w:val="BodyText"/>
        <w:spacing w:line="408" w:lineRule="auto"/>
        <w:ind w:right="1128" w:firstLine="420"/>
        <w:jc w:val="both"/>
      </w:pPr>
      <w:r>
        <w:rPr>
          <w:spacing w:val="-2"/>
        </w:rPr>
        <w:t>本集团对于授予的存在活跃市场的期权等权益工具，按照活跃市场中的报价确定其公允价值。对于授</w:t>
      </w:r>
      <w:r>
        <w:rPr>
          <w:w w:val="100"/>
        </w:rPr>
        <w:t> </w:t>
      </w:r>
      <w:r>
        <w:rPr>
          <w:spacing w:val="-2"/>
        </w:rPr>
        <w:t>予的不存在活跃市场的期权等权益工具，采用期权定价模型等确定其公允价值。选用的期权定价模型考虑</w:t>
      </w:r>
      <w:r>
        <w:rPr>
          <w:spacing w:val="-42"/>
        </w:rPr>
        <w:t> </w:t>
      </w:r>
      <w:r>
        <w:rPr>
          <w:spacing w:val="-42"/>
        </w:rPr>
      </w:r>
      <w:r>
        <w:rPr/>
        <w:t>以下因素：</w:t>
      </w:r>
      <w:r>
        <w:rPr>
          <w:rFonts w:ascii="宋体" w:hAnsi="宋体" w:cs="宋体" w:eastAsia="宋体" w:hint="default"/>
        </w:rPr>
        <w:t>A</w:t>
      </w:r>
      <w:r>
        <w:rPr/>
        <w:t>、期权的行权价格；</w:t>
      </w:r>
      <w:r>
        <w:rPr>
          <w:rFonts w:ascii="宋体" w:hAnsi="宋体" w:cs="宋体" w:eastAsia="宋体" w:hint="default"/>
        </w:rPr>
        <w:t>B</w:t>
      </w:r>
      <w:r>
        <w:rPr/>
        <w:t>、期权的有效期；</w:t>
      </w:r>
      <w:r>
        <w:rPr>
          <w:rFonts w:ascii="宋体" w:hAnsi="宋体" w:cs="宋体" w:eastAsia="宋体" w:hint="default"/>
        </w:rPr>
        <w:t>C</w:t>
      </w:r>
      <w:r>
        <w:rPr/>
        <w:t>、标的股份的现行价格；</w:t>
      </w:r>
      <w:r>
        <w:rPr>
          <w:rFonts w:ascii="宋体" w:hAnsi="宋体" w:cs="宋体" w:eastAsia="宋体" w:hint="default"/>
        </w:rPr>
        <w:t>D</w:t>
      </w:r>
      <w:r>
        <w:rPr/>
        <w:t>、股价预计波动率；</w:t>
      </w:r>
      <w:r>
        <w:rPr>
          <w:rFonts w:ascii="宋体" w:hAnsi="宋体" w:cs="宋体" w:eastAsia="宋体" w:hint="default"/>
        </w:rPr>
        <w:t>E</w:t>
      </w:r>
      <w:r>
        <w:rPr/>
        <w:t>、</w:t>
      </w:r>
      <w:r>
        <w:rPr>
          <w:spacing w:val="-25"/>
        </w:rPr>
        <w:t> </w:t>
      </w:r>
      <w:r>
        <w:rPr/>
        <w:t>股份的预计股利；</w:t>
      </w:r>
      <w:r>
        <w:rPr>
          <w:rFonts w:ascii="宋体" w:hAnsi="宋体" w:cs="宋体" w:eastAsia="宋体" w:hint="default"/>
        </w:rPr>
        <w:t>F</w:t>
      </w:r>
      <w:r>
        <w:rPr/>
        <w:t>、期权有效期内的无风险利率。</w:t>
      </w:r>
    </w:p>
    <w:p>
      <w:pPr>
        <w:pStyle w:val="BodyText"/>
        <w:spacing w:line="408" w:lineRule="auto"/>
        <w:ind w:left="572" w:right="986"/>
        <w:jc w:val="left"/>
      </w:pPr>
      <w:r>
        <w:rPr>
          <w:rFonts w:ascii="宋体" w:hAnsi="宋体" w:cs="宋体" w:eastAsia="宋体" w:hint="default"/>
        </w:rPr>
        <w:t>3</w:t>
      </w:r>
      <w:r>
        <w:rPr/>
        <w:t>、确定可行权权益工具最佳估计数的依据</w:t>
      </w:r>
      <w:r>
        <w:rPr>
          <w:w w:val="100"/>
        </w:rPr>
        <w:t> </w:t>
      </w:r>
      <w:r>
        <w:rPr>
          <w:spacing w:val="-2"/>
        </w:rPr>
        <w:t>等待期内每个资产负债表日，本集团根据最新取得的可行权职工人数变动等后续信息作出最佳估计，</w:t>
      </w:r>
    </w:p>
    <w:p>
      <w:pPr>
        <w:pStyle w:val="BodyText"/>
        <w:spacing w:line="240" w:lineRule="auto"/>
        <w:ind w:right="986"/>
        <w:jc w:val="left"/>
      </w:pPr>
      <w:r>
        <w:rPr/>
        <w:t>修正预计可行权的权益工具数量。在可行权日，最终预计可行权权益工具的数量应当与实际可行权数量一</w:t>
      </w:r>
    </w:p>
    <w:p>
      <w:pPr>
        <w:spacing w:after="0" w:line="240"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240" w:lineRule="auto" w:before="175"/>
        <w:ind w:right="0"/>
        <w:jc w:val="both"/>
      </w:pPr>
      <w:r>
        <w:rPr/>
        <w:t>致。</w:t>
      </w:r>
    </w:p>
    <w:p>
      <w:pPr>
        <w:spacing w:line="240" w:lineRule="auto" w:before="10"/>
        <w:rPr>
          <w:rFonts w:ascii="宋体" w:hAnsi="宋体" w:cs="宋体" w:eastAsia="宋体" w:hint="default"/>
          <w:sz w:val="14"/>
          <w:szCs w:val="14"/>
        </w:rPr>
      </w:pPr>
    </w:p>
    <w:p>
      <w:pPr>
        <w:pStyle w:val="BodyText"/>
        <w:spacing w:line="408" w:lineRule="auto" w:before="0"/>
        <w:ind w:left="572" w:right="986"/>
        <w:jc w:val="left"/>
      </w:pPr>
      <w:r>
        <w:rPr>
          <w:rFonts w:ascii="宋体" w:hAnsi="宋体" w:cs="宋体" w:eastAsia="宋体" w:hint="default"/>
        </w:rPr>
        <w:t>4</w:t>
      </w:r>
      <w:r>
        <w:rPr/>
        <w:t>、实施、修改、终止股份支付计划的相关会计处理</w:t>
      </w:r>
      <w:r>
        <w:rPr>
          <w:w w:val="100"/>
        </w:rPr>
        <w:t> </w:t>
      </w:r>
      <w:r>
        <w:rPr>
          <w:spacing w:val="-2"/>
        </w:rPr>
        <w:t>以权益结算的股份支付，按授予职工权益工具的公允价值计量。授予后立即可行权的，在授予日按照</w:t>
      </w:r>
    </w:p>
    <w:p>
      <w:pPr>
        <w:pStyle w:val="BodyText"/>
        <w:spacing w:line="408" w:lineRule="auto"/>
        <w:ind w:right="1128"/>
        <w:jc w:val="both"/>
      </w:pPr>
      <w:r>
        <w:rPr>
          <w:spacing w:val="-2"/>
        </w:rPr>
        <w:t>权益工具的公允价值计入相关成本或费用，相应增加资本公积。在完成等待期内的服务或达到规定业绩条</w:t>
      </w:r>
      <w:r>
        <w:rPr>
          <w:spacing w:val="-42"/>
        </w:rPr>
        <w:t> </w:t>
      </w:r>
      <w:r>
        <w:rPr>
          <w:spacing w:val="-42"/>
        </w:rPr>
      </w:r>
      <w:r>
        <w:rPr>
          <w:spacing w:val="-2"/>
        </w:rPr>
        <w:t>件才可行权的，在等待期内的每个资产负债表日，以对可行权权益工具数量的最佳估计为基础，按照权益</w:t>
      </w:r>
      <w:r>
        <w:rPr>
          <w:spacing w:val="-46"/>
        </w:rPr>
        <w:t> </w:t>
      </w:r>
      <w:r>
        <w:rPr>
          <w:spacing w:val="-46"/>
        </w:rPr>
      </w:r>
      <w:r>
        <w:rPr>
          <w:spacing w:val="-2"/>
        </w:rPr>
        <w:t>工具授予日的公允价值，将当期取得的服务计入相关成本或费用和资本公积。在可行权日之后不再对已确</w:t>
      </w:r>
      <w:r>
        <w:rPr>
          <w:spacing w:val="-42"/>
        </w:rPr>
        <w:t> </w:t>
      </w:r>
      <w:r>
        <w:rPr>
          <w:spacing w:val="-42"/>
        </w:rPr>
      </w:r>
      <w:r>
        <w:rPr/>
        <w:t>认的相关成本或费用和所有者权益总额进行调整。</w:t>
      </w:r>
    </w:p>
    <w:p>
      <w:pPr>
        <w:pStyle w:val="BodyText"/>
        <w:spacing w:line="408" w:lineRule="auto"/>
        <w:ind w:right="986" w:firstLine="420"/>
        <w:jc w:val="left"/>
      </w:pPr>
      <w:r>
        <w:rPr/>
        <w:t>以现金结算的股份支付，按照本集团承担的以股份或其他权益工具为基础计算确定的负债的公允价值</w:t>
      </w:r>
      <w:r>
        <w:rPr>
          <w:w w:val="100"/>
        </w:rPr>
        <w:t> </w:t>
      </w:r>
      <w:r>
        <w:rPr>
          <w:spacing w:val="-5"/>
        </w:rPr>
        <w:t>计量。授予后立即可行权的，在授予日以本集团承担负债的公允价值计入相关成本或费用，相应增加负债。</w:t>
      </w:r>
      <w:r>
        <w:rPr>
          <w:spacing w:val="-4"/>
        </w:rPr>
        <w:t> </w:t>
      </w:r>
      <w:r>
        <w:rPr>
          <w:spacing w:val="-4"/>
        </w:rPr>
      </w:r>
      <w:r>
        <w:rPr>
          <w:spacing w:val="-2"/>
        </w:rPr>
        <w:t>在完成等待期内的服务或达到规定业绩条件以后才可行权的以现金结算的股份支付，在等待期内的每个资</w:t>
      </w:r>
      <w:r>
        <w:rPr>
          <w:spacing w:val="-42"/>
        </w:rPr>
        <w:t> </w:t>
      </w:r>
      <w:r>
        <w:rPr>
          <w:spacing w:val="-42"/>
        </w:rPr>
      </w:r>
      <w:r>
        <w:rPr>
          <w:spacing w:val="-2"/>
        </w:rPr>
        <w:t>产负债表日，以对可行权情况的最佳估计为基础，按照本集团承担负债的公允价值金额，将当期取得的服</w:t>
      </w:r>
      <w:r>
        <w:rPr>
          <w:spacing w:val="-45"/>
        </w:rPr>
        <w:t> </w:t>
      </w:r>
      <w:r>
        <w:rPr>
          <w:spacing w:val="-45"/>
        </w:rPr>
      </w:r>
      <w:r>
        <w:rPr>
          <w:spacing w:val="-2"/>
        </w:rPr>
        <w:t>务计入成本或费用和相应的负债。在相关负债结算前的每个资产负债表日以及结算日，对负债的公允价值</w:t>
      </w:r>
      <w:r>
        <w:rPr>
          <w:spacing w:val="-42"/>
        </w:rPr>
        <w:t> </w:t>
      </w:r>
      <w:r>
        <w:rPr>
          <w:spacing w:val="-42"/>
        </w:rPr>
      </w:r>
      <w:r>
        <w:rPr/>
        <w:t>重新计量，其变动计入当期损益。</w:t>
      </w:r>
    </w:p>
    <w:p>
      <w:pPr>
        <w:pStyle w:val="BodyText"/>
        <w:spacing w:line="408" w:lineRule="auto"/>
        <w:ind w:right="1128" w:firstLine="420"/>
        <w:jc w:val="both"/>
      </w:pPr>
      <w:r>
        <w:rPr>
          <w:spacing w:val="-2"/>
        </w:rPr>
        <w:t>本集团对股份支付计划进行修改时，若修改增加了所授予权益工具的公允价值，按照权益工具公允价</w:t>
      </w:r>
      <w:r>
        <w:rPr>
          <w:w w:val="100"/>
        </w:rPr>
        <w:t> </w:t>
      </w:r>
      <w:r>
        <w:rPr>
          <w:spacing w:val="-2"/>
        </w:rPr>
        <w:t>值的增加相应地确认取得服务的增加；若修改增加了所授予权益工具的数量，则将增加的权益工具的公允</w:t>
      </w:r>
      <w:r>
        <w:rPr>
          <w:spacing w:val="-42"/>
        </w:rPr>
        <w:t> </w:t>
      </w:r>
      <w:r>
        <w:rPr>
          <w:spacing w:val="-42"/>
        </w:rPr>
      </w:r>
      <w:r>
        <w:rPr>
          <w:spacing w:val="-2"/>
        </w:rPr>
        <w:t>价值相应地确认为取得服务的增加。权益工具公允价值的增加是指修改前后的权益工具在修改日的公允价</w:t>
      </w:r>
      <w:r>
        <w:rPr>
          <w:spacing w:val="-43"/>
        </w:rPr>
        <w:t> </w:t>
      </w:r>
      <w:r>
        <w:rPr>
          <w:spacing w:val="-43"/>
        </w:rPr>
      </w:r>
      <w:r>
        <w:rPr>
          <w:spacing w:val="-2"/>
        </w:rPr>
        <w:t>值之间的差额。若修改减少了股份支付公允价值总额或采用了其他不利于职工的方式修改股份支付计划的</w:t>
      </w:r>
      <w:r>
        <w:rPr>
          <w:spacing w:val="-43"/>
        </w:rPr>
        <w:t> </w:t>
      </w:r>
      <w:r>
        <w:rPr>
          <w:spacing w:val="-43"/>
        </w:rPr>
      </w:r>
      <w:r>
        <w:rPr>
          <w:spacing w:val="-2"/>
        </w:rPr>
        <w:t>条款和条件，则仍继续对取得的服务进行会计处理，视同该变更从未发生，除非本集团取消了部分或全部</w:t>
      </w:r>
      <w:r>
        <w:rPr>
          <w:spacing w:val="-43"/>
        </w:rPr>
        <w:t> </w:t>
      </w:r>
      <w:r>
        <w:rPr>
          <w:spacing w:val="-43"/>
        </w:rPr>
      </w:r>
      <w:r>
        <w:rPr/>
        <w:t>已授予的权益工具。</w:t>
      </w:r>
    </w:p>
    <w:p>
      <w:pPr>
        <w:pStyle w:val="BodyText"/>
        <w:spacing w:line="408" w:lineRule="auto"/>
        <w:ind w:right="1128" w:firstLine="420"/>
        <w:jc w:val="both"/>
      </w:pPr>
      <w:r>
        <w:rPr>
          <w:spacing w:val="-2"/>
        </w:rPr>
        <w:t>在等待期内，如果取消了授予的权益工具（因未满足可行权条件的非市场条件而被取消的除外），本</w:t>
      </w:r>
      <w:r>
        <w:rPr>
          <w:w w:val="100"/>
        </w:rPr>
        <w:t> </w:t>
      </w:r>
      <w:r>
        <w:rPr>
          <w:spacing w:val="-2"/>
        </w:rPr>
        <w:t>集团对取消所授予的权益性工具作为加速行权处理，将剩余等待期内应确认的金额立即计入当期损益，同</w:t>
      </w:r>
      <w:r>
        <w:rPr>
          <w:spacing w:val="-42"/>
        </w:rPr>
        <w:t> </w:t>
      </w:r>
      <w:r>
        <w:rPr>
          <w:spacing w:val="-42"/>
        </w:rPr>
      </w:r>
      <w:r>
        <w:rPr>
          <w:spacing w:val="-2"/>
        </w:rPr>
        <w:t>时确认资本公积。职工或其他方能够选择满足非可行权条件但在等待期内未满足的，本集团将其作为授予</w:t>
      </w:r>
      <w:r>
        <w:rPr>
          <w:spacing w:val="-42"/>
        </w:rPr>
        <w:t> </w:t>
      </w:r>
      <w:r>
        <w:rPr>
          <w:spacing w:val="-42"/>
        </w:rPr>
      </w:r>
      <w:r>
        <w:rPr/>
        <w:t>权益工具的取消处理。</w:t>
      </w:r>
    </w:p>
    <w:p>
      <w:pPr>
        <w:spacing w:line="240" w:lineRule="auto" w:before="7"/>
        <w:rPr>
          <w:rFonts w:ascii="宋体" w:hAnsi="宋体" w:cs="宋体" w:eastAsia="宋体" w:hint="default"/>
          <w:sz w:val="20"/>
          <w:szCs w:val="20"/>
        </w:rPr>
      </w:pPr>
    </w:p>
    <w:p>
      <w:pPr>
        <w:pStyle w:val="Heading4"/>
        <w:spacing w:line="240" w:lineRule="auto"/>
        <w:ind w:right="0"/>
        <w:jc w:val="both"/>
        <w:rPr>
          <w:b w:val="0"/>
          <w:bCs w:val="0"/>
        </w:rPr>
      </w:pPr>
      <w:bookmarkStart w:name="38、优先股、永续债等其他金融工具" w:id="218"/>
      <w:bookmarkEnd w:id="218"/>
      <w:r>
        <w:rPr>
          <w:b w:val="0"/>
          <w:bCs w:val="0"/>
        </w:rPr>
      </w:r>
      <w:r>
        <w:rPr>
          <w:rFonts w:ascii="Times New Roman" w:hAnsi="Times New Roman" w:cs="Times New Roman" w:eastAsia="Times New Roman" w:hint="default"/>
        </w:rPr>
        <w:t>38</w:t>
      </w:r>
      <w:r>
        <w:rPr/>
        <w:t>、优先股、永续债等其他金融工具</w:t>
      </w:r>
      <w:r>
        <w:rPr>
          <w:b w:val="0"/>
          <w:bCs w:val="0"/>
        </w:rPr>
      </w:r>
    </w:p>
    <w:p>
      <w:pPr>
        <w:spacing w:line="240" w:lineRule="auto" w:before="2"/>
        <w:rPr>
          <w:rFonts w:ascii="宋体" w:hAnsi="宋体" w:cs="宋体" w:eastAsia="宋体" w:hint="default"/>
          <w:b/>
          <w:bCs/>
          <w:sz w:val="26"/>
          <w:szCs w:val="26"/>
        </w:rPr>
      </w:pPr>
    </w:p>
    <w:p>
      <w:pPr>
        <w:spacing w:before="0"/>
        <w:ind w:left="152" w:right="0" w:firstLine="0"/>
        <w:jc w:val="both"/>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0"/>
        <w:jc w:val="both"/>
        <w:rPr>
          <w:b w:val="0"/>
          <w:bCs w:val="0"/>
        </w:rPr>
      </w:pPr>
      <w:bookmarkStart w:name="39、收入" w:id="219"/>
      <w:bookmarkEnd w:id="219"/>
      <w:r>
        <w:rPr>
          <w:b w:val="0"/>
          <w:bCs w:val="0"/>
        </w:rPr>
      </w:r>
      <w:r>
        <w:rPr>
          <w:rFonts w:ascii="Times New Roman" w:hAnsi="Times New Roman" w:cs="Times New Roman" w:eastAsia="Times New Roman" w:hint="default"/>
        </w:rPr>
        <w:t>39</w:t>
      </w:r>
      <w:r>
        <w:rPr/>
        <w:t>、收入</w:t>
      </w:r>
      <w:r>
        <w:rPr>
          <w:b w:val="0"/>
          <w:bCs w:val="0"/>
        </w:rPr>
      </w:r>
    </w:p>
    <w:p>
      <w:pPr>
        <w:spacing w:line="240" w:lineRule="auto" w:before="4"/>
        <w:rPr>
          <w:rFonts w:ascii="宋体" w:hAnsi="宋体" w:cs="宋体" w:eastAsia="宋体" w:hint="default"/>
          <w:b/>
          <w:bCs/>
          <w:sz w:val="26"/>
          <w:szCs w:val="26"/>
        </w:rPr>
      </w:pPr>
    </w:p>
    <w:p>
      <w:pPr>
        <w:spacing w:before="0"/>
        <w:ind w:left="152" w:right="0" w:firstLine="0"/>
        <w:jc w:val="both"/>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上市公司从事软件与信息技术服务业务》的披露要求</w:t>
      </w:r>
    </w:p>
    <w:p>
      <w:pPr>
        <w:spacing w:line="240" w:lineRule="auto" w:before="6"/>
        <w:rPr>
          <w:rFonts w:ascii="宋体" w:hAnsi="宋体" w:cs="宋体" w:eastAsia="宋体" w:hint="default"/>
          <w:sz w:val="18"/>
          <w:szCs w:val="18"/>
        </w:rPr>
      </w:pPr>
    </w:p>
    <w:p>
      <w:pPr>
        <w:pStyle w:val="BodyText"/>
        <w:spacing w:line="240" w:lineRule="auto" w:before="0"/>
        <w:ind w:left="572" w:right="986"/>
        <w:jc w:val="left"/>
      </w:pPr>
      <w:r>
        <w:rPr>
          <w:rFonts w:ascii="宋体" w:hAnsi="宋体" w:cs="宋体" w:eastAsia="宋体" w:hint="default"/>
        </w:rPr>
        <w:t>1</w:t>
      </w:r>
      <w:r>
        <w:rPr/>
        <w:t>、销售商品</w:t>
      </w:r>
    </w:p>
    <w:p>
      <w:pPr>
        <w:spacing w:after="0" w:line="240"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1130" w:firstLine="420"/>
        <w:jc w:val="both"/>
      </w:pPr>
      <w:r>
        <w:rPr>
          <w:spacing w:val="2"/>
        </w:rPr>
        <w:t>在已将商品所有权上的主要风险和报酬转移给购货方，既没有保留通常与所有权相联系的继续管理</w:t>
      </w:r>
      <w:r>
        <w:rPr>
          <w:w w:val="100"/>
        </w:rPr>
        <w:t> </w:t>
      </w:r>
      <w:r>
        <w:rPr>
          <w:spacing w:val="-2"/>
        </w:rPr>
        <w:t>权，也没有对已售商品实施有效控制，收入的金额能够可靠地计量，相关的经济利益很可能流入企业，相</w:t>
      </w:r>
      <w:r>
        <w:rPr>
          <w:spacing w:val="-47"/>
        </w:rPr>
        <w:t> </w:t>
      </w:r>
      <w:r>
        <w:rPr>
          <w:spacing w:val="-47"/>
        </w:rPr>
      </w:r>
      <w:r>
        <w:rPr/>
        <w:t>关的已发生或将发生的成本能够可靠地计量时，确认商品销售收入的实现。具体方法如下：</w:t>
      </w:r>
    </w:p>
    <w:p>
      <w:pPr>
        <w:pStyle w:val="BodyText"/>
        <w:spacing w:line="408" w:lineRule="auto"/>
        <w:ind w:right="1107" w:firstLine="420"/>
        <w:jc w:val="both"/>
      </w:pPr>
      <w:r>
        <w:rPr>
          <w:spacing w:val="-2"/>
        </w:rPr>
        <w:t>本集团软硬件开发与销售（以下统称“产品销售”）包括销售电子数据取证、视频分析及智能执法与</w:t>
      </w:r>
      <w:r>
        <w:rPr>
          <w:w w:val="100"/>
        </w:rPr>
        <w:t> </w:t>
      </w:r>
      <w:r>
        <w:rPr>
          <w:spacing w:val="-2"/>
        </w:rPr>
        <w:t>便民设备、网络空间大搜索产品及大数据智能化产品平台，其中硬件产品包括自主开发硬件产品及外购配</w:t>
      </w:r>
      <w:r>
        <w:rPr>
          <w:spacing w:val="-43"/>
        </w:rPr>
        <w:t> </w:t>
      </w:r>
      <w:r>
        <w:rPr>
          <w:spacing w:val="-43"/>
        </w:rPr>
      </w:r>
      <w:r>
        <w:rPr>
          <w:spacing w:val="-2"/>
        </w:rPr>
        <w:t>件商品，软件产品包括自主开发标准软件产品和自主开发客户定制软件产品。自主开发标准软件产品指公</w:t>
      </w:r>
      <w:r>
        <w:rPr>
          <w:spacing w:val="-42"/>
        </w:rPr>
        <w:t> </w:t>
      </w:r>
      <w:r>
        <w:rPr>
          <w:spacing w:val="-42"/>
        </w:rPr>
      </w:r>
      <w:r>
        <w:rPr>
          <w:spacing w:val="-2"/>
        </w:rPr>
        <w:t>司自行开发研制的销售时不转让著作权的软件产品，由此开发出来的软件具有自主知识产权、无差异化、</w:t>
      </w:r>
      <w:r>
        <w:rPr>
          <w:spacing w:val="-21"/>
        </w:rPr>
        <w:t> </w:t>
      </w:r>
      <w:r>
        <w:rPr>
          <w:spacing w:val="-21"/>
        </w:rPr>
      </w:r>
      <w:r>
        <w:rPr>
          <w:spacing w:val="-2"/>
        </w:rPr>
        <w:t>可批量复制的特性；自主开发客户定制软件产品指公司根据客户的实际需求进行定制、开发的软件产品，</w:t>
      </w:r>
      <w:r>
        <w:rPr>
          <w:spacing w:val="-21"/>
        </w:rPr>
        <w:t> </w:t>
      </w:r>
      <w:r>
        <w:rPr>
          <w:spacing w:val="-21"/>
        </w:rPr>
      </w:r>
      <w:r>
        <w:rPr/>
        <w:t>由此开发出来的软件不具有通用性。</w:t>
      </w:r>
    </w:p>
    <w:p>
      <w:pPr>
        <w:pStyle w:val="BodyText"/>
        <w:spacing w:line="408" w:lineRule="auto"/>
        <w:ind w:right="1128" w:firstLine="420"/>
        <w:jc w:val="both"/>
      </w:pPr>
      <w:r>
        <w:rPr>
          <w:spacing w:val="-2"/>
        </w:rPr>
        <w:t>本集团向客户销售软件产品的同时，为其提供软件应用所需的设备配件及安装服务，如果软件收入与</w:t>
      </w:r>
      <w:r>
        <w:rPr>
          <w:w w:val="100"/>
        </w:rPr>
        <w:t> </w:t>
      </w:r>
      <w:r>
        <w:rPr>
          <w:spacing w:val="-2"/>
        </w:rPr>
        <w:t>设备配件及安装服务收入能明确区分，则分别作为软件产品销售、硬件产品销售及技术服务进行核算；如</w:t>
      </w:r>
      <w:r>
        <w:rPr>
          <w:spacing w:val="-43"/>
        </w:rPr>
        <w:t> </w:t>
      </w:r>
      <w:r>
        <w:rPr>
          <w:spacing w:val="-43"/>
        </w:rPr>
      </w:r>
      <w:r>
        <w:rPr/>
        <w:t>果软件收入与设备配件及安装服务收入不能明确区分，则将其一并作为硬件产品销售进行核算。</w:t>
      </w:r>
    </w:p>
    <w:p>
      <w:pPr>
        <w:pStyle w:val="BodyText"/>
        <w:spacing w:line="408" w:lineRule="auto"/>
        <w:ind w:right="1128" w:firstLine="420"/>
        <w:jc w:val="both"/>
      </w:pPr>
      <w:r>
        <w:rPr>
          <w:spacing w:val="-2"/>
        </w:rPr>
        <w:t>本集团产品销售收入确认的具体标准：无需安装调试的产品在交付并经客户验收合格后确认收入；需</w:t>
      </w:r>
      <w:r>
        <w:rPr>
          <w:w w:val="100"/>
        </w:rPr>
        <w:t> </w:t>
      </w:r>
      <w:r>
        <w:rPr>
          <w:spacing w:val="-2"/>
        </w:rPr>
        <w:t>安装调试的产品在项目实施完成并经客户验收合格取得对方签字的验收报告后确认收入；对需要分次交付</w:t>
      </w:r>
      <w:r>
        <w:rPr>
          <w:spacing w:val="-42"/>
        </w:rPr>
        <w:t> </w:t>
      </w:r>
      <w:r>
        <w:rPr>
          <w:spacing w:val="-42"/>
        </w:rPr>
      </w:r>
      <w:r>
        <w:rPr/>
        <w:t>验收的，在分次取得验收报告后确认收入。</w:t>
      </w:r>
    </w:p>
    <w:p>
      <w:pPr>
        <w:pStyle w:val="BodyText"/>
        <w:spacing w:line="408" w:lineRule="auto"/>
        <w:ind w:left="572" w:right="986"/>
        <w:jc w:val="left"/>
      </w:pPr>
      <w:r>
        <w:rPr>
          <w:rFonts w:ascii="宋体" w:hAnsi="宋体" w:cs="宋体" w:eastAsia="宋体" w:hint="default"/>
        </w:rPr>
        <w:t>2</w:t>
      </w:r>
      <w:r>
        <w:rPr/>
        <w:t>、技术服务收入</w:t>
      </w:r>
      <w:r>
        <w:rPr>
          <w:spacing w:val="-3"/>
          <w:w w:val="100"/>
        </w:rPr>
        <w:t> </w:t>
      </w:r>
      <w:r>
        <w:rPr>
          <w:spacing w:val="-2"/>
        </w:rPr>
        <w:t>本集团在已根据合同约定提供了相应服务，取得明确的收款证据，相关成本能够可靠地计量时，确认</w:t>
      </w:r>
    </w:p>
    <w:p>
      <w:pPr>
        <w:pStyle w:val="BodyText"/>
        <w:spacing w:line="408" w:lineRule="auto"/>
        <w:ind w:right="1128"/>
        <w:jc w:val="both"/>
      </w:pPr>
      <w:r>
        <w:rPr>
          <w:spacing w:val="-2"/>
        </w:rPr>
        <w:t>收入。技术服务收入包括向客户提供的技术支持、技术咨询以及技术培训服务收入等。合同明确约定服务</w:t>
      </w:r>
      <w:r>
        <w:rPr>
          <w:spacing w:val="-44"/>
        </w:rPr>
        <w:t> </w:t>
      </w:r>
      <w:r>
        <w:rPr>
          <w:spacing w:val="-44"/>
        </w:rPr>
      </w:r>
      <w:r>
        <w:rPr>
          <w:spacing w:val="-2"/>
        </w:rPr>
        <w:t>期限的，在合同约定的服务期限内，按进度确认收入；合同明确约定服务成果需经客户验收确认的，在本</w:t>
      </w:r>
      <w:r>
        <w:rPr>
          <w:spacing w:val="-50"/>
        </w:rPr>
        <w:t> </w:t>
      </w:r>
      <w:r>
        <w:rPr>
          <w:spacing w:val="-50"/>
        </w:rPr>
      </w:r>
      <w:r>
        <w:rPr>
          <w:spacing w:val="-2"/>
        </w:rPr>
        <w:t>集团提交了相应的服务成果并通过验收，取得客户的验收报告，获得明确的收款证据，相关成本能够可靠</w:t>
      </w:r>
      <w:r>
        <w:rPr>
          <w:spacing w:val="-44"/>
        </w:rPr>
        <w:t> </w:t>
      </w:r>
      <w:r>
        <w:rPr>
          <w:spacing w:val="-44"/>
        </w:rPr>
      </w:r>
      <w:r>
        <w:rPr>
          <w:spacing w:val="-2"/>
        </w:rPr>
        <w:t>地计量时，确认收入；其他服务在本集团提供了相应服务，取得明确的收款证据，相关成本能够可靠地计</w:t>
      </w:r>
      <w:r>
        <w:rPr>
          <w:spacing w:val="-47"/>
        </w:rPr>
        <w:t> </w:t>
      </w:r>
      <w:r>
        <w:rPr>
          <w:spacing w:val="-47"/>
        </w:rPr>
      </w:r>
      <w:r>
        <w:rPr>
          <w:spacing w:val="-2"/>
        </w:rPr>
        <w:t>量时，确认收入。同一合同中，既约定了产品销售金额又约定了服务费金额的，分别按照产品销售收入和</w:t>
      </w:r>
      <w:r>
        <w:rPr>
          <w:spacing w:val="-47"/>
        </w:rPr>
        <w:t> </w:t>
      </w:r>
      <w:r>
        <w:rPr>
          <w:spacing w:val="-47"/>
        </w:rPr>
      </w:r>
      <w:r>
        <w:rPr>
          <w:spacing w:val="-2"/>
        </w:rPr>
        <w:t>服务收入确认原则确认相应的收入；如果产品销售收入和服务收入不能区分，则将其一并作为产品销售进</w:t>
      </w:r>
      <w:r>
        <w:rPr>
          <w:spacing w:val="-42"/>
        </w:rPr>
        <w:t> </w:t>
      </w:r>
      <w:r>
        <w:rPr>
          <w:spacing w:val="-42"/>
        </w:rPr>
      </w:r>
      <w:r>
        <w:rPr/>
        <w:t>行核算。</w:t>
      </w:r>
    </w:p>
    <w:p>
      <w:pPr>
        <w:pStyle w:val="BodyText"/>
        <w:spacing w:line="408" w:lineRule="auto"/>
        <w:ind w:left="572" w:right="986"/>
        <w:jc w:val="left"/>
      </w:pPr>
      <w:r>
        <w:rPr>
          <w:rFonts w:ascii="宋体" w:hAnsi="宋体" w:cs="宋体" w:eastAsia="宋体" w:hint="default"/>
        </w:rPr>
        <w:t>3</w:t>
      </w:r>
      <w:r>
        <w:rPr/>
        <w:t>、让渡资产使用权</w:t>
      </w:r>
      <w:r>
        <w:rPr>
          <w:w w:val="100"/>
        </w:rPr>
        <w:t> </w:t>
      </w:r>
      <w:r>
        <w:rPr/>
        <w:t>与资产使用权让渡相关的经济利益能够流入及收入的金额能够可靠地计量时，本集团确认收入。</w:t>
      </w:r>
      <w:r>
        <w:rPr>
          <w:w w:val="100"/>
        </w:rPr>
        <w:t> </w:t>
      </w:r>
      <w:r>
        <w:rPr>
          <w:rFonts w:ascii="宋体" w:hAnsi="宋体" w:cs="宋体" w:eastAsia="宋体" w:hint="default"/>
        </w:rPr>
        <w:t>4</w:t>
      </w:r>
      <w:r>
        <w:rPr/>
        <w:t>、建造合同</w:t>
      </w:r>
      <w:r>
        <w:rPr>
          <w:spacing w:val="-3"/>
          <w:w w:val="100"/>
        </w:rPr>
        <w:t> </w:t>
      </w:r>
      <w:r>
        <w:rPr>
          <w:spacing w:val="-5"/>
        </w:rPr>
        <w:t>于资产负债表日，建造合同的结果能够可靠地估计的，本集团根据完工百分比法确认合同收入和费用。</w:t>
      </w:r>
    </w:p>
    <w:p>
      <w:pPr>
        <w:pStyle w:val="BodyText"/>
        <w:spacing w:line="408" w:lineRule="auto"/>
        <w:ind w:right="1129"/>
        <w:jc w:val="both"/>
      </w:pPr>
      <w:r>
        <w:rPr>
          <w:spacing w:val="-2"/>
        </w:rPr>
        <w:t>如果建造合同的结果不能可靠地估计，则区别情况处理：如合同成本能够收回的，则合同收入根据能够收</w:t>
      </w:r>
      <w:r>
        <w:rPr>
          <w:spacing w:val="-44"/>
        </w:rPr>
        <w:t> </w:t>
      </w:r>
      <w:r>
        <w:rPr>
          <w:spacing w:val="-44"/>
        </w:rPr>
      </w:r>
      <w:r>
        <w:rPr>
          <w:spacing w:val="-2"/>
        </w:rPr>
        <w:t>回的实际合同成本加以确认，合同成本在其发生的当期作为费用；如合同成本不可能收回的，则在发生时</w:t>
      </w:r>
    </w:p>
    <w:p>
      <w:pPr>
        <w:spacing w:after="0" w:line="408" w:lineRule="auto"/>
        <w:jc w:val="both"/>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left="572" w:right="2114" w:hanging="420"/>
        <w:jc w:val="left"/>
      </w:pPr>
      <w:r>
        <w:rPr/>
        <w:t>作为费用，不确认收入。</w:t>
      </w:r>
      <w:r>
        <w:rPr>
          <w:w w:val="100"/>
        </w:rPr>
        <w:t> </w:t>
      </w:r>
      <w:r>
        <w:rPr>
          <w:spacing w:val="-2"/>
        </w:rPr>
        <w:t>合同预计总成本超过合同总收入的，本集团将预计损失确认为当期费用。</w:t>
      </w:r>
      <w:r>
        <w:rPr>
          <w:w w:val="100"/>
        </w:rPr>
        <w:t> </w:t>
      </w:r>
      <w:r>
        <w:rPr>
          <w:spacing w:val="-2"/>
        </w:rPr>
        <w:t>合同完工进度按已经完成的合同工作量占合同预计总工作量的比例确定。</w:t>
      </w:r>
    </w:p>
    <w:p>
      <w:pPr>
        <w:pStyle w:val="BodyText"/>
        <w:spacing w:line="408" w:lineRule="auto"/>
        <w:ind w:right="1130" w:firstLine="419"/>
        <w:jc w:val="both"/>
      </w:pPr>
      <w:r>
        <w:rPr>
          <w:spacing w:val="-2"/>
        </w:rPr>
        <w:t>建造合同的结果能够可靠估计是指同时满足：</w:t>
      </w:r>
      <w:r>
        <w:rPr>
          <w:rFonts w:ascii="宋体" w:hAnsi="宋体" w:cs="宋体" w:eastAsia="宋体" w:hint="default"/>
          <w:spacing w:val="-2"/>
        </w:rPr>
        <w:t>A</w:t>
      </w:r>
      <w:r>
        <w:rPr>
          <w:spacing w:val="-2"/>
        </w:rPr>
        <w:t>、合同总收入能够可靠地计量；</w:t>
      </w:r>
      <w:r>
        <w:rPr>
          <w:rFonts w:ascii="宋体" w:hAnsi="宋体" w:cs="宋体" w:eastAsia="宋体" w:hint="default"/>
          <w:spacing w:val="-2"/>
        </w:rPr>
        <w:t>B</w:t>
      </w:r>
      <w:r>
        <w:rPr>
          <w:spacing w:val="-2"/>
        </w:rPr>
        <w:t>、与合同相关的经济</w:t>
      </w:r>
      <w:r>
        <w:rPr>
          <w:spacing w:val="-3"/>
          <w:w w:val="100"/>
        </w:rPr>
        <w:t> </w:t>
      </w:r>
      <w:r>
        <w:rPr>
          <w:spacing w:val="-2"/>
        </w:rPr>
        <w:t>利益很可能流入企业；</w:t>
      </w:r>
      <w:r>
        <w:rPr>
          <w:rFonts w:ascii="宋体" w:hAnsi="宋体" w:cs="宋体" w:eastAsia="宋体" w:hint="default"/>
          <w:spacing w:val="-2"/>
        </w:rPr>
        <w:t>C</w:t>
      </w:r>
      <w:r>
        <w:rPr>
          <w:spacing w:val="-2"/>
        </w:rPr>
        <w:t>、实际发生的合同成本能够清楚地区分和可靠地计量；</w:t>
      </w:r>
      <w:r>
        <w:rPr>
          <w:rFonts w:ascii="宋体" w:hAnsi="宋体" w:cs="宋体" w:eastAsia="宋体" w:hint="default"/>
          <w:spacing w:val="-2"/>
        </w:rPr>
        <w:t>D</w:t>
      </w:r>
      <w:r>
        <w:rPr>
          <w:spacing w:val="-2"/>
        </w:rPr>
        <w:t>、合同完工进度和为完成</w:t>
      </w:r>
      <w:r>
        <w:rPr>
          <w:spacing w:val="-49"/>
        </w:rPr>
        <w:t> </w:t>
      </w:r>
      <w:r>
        <w:rPr>
          <w:spacing w:val="-49"/>
        </w:rPr>
      </w:r>
      <w:r>
        <w:rPr/>
        <w:t>合同尚需发生的成本能够可靠地确定。</w:t>
      </w:r>
    </w:p>
    <w:p>
      <w:pPr>
        <w:spacing w:line="240" w:lineRule="auto" w:before="8"/>
        <w:rPr>
          <w:rFonts w:ascii="宋体" w:hAnsi="宋体" w:cs="宋体" w:eastAsia="宋体" w:hint="default"/>
          <w:sz w:val="20"/>
          <w:szCs w:val="20"/>
        </w:rPr>
      </w:pPr>
    </w:p>
    <w:p>
      <w:pPr>
        <w:pStyle w:val="Heading4"/>
        <w:spacing w:line="240" w:lineRule="auto"/>
        <w:ind w:right="986"/>
        <w:jc w:val="left"/>
        <w:rPr>
          <w:b w:val="0"/>
          <w:bCs w:val="0"/>
        </w:rPr>
      </w:pPr>
      <w:bookmarkStart w:name="40、政府补助" w:id="220"/>
      <w:bookmarkEnd w:id="220"/>
      <w:r>
        <w:rPr>
          <w:b w:val="0"/>
          <w:bCs w:val="0"/>
        </w:rPr>
      </w:r>
      <w:r>
        <w:rPr>
          <w:rFonts w:ascii="Times New Roman" w:hAnsi="Times New Roman" w:cs="Times New Roman" w:eastAsia="Times New Roman" w:hint="default"/>
        </w:rPr>
        <w:t>40</w:t>
      </w:r>
      <w:r>
        <w:rPr/>
        <w:t>、政府补助</w:t>
      </w:r>
      <w:r>
        <w:rPr>
          <w:b w:val="0"/>
          <w:bCs w:val="0"/>
        </w:rPr>
      </w:r>
    </w:p>
    <w:p>
      <w:pPr>
        <w:spacing w:line="240" w:lineRule="auto" w:before="8"/>
        <w:rPr>
          <w:rFonts w:ascii="宋体" w:hAnsi="宋体" w:cs="宋体" w:eastAsia="宋体" w:hint="default"/>
          <w:b/>
          <w:bCs/>
          <w:sz w:val="30"/>
          <w:szCs w:val="30"/>
        </w:rPr>
      </w:pPr>
    </w:p>
    <w:p>
      <w:pPr>
        <w:pStyle w:val="BodyText"/>
        <w:spacing w:line="408" w:lineRule="auto" w:before="0"/>
        <w:ind w:left="572" w:right="986"/>
        <w:jc w:val="left"/>
      </w:pPr>
      <w:r>
        <w:rPr/>
        <w:t>政府补助在满足政府补助所附条件并能够收到时确认。</w:t>
      </w:r>
      <w:r>
        <w:rPr>
          <w:w w:val="100"/>
        </w:rPr>
        <w:t> </w:t>
      </w:r>
      <w:r>
        <w:rPr>
          <w:spacing w:val="-2"/>
        </w:rPr>
        <w:t>对于货币性资产的政府补助，按照收到或应收的金额计量。对于非货币性资产的政府补助，按照公允</w:t>
      </w:r>
    </w:p>
    <w:p>
      <w:pPr>
        <w:pStyle w:val="BodyText"/>
        <w:spacing w:line="408" w:lineRule="auto"/>
        <w:ind w:left="572" w:right="986" w:hanging="420"/>
        <w:jc w:val="left"/>
      </w:pPr>
      <w:r>
        <w:rPr/>
        <w:t>价值计量；公允价值不能够可靠取得的，按照名义金额</w:t>
      </w:r>
      <w:r>
        <w:rPr>
          <w:rFonts w:ascii="宋体" w:hAnsi="宋体" w:cs="宋体" w:eastAsia="宋体" w:hint="default"/>
        </w:rPr>
        <w:t>1</w:t>
      </w:r>
      <w:r>
        <w:rPr/>
        <w:t>元计量。</w:t>
      </w:r>
      <w:r>
        <w:rPr>
          <w:w w:val="100"/>
        </w:rPr>
        <w:t> </w:t>
      </w:r>
      <w:r>
        <w:rPr>
          <w:spacing w:val="-2"/>
        </w:rPr>
        <w:t>与资产相关的政府补助，是指本集团取得的、用于购建或以其他方式形成长期资产的政府补助；除此</w:t>
      </w:r>
    </w:p>
    <w:p>
      <w:pPr>
        <w:pStyle w:val="BodyText"/>
        <w:spacing w:line="408" w:lineRule="auto"/>
        <w:ind w:left="572" w:right="986" w:hanging="420"/>
        <w:jc w:val="left"/>
      </w:pPr>
      <w:r>
        <w:rPr/>
        <w:t>之外，作为与收益相关的政府补助。</w:t>
      </w:r>
      <w:r>
        <w:rPr>
          <w:w w:val="100"/>
        </w:rPr>
        <w:t> </w:t>
      </w:r>
      <w:r>
        <w:rPr>
          <w:spacing w:val="-2"/>
        </w:rPr>
        <w:t>对于政府文件未明确规定补助对象的，能够形成长期资产的，与资产价值相对应的政府补助部分作为</w:t>
      </w:r>
    </w:p>
    <w:p>
      <w:pPr>
        <w:pStyle w:val="BodyText"/>
        <w:spacing w:line="408" w:lineRule="auto"/>
        <w:ind w:right="986"/>
        <w:jc w:val="left"/>
      </w:pPr>
      <w:r>
        <w:rPr>
          <w:spacing w:val="-2"/>
        </w:rPr>
        <w:t>与资产相关的政府补助，其余部分作为与收益相关的政府补助；难以区分的，将政府补助整体作为与收益</w:t>
      </w:r>
      <w:r>
        <w:rPr>
          <w:spacing w:val="-43"/>
        </w:rPr>
        <w:t> </w:t>
      </w:r>
      <w:r>
        <w:rPr>
          <w:spacing w:val="-43"/>
        </w:rPr>
      </w:r>
      <w:r>
        <w:rPr/>
        <w:t>相关的政府补助。</w:t>
      </w:r>
    </w:p>
    <w:p>
      <w:pPr>
        <w:pStyle w:val="BodyText"/>
        <w:spacing w:line="408" w:lineRule="auto"/>
        <w:ind w:right="1128" w:firstLine="420"/>
        <w:jc w:val="both"/>
      </w:pPr>
      <w:r>
        <w:rPr>
          <w:spacing w:val="-2"/>
        </w:rPr>
        <w:t>与资产相关的政府补助，冲减相关资产的账面价值，或者确认为递延收益并在能够满足政府补助所附</w:t>
      </w:r>
      <w:r>
        <w:rPr>
          <w:w w:val="100"/>
        </w:rPr>
        <w:t> </w:t>
      </w:r>
      <w:r>
        <w:rPr>
          <w:spacing w:val="-2"/>
        </w:rPr>
        <w:t>条件后，在相关资产使用期限内按照合理、系统的方法分期计入损益。与收益相关的政府补助，用于补偿</w:t>
      </w:r>
      <w:r>
        <w:rPr>
          <w:spacing w:val="-50"/>
        </w:rPr>
        <w:t> </w:t>
      </w:r>
      <w:r>
        <w:rPr>
          <w:spacing w:val="-50"/>
        </w:rPr>
      </w:r>
      <w:r>
        <w:rPr>
          <w:spacing w:val="-2"/>
        </w:rPr>
        <w:t>已发生的相关成本费用或损失的，计入当期损益或冲减相关成本；用于补偿以后期间的相关成本费用或损</w:t>
      </w:r>
      <w:r>
        <w:rPr>
          <w:spacing w:val="-42"/>
        </w:rPr>
        <w:t> </w:t>
      </w:r>
      <w:r>
        <w:rPr>
          <w:spacing w:val="-42"/>
        </w:rPr>
      </w:r>
      <w:r>
        <w:rPr>
          <w:spacing w:val="-2"/>
        </w:rPr>
        <w:t>失的，则计入递延收益，在能够满足政府补助所附条件后，于相关成本费用或损失确认期间计入当期损益</w:t>
      </w:r>
      <w:r>
        <w:rPr>
          <w:spacing w:val="-44"/>
        </w:rPr>
        <w:t> </w:t>
      </w:r>
      <w:r>
        <w:rPr>
          <w:spacing w:val="-44"/>
        </w:rPr>
      </w:r>
      <w:r>
        <w:rPr>
          <w:spacing w:val="-2"/>
        </w:rPr>
        <w:t>或冲减相关成本。按照名义金额计量的政府补助，直接计入当期损益。本集团对相同或类似的政府补助业</w:t>
      </w:r>
      <w:r>
        <w:rPr>
          <w:spacing w:val="-43"/>
        </w:rPr>
        <w:t> </w:t>
      </w:r>
      <w:r>
        <w:rPr>
          <w:spacing w:val="-43"/>
        </w:rPr>
      </w:r>
      <w:r>
        <w:rPr/>
        <w:t>务，采用一致的方法处理。</w:t>
      </w:r>
    </w:p>
    <w:p>
      <w:pPr>
        <w:pStyle w:val="BodyText"/>
        <w:spacing w:line="408" w:lineRule="auto"/>
        <w:ind w:right="1128" w:firstLine="420"/>
        <w:jc w:val="both"/>
      </w:pPr>
      <w:r>
        <w:rPr>
          <w:spacing w:val="-2"/>
        </w:rPr>
        <w:t>与日常活动相关的政府补助，按照经济业务实质，计入其他收益或冲减相关成本费用。与日常活动无</w:t>
      </w:r>
      <w:r>
        <w:rPr>
          <w:w w:val="100"/>
        </w:rPr>
        <w:t> </w:t>
      </w:r>
      <w:r>
        <w:rPr/>
        <w:t>关的政府补助，计入营业外收支。</w:t>
      </w:r>
    </w:p>
    <w:p>
      <w:pPr>
        <w:pStyle w:val="BodyText"/>
        <w:spacing w:line="408" w:lineRule="auto"/>
        <w:ind w:right="1129" w:firstLine="420"/>
        <w:jc w:val="both"/>
      </w:pPr>
      <w:r>
        <w:rPr>
          <w:spacing w:val="-2"/>
        </w:rPr>
        <w:t>已确认的政府补助需要返还时，初始确认时冲减相关资产账面价值的，调整资产账面价值；存在相关</w:t>
      </w:r>
      <w:r>
        <w:rPr>
          <w:w w:val="100"/>
        </w:rPr>
        <w:t> </w:t>
      </w:r>
      <w:r>
        <w:rPr>
          <w:spacing w:val="-2"/>
        </w:rPr>
        <w:t>递延收益余额的，冲减相关递延收益账面余额，超出部分计入当期损益；属于其他情况的，直接计入当期</w:t>
      </w:r>
      <w:r>
        <w:rPr>
          <w:spacing w:val="-50"/>
        </w:rPr>
        <w:t> </w:t>
      </w:r>
      <w:r>
        <w:rPr>
          <w:spacing w:val="-50"/>
        </w:rPr>
      </w:r>
      <w:r>
        <w:rPr/>
        <w:t>损益。</w:t>
      </w:r>
    </w:p>
    <w:p>
      <w:pPr>
        <w:spacing w:line="240" w:lineRule="auto" w:before="7"/>
        <w:rPr>
          <w:rFonts w:ascii="宋体" w:hAnsi="宋体" w:cs="宋体" w:eastAsia="宋体" w:hint="default"/>
          <w:sz w:val="20"/>
          <w:szCs w:val="20"/>
        </w:rPr>
      </w:pPr>
    </w:p>
    <w:p>
      <w:pPr>
        <w:spacing w:line="571" w:lineRule="auto" w:before="0"/>
        <w:ind w:left="572" w:right="986" w:hanging="420"/>
        <w:jc w:val="left"/>
        <w:rPr>
          <w:rFonts w:ascii="宋体" w:hAnsi="宋体" w:cs="宋体" w:eastAsia="宋体" w:hint="default"/>
          <w:sz w:val="21"/>
          <w:szCs w:val="21"/>
        </w:rPr>
      </w:pPr>
      <w:bookmarkStart w:name="41、递延所得税资产/递延所得税负债" w:id="221"/>
      <w:bookmarkEnd w:id="221"/>
      <w:r>
        <w:rPr/>
      </w:r>
      <w:r>
        <w:rPr>
          <w:rFonts w:ascii="Times New Roman" w:hAnsi="Times New Roman" w:cs="Times New Roman" w:eastAsia="Times New Roman" w:hint="default"/>
          <w:b/>
          <w:bCs/>
          <w:sz w:val="21"/>
          <w:szCs w:val="21"/>
        </w:rPr>
        <w:t>41</w:t>
      </w:r>
      <w:r>
        <w:rPr>
          <w:rFonts w:ascii="宋体" w:hAnsi="宋体" w:cs="宋体" w:eastAsia="宋体" w:hint="default"/>
          <w:b/>
          <w:bCs/>
          <w:sz w:val="21"/>
          <w:szCs w:val="21"/>
        </w:rPr>
        <w:t>、递延所得税资产</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递延所得税负债</w:t>
      </w:r>
      <w:r>
        <w:rPr>
          <w:rFonts w:ascii="宋体" w:hAnsi="宋体" w:cs="宋体" w:eastAsia="宋体" w:hint="default"/>
          <w:b/>
          <w:bCs/>
          <w:w w:val="100"/>
          <w:sz w:val="21"/>
          <w:szCs w:val="21"/>
        </w:rPr>
        <w:t> </w:t>
      </w:r>
      <w:r>
        <w:rPr>
          <w:rFonts w:ascii="宋体" w:hAnsi="宋体" w:cs="宋体" w:eastAsia="宋体" w:hint="default"/>
          <w:spacing w:val="-2"/>
          <w:sz w:val="21"/>
          <w:szCs w:val="21"/>
        </w:rPr>
        <w:t>本集团所得税包括当期所得税和递延所得税。当期所得税和递延所得税作为所得税费用或收益计入当</w:t>
      </w:r>
    </w:p>
    <w:p>
      <w:pPr>
        <w:spacing w:after="0" w:line="571" w:lineRule="auto"/>
        <w:jc w:val="left"/>
        <w:rPr>
          <w:rFonts w:ascii="宋体" w:hAnsi="宋体" w:cs="宋体" w:eastAsia="宋体" w:hint="default"/>
          <w:sz w:val="21"/>
          <w:szCs w:val="21"/>
        </w:rPr>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240" w:lineRule="auto" w:before="175"/>
        <w:ind w:right="986"/>
        <w:jc w:val="left"/>
      </w:pPr>
      <w:r>
        <w:rPr/>
        <w:t>期损益，但下述情况除外：</w:t>
      </w:r>
    </w:p>
    <w:p>
      <w:pPr>
        <w:spacing w:line="240" w:lineRule="auto" w:before="10"/>
        <w:rPr>
          <w:rFonts w:ascii="宋体" w:hAnsi="宋体" w:cs="宋体" w:eastAsia="宋体" w:hint="default"/>
          <w:sz w:val="14"/>
          <w:szCs w:val="14"/>
        </w:rPr>
      </w:pPr>
    </w:p>
    <w:p>
      <w:pPr>
        <w:pStyle w:val="BodyText"/>
        <w:spacing w:line="240" w:lineRule="auto" w:before="0"/>
        <w:ind w:left="572" w:right="986"/>
        <w:jc w:val="left"/>
      </w:pPr>
      <w:r>
        <w:rPr/>
        <w:t>（</w:t>
      </w:r>
      <w:r>
        <w:rPr>
          <w:rFonts w:ascii="宋体" w:hAnsi="宋体" w:cs="宋体" w:eastAsia="宋体" w:hint="default"/>
        </w:rPr>
        <w:t>1</w:t>
      </w:r>
      <w:r>
        <w:rPr/>
        <w:t>）由于企业合并产生的所得税调整商誉；</w:t>
      </w:r>
    </w:p>
    <w:p>
      <w:pPr>
        <w:spacing w:line="240" w:lineRule="auto" w:before="10"/>
        <w:rPr>
          <w:rFonts w:ascii="宋体" w:hAnsi="宋体" w:cs="宋体" w:eastAsia="宋体" w:hint="default"/>
          <w:sz w:val="14"/>
          <w:szCs w:val="14"/>
        </w:rPr>
      </w:pPr>
    </w:p>
    <w:p>
      <w:pPr>
        <w:pStyle w:val="BodyText"/>
        <w:spacing w:line="408" w:lineRule="auto" w:before="0"/>
        <w:ind w:left="572" w:right="986"/>
        <w:jc w:val="left"/>
      </w:pPr>
      <w:r>
        <w:rPr/>
        <w:t>（</w:t>
      </w:r>
      <w:r>
        <w:rPr>
          <w:rFonts w:ascii="宋体" w:hAnsi="宋体" w:cs="宋体" w:eastAsia="宋体" w:hint="default"/>
        </w:rPr>
        <w:t>2</w:t>
      </w:r>
      <w:r>
        <w:rPr/>
        <w:t>）与直接计入股东权益的交易或者事项相关的所得税计入股东权益。</w:t>
      </w:r>
      <w:r>
        <w:rPr>
          <w:w w:val="100"/>
        </w:rPr>
        <w:t> </w:t>
      </w:r>
      <w:r>
        <w:rPr>
          <w:spacing w:val="-2"/>
        </w:rPr>
        <w:t>本集团于资产负债表日，对资产或负债的账面价值与其计税基础之间的暂时性差异，按照资产负债表</w:t>
      </w:r>
    </w:p>
    <w:p>
      <w:pPr>
        <w:pStyle w:val="BodyText"/>
        <w:spacing w:line="408" w:lineRule="auto"/>
        <w:ind w:left="572" w:right="986" w:hanging="420"/>
        <w:jc w:val="left"/>
      </w:pPr>
      <w:r>
        <w:rPr/>
        <w:t>债务法确认递延所得税资产或递延所得税负债。</w:t>
      </w:r>
      <w:r>
        <w:rPr>
          <w:w w:val="100"/>
        </w:rPr>
        <w:t> </w:t>
      </w:r>
      <w:r>
        <w:rPr>
          <w:spacing w:val="-2"/>
        </w:rPr>
        <w:t>本集团对所有应纳税暂时性差异均确认为递延所得税负债，除非应纳税暂时性差异是在以下交易中产</w:t>
      </w:r>
    </w:p>
    <w:p>
      <w:pPr>
        <w:pStyle w:val="BodyText"/>
        <w:spacing w:line="240" w:lineRule="auto"/>
        <w:ind w:right="986"/>
        <w:jc w:val="left"/>
      </w:pPr>
      <w:r>
        <w:rPr/>
        <w:t>生的：</w:t>
      </w:r>
    </w:p>
    <w:p>
      <w:pPr>
        <w:spacing w:line="240" w:lineRule="auto" w:before="10"/>
        <w:rPr>
          <w:rFonts w:ascii="宋体" w:hAnsi="宋体" w:cs="宋体" w:eastAsia="宋体" w:hint="default"/>
          <w:sz w:val="14"/>
          <w:szCs w:val="14"/>
        </w:rPr>
      </w:pPr>
    </w:p>
    <w:p>
      <w:pPr>
        <w:pStyle w:val="BodyText"/>
        <w:spacing w:line="408" w:lineRule="auto" w:before="0"/>
        <w:ind w:right="986" w:firstLine="420"/>
        <w:jc w:val="left"/>
      </w:pPr>
      <w:r>
        <w:rPr/>
        <w:t>（</w:t>
      </w:r>
      <w:r>
        <w:rPr>
          <w:rFonts w:ascii="宋体" w:hAnsi="宋体" w:cs="宋体" w:eastAsia="宋体" w:hint="default"/>
        </w:rPr>
        <w:t>1</w:t>
      </w:r>
      <w:r>
        <w:rPr/>
        <w:t>）商誉的初始确认，或者同时具有以下特征的交易中产生的资产或负债的初始确认：该项交易不</w:t>
      </w:r>
      <w:r>
        <w:rPr>
          <w:w w:val="100"/>
        </w:rPr>
        <w:t> </w:t>
      </w:r>
      <w:r>
        <w:rPr/>
        <w:t>是企业合并，并且交易发生时既不影响会计利润也不影响应纳税所得额；</w:t>
      </w:r>
    </w:p>
    <w:p>
      <w:pPr>
        <w:pStyle w:val="BodyText"/>
        <w:spacing w:line="408" w:lineRule="auto"/>
        <w:ind w:right="986" w:firstLine="420"/>
        <w:jc w:val="left"/>
      </w:pPr>
      <w:r>
        <w:rPr/>
        <w:t>（</w:t>
      </w:r>
      <w:r>
        <w:rPr>
          <w:rFonts w:ascii="宋体" w:hAnsi="宋体" w:cs="宋体" w:eastAsia="宋体" w:hint="default"/>
        </w:rPr>
        <w:t>2</w:t>
      </w:r>
      <w:r>
        <w:rPr/>
        <w:t>）对于子公司、联营公司及合营企业投资相关的应纳税暂时性差异，该暂时性差异转回的时间能</w:t>
      </w:r>
      <w:r>
        <w:rPr>
          <w:w w:val="100"/>
        </w:rPr>
        <w:t> </w:t>
      </w:r>
      <w:r>
        <w:rPr/>
        <w:t>够控制并且该暂时性差异在可预见的未来很可能不会转回。</w:t>
      </w:r>
    </w:p>
    <w:p>
      <w:pPr>
        <w:pStyle w:val="BodyText"/>
        <w:spacing w:line="408" w:lineRule="auto"/>
        <w:ind w:right="986" w:firstLine="420"/>
        <w:jc w:val="left"/>
      </w:pPr>
      <w:r>
        <w:rPr>
          <w:spacing w:val="-2"/>
        </w:rPr>
        <w:t>本集团以很可能取得用来抵扣可抵扣暂时性差异的应纳税所得额为限，确认由可抵扣暂时性差异产生</w:t>
      </w:r>
      <w:r>
        <w:rPr>
          <w:w w:val="100"/>
        </w:rPr>
        <w:t> </w:t>
      </w:r>
      <w:r>
        <w:rPr/>
        <w:t>的递延所得税资产，除非可抵扣暂时性差异是在以下交易中产生的：</w:t>
      </w:r>
    </w:p>
    <w:p>
      <w:pPr>
        <w:pStyle w:val="BodyText"/>
        <w:spacing w:line="240" w:lineRule="auto"/>
        <w:ind w:left="572" w:right="986"/>
        <w:jc w:val="left"/>
      </w:pPr>
      <w:r>
        <w:rPr/>
        <w:t>（</w:t>
      </w:r>
      <w:r>
        <w:rPr>
          <w:rFonts w:ascii="宋体" w:hAnsi="宋体" w:cs="宋体" w:eastAsia="宋体" w:hint="default"/>
        </w:rPr>
        <w:t>1</w:t>
      </w:r>
      <w:r>
        <w:rPr/>
        <w:t>）该项交易不是企业合并，并且交易发生时既不影响会计利润也不影响应纳税所得额；</w:t>
      </w:r>
    </w:p>
    <w:p>
      <w:pPr>
        <w:spacing w:line="240" w:lineRule="auto" w:before="10"/>
        <w:rPr>
          <w:rFonts w:ascii="宋体" w:hAnsi="宋体" w:cs="宋体" w:eastAsia="宋体" w:hint="default"/>
          <w:sz w:val="14"/>
          <w:szCs w:val="14"/>
        </w:rPr>
      </w:pPr>
    </w:p>
    <w:p>
      <w:pPr>
        <w:pStyle w:val="BodyText"/>
        <w:spacing w:line="408" w:lineRule="auto" w:before="0"/>
        <w:ind w:right="986" w:firstLine="420"/>
        <w:jc w:val="left"/>
      </w:pPr>
      <w:r>
        <w:rPr/>
        <w:t>（</w:t>
      </w:r>
      <w:r>
        <w:rPr>
          <w:rFonts w:ascii="宋体" w:hAnsi="宋体" w:cs="宋体" w:eastAsia="宋体" w:hint="default"/>
        </w:rPr>
        <w:t>2</w:t>
      </w:r>
      <w:r>
        <w:rPr/>
        <w:t>）对于子公司、联营公司及合营企业投资相关的可抵扣暂时性差异，未能同时满足：暂时性差异</w:t>
      </w:r>
      <w:r>
        <w:rPr>
          <w:w w:val="100"/>
        </w:rPr>
        <w:t> </w:t>
      </w:r>
      <w:r>
        <w:rPr/>
        <w:t>在可预见的未来很可能转回，且未来很可能获得用来抵扣可抵扣暂时性差异的应纳税所得额。</w:t>
      </w:r>
    </w:p>
    <w:p>
      <w:pPr>
        <w:pStyle w:val="BodyText"/>
        <w:spacing w:line="408" w:lineRule="auto"/>
        <w:ind w:right="1109" w:firstLine="420"/>
        <w:jc w:val="right"/>
      </w:pPr>
      <w:r>
        <w:rPr>
          <w:spacing w:val="-2"/>
        </w:rPr>
        <w:t>本集团于资产负债表日，对于递延所得税资产和递延所得税负债，根据税法规定，按照预期收回该资</w:t>
      </w:r>
      <w:r>
        <w:rPr>
          <w:w w:val="100"/>
        </w:rPr>
        <w:t> </w:t>
      </w:r>
      <w:r>
        <w:rPr>
          <w:spacing w:val="-2"/>
        </w:rPr>
        <w:t>产或清偿该负债期间的适用税率计量，并反映资产负债表日预期收回资产或清偿负债方式的所得税影响。</w:t>
      </w:r>
      <w:r>
        <w:rPr>
          <w:spacing w:val="-44"/>
        </w:rPr>
        <w:t> </w:t>
      </w:r>
      <w:r>
        <w:rPr>
          <w:spacing w:val="-44"/>
        </w:rPr>
      </w:r>
      <w:r>
        <w:rPr>
          <w:spacing w:val="-2"/>
        </w:rPr>
        <w:t>本集团于资产负债表日，对递延所得税资产的账面价值进行复核。如果未来期间很可能无法获得足够</w:t>
      </w:r>
      <w:r>
        <w:rPr>
          <w:w w:val="100"/>
        </w:rPr>
        <w:t> </w:t>
      </w:r>
      <w:r>
        <w:rPr>
          <w:spacing w:val="-2"/>
        </w:rPr>
        <w:t>的应纳税所得额用以抵扣递延所得税资产的利益，则减记递延所得税资产的账面价值。在很可能获得足够</w:t>
      </w:r>
    </w:p>
    <w:p>
      <w:pPr>
        <w:pStyle w:val="BodyText"/>
        <w:spacing w:line="240" w:lineRule="auto"/>
        <w:ind w:right="986"/>
        <w:jc w:val="left"/>
      </w:pPr>
      <w:r>
        <w:rPr/>
        <w:t>的应纳税所得额时，减记的金额予以转回。</w:t>
      </w:r>
    </w:p>
    <w:p>
      <w:pPr>
        <w:spacing w:line="240" w:lineRule="auto" w:before="0"/>
        <w:rPr>
          <w:rFonts w:ascii="宋体" w:hAnsi="宋体" w:cs="宋体" w:eastAsia="宋体" w:hint="default"/>
          <w:sz w:val="20"/>
          <w:szCs w:val="20"/>
        </w:rPr>
      </w:pPr>
    </w:p>
    <w:p>
      <w:pPr>
        <w:pStyle w:val="Heading4"/>
        <w:spacing w:line="240" w:lineRule="auto" w:before="154"/>
        <w:ind w:right="986"/>
        <w:jc w:val="left"/>
        <w:rPr>
          <w:b w:val="0"/>
          <w:bCs w:val="0"/>
        </w:rPr>
      </w:pPr>
      <w:bookmarkStart w:name="42、租赁" w:id="222"/>
      <w:bookmarkEnd w:id="222"/>
      <w:r>
        <w:rPr>
          <w:b w:val="0"/>
          <w:bCs w:val="0"/>
        </w:rPr>
      </w:r>
      <w:r>
        <w:rPr>
          <w:rFonts w:ascii="Times New Roman" w:hAnsi="Times New Roman" w:cs="Times New Roman" w:eastAsia="Times New Roman" w:hint="default"/>
        </w:rPr>
        <w:t>42</w:t>
      </w:r>
      <w:r>
        <w:rPr/>
        <w:t>、租赁</w:t>
      </w:r>
      <w:r>
        <w:rPr>
          <w:b w:val="0"/>
          <w:bCs w:val="0"/>
        </w:rPr>
      </w:r>
    </w:p>
    <w:p>
      <w:pPr>
        <w:spacing w:line="692" w:lineRule="exact" w:before="12"/>
        <w:ind w:left="572" w:right="986" w:hanging="420"/>
        <w:jc w:val="left"/>
        <w:rPr>
          <w:rFonts w:ascii="宋体" w:hAnsi="宋体" w:cs="宋体" w:eastAsia="宋体" w:hint="default"/>
          <w:sz w:val="21"/>
          <w:szCs w:val="21"/>
        </w:rPr>
      </w:pPr>
      <w:bookmarkStart w:name="（1）经营租赁的会计处理方法" w:id="223"/>
      <w:bookmarkEnd w:id="223"/>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）经营租赁的会计处理方法</w:t>
      </w:r>
      <w:r>
        <w:rPr>
          <w:rFonts w:ascii="宋体" w:hAnsi="宋体" w:cs="宋体" w:eastAsia="宋体" w:hint="default"/>
          <w:b/>
          <w:bCs/>
          <w:w w:val="100"/>
          <w:sz w:val="21"/>
          <w:szCs w:val="21"/>
        </w:rPr>
        <w:t> </w:t>
      </w:r>
      <w:r>
        <w:rPr>
          <w:rFonts w:ascii="宋体" w:hAnsi="宋体" w:cs="宋体" w:eastAsia="宋体" w:hint="default"/>
          <w:spacing w:val="-2"/>
          <w:sz w:val="21"/>
          <w:szCs w:val="21"/>
        </w:rPr>
        <w:t>本集团将实质上转移了与资产所有权有关的全部风险和报酬的租赁确认为融资租赁，除融资租赁之外</w:t>
      </w:r>
    </w:p>
    <w:p>
      <w:pPr>
        <w:pStyle w:val="BodyText"/>
        <w:spacing w:line="240" w:lineRule="auto" w:before="84"/>
        <w:ind w:right="986"/>
        <w:jc w:val="left"/>
      </w:pPr>
      <w:r>
        <w:rPr/>
        <w:t>的其他租赁确认为经营租赁。</w:t>
      </w:r>
    </w:p>
    <w:p>
      <w:pPr>
        <w:spacing w:line="240" w:lineRule="auto" w:before="10"/>
        <w:rPr>
          <w:rFonts w:ascii="宋体" w:hAnsi="宋体" w:cs="宋体" w:eastAsia="宋体" w:hint="default"/>
          <w:sz w:val="14"/>
          <w:szCs w:val="14"/>
        </w:rPr>
      </w:pPr>
    </w:p>
    <w:p>
      <w:pPr>
        <w:pStyle w:val="BodyText"/>
        <w:spacing w:line="408" w:lineRule="auto" w:before="0"/>
        <w:ind w:left="572" w:right="986"/>
        <w:jc w:val="left"/>
      </w:pPr>
      <w:r>
        <w:rPr/>
        <w:t>（</w:t>
      </w:r>
      <w:r>
        <w:rPr>
          <w:rFonts w:ascii="宋体" w:hAnsi="宋体" w:cs="宋体" w:eastAsia="宋体" w:hint="default"/>
        </w:rPr>
        <w:t>1</w:t>
      </w:r>
      <w:r>
        <w:rPr/>
        <w:t>）本集团作为出租人</w:t>
      </w:r>
      <w:r>
        <w:rPr>
          <w:w w:val="100"/>
        </w:rPr>
        <w:t> </w:t>
      </w:r>
      <w:r>
        <w:rPr>
          <w:spacing w:val="-2"/>
        </w:rPr>
        <w:t>经营租赁中的租金，本集团在租赁期内各个期间按照直线法确认当期损益。发生的初始直接费用，计</w:t>
      </w:r>
    </w:p>
    <w:p>
      <w:pPr>
        <w:pStyle w:val="BodyText"/>
        <w:spacing w:line="240" w:lineRule="auto"/>
        <w:ind w:right="986"/>
        <w:jc w:val="left"/>
      </w:pPr>
      <w:r>
        <w:rPr/>
        <w:t>入当期损益。</w:t>
      </w:r>
    </w:p>
    <w:p>
      <w:pPr>
        <w:spacing w:after="0" w:line="240"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left="572" w:right="986"/>
        <w:jc w:val="left"/>
      </w:pPr>
      <w:r>
        <w:rPr/>
        <w:t>（</w:t>
      </w:r>
      <w:r>
        <w:rPr>
          <w:rFonts w:ascii="宋体" w:hAnsi="宋体" w:cs="宋体" w:eastAsia="宋体" w:hint="default"/>
        </w:rPr>
        <w:t>2</w:t>
      </w:r>
      <w:r>
        <w:rPr/>
        <w:t>）本集团作为承租人</w:t>
      </w:r>
      <w:r>
        <w:rPr>
          <w:w w:val="100"/>
        </w:rPr>
        <w:t> </w:t>
      </w:r>
      <w:r>
        <w:rPr>
          <w:spacing w:val="-2"/>
        </w:rPr>
        <w:t>经营租赁中的租金，本集团在租赁期内各个期间按照直线法计入相关资产成本或当期损益；发生的初</w:t>
      </w:r>
    </w:p>
    <w:p>
      <w:pPr>
        <w:pStyle w:val="BodyText"/>
        <w:spacing w:line="240" w:lineRule="auto"/>
        <w:ind w:right="0"/>
        <w:jc w:val="both"/>
      </w:pPr>
      <w:r>
        <w:rPr/>
        <w:t>始直接费用，计入当期损益。</w:t>
      </w:r>
    </w:p>
    <w:p>
      <w:pPr>
        <w:spacing w:line="670" w:lineRule="atLeast" w:before="37"/>
        <w:ind w:left="572" w:right="7922" w:hanging="420"/>
        <w:jc w:val="left"/>
        <w:rPr>
          <w:rFonts w:ascii="宋体" w:hAnsi="宋体" w:cs="宋体" w:eastAsia="宋体" w:hint="default"/>
          <w:sz w:val="21"/>
          <w:szCs w:val="21"/>
        </w:rPr>
      </w:pPr>
      <w:bookmarkStart w:name="（2）融资租赁的会计处理方法" w:id="224"/>
      <w:bookmarkEnd w:id="224"/>
      <w:r>
        <w:rPr/>
      </w:r>
      <w:r>
        <w:rPr>
          <w:rFonts w:ascii="宋体" w:hAnsi="宋体" w:cs="宋体" w:eastAsia="宋体" w:hint="default"/>
          <w:b/>
          <w:bCs/>
          <w:spacing w:val="-1"/>
          <w:sz w:val="21"/>
          <w:szCs w:val="21"/>
        </w:rPr>
        <w:t>（</w:t>
      </w:r>
      <w:r>
        <w:rPr>
          <w:rFonts w:ascii="Times New Roman" w:hAnsi="Times New Roman" w:cs="Times New Roman" w:eastAsia="Times New Roman" w:hint="default"/>
          <w:b/>
          <w:bCs/>
          <w:spacing w:val="-1"/>
          <w:sz w:val="21"/>
          <w:szCs w:val="21"/>
        </w:rPr>
        <w:t>2</w:t>
      </w:r>
      <w:r>
        <w:rPr>
          <w:rFonts w:ascii="宋体" w:hAnsi="宋体" w:cs="宋体" w:eastAsia="宋体" w:hint="default"/>
          <w:b/>
          <w:bCs/>
          <w:spacing w:val="-1"/>
          <w:sz w:val="21"/>
          <w:szCs w:val="21"/>
        </w:rPr>
        <w:t>）融资租赁的会计处理方法</w:t>
      </w:r>
      <w:r>
        <w:rPr>
          <w:rFonts w:ascii="宋体" w:hAnsi="宋体" w:cs="宋体" w:eastAsia="宋体" w:hint="default"/>
          <w:b/>
          <w:bCs/>
          <w:spacing w:val="-94"/>
          <w:sz w:val="21"/>
          <w:szCs w:val="21"/>
        </w:rPr>
        <w:t> </w:t>
      </w:r>
      <w:r>
        <w:rPr>
          <w:rFonts w:ascii="宋体" w:hAnsi="宋体" w:cs="宋体" w:eastAsia="宋体" w:hint="default"/>
          <w:b/>
          <w:bCs/>
          <w:spacing w:val="-94"/>
          <w:sz w:val="21"/>
          <w:szCs w:val="21"/>
        </w:rPr>
      </w:r>
      <w:r>
        <w:rPr>
          <w:rFonts w:ascii="宋体" w:hAnsi="宋体" w:cs="宋体" w:eastAsia="宋体" w:hint="default"/>
          <w:sz w:val="21"/>
          <w:szCs w:val="21"/>
        </w:rPr>
        <w:t>本集团作为出租人</w:t>
      </w:r>
    </w:p>
    <w:p>
      <w:pPr>
        <w:spacing w:line="240" w:lineRule="auto" w:before="10"/>
        <w:rPr>
          <w:rFonts w:ascii="宋体" w:hAnsi="宋体" w:cs="宋体" w:eastAsia="宋体" w:hint="default"/>
          <w:sz w:val="14"/>
          <w:szCs w:val="14"/>
        </w:rPr>
      </w:pPr>
    </w:p>
    <w:p>
      <w:pPr>
        <w:pStyle w:val="BodyText"/>
        <w:spacing w:line="408" w:lineRule="auto" w:before="0"/>
        <w:ind w:right="1109" w:firstLine="420"/>
        <w:jc w:val="both"/>
      </w:pPr>
      <w:r>
        <w:rPr>
          <w:spacing w:val="-2"/>
        </w:rPr>
        <w:t>融资租赁中，在租赁期开始日本集团按最低租赁收款额与初始直接费用之和作为应收融资租赁款的入</w:t>
      </w:r>
      <w:r>
        <w:rPr>
          <w:w w:val="100"/>
        </w:rPr>
        <w:t> </w:t>
      </w:r>
      <w:r>
        <w:rPr>
          <w:spacing w:val="-2"/>
        </w:rPr>
        <w:t>账价值，同时记录未担保余值；将最低租赁收款额、初始直接费用及未担保余值之和与其现值之和的差额</w:t>
      </w:r>
      <w:r>
        <w:rPr>
          <w:spacing w:val="-44"/>
        </w:rPr>
        <w:t> </w:t>
      </w:r>
      <w:r>
        <w:rPr>
          <w:spacing w:val="-44"/>
        </w:rPr>
      </w:r>
      <w:r>
        <w:rPr>
          <w:spacing w:val="-2"/>
        </w:rPr>
        <w:t>确认为未实现融资收益。未实现融资收益在租赁期内各个期间采用实际利率法计算确认当期的融资收入。</w:t>
      </w:r>
    </w:p>
    <w:p>
      <w:pPr>
        <w:spacing w:line="240" w:lineRule="auto" w:before="8"/>
        <w:rPr>
          <w:rFonts w:ascii="宋体" w:hAnsi="宋体" w:cs="宋体" w:eastAsia="宋体" w:hint="default"/>
          <w:sz w:val="20"/>
          <w:szCs w:val="20"/>
        </w:rPr>
      </w:pPr>
    </w:p>
    <w:p>
      <w:pPr>
        <w:pStyle w:val="Heading4"/>
        <w:spacing w:line="240" w:lineRule="auto"/>
        <w:ind w:right="0"/>
        <w:jc w:val="both"/>
        <w:rPr>
          <w:b w:val="0"/>
          <w:bCs w:val="0"/>
        </w:rPr>
      </w:pPr>
      <w:bookmarkStart w:name="43、其他重要的会计政策和会计估计" w:id="225"/>
      <w:bookmarkEnd w:id="225"/>
      <w:r>
        <w:rPr>
          <w:b w:val="0"/>
          <w:bCs w:val="0"/>
        </w:rPr>
      </w:r>
      <w:r>
        <w:rPr>
          <w:rFonts w:ascii="Times New Roman" w:hAnsi="Times New Roman" w:cs="Times New Roman" w:eastAsia="Times New Roman" w:hint="default"/>
        </w:rPr>
        <w:t>43</w:t>
      </w:r>
      <w:r>
        <w:rPr/>
        <w:t>、其他重要的会计政策和会计估计</w:t>
      </w:r>
      <w:r>
        <w:rPr>
          <w:b w:val="0"/>
          <w:bCs w:val="0"/>
        </w:rPr>
      </w:r>
    </w:p>
    <w:p>
      <w:pPr>
        <w:spacing w:line="240" w:lineRule="auto" w:before="7"/>
        <w:rPr>
          <w:rFonts w:ascii="宋体" w:hAnsi="宋体" w:cs="宋体" w:eastAsia="宋体" w:hint="default"/>
          <w:b/>
          <w:bCs/>
          <w:sz w:val="24"/>
          <w:szCs w:val="24"/>
        </w:rPr>
      </w:pPr>
    </w:p>
    <w:p>
      <w:pPr>
        <w:pStyle w:val="BodyText"/>
        <w:spacing w:line="444" w:lineRule="auto" w:before="0"/>
        <w:ind w:left="572" w:right="986" w:hanging="104"/>
        <w:jc w:val="left"/>
      </w:pPr>
      <w:r>
        <w:rPr>
          <w:rFonts w:ascii="宋体" w:hAnsi="宋体" w:cs="宋体" w:eastAsia="宋体" w:hint="default"/>
          <w:b/>
          <w:bCs/>
        </w:rPr>
        <w:t>（</w:t>
      </w:r>
      <w:r>
        <w:rPr>
          <w:rFonts w:ascii="宋体" w:hAnsi="宋体" w:cs="宋体" w:eastAsia="宋体" w:hint="default"/>
          <w:b/>
          <w:bCs/>
        </w:rPr>
        <w:t>1</w:t>
      </w:r>
      <w:r>
        <w:rPr>
          <w:rFonts w:ascii="宋体" w:hAnsi="宋体" w:cs="宋体" w:eastAsia="宋体" w:hint="default"/>
          <w:b/>
          <w:bCs/>
        </w:rPr>
        <w:t>）回购股份</w:t>
      </w:r>
      <w:r>
        <w:rPr>
          <w:rFonts w:ascii="宋体" w:hAnsi="宋体" w:cs="宋体" w:eastAsia="宋体" w:hint="default"/>
          <w:b/>
          <w:bCs/>
          <w:spacing w:val="-104"/>
        </w:rPr>
        <w:t> </w:t>
      </w:r>
      <w:r>
        <w:rPr>
          <w:spacing w:val="-2"/>
        </w:rPr>
        <w:t>本集团回购的股份在注销或者转让之前，作为库存股管理，回购股份的全部支出转作库存股成本。股</w:t>
      </w:r>
    </w:p>
    <w:p>
      <w:pPr>
        <w:pStyle w:val="BodyText"/>
        <w:spacing w:line="408" w:lineRule="auto" w:before="14"/>
        <w:ind w:left="0" w:right="1109"/>
        <w:jc w:val="right"/>
      </w:pPr>
      <w:r>
        <w:rPr>
          <w:spacing w:val="-2"/>
        </w:rPr>
        <w:t>份回购中支付的对价和交易费用减少所有者权益，回购、转让或注销本公司股份时，不确认利得或损失。</w:t>
      </w:r>
      <w:r>
        <w:rPr>
          <w:spacing w:val="-44"/>
        </w:rPr>
        <w:t> </w:t>
      </w:r>
      <w:r>
        <w:rPr>
          <w:spacing w:val="-44"/>
        </w:rPr>
      </w:r>
      <w:r>
        <w:rPr>
          <w:spacing w:val="-2"/>
        </w:rPr>
        <w:t>转让库存股，按实际收到的金额与库存股账面金额的差额，计入资本公积，资本公积不足冲减的，冲</w:t>
      </w:r>
      <w:r>
        <w:rPr>
          <w:w w:val="100"/>
        </w:rPr>
        <w:t> </w:t>
      </w:r>
      <w:r>
        <w:rPr>
          <w:spacing w:val="-2"/>
        </w:rPr>
        <w:t>减盈余公积和未分配利润。注销库存股，按股票面值和注销股数减少股本，按注销库存股的账面余额与面</w:t>
      </w:r>
    </w:p>
    <w:p>
      <w:pPr>
        <w:pStyle w:val="BodyText"/>
        <w:spacing w:line="240" w:lineRule="auto"/>
        <w:ind w:right="0"/>
        <w:jc w:val="both"/>
      </w:pPr>
      <w:r>
        <w:rPr/>
        <w:t>值的差额，冲减资本公积，资本公积不足冲减的，冲减盈余公积和未分配利润。</w:t>
      </w:r>
    </w:p>
    <w:p>
      <w:pPr>
        <w:spacing w:line="240" w:lineRule="auto" w:before="1"/>
        <w:rPr>
          <w:rFonts w:ascii="宋体" w:hAnsi="宋体" w:cs="宋体" w:eastAsia="宋体" w:hint="default"/>
          <w:sz w:val="18"/>
          <w:szCs w:val="18"/>
        </w:rPr>
      </w:pPr>
    </w:p>
    <w:p>
      <w:pPr>
        <w:pStyle w:val="BodyText"/>
        <w:spacing w:line="444" w:lineRule="auto" w:before="0"/>
        <w:ind w:left="572" w:right="986" w:hanging="104"/>
        <w:jc w:val="left"/>
      </w:pPr>
      <w:r>
        <w:rPr>
          <w:rFonts w:ascii="宋体" w:hAnsi="宋体" w:cs="宋体" w:eastAsia="宋体" w:hint="default"/>
          <w:b/>
          <w:bCs/>
        </w:rPr>
        <w:t>（</w:t>
      </w:r>
      <w:r>
        <w:rPr>
          <w:rFonts w:ascii="宋体" w:hAnsi="宋体" w:cs="宋体" w:eastAsia="宋体" w:hint="default"/>
          <w:b/>
          <w:bCs/>
        </w:rPr>
        <w:t>2</w:t>
      </w:r>
      <w:r>
        <w:rPr>
          <w:rFonts w:ascii="宋体" w:hAnsi="宋体" w:cs="宋体" w:eastAsia="宋体" w:hint="default"/>
          <w:b/>
          <w:bCs/>
        </w:rPr>
        <w:t>）限制性股票</w:t>
      </w:r>
      <w:r>
        <w:rPr>
          <w:rFonts w:ascii="宋体" w:hAnsi="宋体" w:cs="宋体" w:eastAsia="宋体" w:hint="default"/>
          <w:b/>
          <w:bCs/>
          <w:spacing w:val="-104"/>
        </w:rPr>
        <w:t> </w:t>
      </w:r>
      <w:r>
        <w:rPr>
          <w:spacing w:val="-2"/>
        </w:rPr>
        <w:t>股权激励计划中，本集团授予被激励对象限制性股票，被激励对象先认购股票，如果后续未达到股权</w:t>
      </w:r>
    </w:p>
    <w:p>
      <w:pPr>
        <w:pStyle w:val="BodyText"/>
        <w:spacing w:line="408" w:lineRule="auto" w:before="14"/>
        <w:ind w:right="1128"/>
        <w:jc w:val="both"/>
      </w:pPr>
      <w:r>
        <w:rPr>
          <w:spacing w:val="-2"/>
        </w:rPr>
        <w:t>激励计划规定的解锁条件，则本集团按照事先约定的价格回购股票。向职工发行的限制性股票按有关规定</w:t>
      </w:r>
      <w:r>
        <w:rPr>
          <w:spacing w:val="-42"/>
        </w:rPr>
        <w:t> </w:t>
      </w:r>
      <w:r>
        <w:rPr>
          <w:spacing w:val="-42"/>
        </w:rPr>
      </w:r>
      <w:r>
        <w:rPr>
          <w:spacing w:val="-2"/>
        </w:rPr>
        <w:t>履行了注册登记等增资手续的，在授予日，本集团根据收到的职工缴纳的认股款确认股本和资本公积（股</w:t>
      </w:r>
      <w:r>
        <w:rPr>
          <w:spacing w:val="-43"/>
        </w:rPr>
        <w:t> </w:t>
      </w:r>
      <w:r>
        <w:rPr>
          <w:spacing w:val="-43"/>
        </w:rPr>
      </w:r>
      <w:r>
        <w:rPr/>
        <w:t>本溢价）；同时就回购义务确认库存股和其他应付款。</w:t>
      </w:r>
    </w:p>
    <w:p>
      <w:pPr>
        <w:pStyle w:val="Heading4"/>
        <w:spacing w:line="240" w:lineRule="auto" w:before="166"/>
        <w:ind w:left="469" w:right="986"/>
        <w:jc w:val="left"/>
        <w:rPr>
          <w:b w:val="0"/>
          <w:bCs w:val="0"/>
        </w:rPr>
      </w:pPr>
      <w:r>
        <w:rPr/>
        <w:t>（</w:t>
      </w:r>
      <w:r>
        <w:rPr>
          <w:rFonts w:ascii="宋体" w:hAnsi="宋体" w:cs="宋体" w:eastAsia="宋体" w:hint="default"/>
        </w:rPr>
        <w:t>3</w:t>
      </w:r>
      <w:r>
        <w:rPr/>
        <w:t>）公允价值计量</w:t>
      </w:r>
      <w:r>
        <w:rPr>
          <w:b w:val="0"/>
          <w:bCs w:val="0"/>
        </w:rPr>
      </w:r>
    </w:p>
    <w:p>
      <w:pPr>
        <w:spacing w:line="240" w:lineRule="auto" w:before="12"/>
        <w:rPr>
          <w:rFonts w:ascii="宋体" w:hAnsi="宋体" w:cs="宋体" w:eastAsia="宋体" w:hint="default"/>
          <w:b/>
          <w:bCs/>
          <w:sz w:val="23"/>
          <w:szCs w:val="23"/>
        </w:rPr>
      </w:pPr>
    </w:p>
    <w:p>
      <w:pPr>
        <w:pStyle w:val="BodyText"/>
        <w:spacing w:line="408" w:lineRule="auto" w:before="0"/>
        <w:ind w:right="1128" w:firstLine="420"/>
        <w:jc w:val="both"/>
      </w:pPr>
      <w:r>
        <w:rPr>
          <w:spacing w:val="-2"/>
        </w:rPr>
        <w:t>公允价值是指市场参与者在计量日发生的有序交易中，出售一项资产所能收到或者转移一项负债所需</w:t>
      </w:r>
      <w:r>
        <w:rPr>
          <w:w w:val="100"/>
        </w:rPr>
        <w:t> </w:t>
      </w:r>
      <w:r>
        <w:rPr/>
        <w:t>支付的价格。</w:t>
      </w:r>
    </w:p>
    <w:p>
      <w:pPr>
        <w:pStyle w:val="BodyText"/>
        <w:spacing w:line="408" w:lineRule="auto"/>
        <w:ind w:right="1128" w:firstLine="420"/>
        <w:jc w:val="both"/>
      </w:pPr>
      <w:r>
        <w:rPr>
          <w:spacing w:val="-2"/>
        </w:rPr>
        <w:t>本集团以公允价值计量相关资产或负债，假定出售资产或者转移负债的有序交易在相关资产或负债的</w:t>
      </w:r>
      <w:r>
        <w:rPr>
          <w:w w:val="100"/>
        </w:rPr>
        <w:t> </w:t>
      </w:r>
      <w:r>
        <w:rPr>
          <w:spacing w:val="-7"/>
        </w:rPr>
        <w:t>主要市场进行；不存在主要市场的，本集团假定该交易在相关资产或负债的最有利市场进行。主要市场（或</w:t>
      </w:r>
      <w:r>
        <w:rPr>
          <w:spacing w:val="-26"/>
        </w:rPr>
        <w:t> </w:t>
      </w:r>
      <w:r>
        <w:rPr>
          <w:spacing w:val="-26"/>
        </w:rPr>
      </w:r>
      <w:r>
        <w:rPr>
          <w:spacing w:val="-2"/>
        </w:rPr>
        <w:t>最有利市场）是本集团在计量日能够进入的交易市场。本集团采用市场参与者在对该资产或负债定价时为</w:t>
      </w:r>
      <w:r>
        <w:rPr>
          <w:spacing w:val="-42"/>
        </w:rPr>
        <w:t> </w:t>
      </w:r>
      <w:r>
        <w:rPr>
          <w:spacing w:val="-42"/>
        </w:rPr>
      </w:r>
      <w:r>
        <w:rPr/>
        <w:t>实现其经济利益最大化所使用的假设。</w:t>
      </w:r>
    </w:p>
    <w:p>
      <w:pPr>
        <w:spacing w:after="0" w:line="408" w:lineRule="auto"/>
        <w:jc w:val="both"/>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1128" w:firstLine="420"/>
        <w:jc w:val="both"/>
      </w:pPr>
      <w:r>
        <w:rPr>
          <w:spacing w:val="-2"/>
        </w:rPr>
        <w:t>存在活跃市场的金融资产或金融负债，本集团采用活跃市场中的报价确定其公允价值。金融工具不存</w:t>
      </w:r>
      <w:r>
        <w:rPr>
          <w:w w:val="100"/>
        </w:rPr>
        <w:t> </w:t>
      </w:r>
      <w:r>
        <w:rPr/>
        <w:t>在活跃市场的，本集团采用估值技术确定其公允价值。</w:t>
      </w:r>
    </w:p>
    <w:p>
      <w:pPr>
        <w:pStyle w:val="BodyText"/>
        <w:spacing w:line="408" w:lineRule="auto"/>
        <w:ind w:right="1128" w:firstLine="420"/>
        <w:jc w:val="both"/>
      </w:pPr>
      <w:r>
        <w:rPr>
          <w:spacing w:val="-2"/>
        </w:rPr>
        <w:t>以公允价值计量非金融资产的，考虑市场参与者将该资产用于最佳用途产生经济利益的能力，或者将</w:t>
      </w:r>
      <w:r>
        <w:rPr>
          <w:w w:val="100"/>
        </w:rPr>
        <w:t> </w:t>
      </w:r>
      <w:r>
        <w:rPr/>
        <w:t>该资产出售给能够用于最佳用途的其他市场参与者产生经济利益的能力。</w:t>
      </w:r>
    </w:p>
    <w:p>
      <w:pPr>
        <w:pStyle w:val="BodyText"/>
        <w:spacing w:line="408" w:lineRule="auto"/>
        <w:ind w:right="1128" w:firstLine="420"/>
        <w:jc w:val="both"/>
      </w:pPr>
      <w:r>
        <w:rPr>
          <w:spacing w:val="-2"/>
        </w:rPr>
        <w:t>本集团采用在当前情况下适用并且有足够可利用数据和其他信息支持的估值技术，优先使用相关可观</w:t>
      </w:r>
      <w:r>
        <w:rPr>
          <w:w w:val="100"/>
        </w:rPr>
        <w:t> </w:t>
      </w:r>
      <w:r>
        <w:rPr/>
        <w:t>察输入值，只有在可观察输入值无法取得或取得不切实可行的情况下，才使用不可观察输入值。</w:t>
      </w:r>
    </w:p>
    <w:p>
      <w:pPr>
        <w:pStyle w:val="BodyText"/>
        <w:spacing w:line="408" w:lineRule="auto"/>
        <w:ind w:right="1128" w:firstLine="419"/>
        <w:jc w:val="both"/>
      </w:pPr>
      <w:r>
        <w:rPr>
          <w:spacing w:val="-2"/>
        </w:rPr>
        <w:t>在财务报表中以公允价值计量或披露的资产和负债，根据对公允价值计量整体而言具有重要意义的最</w:t>
      </w:r>
      <w:r>
        <w:rPr>
          <w:w w:val="100"/>
        </w:rPr>
        <w:t> </w:t>
      </w:r>
      <w:r>
        <w:rPr>
          <w:spacing w:val="-2"/>
        </w:rPr>
        <w:t>低层次输入值，确定所属的公允价值层次：第一层次输入值，是在计量日能够取得的相同资产或负债在活</w:t>
      </w:r>
      <w:r>
        <w:rPr>
          <w:spacing w:val="-48"/>
        </w:rPr>
        <w:t> </w:t>
      </w:r>
      <w:r>
        <w:rPr>
          <w:spacing w:val="-48"/>
        </w:rPr>
      </w:r>
      <w:r>
        <w:rPr>
          <w:spacing w:val="-2"/>
        </w:rPr>
        <w:t>跃市场上未经调整的报价；第二层次输入值，是除第一层次输入值外相关资产或负债直接或间接可观察的</w:t>
      </w:r>
      <w:r>
        <w:rPr>
          <w:spacing w:val="-42"/>
        </w:rPr>
        <w:t> </w:t>
      </w:r>
      <w:r>
        <w:rPr>
          <w:spacing w:val="-42"/>
        </w:rPr>
      </w:r>
      <w:r>
        <w:rPr/>
        <w:t>输入值；第三层次输入值，是相关资产或负债的不可观察输入值。</w:t>
      </w:r>
    </w:p>
    <w:p>
      <w:pPr>
        <w:pStyle w:val="BodyText"/>
        <w:spacing w:line="408" w:lineRule="auto"/>
        <w:ind w:right="1106" w:firstLine="420"/>
        <w:jc w:val="both"/>
      </w:pPr>
      <w:r>
        <w:rPr>
          <w:spacing w:val="-2"/>
        </w:rPr>
        <w:t>每个资产负债表日，本集团对在财务报表中确认的持续以公允价值计量的资产和负债进行重新评估，</w:t>
      </w:r>
      <w:r>
        <w:rPr>
          <w:w w:val="100"/>
        </w:rPr>
        <w:t> </w:t>
      </w:r>
      <w:r>
        <w:rPr/>
        <w:t>以确定是否在公允价值计量层次之间发生转换。</w:t>
      </w:r>
    </w:p>
    <w:p>
      <w:pPr>
        <w:spacing w:line="240" w:lineRule="auto" w:before="7"/>
        <w:rPr>
          <w:rFonts w:ascii="宋体" w:hAnsi="宋体" w:cs="宋体" w:eastAsia="宋体" w:hint="default"/>
          <w:sz w:val="20"/>
          <w:szCs w:val="20"/>
        </w:rPr>
      </w:pPr>
    </w:p>
    <w:p>
      <w:pPr>
        <w:pStyle w:val="Heading4"/>
        <w:spacing w:line="240" w:lineRule="auto"/>
        <w:ind w:right="986"/>
        <w:jc w:val="left"/>
        <w:rPr>
          <w:b w:val="0"/>
          <w:bCs w:val="0"/>
        </w:rPr>
      </w:pPr>
      <w:bookmarkStart w:name="44、重要会计政策和会计估计变更" w:id="226"/>
      <w:bookmarkEnd w:id="226"/>
      <w:r>
        <w:rPr>
          <w:b w:val="0"/>
          <w:bCs w:val="0"/>
        </w:rPr>
      </w:r>
      <w:r>
        <w:rPr>
          <w:rFonts w:ascii="Times New Roman" w:hAnsi="Times New Roman" w:cs="Times New Roman" w:eastAsia="Times New Roman" w:hint="default"/>
        </w:rPr>
        <w:t>44</w:t>
      </w:r>
      <w:r>
        <w:rPr/>
        <w:t>、重要会计政策和会计估计变更</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重要会计政策变更" w:id="227"/>
      <w:bookmarkEnd w:id="227"/>
      <w:r>
        <w:rPr>
          <w:b w:val="0"/>
          <w:bCs w:val="0"/>
        </w:rPr>
      </w:r>
      <w:r>
        <w:rPr/>
        <w:t>（</w:t>
      </w:r>
      <w:r>
        <w:rPr>
          <w:rFonts w:ascii="Times New Roman" w:hAnsi="Times New Roman" w:cs="Times New Roman" w:eastAsia="Times New Roman" w:hint="default"/>
        </w:rPr>
        <w:t>1</w:t>
      </w:r>
      <w:r>
        <w:rPr/>
        <w:t>）重要会计政策变更</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pict>
          <v:group style="position:absolute;margin-left:189.119995pt;margin-top:37.751724pt;width:63.25pt;height:95.65pt;mso-position-horizontal-relative:page;mso-position-vertical-relative:paragraph;z-index:-1348120" coordorigin="3782,755" coordsize="1265,1913">
            <v:group style="position:absolute;left:3782;top:755;width:1265;height:1560" coordorigin="3782,755" coordsize="1265,1560">
              <v:shape style="position:absolute;left:3782;top:755;width:1265;height:1560" coordorigin="3782,755" coordsize="1265,1560" path="m3782,2315l5047,2315,5047,755,3782,755,3782,2315xe" filled="true" fillcolor="#ffffff" stroked="false">
                <v:path arrowok="t"/>
                <v:fill type="solid"/>
              </v:shape>
            </v:group>
            <v:group style="position:absolute;left:3806;top:2315;width:1220;height:353" coordorigin="3806,2315" coordsize="1220,353">
              <v:shape style="position:absolute;left:3806;top:2315;width:1220;height:353" coordorigin="3806,2315" coordsize="1220,353" path="m3806,2668l5026,2668,5026,2315,3806,2315,3806,2668xe" filled="true" fillcolor="#ffffff" stroked="false">
                <v:path arrowok="t"/>
                <v:fill type="solid"/>
              </v:shape>
            </v:group>
            <w10:wrap type="none"/>
          </v:group>
        </w:pict>
      </w: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645"/>
        <w:gridCol w:w="1274"/>
        <w:gridCol w:w="5650"/>
      </w:tblGrid>
      <w:tr>
        <w:trPr>
          <w:trHeight w:val="396" w:hRule="exact"/>
        </w:trPr>
        <w:tc>
          <w:tcPr>
            <w:tcW w:w="264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37"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127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73" w:right="0"/>
              <w:jc w:val="left"/>
              <w:rPr>
                <w:rFonts w:ascii="宋体" w:hAnsi="宋体" w:cs="宋体" w:eastAsia="宋体" w:hint="default"/>
                <w:sz w:val="18"/>
                <w:szCs w:val="18"/>
              </w:rPr>
            </w:pPr>
            <w:r>
              <w:rPr>
                <w:rFonts w:ascii="宋体" w:hAnsi="宋体" w:cs="宋体" w:eastAsia="宋体" w:hint="default"/>
                <w:sz w:val="18"/>
                <w:szCs w:val="18"/>
              </w:rPr>
              <w:t>审批程序</w:t>
            </w:r>
          </w:p>
        </w:tc>
        <w:tc>
          <w:tcPr>
            <w:tcW w:w="565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4776" w:hRule="exact"/>
        </w:trPr>
        <w:tc>
          <w:tcPr>
            <w:tcW w:w="2645" w:type="dxa"/>
            <w:tcBorders>
              <w:top w:val="single" w:sz="4" w:space="0" w:color="000000"/>
              <w:left w:val="single" w:sz="4" w:space="0" w:color="000000"/>
              <w:bottom w:val="single" w:sz="4" w:space="0" w:color="000000"/>
              <w:right w:val="single" w:sz="13" w:space="0" w:color="FFFFFF"/>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4" w:right="0"/>
              <w:jc w:val="both"/>
              <w:rPr>
                <w:rFonts w:ascii="宋体" w:hAnsi="宋体" w:cs="宋体" w:eastAsia="宋体" w:hint="default"/>
                <w:sz w:val="18"/>
                <w:szCs w:val="18"/>
              </w:rPr>
            </w:pPr>
            <w:r>
              <w:rPr>
                <w:rFonts w:ascii="宋体" w:hAnsi="宋体" w:cs="宋体" w:eastAsia="宋体" w:hint="default"/>
                <w:sz w:val="18"/>
                <w:szCs w:val="18"/>
              </w:rPr>
              <w:t>财政部于</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pacing w:val="-4"/>
                <w:sz w:val="18"/>
                <w:szCs w:val="18"/>
              </w:rPr>
              <w:t>年陆续颁布了《企</w:t>
            </w:r>
          </w:p>
          <w:p>
            <w:pPr>
              <w:pStyle w:val="TableParagraph"/>
              <w:spacing w:line="300" w:lineRule="auto" w:before="63"/>
              <w:ind w:left="24" w:right="7"/>
              <w:jc w:val="both"/>
              <w:rPr>
                <w:rFonts w:ascii="宋体" w:hAnsi="宋体" w:cs="宋体" w:eastAsia="宋体" w:hint="default"/>
                <w:sz w:val="18"/>
                <w:szCs w:val="18"/>
              </w:rPr>
            </w:pPr>
            <w:r>
              <w:rPr>
                <w:rFonts w:ascii="宋体" w:hAnsi="宋体" w:cs="宋体" w:eastAsia="宋体" w:hint="default"/>
                <w:sz w:val="18"/>
                <w:szCs w:val="18"/>
              </w:rPr>
              <w:t>业会计准则第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金融工具确 </w:t>
            </w:r>
            <w:r>
              <w:rPr>
                <w:rFonts w:ascii="宋体" w:hAnsi="宋体" w:cs="宋体" w:eastAsia="宋体" w:hint="default"/>
                <w:spacing w:val="-13"/>
                <w:sz w:val="18"/>
                <w:szCs w:val="18"/>
              </w:rPr>
              <w:t>认和计量）（</w:t>
            </w:r>
            <w:r>
              <w:rPr>
                <w:rFonts w:ascii="Times New Roman" w:hAnsi="Times New Roman" w:cs="Times New Roman" w:eastAsia="Times New Roman" w:hint="default"/>
                <w:spacing w:val="-13"/>
                <w:sz w:val="18"/>
                <w:szCs w:val="18"/>
              </w:rPr>
              <w:t>2017</w:t>
            </w:r>
            <w:r>
              <w:rPr>
                <w:rFonts w:ascii="Times New Roman" w:hAnsi="Times New Roman" w:cs="Times New Roman" w:eastAsia="Times New Roman" w:hint="default"/>
                <w:sz w:val="18"/>
                <w:szCs w:val="18"/>
              </w:rPr>
              <w:t> </w:t>
            </w:r>
            <w:r>
              <w:rPr>
                <w:rFonts w:ascii="宋体" w:hAnsi="宋体" w:cs="宋体" w:eastAsia="宋体" w:hint="default"/>
                <w:spacing w:val="-28"/>
                <w:sz w:val="18"/>
                <w:szCs w:val="18"/>
              </w:rPr>
              <w:t>年修订）》（财会</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Times New Roman" w:hAnsi="Times New Roman" w:cs="Times New Roman" w:eastAsia="Times New Roman" w:hint="default"/>
                <w:spacing w:val="-1"/>
                <w:sz w:val="18"/>
                <w:szCs w:val="18"/>
              </w:rPr>
              <w:t>[2017]7</w:t>
            </w:r>
            <w:r>
              <w:rPr>
                <w:rFonts w:ascii="Times New Roman" w:hAnsi="Times New Roman" w:cs="Times New Roman" w:eastAsia="Times New Roman" w:hint="default"/>
                <w:spacing w:val="5"/>
                <w:sz w:val="18"/>
                <w:szCs w:val="18"/>
              </w:rPr>
              <w:t> </w:t>
            </w:r>
            <w:r>
              <w:rPr>
                <w:rFonts w:ascii="宋体" w:hAnsi="宋体" w:cs="宋体" w:eastAsia="宋体" w:hint="default"/>
                <w:spacing w:val="-22"/>
                <w:sz w:val="18"/>
                <w:szCs w:val="18"/>
              </w:rPr>
              <w:t>号）、《企业会计准则第</w:t>
            </w:r>
            <w:r>
              <w:rPr>
                <w:rFonts w:ascii="宋体" w:hAnsi="宋体" w:cs="宋体" w:eastAsia="宋体" w:hint="default"/>
                <w:spacing w:val="-41"/>
                <w:sz w:val="18"/>
                <w:szCs w:val="18"/>
              </w:rPr>
              <w:t> </w:t>
            </w:r>
            <w:r>
              <w:rPr>
                <w:rFonts w:ascii="Times New Roman" w:hAnsi="Times New Roman" w:cs="Times New Roman" w:eastAsia="Times New Roman" w:hint="default"/>
                <w:spacing w:val="1"/>
                <w:sz w:val="18"/>
                <w:szCs w:val="18"/>
              </w:rPr>
              <w:t>23</w:t>
            </w:r>
            <w:r>
              <w:rPr>
                <w:rFonts w:ascii="Times New Roman" w:hAnsi="Times New Roman" w:cs="Times New Roman" w:eastAsia="Times New Roman" w:hint="default"/>
                <w:spacing w:val="-43"/>
                <w:sz w:val="18"/>
                <w:szCs w:val="18"/>
              </w:rPr>
              <w:t> </w:t>
            </w:r>
            <w:r>
              <w:rPr>
                <w:rFonts w:ascii="宋体" w:hAnsi="宋体" w:cs="宋体" w:eastAsia="宋体" w:hint="default"/>
                <w:spacing w:val="-7"/>
                <w:sz w:val="18"/>
                <w:szCs w:val="18"/>
              </w:rPr>
              <w:t>号</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金融资产转移（</w:t>
            </w:r>
            <w:r>
              <w:rPr>
                <w:rFonts w:ascii="Times New Roman" w:hAnsi="Times New Roman" w:cs="Times New Roman" w:eastAsia="Times New Roman" w:hint="default"/>
                <w:spacing w:val="-7"/>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pacing w:val="-24"/>
                <w:sz w:val="18"/>
                <w:szCs w:val="18"/>
              </w:rPr>
              <w:t>年修订）</w:t>
            </w:r>
            <w:r>
              <w:rPr>
                <w:rFonts w:ascii="宋体" w:hAnsi="宋体" w:cs="宋体" w:eastAsia="宋体" w:hint="default"/>
                <w:sz w:val="18"/>
                <w:szCs w:val="18"/>
              </w:rPr>
            </w:r>
          </w:p>
          <w:p>
            <w:pPr>
              <w:pStyle w:val="TableParagraph"/>
              <w:spacing w:line="300" w:lineRule="auto" w:before="13"/>
              <w:ind w:left="24" w:right="11"/>
              <w:jc w:val="both"/>
              <w:rPr>
                <w:rFonts w:ascii="宋体" w:hAnsi="宋体" w:cs="宋体" w:eastAsia="宋体" w:hint="default"/>
                <w:sz w:val="18"/>
                <w:szCs w:val="18"/>
              </w:rPr>
            </w:pPr>
            <w:r>
              <w:rPr>
                <w:rFonts w:ascii="宋体" w:hAnsi="宋体" w:cs="宋体" w:eastAsia="宋体" w:hint="default"/>
                <w:spacing w:val="-1"/>
                <w:sz w:val="18"/>
                <w:szCs w:val="18"/>
              </w:rPr>
              <w:t>（财会</w:t>
            </w:r>
            <w:r>
              <w:rPr>
                <w:rFonts w:ascii="Times New Roman" w:hAnsi="Times New Roman" w:cs="Times New Roman" w:eastAsia="Times New Roman" w:hint="default"/>
                <w:spacing w:val="-1"/>
                <w:sz w:val="18"/>
                <w:szCs w:val="18"/>
              </w:rPr>
              <w:t>[2017]8</w:t>
            </w:r>
            <w:r>
              <w:rPr>
                <w:rFonts w:ascii="Times New Roman" w:hAnsi="Times New Roman" w:cs="Times New Roman" w:eastAsia="Times New Roman" w:hint="default"/>
                <w:sz w:val="18"/>
                <w:szCs w:val="18"/>
              </w:rPr>
              <w:t> </w:t>
            </w:r>
            <w:r>
              <w:rPr>
                <w:rFonts w:ascii="宋体" w:hAnsi="宋体" w:cs="宋体" w:eastAsia="宋体" w:hint="default"/>
                <w:spacing w:val="-22"/>
                <w:sz w:val="18"/>
                <w:szCs w:val="18"/>
              </w:rPr>
              <w:t>号）、《企业会计准</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则第</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套期会计（</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pacing w:val="-3"/>
                <w:sz w:val="18"/>
                <w:szCs w:val="18"/>
              </w:rPr>
              <w:t>年修 </w:t>
            </w:r>
            <w:r>
              <w:rPr>
                <w:rFonts w:ascii="宋体" w:hAnsi="宋体" w:cs="宋体" w:eastAsia="宋体" w:hint="default"/>
                <w:spacing w:val="-15"/>
                <w:sz w:val="18"/>
                <w:szCs w:val="18"/>
              </w:rPr>
              <w:t>订）》（财会</w:t>
            </w:r>
            <w:r>
              <w:rPr>
                <w:rFonts w:ascii="Times New Roman" w:hAnsi="Times New Roman" w:cs="Times New Roman" w:eastAsia="Times New Roman" w:hint="default"/>
                <w:spacing w:val="-15"/>
                <w:sz w:val="18"/>
                <w:szCs w:val="18"/>
              </w:rPr>
              <w:t>[2017]9</w:t>
            </w:r>
            <w:r>
              <w:rPr>
                <w:rFonts w:ascii="Times New Roman" w:hAnsi="Times New Roman" w:cs="Times New Roman" w:eastAsia="Times New Roman" w:hint="default"/>
                <w:sz w:val="18"/>
                <w:szCs w:val="18"/>
              </w:rPr>
              <w:t> </w:t>
            </w:r>
            <w:r>
              <w:rPr>
                <w:rFonts w:ascii="宋体" w:hAnsi="宋体" w:cs="宋体" w:eastAsia="宋体" w:hint="default"/>
                <w:spacing w:val="-2"/>
                <w:sz w:val="18"/>
                <w:szCs w:val="18"/>
              </w:rPr>
              <w:t>号）及《企业</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会计准则第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37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金融工具列报</w:t>
            </w:r>
          </w:p>
          <w:p>
            <w:pPr>
              <w:pStyle w:val="TableParagraph"/>
              <w:spacing w:line="300" w:lineRule="auto" w:before="13"/>
              <w:ind w:left="24" w:right="11"/>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pacing w:val="-12"/>
                <w:sz w:val="18"/>
                <w:szCs w:val="18"/>
              </w:rPr>
              <w:t>年修订）》（财会</w:t>
            </w:r>
            <w:r>
              <w:rPr>
                <w:rFonts w:ascii="Times New Roman" w:hAnsi="Times New Roman" w:cs="Times New Roman" w:eastAsia="Times New Roman" w:hint="default"/>
                <w:spacing w:val="-12"/>
                <w:sz w:val="18"/>
                <w:szCs w:val="18"/>
              </w:rPr>
              <w:t>[2017]14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号）四项具体会计准则（统称</w:t>
            </w:r>
            <w:r>
              <w:rPr>
                <w:rFonts w:ascii="Times New Roman" w:hAnsi="Times New Roman" w:cs="Times New Roman" w:eastAsia="Times New Roman" w:hint="default"/>
                <w:sz w:val="18"/>
                <w:szCs w:val="18"/>
              </w:rPr>
              <w:t>"</w:t>
            </w:r>
            <w:r>
              <w:rPr>
                <w:rFonts w:ascii="宋体" w:hAnsi="宋体" w:cs="宋体" w:eastAsia="宋体" w:hint="default"/>
                <w:sz w:val="18"/>
                <w:szCs w:val="18"/>
              </w:rPr>
              <w:t>新 </w:t>
            </w:r>
            <w:r>
              <w:rPr>
                <w:rFonts w:ascii="宋体" w:hAnsi="宋体" w:cs="宋体" w:eastAsia="宋体" w:hint="default"/>
                <w:spacing w:val="-7"/>
                <w:w w:val="99"/>
                <w:sz w:val="18"/>
                <w:szCs w:val="18"/>
              </w:rPr>
              <w:t>金融工具准则</w:t>
            </w:r>
            <w:r>
              <w:rPr>
                <w:rFonts w:ascii="Times New Roman" w:hAnsi="Times New Roman" w:cs="Times New Roman" w:eastAsia="Times New Roman" w:hint="default"/>
                <w:spacing w:val="-7"/>
                <w:w w:val="99"/>
                <w:sz w:val="18"/>
                <w:szCs w:val="18"/>
              </w:rPr>
              <w:t>"</w:t>
            </w:r>
            <w:r>
              <w:rPr>
                <w:rFonts w:ascii="宋体" w:hAnsi="宋体" w:cs="宋体" w:eastAsia="宋体" w:hint="default"/>
                <w:spacing w:val="-7"/>
                <w:w w:val="99"/>
                <w:sz w:val="18"/>
                <w:szCs w:val="18"/>
              </w:rPr>
              <w:t>）。境内上市公司</w:t>
            </w:r>
            <w:r>
              <w:rPr>
                <w:rFonts w:ascii="宋体" w:hAnsi="宋体" w:cs="宋体" w:eastAsia="宋体" w:hint="default"/>
                <w:spacing w:val="-77"/>
                <w:w w:val="99"/>
                <w:sz w:val="18"/>
                <w:szCs w:val="18"/>
              </w:rPr>
              <w:t> </w:t>
            </w:r>
            <w:r>
              <w:rPr>
                <w:rFonts w:ascii="宋体" w:hAnsi="宋体" w:cs="宋体" w:eastAsia="宋体" w:hint="default"/>
                <w:spacing w:val="-77"/>
                <w:w w:val="99"/>
                <w:sz w:val="18"/>
                <w:szCs w:val="18"/>
              </w:rPr>
            </w: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日起执行新金融 工具准则。</w:t>
            </w:r>
          </w:p>
        </w:tc>
        <w:tc>
          <w:tcPr>
            <w:tcW w:w="1274"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1"/>
                <w:szCs w:val="21"/>
              </w:rPr>
            </w:pPr>
          </w:p>
          <w:p>
            <w:pPr>
              <w:pStyle w:val="TableParagraph"/>
              <w:spacing w:line="196" w:lineRule="exact"/>
              <w:ind w:left="-137"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09" w:lineRule="exact"/>
              <w:ind w:left="11" w:right="0"/>
              <w:jc w:val="both"/>
              <w:rPr>
                <w:rFonts w:ascii="宋体" w:hAnsi="宋体" w:cs="宋体" w:eastAsia="宋体" w:hint="default"/>
                <w:sz w:val="18"/>
                <w:szCs w:val="18"/>
              </w:rPr>
            </w:pPr>
            <w:r>
              <w:rPr>
                <w:rFonts w:ascii="宋体" w:hAnsi="宋体" w:cs="宋体" w:eastAsia="宋体" w:hint="default"/>
                <w:sz w:val="18"/>
                <w:szCs w:val="18"/>
              </w:rPr>
              <w:t>经公司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312" w:lineRule="auto" w:before="63"/>
              <w:ind w:left="11" w:right="110"/>
              <w:jc w:val="both"/>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 </w:t>
            </w:r>
            <w:r>
              <w:rPr>
                <w:rFonts w:ascii="宋体" w:hAnsi="宋体" w:cs="宋体" w:eastAsia="宋体" w:hint="default"/>
                <w:sz w:val="18"/>
                <w:szCs w:val="18"/>
              </w:rPr>
              <w:t>日召开 的第四届董事 会第五次会议 审议通过</w:t>
            </w:r>
          </w:p>
        </w:tc>
        <w:tc>
          <w:tcPr>
            <w:tcW w:w="5650"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3"/>
              <w:ind w:left="23" w:right="19"/>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、以企业持有金融资产的</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业务模式</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和</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金融资产合同现金流量特征</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作</w:t>
            </w:r>
            <w:r>
              <w:rPr>
                <w:rFonts w:ascii="宋体" w:hAnsi="宋体" w:cs="宋体" w:eastAsia="宋体" w:hint="default"/>
                <w:spacing w:val="-72"/>
                <w:sz w:val="18"/>
                <w:szCs w:val="18"/>
              </w:rPr>
              <w:t> </w:t>
            </w:r>
            <w:r>
              <w:rPr>
                <w:rFonts w:ascii="宋体" w:hAnsi="宋体" w:cs="宋体" w:eastAsia="宋体" w:hint="default"/>
                <w:spacing w:val="-2"/>
                <w:sz w:val="18"/>
                <w:szCs w:val="18"/>
              </w:rPr>
              <w:t>为金融资产分类的判断依据，将金融资产分类为</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以摊余成本计量的金融</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资产</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宋体" w:hAnsi="宋体" w:cs="宋体" w:eastAsia="宋体" w:hint="default"/>
                <w:spacing w:val="-14"/>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以公允价值计量且其变动计入其他综合收益的金融资产</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以 公允价值计量且其变动计入当期损益的金融资产</w:t>
            </w:r>
            <w:r>
              <w:rPr>
                <w:rFonts w:ascii="Times New Roman" w:hAnsi="Times New Roman" w:cs="Times New Roman" w:eastAsia="Times New Roman" w:hint="default"/>
                <w:sz w:val="18"/>
                <w:szCs w:val="18"/>
              </w:rPr>
              <w:t>"</w:t>
            </w:r>
            <w:r>
              <w:rPr>
                <w:rFonts w:ascii="宋体" w:hAnsi="宋体" w:cs="宋体" w:eastAsia="宋体" w:hint="default"/>
                <w:sz w:val="18"/>
                <w:szCs w:val="18"/>
              </w:rPr>
              <w:t>三类。</w:t>
            </w:r>
            <w:r>
              <w:rPr>
                <w:rFonts w:ascii="Times New Roman" w:hAnsi="Times New Roman" w:cs="Times New Roman" w:eastAsia="Times New Roman" w:hint="default"/>
                <w:sz w:val="18"/>
                <w:szCs w:val="18"/>
              </w:rPr>
              <w:t>2</w:t>
            </w:r>
            <w:r>
              <w:rPr>
                <w:rFonts w:ascii="宋体" w:hAnsi="宋体" w:cs="宋体" w:eastAsia="宋体" w:hint="default"/>
                <w:sz w:val="18"/>
                <w:szCs w:val="18"/>
              </w:rPr>
              <w:t>、调整了非交 易性权益工具投资的会计处理。允许企业将非交易性权益工具投资指定 为以公允价值计量且其变动计入其他综合收益进行处理，但该指定不可 撤销，且在处置时应将之前已计入其他综合收益的累计利得或损失转入 留存收益，不得结转计入当期损益。</w:t>
            </w:r>
            <w:r>
              <w:rPr>
                <w:rFonts w:ascii="Times New Roman" w:hAnsi="Times New Roman" w:cs="Times New Roman" w:eastAsia="Times New Roman" w:hint="default"/>
                <w:sz w:val="18"/>
                <w:szCs w:val="18"/>
              </w:rPr>
              <w:t>3</w:t>
            </w:r>
            <w:r>
              <w:rPr>
                <w:rFonts w:ascii="宋体" w:hAnsi="宋体" w:cs="宋体" w:eastAsia="宋体" w:hint="default"/>
                <w:sz w:val="18"/>
                <w:szCs w:val="18"/>
              </w:rPr>
              <w:t>、金融资产减值会计处理由</w:t>
            </w:r>
            <w:r>
              <w:rPr>
                <w:rFonts w:ascii="Times New Roman" w:hAnsi="Times New Roman" w:cs="Times New Roman" w:eastAsia="Times New Roman" w:hint="default"/>
                <w:sz w:val="18"/>
                <w:szCs w:val="18"/>
              </w:rPr>
              <w:t>"</w:t>
            </w:r>
            <w:r>
              <w:rPr>
                <w:rFonts w:ascii="宋体" w:hAnsi="宋体" w:cs="宋体" w:eastAsia="宋体" w:hint="default"/>
                <w:sz w:val="18"/>
                <w:szCs w:val="18"/>
              </w:rPr>
              <w:t>已发 生损失法</w:t>
            </w:r>
            <w:r>
              <w:rPr>
                <w:rFonts w:ascii="Times New Roman" w:hAnsi="Times New Roman" w:cs="Times New Roman" w:eastAsia="Times New Roman" w:hint="default"/>
                <w:sz w:val="18"/>
                <w:szCs w:val="18"/>
              </w:rPr>
              <w:t>"</w:t>
            </w:r>
            <w:r>
              <w:rPr>
                <w:rFonts w:ascii="宋体" w:hAnsi="宋体" w:cs="宋体" w:eastAsia="宋体" w:hint="default"/>
                <w:sz w:val="18"/>
                <w:szCs w:val="18"/>
              </w:rPr>
              <w:t>改为</w:t>
            </w:r>
            <w:r>
              <w:rPr>
                <w:rFonts w:ascii="Times New Roman" w:hAnsi="Times New Roman" w:cs="Times New Roman" w:eastAsia="Times New Roman" w:hint="default"/>
                <w:sz w:val="18"/>
                <w:szCs w:val="18"/>
              </w:rPr>
              <w:t>"</w:t>
            </w:r>
            <w:r>
              <w:rPr>
                <w:rFonts w:ascii="宋体" w:hAnsi="宋体" w:cs="宋体" w:eastAsia="宋体" w:hint="default"/>
                <w:sz w:val="18"/>
                <w:szCs w:val="18"/>
              </w:rPr>
              <w:t>预期损失法</w:t>
            </w:r>
            <w:r>
              <w:rPr>
                <w:rFonts w:ascii="Times New Roman" w:hAnsi="Times New Roman" w:cs="Times New Roman" w:eastAsia="Times New Roman" w:hint="default"/>
                <w:sz w:val="18"/>
                <w:szCs w:val="18"/>
              </w:rPr>
              <w:t>"</w:t>
            </w:r>
            <w:r>
              <w:rPr>
                <w:rFonts w:ascii="宋体" w:hAnsi="宋体" w:cs="宋体" w:eastAsia="宋体" w:hint="default"/>
                <w:sz w:val="18"/>
                <w:szCs w:val="18"/>
              </w:rPr>
              <w:t>，要求考虑金融资产未来预期信用损失情 </w:t>
            </w:r>
            <w:r>
              <w:rPr>
                <w:rFonts w:ascii="宋体" w:hAnsi="宋体" w:cs="宋体" w:eastAsia="宋体" w:hint="default"/>
                <w:spacing w:val="-3"/>
                <w:sz w:val="18"/>
                <w:szCs w:val="18"/>
              </w:rPr>
              <w:t>况，从而更加及时、足额地计提金融资产减值准备。</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、进一步明确金融</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3"/>
                <w:sz w:val="18"/>
                <w:szCs w:val="18"/>
              </w:rPr>
              <w:t>资产转移的判断原则及其会计处理。</w:t>
            </w: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、修订套期会计相关规定，使套期</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会计更加如实地反映企业的风险管理活动。根据新金融准则衔接规定要 求，公司对上年同期比较报表不进行追溯调整，新旧准则转换累计影响 结果仅对期初留存收益或其他综合收益进行调整。执行上述新金融准则 不会对公司财务报表产生重大影响。</w:t>
            </w:r>
          </w:p>
        </w:tc>
      </w:tr>
    </w:tbl>
    <w:p>
      <w:pPr>
        <w:spacing w:after="0" w:line="307"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0"/>
          <w:szCs w:val="20"/>
        </w:rPr>
      </w:pPr>
    </w:p>
    <w:p>
      <w:pPr>
        <w:spacing w:before="44"/>
        <w:ind w:left="0" w:right="1135" w:firstLine="0"/>
        <w:jc w:val="right"/>
        <w:rPr>
          <w:rFonts w:ascii="宋体" w:hAnsi="宋体" w:cs="宋体" w:eastAsia="宋体" w:hint="default"/>
          <w:sz w:val="18"/>
          <w:szCs w:val="18"/>
        </w:rPr>
      </w:pPr>
      <w:r>
        <w:rPr/>
        <w:pict>
          <v:shape style="position:absolute;margin-left:56.400002pt;margin-top:-125.529289pt;width:479.2pt;height:450.85pt;mso-position-horizontal-relative:page;mso-position-vertical-relative:paragraph;z-index:212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645"/>
                    <w:gridCol w:w="1274"/>
                    <w:gridCol w:w="5650"/>
                  </w:tblGrid>
                  <w:tr>
                    <w:trPr>
                      <w:trHeight w:val="4457" w:hRule="exact"/>
                    </w:trPr>
                    <w:tc>
                      <w:tcPr>
                        <w:tcW w:w="2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财政部于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日发布</w:t>
                        </w:r>
                      </w:p>
                      <w:p>
                        <w:pPr>
                          <w:pStyle w:val="TableParagraph"/>
                          <w:spacing w:line="309" w:lineRule="auto" w:before="63"/>
                          <w:ind w:left="24" w:right="24"/>
                          <w:jc w:val="left"/>
                          <w:rPr>
                            <w:rFonts w:ascii="宋体" w:hAnsi="宋体" w:cs="宋体" w:eastAsia="宋体" w:hint="default"/>
                            <w:sz w:val="18"/>
                            <w:szCs w:val="18"/>
                          </w:rPr>
                        </w:pPr>
                        <w:r>
                          <w:rPr>
                            <w:rFonts w:ascii="宋体" w:hAnsi="宋体" w:cs="宋体" w:eastAsia="宋体" w:hint="default"/>
                            <w:sz w:val="18"/>
                            <w:szCs w:val="18"/>
                          </w:rPr>
                          <w:t>《关于修订印发</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年度一般企</w:t>
                        </w:r>
                        <w:r>
                          <w:rPr>
                            <w:rFonts w:ascii="宋体" w:hAnsi="宋体" w:cs="宋体" w:eastAsia="宋体" w:hint="default"/>
                            <w:spacing w:val="-3"/>
                            <w:sz w:val="18"/>
                            <w:szCs w:val="18"/>
                          </w:rPr>
                          <w:t> </w:t>
                        </w:r>
                        <w:r>
                          <w:rPr>
                            <w:rFonts w:ascii="宋体" w:hAnsi="宋体" w:cs="宋体" w:eastAsia="宋体" w:hint="default"/>
                            <w:spacing w:val="-7"/>
                            <w:sz w:val="18"/>
                            <w:szCs w:val="18"/>
                          </w:rPr>
                          <w:t>业财务报表格式的通知》（财会</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Times New Roman" w:hAnsi="Times New Roman" w:cs="Times New Roman" w:eastAsia="Times New Roman" w:hint="default"/>
                            <w:spacing w:val="-1"/>
                            <w:sz w:val="18"/>
                            <w:szCs w:val="18"/>
                          </w:rPr>
                          <w:t>[2019]6</w:t>
                        </w:r>
                        <w:r>
                          <w:rPr>
                            <w:rFonts w:ascii="Times New Roman" w:hAnsi="Times New Roman" w:cs="Times New Roman" w:eastAsia="Times New Roman" w:hint="default"/>
                            <w:spacing w:val="13"/>
                            <w:sz w:val="18"/>
                            <w:szCs w:val="18"/>
                          </w:rPr>
                          <w:t> </w:t>
                        </w:r>
                        <w:r>
                          <w:rPr>
                            <w:rFonts w:ascii="宋体" w:hAnsi="宋体" w:cs="宋体" w:eastAsia="宋体" w:hint="default"/>
                            <w:spacing w:val="-9"/>
                            <w:sz w:val="18"/>
                            <w:szCs w:val="18"/>
                          </w:rPr>
                          <w:t>号），适用于执行企业会</w:t>
                        </w:r>
                      </w:p>
                      <w:p>
                        <w:pPr>
                          <w:pStyle w:val="TableParagraph"/>
                          <w:spacing w:line="309" w:lineRule="auto" w:before="5"/>
                          <w:ind w:left="24" w:right="89"/>
                          <w:jc w:val="both"/>
                          <w:rPr>
                            <w:rFonts w:ascii="宋体" w:hAnsi="宋体" w:cs="宋体" w:eastAsia="宋体" w:hint="default"/>
                            <w:sz w:val="18"/>
                            <w:szCs w:val="18"/>
                          </w:rPr>
                        </w:pPr>
                        <w:r>
                          <w:rPr>
                            <w:rFonts w:ascii="宋体" w:hAnsi="宋体" w:cs="宋体" w:eastAsia="宋体" w:hint="default"/>
                            <w:sz w:val="18"/>
                            <w:szCs w:val="18"/>
                          </w:rPr>
                          <w:t>计准则的非金融企业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年度 </w:t>
                        </w:r>
                        <w:r>
                          <w:rPr>
                            <w:rFonts w:ascii="宋体" w:hAnsi="宋体" w:cs="宋体" w:eastAsia="宋体" w:hint="default"/>
                            <w:sz w:val="18"/>
                            <w:szCs w:val="18"/>
                          </w:rPr>
                          <w:t>中期财务报表和年度财务报表及</w:t>
                        </w:r>
                        <w:r>
                          <w:rPr>
                            <w:rFonts w:ascii="宋体" w:hAnsi="宋体" w:cs="宋体" w:eastAsia="宋体" w:hint="default"/>
                            <w:sz w:val="18"/>
                            <w:szCs w:val="18"/>
                          </w:rPr>
                          <w:t> 以后期间的财务报表。</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23" w:right="0"/>
                          <w:jc w:val="both"/>
                          <w:rPr>
                            <w:rFonts w:ascii="宋体" w:hAnsi="宋体" w:cs="宋体" w:eastAsia="宋体" w:hint="default"/>
                            <w:sz w:val="18"/>
                            <w:szCs w:val="18"/>
                          </w:rPr>
                        </w:pPr>
                        <w:r>
                          <w:rPr>
                            <w:rFonts w:ascii="宋体" w:hAnsi="宋体" w:cs="宋体" w:eastAsia="宋体" w:hint="default"/>
                            <w:sz w:val="18"/>
                            <w:szCs w:val="18"/>
                          </w:rPr>
                          <w:t>经公司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314" w:lineRule="auto" w:before="63"/>
                          <w:ind w:left="23" w:right="110"/>
                          <w:jc w:val="both"/>
                          <w:rPr>
                            <w:rFonts w:ascii="宋体" w:hAnsi="宋体" w:cs="宋体" w:eastAsia="宋体" w:hint="default"/>
                            <w:sz w:val="18"/>
                            <w:szCs w:val="18"/>
                          </w:rPr>
                        </w:pP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日召开 的第四届董事 会第十一次会 议和第四届监 事会第十次会 议审议通过。</w:t>
                        </w:r>
                      </w:p>
                    </w:tc>
                    <w:tc>
                      <w:tcPr>
                        <w:tcW w:w="5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根据《关于修订印发</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3"/>
                            <w:sz w:val="18"/>
                            <w:szCs w:val="18"/>
                          </w:rPr>
                          <w:t>度</w:t>
                        </w:r>
                        <w:r>
                          <w:rPr>
                            <w:rFonts w:ascii="宋体" w:hAnsi="宋体" w:cs="宋体" w:eastAsia="宋体" w:hint="default"/>
                            <w:sz w:val="18"/>
                            <w:szCs w:val="18"/>
                          </w:rPr>
                          <w:t>一般企业财务报表格式的通知</w:t>
                        </w:r>
                        <w:r>
                          <w:rPr>
                            <w:rFonts w:ascii="宋体" w:hAnsi="宋体" w:cs="宋体" w:eastAsia="宋体" w:hint="default"/>
                            <w:spacing w:val="-89"/>
                            <w:sz w:val="18"/>
                            <w:szCs w:val="18"/>
                          </w:rPr>
                          <w:t>》</w:t>
                        </w:r>
                        <w:r>
                          <w:rPr>
                            <w:rFonts w:ascii="宋体" w:hAnsi="宋体" w:cs="宋体" w:eastAsia="宋体" w:hint="default"/>
                            <w:sz w:val="18"/>
                            <w:szCs w:val="18"/>
                          </w:rPr>
                          <w:t>（财会</w:t>
                        </w:r>
                      </w:p>
                      <w:p>
                        <w:pPr>
                          <w:pStyle w:val="TableParagraph"/>
                          <w:spacing w:line="302" w:lineRule="auto" w:before="63"/>
                          <w:ind w:left="23" w:right="19"/>
                          <w:jc w:val="left"/>
                          <w:rPr>
                            <w:rFonts w:ascii="宋体" w:hAnsi="宋体" w:cs="宋体" w:eastAsia="宋体" w:hint="default"/>
                            <w:sz w:val="18"/>
                            <w:szCs w:val="18"/>
                          </w:rPr>
                        </w:pPr>
                        <w:r>
                          <w:rPr>
                            <w:rFonts w:ascii="Times New Roman" w:hAnsi="Times New Roman" w:cs="Times New Roman" w:eastAsia="Times New Roman" w:hint="default"/>
                            <w:sz w:val="18"/>
                            <w:szCs w:val="18"/>
                          </w:rPr>
                          <w:t>[2019]6</w:t>
                        </w:r>
                        <w:r>
                          <w:rPr>
                            <w:rFonts w:ascii="Times New Roman" w:hAnsi="Times New Roman" w:cs="Times New Roman" w:eastAsia="Times New Roman" w:hint="default"/>
                            <w:spacing w:val="12"/>
                            <w:sz w:val="18"/>
                            <w:szCs w:val="18"/>
                          </w:rPr>
                          <w:t> </w:t>
                        </w:r>
                        <w:r>
                          <w:rPr>
                            <w:rFonts w:ascii="宋体" w:hAnsi="宋体" w:cs="宋体" w:eastAsia="宋体" w:hint="default"/>
                            <w:spacing w:val="-3"/>
                            <w:sz w:val="18"/>
                            <w:szCs w:val="18"/>
                          </w:rPr>
                          <w:t>号）相关要求，公司将对财务报表相关项目进行列报调整，并对</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3"/>
                            <w:sz w:val="18"/>
                            <w:szCs w:val="18"/>
                          </w:rPr>
                          <w:t>可比会计期间的比较数据相应进行调整，具体情况如下：</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、资产负债表</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中</w:t>
                        </w:r>
                        <w:r>
                          <w:rPr>
                            <w:rFonts w:ascii="Times New Roman" w:hAnsi="Times New Roman" w:cs="Times New Roman" w:eastAsia="Times New Roman" w:hint="default"/>
                            <w:sz w:val="18"/>
                            <w:szCs w:val="18"/>
                          </w:rPr>
                          <w:t>"</w:t>
                        </w:r>
                        <w:r>
                          <w:rPr>
                            <w:rFonts w:ascii="宋体" w:hAnsi="宋体" w:cs="宋体" w:eastAsia="宋体" w:hint="default"/>
                            <w:sz w:val="18"/>
                            <w:szCs w:val="18"/>
                          </w:rPr>
                          <w:t>应收票据及应收账款</w:t>
                        </w:r>
                        <w:r>
                          <w:rPr>
                            <w:rFonts w:ascii="Times New Roman" w:hAnsi="Times New Roman" w:cs="Times New Roman" w:eastAsia="Times New Roman" w:hint="default"/>
                            <w:sz w:val="18"/>
                            <w:szCs w:val="18"/>
                          </w:rPr>
                          <w:t>"</w:t>
                        </w:r>
                        <w:r>
                          <w:rPr>
                            <w:rFonts w:ascii="宋体" w:hAnsi="宋体" w:cs="宋体" w:eastAsia="宋体" w:hint="default"/>
                            <w:sz w:val="18"/>
                            <w:szCs w:val="18"/>
                          </w:rPr>
                          <w:t>项目分拆为</w:t>
                        </w:r>
                        <w:r>
                          <w:rPr>
                            <w:rFonts w:ascii="Times New Roman" w:hAnsi="Times New Roman" w:cs="Times New Roman" w:eastAsia="Times New Roman" w:hint="default"/>
                            <w:sz w:val="18"/>
                            <w:szCs w:val="18"/>
                          </w:rPr>
                          <w:t>"</w:t>
                        </w:r>
                        <w:r>
                          <w:rPr>
                            <w:rFonts w:ascii="宋体" w:hAnsi="宋体" w:cs="宋体" w:eastAsia="宋体" w:hint="default"/>
                            <w:sz w:val="18"/>
                            <w:szCs w:val="18"/>
                          </w:rPr>
                          <w:t>应收票据</w:t>
                        </w:r>
                        <w:r>
                          <w:rPr>
                            <w:rFonts w:ascii="Times New Roman" w:hAnsi="Times New Roman" w:cs="Times New Roman" w:eastAsia="Times New Roman" w:hint="default"/>
                            <w:sz w:val="18"/>
                            <w:szCs w:val="18"/>
                          </w:rPr>
                          <w:t>"</w:t>
                        </w:r>
                        <w:r>
                          <w:rPr>
                            <w:rFonts w:ascii="宋体" w:hAnsi="宋体" w:cs="宋体" w:eastAsia="宋体" w:hint="default"/>
                            <w:sz w:val="18"/>
                            <w:szCs w:val="18"/>
                          </w:rPr>
                          <w:t>及</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应收账款</w:t>
                        </w:r>
                        <w:r>
                          <w:rPr>
                            <w:rFonts w:ascii="Times New Roman" w:hAnsi="Times New Roman" w:cs="Times New Roman" w:eastAsia="Times New Roman" w:hint="default"/>
                            <w:sz w:val="18"/>
                            <w:szCs w:val="18"/>
                          </w:rPr>
                          <w:t>"</w:t>
                        </w:r>
                        <w:r>
                          <w:rPr>
                            <w:rFonts w:ascii="宋体" w:hAnsi="宋体" w:cs="宋体" w:eastAsia="宋体" w:hint="default"/>
                            <w:sz w:val="18"/>
                            <w:szCs w:val="18"/>
                          </w:rPr>
                          <w:t>两个项 目；</w:t>
                        </w:r>
                        <w:r>
                          <w:rPr>
                            <w:rFonts w:ascii="Times New Roman" w:hAnsi="Times New Roman" w:cs="Times New Roman" w:eastAsia="Times New Roman" w:hint="default"/>
                            <w:sz w:val="18"/>
                            <w:szCs w:val="18"/>
                          </w:rPr>
                          <w:t>"</w:t>
                        </w:r>
                        <w:r>
                          <w:rPr>
                            <w:rFonts w:ascii="宋体" w:hAnsi="宋体" w:cs="宋体" w:eastAsia="宋体" w:hint="default"/>
                            <w:sz w:val="18"/>
                            <w:szCs w:val="18"/>
                          </w:rPr>
                          <w:t>应付票据及应付账款</w:t>
                        </w:r>
                        <w:r>
                          <w:rPr>
                            <w:rFonts w:ascii="Times New Roman" w:hAnsi="Times New Roman" w:cs="Times New Roman" w:eastAsia="Times New Roman" w:hint="default"/>
                            <w:sz w:val="18"/>
                            <w:szCs w:val="18"/>
                          </w:rPr>
                          <w:t>"</w:t>
                        </w:r>
                        <w:r>
                          <w:rPr>
                            <w:rFonts w:ascii="宋体" w:hAnsi="宋体" w:cs="宋体" w:eastAsia="宋体" w:hint="default"/>
                            <w:sz w:val="18"/>
                            <w:szCs w:val="18"/>
                          </w:rPr>
                          <w:t>项目分拆为</w:t>
                        </w:r>
                        <w:r>
                          <w:rPr>
                            <w:rFonts w:ascii="Times New Roman" w:hAnsi="Times New Roman" w:cs="Times New Roman" w:eastAsia="Times New Roman" w:hint="default"/>
                            <w:sz w:val="18"/>
                            <w:szCs w:val="18"/>
                          </w:rPr>
                          <w:t>"</w:t>
                        </w:r>
                        <w:r>
                          <w:rPr>
                            <w:rFonts w:ascii="宋体" w:hAnsi="宋体" w:cs="宋体" w:eastAsia="宋体" w:hint="default"/>
                            <w:sz w:val="18"/>
                            <w:szCs w:val="18"/>
                          </w:rPr>
                          <w:t>应付票据</w:t>
                        </w:r>
                        <w:r>
                          <w:rPr>
                            <w:rFonts w:ascii="Times New Roman" w:hAnsi="Times New Roman" w:cs="Times New Roman" w:eastAsia="Times New Roman" w:hint="default"/>
                            <w:sz w:val="18"/>
                            <w:szCs w:val="18"/>
                          </w:rPr>
                          <w:t>"</w:t>
                        </w:r>
                        <w:r>
                          <w:rPr>
                            <w:rFonts w:ascii="宋体" w:hAnsi="宋体" w:cs="宋体" w:eastAsia="宋体" w:hint="default"/>
                            <w:sz w:val="18"/>
                            <w:szCs w:val="18"/>
                          </w:rPr>
                          <w:t>及</w:t>
                        </w:r>
                        <w:r>
                          <w:rPr>
                            <w:rFonts w:ascii="宋体" w:hAnsi="宋体" w:cs="宋体" w:eastAsia="宋体" w:hint="default"/>
                            <w:spacing w:val="-5"/>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应付账款</w:t>
                        </w:r>
                        <w:r>
                          <w:rPr>
                            <w:rFonts w:ascii="Times New Roman" w:hAnsi="Times New Roman" w:cs="Times New Roman" w:eastAsia="Times New Roman" w:hint="default"/>
                            <w:sz w:val="18"/>
                            <w:szCs w:val="18"/>
                          </w:rPr>
                          <w:t>"</w:t>
                        </w:r>
                        <w:r>
                          <w:rPr>
                            <w:rFonts w:ascii="宋体" w:hAnsi="宋体" w:cs="宋体" w:eastAsia="宋体" w:hint="default"/>
                            <w:sz w:val="18"/>
                            <w:szCs w:val="18"/>
                          </w:rPr>
                          <w:t>两个项 </w:t>
                        </w:r>
                        <w:r>
                          <w:rPr>
                            <w:rFonts w:ascii="宋体" w:hAnsi="宋体" w:cs="宋体" w:eastAsia="宋体" w:hint="default"/>
                            <w:spacing w:val="-2"/>
                            <w:sz w:val="18"/>
                            <w:szCs w:val="18"/>
                          </w:rPr>
                          <w:t>目。</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、资产负债表新增</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其他权益工具投资</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项目，反映资产负债表日企</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业指定为以公允价值计量且其变动计入其他综合收益的非交易性权益工 </w:t>
                        </w:r>
                        <w:r>
                          <w:rPr>
                            <w:rFonts w:ascii="宋体" w:hAnsi="宋体" w:cs="宋体" w:eastAsia="宋体" w:hint="default"/>
                            <w:spacing w:val="-2"/>
                            <w:sz w:val="18"/>
                            <w:szCs w:val="18"/>
                          </w:rPr>
                          <w:t>具投资的期末账面价值。</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、利润表新增</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信用减值损失</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项目，反映企业</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4"/>
                            <w:sz w:val="18"/>
                            <w:szCs w:val="18"/>
                          </w:rPr>
                          <w:t>按照《企业会计准则第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pacing w:val="-9"/>
                            <w:sz w:val="18"/>
                            <w:szCs w:val="18"/>
                          </w:rPr>
                          <w:t>号</w:t>
                        </w:r>
                        <w:r>
                          <w:rPr>
                            <w:rFonts w:ascii="Times New Roman" w:hAnsi="Times New Roman" w:cs="Times New Roman" w:eastAsia="Times New Roman" w:hint="default"/>
                            <w:spacing w:val="-9"/>
                            <w:sz w:val="18"/>
                            <w:szCs w:val="18"/>
                          </w:rPr>
                          <w:t>--</w:t>
                        </w:r>
                        <w:r>
                          <w:rPr>
                            <w:rFonts w:ascii="宋体" w:hAnsi="宋体" w:cs="宋体" w:eastAsia="宋体" w:hint="default"/>
                            <w:spacing w:val="-9"/>
                            <w:sz w:val="18"/>
                            <w:szCs w:val="18"/>
                          </w:rPr>
                          <w:t>金融工具确认和计量》（财会〔</w:t>
                        </w:r>
                        <w:r>
                          <w:rPr>
                            <w:rFonts w:ascii="Times New Roman" w:hAnsi="Times New Roman" w:cs="Times New Roman" w:eastAsia="Times New Roman" w:hint="default"/>
                            <w:spacing w:val="-9"/>
                            <w:sz w:val="18"/>
                            <w:szCs w:val="18"/>
                          </w:rPr>
                          <w:t>2017</w:t>
                        </w:r>
                        <w:r>
                          <w:rPr>
                            <w:rFonts w:ascii="宋体" w:hAnsi="宋体" w:cs="宋体" w:eastAsia="宋体" w:hint="default"/>
                            <w:spacing w:val="-9"/>
                            <w:sz w:val="18"/>
                            <w:szCs w:val="18"/>
                          </w:rPr>
                          <w:t>〕</w:t>
                        </w:r>
                        <w:r>
                          <w:rPr>
                            <w:rFonts w:ascii="Times New Roman" w:hAnsi="Times New Roman" w:cs="Times New Roman" w:eastAsia="Times New Roman" w:hint="default"/>
                            <w:spacing w:val="-9"/>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 </w:t>
                        </w:r>
                        <w:r>
                          <w:rPr>
                            <w:rFonts w:ascii="宋体" w:hAnsi="宋体" w:cs="宋体" w:eastAsia="宋体" w:hint="default"/>
                            <w:spacing w:val="-3"/>
                            <w:sz w:val="18"/>
                            <w:szCs w:val="18"/>
                          </w:rPr>
                          <w:t>要求计提的各项金融工具信用减值准备所确认的信用损失。</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、将利润表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减：资产减值损失</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调整为</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加：资产减值损失（损失以</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列示）</w:t>
                        </w: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、现</w:t>
                        </w:r>
                        <w:r>
                          <w:rPr>
                            <w:rFonts w:ascii="宋体" w:hAnsi="宋体" w:cs="宋体" w:eastAsia="宋体" w:hint="default"/>
                            <w:spacing w:val="-72"/>
                            <w:sz w:val="18"/>
                            <w:szCs w:val="18"/>
                          </w:rPr>
                          <w:t> </w:t>
                        </w:r>
                        <w:r>
                          <w:rPr>
                            <w:rFonts w:ascii="宋体" w:hAnsi="宋体" w:cs="宋体" w:eastAsia="宋体" w:hint="default"/>
                            <w:sz w:val="18"/>
                            <w:szCs w:val="18"/>
                          </w:rPr>
                          <w:t>金流量表明确了政府补助的填列口径，企业实际收到的政府补助，无论</w:t>
                        </w:r>
                        <w:r>
                          <w:rPr>
                            <w:rFonts w:ascii="宋体" w:hAnsi="宋体" w:cs="宋体" w:eastAsia="宋体" w:hint="default"/>
                            <w:sz w:val="18"/>
                            <w:szCs w:val="18"/>
                          </w:rPr>
                          <w:t> </w:t>
                        </w:r>
                        <w:r>
                          <w:rPr>
                            <w:rFonts w:ascii="宋体" w:hAnsi="宋体" w:cs="宋体" w:eastAsia="宋体" w:hint="default"/>
                            <w:spacing w:val="-2"/>
                            <w:sz w:val="18"/>
                            <w:szCs w:val="18"/>
                          </w:rPr>
                          <w:t>是与资产相关还是与收益相关，均在</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收到的其他与经营活动有关的现金</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Times New Roman" w:hAnsi="Times New Roman" w:cs="Times New Roman" w:eastAsia="Times New Roman" w:hint="default"/>
                            <w:sz w:val="18"/>
                            <w:szCs w:val="18"/>
                          </w:rPr>
                          <w:t>"</w:t>
                        </w:r>
                        <w:r>
                          <w:rPr>
                            <w:rFonts w:ascii="宋体" w:hAnsi="宋体" w:cs="宋体" w:eastAsia="宋体" w:hint="default"/>
                            <w:sz w:val="18"/>
                            <w:szCs w:val="18"/>
                          </w:rPr>
                          <w:t>项目填列。</w:t>
                        </w:r>
                      </w:p>
                    </w:tc>
                  </w:tr>
                  <w:tr>
                    <w:trPr>
                      <w:trHeight w:val="2275" w:hRule="exact"/>
                    </w:trPr>
                    <w:tc>
                      <w:tcPr>
                        <w:tcW w:w="2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财政部于</w:t>
                        </w:r>
                        <w:r>
                          <w:rPr>
                            <w:rFonts w:ascii="宋体" w:hAnsi="宋体" w:cs="宋体" w:eastAsia="宋体" w:hint="default"/>
                            <w:spacing w:val="-64"/>
                            <w:sz w:val="18"/>
                            <w:szCs w:val="18"/>
                          </w:rPr>
                          <w:t> </w:t>
                        </w:r>
                        <w:r>
                          <w:rPr>
                            <w:rFonts w:ascii="Times New Roman" w:hAnsi="Times New Roman" w:cs="Times New Roman" w:eastAsia="Times New Roman" w:hint="default"/>
                            <w:spacing w:val="1"/>
                            <w:sz w:val="18"/>
                            <w:szCs w:val="18"/>
                          </w:rPr>
                          <w:t>20</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月</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日发</w:t>
                        </w:r>
                        <w:r>
                          <w:rPr>
                            <w:rFonts w:ascii="宋体" w:hAnsi="宋体" w:cs="宋体" w:eastAsia="宋体" w:hint="default"/>
                            <w:spacing w:val="-92"/>
                            <w:sz w:val="18"/>
                            <w:szCs w:val="18"/>
                          </w:rPr>
                          <w:t>布</w:t>
                        </w:r>
                        <w:r>
                          <w:rPr>
                            <w:rFonts w:ascii="宋体" w:hAnsi="宋体" w:cs="宋体" w:eastAsia="宋体" w:hint="default"/>
                            <w:spacing w:val="-3"/>
                            <w:sz w:val="18"/>
                            <w:szCs w:val="18"/>
                          </w:rPr>
                          <w:t>《</w:t>
                        </w:r>
                        <w:r>
                          <w:rPr>
                            <w:rFonts w:ascii="宋体" w:hAnsi="宋体" w:cs="宋体" w:eastAsia="宋体" w:hint="default"/>
                            <w:sz w:val="18"/>
                            <w:szCs w:val="18"/>
                          </w:rPr>
                          <w:t>企</w:t>
                        </w:r>
                      </w:p>
                      <w:p>
                        <w:pPr>
                          <w:pStyle w:val="TableParagraph"/>
                          <w:spacing w:line="304" w:lineRule="auto" w:before="60"/>
                          <w:ind w:left="24" w:right="23"/>
                          <w:jc w:val="left"/>
                          <w:rPr>
                            <w:rFonts w:ascii="宋体" w:hAnsi="宋体" w:cs="宋体" w:eastAsia="宋体" w:hint="default"/>
                            <w:sz w:val="18"/>
                            <w:szCs w:val="18"/>
                          </w:rPr>
                        </w:pPr>
                        <w:r>
                          <w:rPr>
                            <w:rFonts w:ascii="宋体" w:hAnsi="宋体" w:cs="宋体" w:eastAsia="宋体" w:hint="default"/>
                            <w:sz w:val="18"/>
                            <w:szCs w:val="18"/>
                          </w:rPr>
                          <w:t>业会计准则第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非货币性资产 </w:t>
                        </w:r>
                        <w:r>
                          <w:rPr>
                            <w:rFonts w:ascii="宋体" w:hAnsi="宋体" w:cs="宋体" w:eastAsia="宋体" w:hint="default"/>
                            <w:spacing w:val="-11"/>
                            <w:sz w:val="18"/>
                            <w:szCs w:val="18"/>
                          </w:rPr>
                          <w:t>交换》（财会【</w:t>
                        </w:r>
                        <w:r>
                          <w:rPr>
                            <w:rFonts w:ascii="Times New Roman" w:hAnsi="Times New Roman" w:cs="Times New Roman" w:eastAsia="Times New Roman" w:hint="default"/>
                            <w:spacing w:val="-11"/>
                            <w:sz w:val="18"/>
                            <w:szCs w:val="18"/>
                          </w:rPr>
                          <w:t>2019</w:t>
                        </w:r>
                        <w:r>
                          <w:rPr>
                            <w:rFonts w:ascii="宋体" w:hAnsi="宋体" w:cs="宋体" w:eastAsia="宋体" w:hint="default"/>
                            <w:spacing w:val="-11"/>
                            <w:sz w:val="18"/>
                            <w:szCs w:val="18"/>
                          </w:rPr>
                          <w:t>】</w:t>
                        </w:r>
                        <w:r>
                          <w:rPr>
                            <w:rFonts w:ascii="Times New Roman" w:hAnsi="Times New Roman" w:cs="Times New Roman" w:eastAsia="Times New Roman" w:hint="default"/>
                            <w:spacing w:val="-11"/>
                            <w:sz w:val="18"/>
                            <w:szCs w:val="18"/>
                          </w:rPr>
                          <w:t>8</w:t>
                        </w:r>
                        <w:r>
                          <w:rPr>
                            <w:rFonts w:ascii="Times New Roman" w:hAnsi="Times New Roman" w:cs="Times New Roman" w:eastAsia="Times New Roman" w:hint="default"/>
                            <w:spacing w:val="4"/>
                            <w:sz w:val="18"/>
                            <w:szCs w:val="18"/>
                          </w:rPr>
                          <w:t> </w:t>
                        </w:r>
                        <w:r>
                          <w:rPr>
                            <w:rFonts w:ascii="宋体" w:hAnsi="宋体" w:cs="宋体" w:eastAsia="宋体" w:hint="default"/>
                            <w:spacing w:val="-23"/>
                            <w:sz w:val="18"/>
                            <w:szCs w:val="18"/>
                          </w:rPr>
                          <w:t>号），根据</w:t>
                        </w:r>
                        <w:r>
                          <w:rPr>
                            <w:rFonts w:ascii="宋体" w:hAnsi="宋体" w:cs="宋体" w:eastAsia="宋体" w:hint="default"/>
                            <w:sz w:val="18"/>
                            <w:szCs w:val="18"/>
                          </w:rPr>
                          <w:t> </w:t>
                        </w:r>
                        <w:r>
                          <w:rPr>
                            <w:rFonts w:ascii="宋体" w:hAnsi="宋体" w:cs="宋体" w:eastAsia="宋体" w:hint="default"/>
                            <w:spacing w:val="-4"/>
                            <w:sz w:val="18"/>
                            <w:szCs w:val="18"/>
                          </w:rPr>
                          <w:t>要求，本公司对</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 至执行日之间发生的非货币性资 产交换，根据本准则进行调整。</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both"/>
                          <w:rPr>
                            <w:rFonts w:ascii="宋体" w:hAnsi="宋体" w:cs="宋体" w:eastAsia="宋体" w:hint="default"/>
                            <w:sz w:val="18"/>
                            <w:szCs w:val="18"/>
                          </w:rPr>
                        </w:pPr>
                        <w:r>
                          <w:rPr>
                            <w:rFonts w:ascii="宋体" w:hAnsi="宋体" w:cs="宋体" w:eastAsia="宋体" w:hint="default"/>
                            <w:sz w:val="18"/>
                            <w:szCs w:val="18"/>
                          </w:rPr>
                          <w:t>经公司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314" w:lineRule="auto" w:before="60"/>
                          <w:ind w:left="23" w:right="110"/>
                          <w:jc w:val="both"/>
                          <w:rPr>
                            <w:rFonts w:ascii="宋体" w:hAnsi="宋体" w:cs="宋体" w:eastAsia="宋体" w:hint="default"/>
                            <w:sz w:val="18"/>
                            <w:szCs w:val="18"/>
                          </w:rPr>
                        </w:pP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日召开 的第四届董事 会第十一次会 议和第四届监 事会第十次会 议审议通过。</w:t>
                        </w:r>
                      </w:p>
                    </w:tc>
                    <w:tc>
                      <w:tcPr>
                        <w:tcW w:w="5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9" w:lineRule="auto" w:before="128"/>
                          <w:ind w:left="23" w:right="19"/>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、非货币性资产示例中删除</w:t>
                        </w:r>
                        <w:r>
                          <w:rPr>
                            <w:rFonts w:ascii="Times New Roman" w:hAnsi="Times New Roman" w:cs="Times New Roman" w:eastAsia="Times New Roman" w:hint="default"/>
                            <w:sz w:val="18"/>
                            <w:szCs w:val="18"/>
                          </w:rPr>
                          <w:t>"</w:t>
                        </w:r>
                        <w:r>
                          <w:rPr>
                            <w:rFonts w:ascii="宋体" w:hAnsi="宋体" w:cs="宋体" w:eastAsia="宋体" w:hint="default"/>
                            <w:sz w:val="18"/>
                            <w:szCs w:val="18"/>
                          </w:rPr>
                          <w:t>存货</w:t>
                        </w:r>
                        <w:r>
                          <w:rPr>
                            <w:rFonts w:ascii="Times New Roman" w:hAnsi="Times New Roman" w:cs="Times New Roman" w:eastAsia="Times New Roman" w:hint="default"/>
                            <w:sz w:val="18"/>
                            <w:szCs w:val="18"/>
                          </w:rPr>
                          <w:t>"</w:t>
                        </w:r>
                        <w:r>
                          <w:rPr>
                            <w:rFonts w:ascii="宋体" w:hAnsi="宋体" w:cs="宋体" w:eastAsia="宋体" w:hint="default"/>
                            <w:sz w:val="18"/>
                            <w:szCs w:val="18"/>
                          </w:rPr>
                          <w:t>，其适用于第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号收入准则；货币 </w:t>
                        </w:r>
                        <w:r>
                          <w:rPr>
                            <w:rFonts w:ascii="宋体" w:hAnsi="宋体" w:cs="宋体" w:eastAsia="宋体" w:hint="default"/>
                            <w:spacing w:val="-1"/>
                            <w:sz w:val="18"/>
                            <w:szCs w:val="18"/>
                          </w:rPr>
                          <w:t>性资产定义中将收取固定或可确定金额的</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资产</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改为</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权利</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、增加规</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范非货币性资产交换的确认时点，即换入资产应在符合资产定义并满足 资产确认条件时予以确认，换出资产应在满足资产终止确认条件时终止 确认；</w:t>
                        </w:r>
                        <w:r>
                          <w:rPr>
                            <w:rFonts w:ascii="Times New Roman" w:hAnsi="Times New Roman" w:cs="Times New Roman" w:eastAsia="Times New Roman" w:hint="default"/>
                            <w:sz w:val="18"/>
                            <w:szCs w:val="18"/>
                          </w:rPr>
                          <w:t>3</w:t>
                        </w:r>
                        <w:r>
                          <w:rPr>
                            <w:rFonts w:ascii="宋体" w:hAnsi="宋体" w:cs="宋体" w:eastAsia="宋体" w:hint="default"/>
                            <w:sz w:val="18"/>
                            <w:szCs w:val="18"/>
                          </w:rPr>
                          <w:t>、将非货币性资产交换的计量原则与新收入准则协调一致。</w:t>
                        </w:r>
                      </w:p>
                    </w:tc>
                  </w:tr>
                  <w:tr>
                    <w:trPr>
                      <w:trHeight w:val="2275" w:hRule="exact"/>
                    </w:trPr>
                    <w:tc>
                      <w:tcPr>
                        <w:tcW w:w="2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财政部于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日发布</w:t>
                        </w:r>
                      </w:p>
                      <w:p>
                        <w:pPr>
                          <w:pStyle w:val="TableParagraph"/>
                          <w:spacing w:line="304" w:lineRule="auto" w:before="63"/>
                          <w:ind w:left="24" w:right="23"/>
                          <w:jc w:val="left"/>
                          <w:rPr>
                            <w:rFonts w:ascii="宋体" w:hAnsi="宋体" w:cs="宋体" w:eastAsia="宋体" w:hint="default"/>
                            <w:sz w:val="18"/>
                            <w:szCs w:val="18"/>
                          </w:rPr>
                        </w:pPr>
                        <w:r>
                          <w:rPr>
                            <w:rFonts w:ascii="宋体" w:hAnsi="宋体" w:cs="宋体" w:eastAsia="宋体" w:hint="default"/>
                            <w:sz w:val="18"/>
                            <w:szCs w:val="18"/>
                          </w:rPr>
                          <w:t>《企业会计准则第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债务重</w:t>
                        </w:r>
                        <w:r>
                          <w:rPr>
                            <w:rFonts w:ascii="宋体" w:hAnsi="宋体" w:cs="宋体" w:eastAsia="宋体" w:hint="default"/>
                            <w:spacing w:val="-3"/>
                            <w:sz w:val="18"/>
                            <w:szCs w:val="18"/>
                          </w:rPr>
                          <w:t> </w:t>
                        </w:r>
                        <w:r>
                          <w:rPr>
                            <w:rFonts w:ascii="宋体" w:hAnsi="宋体" w:cs="宋体" w:eastAsia="宋体" w:hint="default"/>
                            <w:spacing w:val="-12"/>
                            <w:sz w:val="18"/>
                            <w:szCs w:val="18"/>
                          </w:rPr>
                          <w:t>组》（财会【</w:t>
                        </w:r>
                        <w:r>
                          <w:rPr>
                            <w:rFonts w:ascii="Times New Roman" w:hAnsi="Times New Roman" w:cs="Times New Roman" w:eastAsia="Times New Roman" w:hint="default"/>
                            <w:spacing w:val="-12"/>
                            <w:sz w:val="18"/>
                            <w:szCs w:val="18"/>
                          </w:rPr>
                          <w:t>2019</w:t>
                        </w:r>
                        <w:r>
                          <w:rPr>
                            <w:rFonts w:ascii="宋体" w:hAnsi="宋体" w:cs="宋体" w:eastAsia="宋体" w:hint="default"/>
                            <w:spacing w:val="-12"/>
                            <w:sz w:val="18"/>
                            <w:szCs w:val="18"/>
                          </w:rPr>
                          <w:t>】</w:t>
                        </w:r>
                        <w:r>
                          <w:rPr>
                            <w:rFonts w:ascii="Times New Roman" w:hAnsi="Times New Roman" w:cs="Times New Roman" w:eastAsia="Times New Roman" w:hint="default"/>
                            <w:spacing w:val="-12"/>
                            <w:sz w:val="18"/>
                            <w:szCs w:val="18"/>
                          </w:rPr>
                          <w:t>9</w:t>
                        </w:r>
                        <w:r>
                          <w:rPr>
                            <w:rFonts w:ascii="Times New Roman" w:hAnsi="Times New Roman" w:cs="Times New Roman" w:eastAsia="Times New Roman" w:hint="default"/>
                            <w:spacing w:val="4"/>
                            <w:sz w:val="18"/>
                            <w:szCs w:val="18"/>
                          </w:rPr>
                          <w:t> </w:t>
                        </w:r>
                        <w:r>
                          <w:rPr>
                            <w:rFonts w:ascii="宋体" w:hAnsi="宋体" w:cs="宋体" w:eastAsia="宋体" w:hint="default"/>
                            <w:spacing w:val="-19"/>
                            <w:sz w:val="18"/>
                            <w:szCs w:val="18"/>
                          </w:rPr>
                          <w:t>号），根据要</w:t>
                        </w:r>
                        <w:r>
                          <w:rPr>
                            <w:rFonts w:ascii="宋体" w:hAnsi="宋体" w:cs="宋体" w:eastAsia="宋体" w:hint="default"/>
                            <w:sz w:val="18"/>
                            <w:szCs w:val="18"/>
                          </w:rPr>
                          <w:t> </w:t>
                        </w:r>
                        <w:r>
                          <w:rPr>
                            <w:rFonts w:ascii="宋体" w:hAnsi="宋体" w:cs="宋体" w:eastAsia="宋体" w:hint="default"/>
                            <w:spacing w:val="-4"/>
                            <w:sz w:val="18"/>
                            <w:szCs w:val="18"/>
                          </w:rPr>
                          <w:t>求，本公司对</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pacing w:val="-3"/>
                            <w:sz w:val="18"/>
                            <w:szCs w:val="18"/>
                          </w:rPr>
                          <w:t>日至 </w:t>
                        </w:r>
                        <w:r>
                          <w:rPr>
                            <w:rFonts w:ascii="宋体" w:hAnsi="宋体" w:cs="宋体" w:eastAsia="宋体" w:hint="default"/>
                            <w:sz w:val="18"/>
                            <w:szCs w:val="18"/>
                          </w:rPr>
                          <w:t>执行日之间发生的非货币性资产</w:t>
                        </w:r>
                        <w:r>
                          <w:rPr>
                            <w:rFonts w:ascii="宋体" w:hAnsi="宋体" w:cs="宋体" w:eastAsia="宋体" w:hint="default"/>
                            <w:sz w:val="18"/>
                            <w:szCs w:val="18"/>
                          </w:rPr>
                          <w:t> 交换，根据本准则进行调整。</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both"/>
                          <w:rPr>
                            <w:rFonts w:ascii="宋体" w:hAnsi="宋体" w:cs="宋体" w:eastAsia="宋体" w:hint="default"/>
                            <w:sz w:val="18"/>
                            <w:szCs w:val="18"/>
                          </w:rPr>
                        </w:pPr>
                        <w:r>
                          <w:rPr>
                            <w:rFonts w:ascii="宋体" w:hAnsi="宋体" w:cs="宋体" w:eastAsia="宋体" w:hint="default"/>
                            <w:sz w:val="18"/>
                            <w:szCs w:val="18"/>
                          </w:rPr>
                          <w:t>经公司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314" w:lineRule="auto" w:before="63"/>
                          <w:ind w:left="23" w:right="110"/>
                          <w:jc w:val="both"/>
                          <w:rPr>
                            <w:rFonts w:ascii="宋体" w:hAnsi="宋体" w:cs="宋体" w:eastAsia="宋体" w:hint="default"/>
                            <w:sz w:val="18"/>
                            <w:szCs w:val="18"/>
                          </w:rPr>
                        </w:pP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日召开 的第四届董事 会第十一次会 议和第四届监 事会第十次会 议审议通过。</w:t>
                        </w:r>
                      </w:p>
                    </w:tc>
                    <w:tc>
                      <w:tcPr>
                        <w:tcW w:w="5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、将原</w:t>
                        </w:r>
                        <w:r>
                          <w:rPr>
                            <w:rFonts w:ascii="Times New Roman" w:hAnsi="Times New Roman" w:cs="Times New Roman" w:eastAsia="Times New Roman" w:hint="default"/>
                            <w:sz w:val="18"/>
                            <w:szCs w:val="18"/>
                          </w:rPr>
                          <w:t>"</w:t>
                        </w:r>
                        <w:r>
                          <w:rPr>
                            <w:rFonts w:ascii="宋体" w:hAnsi="宋体" w:cs="宋体" w:eastAsia="宋体" w:hint="default"/>
                            <w:sz w:val="18"/>
                            <w:szCs w:val="18"/>
                          </w:rPr>
                          <w:t>债权人让步行为</w:t>
                        </w:r>
                        <w:r>
                          <w:rPr>
                            <w:rFonts w:ascii="Times New Roman" w:hAnsi="Times New Roman" w:cs="Times New Roman" w:eastAsia="Times New Roman" w:hint="default"/>
                            <w:sz w:val="18"/>
                            <w:szCs w:val="18"/>
                          </w:rPr>
                          <w:t>"</w:t>
                        </w:r>
                        <w:r>
                          <w:rPr>
                            <w:rFonts w:ascii="宋体" w:hAnsi="宋体" w:cs="宋体" w:eastAsia="宋体" w:hint="default"/>
                            <w:sz w:val="18"/>
                            <w:szCs w:val="18"/>
                          </w:rPr>
                          <w:t>改为将</w:t>
                        </w:r>
                        <w:r>
                          <w:rPr>
                            <w:rFonts w:ascii="Times New Roman" w:hAnsi="Times New Roman" w:cs="Times New Roman" w:eastAsia="Times New Roman" w:hint="default"/>
                            <w:sz w:val="18"/>
                            <w:szCs w:val="18"/>
                          </w:rPr>
                          <w:t>"</w:t>
                        </w:r>
                        <w:r>
                          <w:rPr>
                            <w:rFonts w:ascii="宋体" w:hAnsi="宋体" w:cs="宋体" w:eastAsia="宋体" w:hint="default"/>
                            <w:sz w:val="18"/>
                            <w:szCs w:val="18"/>
                          </w:rPr>
                          <w:t>原有债务重新达成协议的交易行为</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309" w:lineRule="auto" w:before="63"/>
                          <w:ind w:left="23" w:right="1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、重组方式中债务转为</w:t>
                        </w:r>
                        <w:r>
                          <w:rPr>
                            <w:rFonts w:ascii="Times New Roman" w:hAnsi="Times New Roman" w:cs="Times New Roman" w:eastAsia="Times New Roman" w:hint="default"/>
                            <w:sz w:val="18"/>
                            <w:szCs w:val="18"/>
                          </w:rPr>
                          <w:t>"</w:t>
                        </w:r>
                        <w:r>
                          <w:rPr>
                            <w:rFonts w:ascii="宋体" w:hAnsi="宋体" w:cs="宋体" w:eastAsia="宋体" w:hint="default"/>
                            <w:sz w:val="18"/>
                            <w:szCs w:val="18"/>
                          </w:rPr>
                          <w:t>资本</w:t>
                        </w:r>
                        <w:r>
                          <w:rPr>
                            <w:rFonts w:ascii="Times New Roman" w:hAnsi="Times New Roman" w:cs="Times New Roman" w:eastAsia="Times New Roman" w:hint="default"/>
                            <w:sz w:val="18"/>
                            <w:szCs w:val="18"/>
                          </w:rPr>
                          <w:t>"</w:t>
                        </w:r>
                        <w:r>
                          <w:rPr>
                            <w:rFonts w:ascii="宋体" w:hAnsi="宋体" w:cs="宋体" w:eastAsia="宋体" w:hint="default"/>
                            <w:sz w:val="18"/>
                            <w:szCs w:val="18"/>
                          </w:rPr>
                          <w:t>改为债务转为</w:t>
                        </w:r>
                        <w:r>
                          <w:rPr>
                            <w:rFonts w:ascii="Times New Roman" w:hAnsi="Times New Roman" w:cs="Times New Roman" w:eastAsia="Times New Roman" w:hint="default"/>
                            <w:sz w:val="18"/>
                            <w:szCs w:val="18"/>
                          </w:rPr>
                          <w:t>"</w:t>
                        </w:r>
                        <w:r>
                          <w:rPr>
                            <w:rFonts w:ascii="宋体" w:hAnsi="宋体" w:cs="宋体" w:eastAsia="宋体" w:hint="default"/>
                            <w:sz w:val="18"/>
                            <w:szCs w:val="18"/>
                          </w:rPr>
                          <w:t>权益工具</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、将重组债 权和债务的会计处理规定索引至新金融工具准则，从而与新金融工具准 则协调一致，同时删除关于或有应收、应付金额遵循或有事项准则的规 </w:t>
                        </w:r>
                        <w:r>
                          <w:rPr>
                            <w:rFonts w:ascii="宋体" w:hAnsi="宋体" w:cs="宋体" w:eastAsia="宋体" w:hint="default"/>
                            <w:spacing w:val="-3"/>
                            <w:sz w:val="18"/>
                            <w:szCs w:val="18"/>
                          </w:rPr>
                          <w:t>定。</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、将以非现金资产偿债情况下资产处置损益的计算方法与新收入准</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则协调一致。</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7"/>
          <w:szCs w:val="17"/>
        </w:rPr>
      </w:pPr>
    </w:p>
    <w:p>
      <w:pPr>
        <w:pStyle w:val="BodyText"/>
        <w:spacing w:line="408" w:lineRule="auto" w:before="36"/>
        <w:ind w:left="572" w:right="986"/>
        <w:jc w:val="left"/>
      </w:pPr>
      <w:r>
        <w:rPr/>
        <w:t>准则变化涉及的会计政策变更</w:t>
      </w:r>
      <w:r>
        <w:rPr>
          <w:w w:val="100"/>
        </w:rPr>
        <w:t> </w:t>
      </w:r>
      <w:r>
        <w:rPr>
          <w:spacing w:val="-2"/>
        </w:rPr>
        <w:t>财政部于</w:t>
      </w:r>
      <w:r>
        <w:rPr>
          <w:rFonts w:ascii="宋体" w:hAnsi="宋体" w:cs="宋体" w:eastAsia="宋体" w:hint="default"/>
          <w:spacing w:val="-2"/>
        </w:rPr>
        <w:t>2017</w:t>
      </w:r>
      <w:r>
        <w:rPr>
          <w:spacing w:val="-2"/>
        </w:rPr>
        <w:t>年发布了修订后的《企业会计准则第</w:t>
      </w:r>
      <w:r>
        <w:rPr>
          <w:rFonts w:ascii="宋体" w:hAnsi="宋体" w:cs="宋体" w:eastAsia="宋体" w:hint="default"/>
          <w:spacing w:val="-2"/>
        </w:rPr>
        <w:t>22</w:t>
      </w:r>
      <w:r>
        <w:rPr>
          <w:spacing w:val="-2"/>
        </w:rPr>
        <w:t>号</w:t>
      </w:r>
      <w:r>
        <w:rPr>
          <w:rFonts w:ascii="宋体" w:hAnsi="宋体" w:cs="宋体" w:eastAsia="宋体" w:hint="default"/>
          <w:spacing w:val="-2"/>
        </w:rPr>
        <w:t>——</w:t>
      </w:r>
      <w:r>
        <w:rPr>
          <w:spacing w:val="-2"/>
        </w:rPr>
        <w:t>金融工具确认和计量》、《企业会计准则</w:t>
      </w:r>
      <w:r>
        <w:rPr/>
      </w:r>
    </w:p>
    <w:p>
      <w:pPr>
        <w:pStyle w:val="BodyText"/>
        <w:spacing w:line="408" w:lineRule="auto"/>
        <w:ind w:left="153" w:right="986" w:hanging="1"/>
        <w:jc w:val="left"/>
      </w:pPr>
      <w:r>
        <w:rPr>
          <w:spacing w:val="-2"/>
        </w:rPr>
        <w:t>第</w:t>
      </w:r>
      <w:r>
        <w:rPr>
          <w:rFonts w:ascii="宋体" w:hAnsi="宋体" w:cs="宋体" w:eastAsia="宋体" w:hint="default"/>
          <w:spacing w:val="-2"/>
        </w:rPr>
        <w:t>23</w:t>
      </w:r>
      <w:r>
        <w:rPr>
          <w:spacing w:val="-2"/>
        </w:rPr>
        <w:t>号</w:t>
      </w:r>
      <w:r>
        <w:rPr>
          <w:rFonts w:ascii="宋体" w:hAnsi="宋体" w:cs="宋体" w:eastAsia="宋体" w:hint="default"/>
          <w:spacing w:val="-2"/>
        </w:rPr>
        <w:t>——</w:t>
      </w:r>
      <w:r>
        <w:rPr>
          <w:spacing w:val="-2"/>
        </w:rPr>
        <w:t>金融资产转移》、《企业会计准则第</w:t>
      </w:r>
      <w:r>
        <w:rPr>
          <w:rFonts w:ascii="宋体" w:hAnsi="宋体" w:cs="宋体" w:eastAsia="宋体" w:hint="default"/>
          <w:spacing w:val="-2"/>
        </w:rPr>
        <w:t>24</w:t>
      </w:r>
      <w:r>
        <w:rPr>
          <w:spacing w:val="-2"/>
        </w:rPr>
        <w:t>号</w:t>
      </w:r>
      <w:r>
        <w:rPr>
          <w:rFonts w:ascii="宋体" w:hAnsi="宋体" w:cs="宋体" w:eastAsia="宋体" w:hint="default"/>
          <w:spacing w:val="-2"/>
        </w:rPr>
        <w:t>——</w:t>
      </w:r>
      <w:r>
        <w:rPr>
          <w:spacing w:val="-2"/>
        </w:rPr>
        <w:t>套期会计》、《企业会计准则第</w:t>
      </w:r>
      <w:r>
        <w:rPr>
          <w:rFonts w:ascii="宋体" w:hAnsi="宋体" w:cs="宋体" w:eastAsia="宋体" w:hint="default"/>
          <w:spacing w:val="-2"/>
        </w:rPr>
        <w:t>37</w:t>
      </w:r>
      <w:r>
        <w:rPr>
          <w:spacing w:val="-2"/>
        </w:rPr>
        <w:t>号</w:t>
      </w:r>
      <w:r>
        <w:rPr>
          <w:rFonts w:ascii="宋体" w:hAnsi="宋体" w:cs="宋体" w:eastAsia="宋体" w:hint="default"/>
          <w:spacing w:val="-2"/>
        </w:rPr>
        <w:t>——</w:t>
      </w:r>
      <w:r>
        <w:rPr>
          <w:spacing w:val="-2"/>
        </w:rPr>
        <w:t>金融工</w:t>
      </w:r>
      <w:r>
        <w:rPr>
          <w:spacing w:val="-35"/>
        </w:rPr>
        <w:t> </w:t>
      </w:r>
      <w:r>
        <w:rPr>
          <w:spacing w:val="-35"/>
        </w:rPr>
      </w:r>
      <w:r>
        <w:rPr/>
        <w:t>具列报》（上述四项准则以下统称“新金融工具准则”）。</w:t>
      </w:r>
    </w:p>
    <w:p>
      <w:pPr>
        <w:pStyle w:val="BodyText"/>
        <w:spacing w:line="240" w:lineRule="auto"/>
        <w:ind w:left="573" w:right="986"/>
        <w:jc w:val="left"/>
      </w:pPr>
      <w:r>
        <w:rPr>
          <w:w w:val="100"/>
        </w:rPr>
        <w:t>财政</w:t>
      </w:r>
      <w:r>
        <w:rPr>
          <w:spacing w:val="-3"/>
          <w:w w:val="100"/>
        </w:rPr>
        <w:t>部</w:t>
      </w:r>
      <w:r>
        <w:rPr>
          <w:w w:val="100"/>
        </w:rPr>
        <w:t>于</w:t>
      </w:r>
      <w:r>
        <w:rPr>
          <w:rFonts w:ascii="宋体" w:hAnsi="宋体" w:cs="宋体" w:eastAsia="宋体" w:hint="default"/>
          <w:w w:val="100"/>
        </w:rPr>
        <w:t>2</w:t>
      </w:r>
      <w:r>
        <w:rPr>
          <w:rFonts w:ascii="宋体" w:hAnsi="宋体" w:cs="宋体" w:eastAsia="宋体" w:hint="default"/>
          <w:spacing w:val="-3"/>
          <w:w w:val="100"/>
        </w:rPr>
        <w:t>0</w:t>
      </w:r>
      <w:r>
        <w:rPr>
          <w:rFonts w:ascii="宋体" w:hAnsi="宋体" w:cs="宋体" w:eastAsia="宋体" w:hint="default"/>
          <w:w w:val="100"/>
        </w:rPr>
        <w:t>19</w:t>
      </w:r>
      <w:r>
        <w:rPr>
          <w:spacing w:val="-3"/>
          <w:w w:val="100"/>
        </w:rPr>
        <w:t>年</w:t>
      </w:r>
      <w:r>
        <w:rPr>
          <w:rFonts w:ascii="宋体" w:hAnsi="宋体" w:cs="宋体" w:eastAsia="宋体" w:hint="default"/>
          <w:w w:val="100"/>
        </w:rPr>
        <w:t>4</w:t>
      </w:r>
      <w:r>
        <w:rPr>
          <w:spacing w:val="-3"/>
          <w:w w:val="100"/>
        </w:rPr>
        <w:t>月</w:t>
      </w:r>
      <w:r>
        <w:rPr>
          <w:w w:val="100"/>
        </w:rPr>
        <w:t>发</w:t>
      </w:r>
      <w:r>
        <w:rPr>
          <w:spacing w:val="-3"/>
          <w:w w:val="100"/>
        </w:rPr>
        <w:t>布</w:t>
      </w:r>
      <w:r>
        <w:rPr>
          <w:spacing w:val="-46"/>
          <w:w w:val="100"/>
        </w:rPr>
        <w:t>了</w:t>
      </w:r>
      <w:r>
        <w:rPr>
          <w:w w:val="100"/>
        </w:rPr>
        <w:t>《关</w:t>
      </w:r>
      <w:r>
        <w:rPr>
          <w:spacing w:val="-3"/>
          <w:w w:val="100"/>
        </w:rPr>
        <w:t>于</w:t>
      </w:r>
      <w:r>
        <w:rPr>
          <w:w w:val="100"/>
        </w:rPr>
        <w:t>修</w:t>
      </w:r>
      <w:r>
        <w:rPr>
          <w:spacing w:val="-3"/>
          <w:w w:val="100"/>
        </w:rPr>
        <w:t>订</w:t>
      </w:r>
      <w:r>
        <w:rPr>
          <w:w w:val="100"/>
        </w:rPr>
        <w:t>印发</w:t>
      </w:r>
      <w:r>
        <w:rPr>
          <w:rFonts w:ascii="宋体" w:hAnsi="宋体" w:cs="宋体" w:eastAsia="宋体" w:hint="default"/>
          <w:spacing w:val="-3"/>
          <w:w w:val="100"/>
        </w:rPr>
        <w:t>2</w:t>
      </w:r>
      <w:r>
        <w:rPr>
          <w:rFonts w:ascii="宋体" w:hAnsi="宋体" w:cs="宋体" w:eastAsia="宋体" w:hint="default"/>
          <w:w w:val="100"/>
        </w:rPr>
        <w:t>01</w:t>
      </w:r>
      <w:r>
        <w:rPr>
          <w:rFonts w:ascii="宋体" w:hAnsi="宋体" w:cs="宋体" w:eastAsia="宋体" w:hint="default"/>
          <w:spacing w:val="-3"/>
          <w:w w:val="100"/>
        </w:rPr>
        <w:t>9</w:t>
      </w:r>
      <w:r>
        <w:rPr>
          <w:w w:val="100"/>
        </w:rPr>
        <w:t>年</w:t>
      </w:r>
      <w:r>
        <w:rPr>
          <w:spacing w:val="-3"/>
          <w:w w:val="100"/>
        </w:rPr>
        <w:t>度</w:t>
      </w:r>
      <w:r>
        <w:rPr>
          <w:w w:val="100"/>
        </w:rPr>
        <w:t>一般</w:t>
      </w:r>
      <w:r>
        <w:rPr>
          <w:spacing w:val="-3"/>
          <w:w w:val="100"/>
        </w:rPr>
        <w:t>企</w:t>
      </w:r>
      <w:r>
        <w:rPr>
          <w:w w:val="100"/>
        </w:rPr>
        <w:t>业</w:t>
      </w:r>
      <w:r>
        <w:rPr>
          <w:spacing w:val="-3"/>
          <w:w w:val="100"/>
        </w:rPr>
        <w:t>财</w:t>
      </w:r>
      <w:r>
        <w:rPr>
          <w:w w:val="100"/>
        </w:rPr>
        <w:t>务</w:t>
      </w:r>
      <w:r>
        <w:rPr>
          <w:spacing w:val="-3"/>
          <w:w w:val="100"/>
        </w:rPr>
        <w:t>报</w:t>
      </w:r>
      <w:r>
        <w:rPr>
          <w:w w:val="100"/>
        </w:rPr>
        <w:t>表</w:t>
      </w:r>
      <w:r>
        <w:rPr>
          <w:spacing w:val="-3"/>
          <w:w w:val="100"/>
        </w:rPr>
        <w:t>格</w:t>
      </w:r>
      <w:r>
        <w:rPr>
          <w:w w:val="100"/>
        </w:rPr>
        <w:t>式</w:t>
      </w:r>
      <w:r>
        <w:rPr>
          <w:spacing w:val="-3"/>
          <w:w w:val="100"/>
        </w:rPr>
        <w:t>的</w:t>
      </w:r>
      <w:r>
        <w:rPr>
          <w:w w:val="100"/>
        </w:rPr>
        <w:t>通知</w:t>
      </w:r>
      <w:r>
        <w:rPr>
          <w:spacing w:val="-87"/>
          <w:w w:val="100"/>
        </w:rPr>
        <w:t>》</w:t>
      </w:r>
      <w:r>
        <w:rPr>
          <w:spacing w:val="-3"/>
          <w:w w:val="100"/>
        </w:rPr>
        <w:t>（</w:t>
      </w:r>
      <w:r>
        <w:rPr>
          <w:w w:val="100"/>
        </w:rPr>
        <w:t>财会</w:t>
      </w:r>
      <w:r>
        <w:rPr>
          <w:rFonts w:ascii="宋体" w:hAnsi="宋体" w:cs="宋体" w:eastAsia="宋体" w:hint="default"/>
          <w:spacing w:val="-3"/>
          <w:w w:val="100"/>
        </w:rPr>
        <w:t>[</w:t>
      </w:r>
      <w:r>
        <w:rPr>
          <w:rFonts w:ascii="宋体" w:hAnsi="宋体" w:cs="宋体" w:eastAsia="宋体" w:hint="default"/>
          <w:w w:val="100"/>
        </w:rPr>
        <w:t>201</w:t>
      </w:r>
      <w:r>
        <w:rPr>
          <w:rFonts w:ascii="宋体" w:hAnsi="宋体" w:cs="宋体" w:eastAsia="宋体" w:hint="default"/>
          <w:spacing w:val="-3"/>
          <w:w w:val="100"/>
        </w:rPr>
        <w:t>9</w:t>
      </w:r>
      <w:r>
        <w:rPr>
          <w:rFonts w:ascii="宋体" w:hAnsi="宋体" w:cs="宋体" w:eastAsia="宋体" w:hint="default"/>
          <w:w w:val="100"/>
        </w:rPr>
        <w:t>]6</w:t>
      </w:r>
      <w:r>
        <w:rPr>
          <w:spacing w:val="-3"/>
          <w:w w:val="100"/>
        </w:rPr>
        <w:t>号）</w:t>
      </w:r>
      <w:r>
        <w:rPr>
          <w:w w:val="100"/>
        </w:rPr>
      </w:r>
    </w:p>
    <w:p>
      <w:pPr>
        <w:spacing w:line="240" w:lineRule="auto" w:before="10"/>
        <w:rPr>
          <w:rFonts w:ascii="宋体" w:hAnsi="宋体" w:cs="宋体" w:eastAsia="宋体" w:hint="default"/>
          <w:sz w:val="14"/>
          <w:szCs w:val="14"/>
        </w:rPr>
      </w:pPr>
    </w:p>
    <w:p>
      <w:pPr>
        <w:pStyle w:val="BodyText"/>
        <w:spacing w:line="408" w:lineRule="auto" w:before="0"/>
        <w:ind w:left="153" w:right="986"/>
        <w:jc w:val="left"/>
      </w:pPr>
      <w:r>
        <w:rPr>
          <w:spacing w:val="-2"/>
        </w:rPr>
        <w:t>（以下简称“财务报表格式”），执行企业会计准则的企业应按照企业会计准则和该通知的要求编制</w:t>
      </w:r>
      <w:r>
        <w:rPr>
          <w:rFonts w:ascii="宋体" w:hAnsi="宋体" w:cs="宋体" w:eastAsia="宋体" w:hint="default"/>
          <w:spacing w:val="-2"/>
        </w:rPr>
        <w:t>2019</w:t>
      </w:r>
      <w:r>
        <w:rPr>
          <w:rFonts w:ascii="宋体" w:hAnsi="宋体" w:cs="宋体" w:eastAsia="宋体" w:hint="default"/>
          <w:spacing w:val="-42"/>
        </w:rPr>
        <w:t> </w:t>
      </w:r>
      <w:r>
        <w:rPr>
          <w:rFonts w:ascii="宋体" w:hAnsi="宋体" w:cs="宋体" w:eastAsia="宋体" w:hint="default"/>
          <w:spacing w:val="-42"/>
        </w:rPr>
      </w:r>
      <w:r>
        <w:rPr/>
        <w:t>年度中期财务报表和年度财务报表及以后期间的财务报表。</w:t>
      </w:r>
    </w:p>
    <w:p>
      <w:pPr>
        <w:pStyle w:val="BodyText"/>
        <w:spacing w:line="408" w:lineRule="auto"/>
        <w:ind w:left="153" w:right="1130" w:firstLine="420"/>
        <w:jc w:val="both"/>
      </w:pPr>
      <w:r>
        <w:rPr/>
        <w:t>财政部于</w:t>
      </w:r>
      <w:r>
        <w:rPr>
          <w:rFonts w:ascii="宋体" w:hAnsi="宋体" w:cs="宋体" w:eastAsia="宋体" w:hint="default"/>
        </w:rPr>
        <w:t>2019</w:t>
      </w:r>
      <w:r>
        <w:rPr/>
        <w:t>年</w:t>
      </w:r>
      <w:r>
        <w:rPr>
          <w:rFonts w:ascii="宋体" w:hAnsi="宋体" w:cs="宋体" w:eastAsia="宋体" w:hint="default"/>
        </w:rPr>
        <w:t>5</w:t>
      </w:r>
      <w:r>
        <w:rPr/>
        <w:t>月</w:t>
      </w:r>
      <w:r>
        <w:rPr>
          <w:rFonts w:ascii="宋体" w:hAnsi="宋体" w:cs="宋体" w:eastAsia="宋体" w:hint="default"/>
        </w:rPr>
        <w:t>9</w:t>
      </w:r>
      <w:r>
        <w:rPr/>
        <w:t>日发布了修订后的《企业会计准则第</w:t>
      </w:r>
      <w:r>
        <w:rPr>
          <w:rFonts w:ascii="宋体" w:hAnsi="宋体" w:cs="宋体" w:eastAsia="宋体" w:hint="default"/>
        </w:rPr>
        <w:t>7</w:t>
      </w:r>
      <w:r>
        <w:rPr/>
        <w:t>号</w:t>
      </w:r>
      <w:r>
        <w:rPr>
          <w:rFonts w:ascii="宋体" w:hAnsi="宋体" w:cs="宋体" w:eastAsia="宋体" w:hint="default"/>
        </w:rPr>
        <w:t>——</w:t>
      </w:r>
      <w:r>
        <w:rPr/>
        <w:t>非货币性资产交换》，修订后的准</w:t>
      </w:r>
      <w:r>
        <w:rPr>
          <w:w w:val="100"/>
        </w:rPr>
        <w:t> </w:t>
      </w:r>
      <w:r>
        <w:rPr/>
        <w:t>则自</w:t>
      </w:r>
      <w:r>
        <w:rPr>
          <w:rFonts w:ascii="宋体" w:hAnsi="宋体" w:cs="宋体" w:eastAsia="宋体" w:hint="default"/>
        </w:rPr>
        <w:t>2019</w:t>
      </w:r>
      <w:r>
        <w:rPr/>
        <w:t>年</w:t>
      </w:r>
      <w:r>
        <w:rPr>
          <w:rFonts w:ascii="宋体" w:hAnsi="宋体" w:cs="宋体" w:eastAsia="宋体" w:hint="default"/>
        </w:rPr>
        <w:t>6</w:t>
      </w:r>
      <w:r>
        <w:rPr/>
        <w:t>月</w:t>
      </w:r>
      <w:r>
        <w:rPr>
          <w:rFonts w:ascii="宋体" w:hAnsi="宋体" w:cs="宋体" w:eastAsia="宋体" w:hint="default"/>
        </w:rPr>
        <w:t>10</w:t>
      </w:r>
      <w:r>
        <w:rPr/>
        <w:t>日起施行，对于</w:t>
      </w:r>
      <w:r>
        <w:rPr>
          <w:rFonts w:ascii="宋体" w:hAnsi="宋体" w:cs="宋体" w:eastAsia="宋体" w:hint="default"/>
        </w:rPr>
        <w:t>2019</w:t>
      </w:r>
      <w:r>
        <w:rPr/>
        <w:t>年</w:t>
      </w:r>
      <w:r>
        <w:rPr>
          <w:rFonts w:ascii="宋体" w:hAnsi="宋体" w:cs="宋体" w:eastAsia="宋体" w:hint="default"/>
        </w:rPr>
        <w:t>1</w:t>
      </w:r>
      <w:r>
        <w:rPr/>
        <w:t>月</w:t>
      </w:r>
      <w:r>
        <w:rPr>
          <w:rFonts w:ascii="宋体" w:hAnsi="宋体" w:cs="宋体" w:eastAsia="宋体" w:hint="default"/>
        </w:rPr>
        <w:t>1</w:t>
      </w:r>
      <w:r>
        <w:rPr/>
        <w:t>日之前发生的非货币性资产交换，不需要进行追溯调整，对</w:t>
      </w:r>
      <w:r>
        <w:rPr>
          <w:spacing w:val="-29"/>
        </w:rPr>
        <w:t> </w:t>
      </w:r>
      <w:r>
        <w:rPr>
          <w:spacing w:val="-29"/>
        </w:rPr>
      </w:r>
      <w:r>
        <w:rPr/>
        <w:t>于</w:t>
      </w:r>
      <w:r>
        <w:rPr>
          <w:rFonts w:ascii="宋体" w:hAnsi="宋体" w:cs="宋体" w:eastAsia="宋体" w:hint="default"/>
        </w:rPr>
        <w:t>2019</w:t>
      </w:r>
      <w:r>
        <w:rPr/>
        <w:t>年</w:t>
      </w:r>
      <w:r>
        <w:rPr>
          <w:rFonts w:ascii="宋体" w:hAnsi="宋体" w:cs="宋体" w:eastAsia="宋体" w:hint="default"/>
        </w:rPr>
        <w:t>1</w:t>
      </w:r>
      <w:r>
        <w:rPr/>
        <w:t>月</w:t>
      </w:r>
      <w:r>
        <w:rPr>
          <w:rFonts w:ascii="宋体" w:hAnsi="宋体" w:cs="宋体" w:eastAsia="宋体" w:hint="default"/>
        </w:rPr>
        <w:t>1</w:t>
      </w:r>
      <w:r>
        <w:rPr/>
        <w:t>日至施行日之间发生的非货币性资产交换，要求根据修订后的准则进行调整。</w:t>
      </w:r>
    </w:p>
    <w:p>
      <w:pPr>
        <w:spacing w:after="0" w:line="408" w:lineRule="auto"/>
        <w:jc w:val="both"/>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1130" w:firstLine="420"/>
        <w:jc w:val="both"/>
      </w:pPr>
      <w:r>
        <w:rPr>
          <w:spacing w:val="-4"/>
        </w:rPr>
        <w:t>财政部于</w:t>
      </w:r>
      <w:r>
        <w:rPr>
          <w:rFonts w:ascii="宋体" w:hAnsi="宋体" w:cs="宋体" w:eastAsia="宋体" w:hint="default"/>
          <w:spacing w:val="-4"/>
        </w:rPr>
        <w:t>2019</w:t>
      </w:r>
      <w:r>
        <w:rPr>
          <w:spacing w:val="-4"/>
        </w:rPr>
        <w:t>年</w:t>
      </w:r>
      <w:r>
        <w:rPr>
          <w:rFonts w:ascii="宋体" w:hAnsi="宋体" w:cs="宋体" w:eastAsia="宋体" w:hint="default"/>
          <w:spacing w:val="-4"/>
        </w:rPr>
        <w:t>5</w:t>
      </w:r>
      <w:r>
        <w:rPr>
          <w:spacing w:val="-4"/>
        </w:rPr>
        <w:t>月</w:t>
      </w:r>
      <w:r>
        <w:rPr>
          <w:rFonts w:ascii="宋体" w:hAnsi="宋体" w:cs="宋体" w:eastAsia="宋体" w:hint="default"/>
          <w:spacing w:val="-4"/>
        </w:rPr>
        <w:t>16</w:t>
      </w:r>
      <w:r>
        <w:rPr>
          <w:spacing w:val="-4"/>
        </w:rPr>
        <w:t>日发布了修订后的《企业会计准则第</w:t>
      </w:r>
      <w:r>
        <w:rPr>
          <w:rFonts w:ascii="宋体" w:hAnsi="宋体" w:cs="宋体" w:eastAsia="宋体" w:hint="default"/>
          <w:spacing w:val="-4"/>
        </w:rPr>
        <w:t>12</w:t>
      </w:r>
      <w:r>
        <w:rPr>
          <w:spacing w:val="-4"/>
        </w:rPr>
        <w:t>号</w:t>
      </w:r>
      <w:r>
        <w:rPr>
          <w:rFonts w:ascii="宋体" w:hAnsi="宋体" w:cs="宋体" w:eastAsia="宋体" w:hint="default"/>
          <w:spacing w:val="-4"/>
        </w:rPr>
        <w:t>——</w:t>
      </w:r>
      <w:r>
        <w:rPr>
          <w:spacing w:val="-4"/>
        </w:rPr>
        <w:t>债务重组》，修订后的准则自</w:t>
      </w:r>
      <w:r>
        <w:rPr>
          <w:rFonts w:ascii="宋体" w:hAnsi="宋体" w:cs="宋体" w:eastAsia="宋体" w:hint="default"/>
          <w:spacing w:val="-4"/>
        </w:rPr>
        <w:t>2019</w:t>
      </w:r>
      <w:r>
        <w:rPr>
          <w:rFonts w:ascii="宋体" w:hAnsi="宋体" w:cs="宋体" w:eastAsia="宋体" w:hint="default"/>
          <w:w w:val="100"/>
        </w:rPr>
        <w:t> </w:t>
      </w:r>
      <w:r>
        <w:rPr/>
        <w:t>年</w:t>
      </w:r>
      <w:r>
        <w:rPr>
          <w:rFonts w:ascii="宋体" w:hAnsi="宋体" w:cs="宋体" w:eastAsia="宋体" w:hint="default"/>
        </w:rPr>
        <w:t>6</w:t>
      </w:r>
      <w:r>
        <w:rPr/>
        <w:t>月</w:t>
      </w:r>
      <w:r>
        <w:rPr>
          <w:rFonts w:ascii="宋体" w:hAnsi="宋体" w:cs="宋体" w:eastAsia="宋体" w:hint="default"/>
        </w:rPr>
        <w:t>17</w:t>
      </w:r>
      <w:r>
        <w:rPr/>
        <w:t>日起施行，对于</w:t>
      </w:r>
      <w:r>
        <w:rPr>
          <w:rFonts w:ascii="宋体" w:hAnsi="宋体" w:cs="宋体" w:eastAsia="宋体" w:hint="default"/>
        </w:rPr>
        <w:t>2019</w:t>
      </w:r>
      <w:r>
        <w:rPr/>
        <w:t>年</w:t>
      </w:r>
      <w:r>
        <w:rPr>
          <w:rFonts w:ascii="宋体" w:hAnsi="宋体" w:cs="宋体" w:eastAsia="宋体" w:hint="default"/>
        </w:rPr>
        <w:t>1</w:t>
      </w:r>
      <w:r>
        <w:rPr/>
        <w:t>月</w:t>
      </w:r>
      <w:r>
        <w:rPr>
          <w:rFonts w:ascii="宋体" w:hAnsi="宋体" w:cs="宋体" w:eastAsia="宋体" w:hint="default"/>
        </w:rPr>
        <w:t>1</w:t>
      </w:r>
      <w:r>
        <w:rPr/>
        <w:t>日之前发生的债务重组，不需要进行追溯调整，对于</w:t>
      </w:r>
      <w:r>
        <w:rPr>
          <w:rFonts w:ascii="宋体" w:hAnsi="宋体" w:cs="宋体" w:eastAsia="宋体" w:hint="default"/>
        </w:rPr>
        <w:t>2019</w:t>
      </w:r>
      <w:r>
        <w:rPr/>
        <w:t>年</w:t>
      </w:r>
      <w:r>
        <w:rPr>
          <w:rFonts w:ascii="宋体" w:hAnsi="宋体" w:cs="宋体" w:eastAsia="宋体" w:hint="default"/>
        </w:rPr>
        <w:t>1</w:t>
      </w:r>
      <w:r>
        <w:rPr/>
        <w:t>月</w:t>
      </w:r>
      <w:r>
        <w:rPr>
          <w:rFonts w:ascii="宋体" w:hAnsi="宋体" w:cs="宋体" w:eastAsia="宋体" w:hint="default"/>
        </w:rPr>
        <w:t>1</w:t>
      </w:r>
      <w:r>
        <w:rPr/>
        <w:t>日至</w:t>
      </w:r>
      <w:r>
        <w:rPr>
          <w:spacing w:val="-28"/>
        </w:rPr>
        <w:t> </w:t>
      </w:r>
      <w:r>
        <w:rPr/>
        <w:t>施行日之间发生的债务重组，要求根据修订后的准则进行调整。</w:t>
      </w:r>
    </w:p>
    <w:p>
      <w:pPr>
        <w:pStyle w:val="BodyText"/>
        <w:spacing w:line="408" w:lineRule="auto"/>
        <w:ind w:right="1128" w:firstLine="420"/>
        <w:jc w:val="both"/>
      </w:pPr>
      <w:r>
        <w:rPr/>
        <w:t>财政部于</w:t>
      </w:r>
      <w:r>
        <w:rPr>
          <w:rFonts w:ascii="宋体" w:hAnsi="宋体" w:cs="宋体" w:eastAsia="宋体" w:hint="default"/>
        </w:rPr>
        <w:t>2019</w:t>
      </w:r>
      <w:r>
        <w:rPr/>
        <w:t>年</w:t>
      </w:r>
      <w:r>
        <w:rPr>
          <w:rFonts w:ascii="宋体" w:hAnsi="宋体" w:cs="宋体" w:eastAsia="宋体" w:hint="default"/>
        </w:rPr>
        <w:t>9</w:t>
      </w:r>
      <w:r>
        <w:rPr/>
        <w:t>月</w:t>
      </w:r>
      <w:r>
        <w:rPr>
          <w:rFonts w:ascii="宋体" w:hAnsi="宋体" w:cs="宋体" w:eastAsia="宋体" w:hint="default"/>
        </w:rPr>
        <w:t>19</w:t>
      </w:r>
      <w:r>
        <w:rPr/>
        <w:t>日发布了《关于修订印发合并财务报表格式（</w:t>
      </w:r>
      <w:r>
        <w:rPr>
          <w:rFonts w:ascii="宋体" w:hAnsi="宋体" w:cs="宋体" w:eastAsia="宋体" w:hint="default"/>
        </w:rPr>
        <w:t>2019</w:t>
      </w:r>
      <w:r>
        <w:rPr/>
        <w:t>版）的通知》，执行企业会</w:t>
      </w:r>
      <w:r>
        <w:rPr>
          <w:w w:val="100"/>
        </w:rPr>
        <w:t> </w:t>
      </w:r>
      <w:r>
        <w:rPr/>
        <w:t>计准则的企业应按照企业会计准则和该通知的要求编制</w:t>
      </w:r>
      <w:r>
        <w:rPr>
          <w:rFonts w:ascii="宋体" w:hAnsi="宋体" w:cs="宋体" w:eastAsia="宋体" w:hint="default"/>
        </w:rPr>
        <w:t>2019</w:t>
      </w:r>
      <w:r>
        <w:rPr/>
        <w:t>年度合并财务报表及以后期间的财务报表。</w:t>
      </w:r>
    </w:p>
    <w:p>
      <w:pPr>
        <w:pStyle w:val="BodyText"/>
        <w:spacing w:line="240" w:lineRule="auto"/>
        <w:ind w:left="572" w:right="986"/>
        <w:jc w:val="left"/>
      </w:pPr>
      <w:r>
        <w:rPr/>
        <w:t>本集团于</w:t>
      </w:r>
      <w:r>
        <w:rPr>
          <w:rFonts w:ascii="宋体" w:hAnsi="宋体" w:cs="宋体" w:eastAsia="宋体" w:hint="default"/>
        </w:rPr>
        <w:t>2019</w:t>
      </w:r>
      <w:r>
        <w:rPr/>
        <w:t>年</w:t>
      </w:r>
      <w:r>
        <w:rPr>
          <w:rFonts w:ascii="宋体" w:hAnsi="宋体" w:cs="宋体" w:eastAsia="宋体" w:hint="default"/>
        </w:rPr>
        <w:t>1</w:t>
      </w:r>
      <w:r>
        <w:rPr/>
        <w:t>月</w:t>
      </w:r>
      <w:r>
        <w:rPr>
          <w:rFonts w:ascii="宋体" w:hAnsi="宋体" w:cs="宋体" w:eastAsia="宋体" w:hint="default"/>
        </w:rPr>
        <w:t>1</w:t>
      </w:r>
      <w:r>
        <w:rPr/>
        <w:t>日起执行上述修订后的准则和财务报表格式，对会计政策相关内容进行调整。</w:t>
      </w:r>
    </w:p>
    <w:p>
      <w:pPr>
        <w:spacing w:line="240" w:lineRule="auto" w:before="10"/>
        <w:rPr>
          <w:rFonts w:ascii="宋体" w:hAnsi="宋体" w:cs="宋体" w:eastAsia="宋体" w:hint="default"/>
          <w:sz w:val="14"/>
          <w:szCs w:val="14"/>
        </w:rPr>
      </w:pPr>
    </w:p>
    <w:p>
      <w:pPr>
        <w:pStyle w:val="BodyText"/>
        <w:spacing w:line="240" w:lineRule="auto" w:before="0"/>
        <w:ind w:left="572" w:right="986"/>
        <w:jc w:val="left"/>
      </w:pPr>
      <w:r>
        <w:rPr/>
        <w:t>（</w:t>
      </w:r>
      <w:r>
        <w:rPr>
          <w:rFonts w:ascii="宋体" w:hAnsi="宋体" w:cs="宋体" w:eastAsia="宋体" w:hint="default"/>
        </w:rPr>
        <w:t>1</w:t>
      </w:r>
      <w:r>
        <w:rPr/>
        <w:t>）新金融工具准则</w:t>
      </w:r>
    </w:p>
    <w:p>
      <w:pPr>
        <w:spacing w:line="240" w:lineRule="auto" w:before="10"/>
        <w:rPr>
          <w:rFonts w:ascii="宋体" w:hAnsi="宋体" w:cs="宋体" w:eastAsia="宋体" w:hint="default"/>
          <w:sz w:val="14"/>
          <w:szCs w:val="14"/>
        </w:rPr>
      </w:pPr>
    </w:p>
    <w:p>
      <w:pPr>
        <w:pStyle w:val="BodyText"/>
        <w:spacing w:line="408" w:lineRule="auto" w:before="0"/>
        <w:ind w:right="1128" w:firstLine="425"/>
        <w:jc w:val="both"/>
      </w:pPr>
      <w:r>
        <w:rPr>
          <w:rFonts w:ascii="宋体" w:hAnsi="宋体" w:cs="宋体" w:eastAsia="宋体" w:hint="default"/>
        </w:rPr>
        <w:t>A</w:t>
      </w:r>
      <w:r>
        <w:rPr/>
        <w:t>、以企业持有金融资产的“业务模式”和“金融资产合同现金流量特征”作为金融资产分类的判断</w:t>
      </w:r>
      <w:r>
        <w:rPr>
          <w:w w:val="100"/>
        </w:rPr>
        <w:t> </w:t>
      </w:r>
      <w:r>
        <w:rPr>
          <w:spacing w:val="-2"/>
        </w:rPr>
        <w:t>依据，将金融资产分类为“以摊余成本计量的金融资产”、“以公允价值计量且其变动计入其他综合收益</w:t>
      </w:r>
      <w:r>
        <w:rPr>
          <w:spacing w:val="-43"/>
        </w:rPr>
        <w:t> </w:t>
      </w:r>
      <w:r>
        <w:rPr>
          <w:spacing w:val="-43"/>
        </w:rPr>
      </w:r>
      <w:r>
        <w:rPr/>
        <w:t>的金融资产”和“以公允价值计量且其变动计入当期损益的金融资产”三类。</w:t>
      </w:r>
    </w:p>
    <w:p>
      <w:pPr>
        <w:pStyle w:val="BodyText"/>
        <w:spacing w:line="408" w:lineRule="auto"/>
        <w:ind w:right="1128" w:firstLine="424"/>
        <w:jc w:val="both"/>
      </w:pPr>
      <w:r>
        <w:rPr>
          <w:rFonts w:ascii="宋体" w:hAnsi="宋体" w:cs="宋体" w:eastAsia="宋体" w:hint="default"/>
        </w:rPr>
        <w:t>B</w:t>
      </w:r>
      <w:r>
        <w:rPr/>
        <w:t>、调整了非交易性权益工具投资的会计处理。允许企业将非交易性权益工具投资指定为以公允价值</w:t>
      </w:r>
      <w:r>
        <w:rPr>
          <w:w w:val="100"/>
        </w:rPr>
        <w:t> </w:t>
      </w:r>
      <w:r>
        <w:rPr>
          <w:spacing w:val="-2"/>
        </w:rPr>
        <w:t>计量且其变动计入其他综合收益进行处理，但该指定不可撤销，且在处置时应将之前已计入其他综合收益</w:t>
      </w:r>
      <w:r>
        <w:rPr>
          <w:spacing w:val="-42"/>
        </w:rPr>
        <w:t> </w:t>
      </w:r>
      <w:r>
        <w:rPr>
          <w:spacing w:val="-42"/>
        </w:rPr>
      </w:r>
      <w:r>
        <w:rPr/>
        <w:t>的累计利得或损失转入留存收益，不得结转计入当期损益。</w:t>
      </w:r>
    </w:p>
    <w:p>
      <w:pPr>
        <w:pStyle w:val="BodyText"/>
        <w:spacing w:line="408" w:lineRule="auto"/>
        <w:ind w:right="1128" w:firstLine="424"/>
        <w:jc w:val="both"/>
      </w:pPr>
      <w:r>
        <w:rPr>
          <w:rFonts w:ascii="宋体" w:hAnsi="宋体" w:cs="宋体" w:eastAsia="宋体" w:hint="default"/>
        </w:rPr>
        <w:t>C</w:t>
      </w:r>
      <w:r>
        <w:rPr/>
        <w:t>、金融资产减值会计处理由“已发生损失法”改为“预期损失法”，要求考虑金融资产未来预期信</w:t>
      </w:r>
      <w:r>
        <w:rPr>
          <w:w w:val="100"/>
        </w:rPr>
        <w:t> </w:t>
      </w:r>
      <w:r>
        <w:rPr/>
        <w:t>用损失情况，从而更加及时、足额地计提金融资产减值准备。</w:t>
      </w:r>
    </w:p>
    <w:p>
      <w:pPr>
        <w:pStyle w:val="BodyText"/>
        <w:spacing w:line="408" w:lineRule="auto"/>
        <w:ind w:right="1128" w:firstLine="424"/>
        <w:jc w:val="both"/>
      </w:pPr>
      <w:r>
        <w:rPr>
          <w:spacing w:val="-2"/>
        </w:rPr>
        <w:t>根据新金融准则衔接规定要求，公司对上年同期比较报表不进行追溯调整，新旧准则转换累计影响结</w:t>
      </w:r>
      <w:r>
        <w:rPr>
          <w:w w:val="100"/>
        </w:rPr>
        <w:t> </w:t>
      </w:r>
      <w:r>
        <w:rPr/>
        <w:t>果仅对期初留存收益或其他综合收益进行调整。</w:t>
      </w:r>
    </w:p>
    <w:p>
      <w:pPr>
        <w:pStyle w:val="BodyText"/>
        <w:spacing w:line="240" w:lineRule="auto"/>
        <w:ind w:left="577" w:right="986"/>
        <w:jc w:val="left"/>
      </w:pPr>
      <w:r>
        <w:rPr/>
        <w:t>本集团具体会计政策见附注五、</w:t>
      </w:r>
      <w:r>
        <w:rPr>
          <w:rFonts w:ascii="宋体" w:hAnsi="宋体" w:cs="宋体" w:eastAsia="宋体" w:hint="default"/>
        </w:rPr>
        <w:t>10</w:t>
      </w:r>
      <w:r>
        <w:rPr/>
        <w:t>。</w:t>
      </w:r>
    </w:p>
    <w:p>
      <w:pPr>
        <w:spacing w:line="240" w:lineRule="auto" w:before="10"/>
        <w:rPr>
          <w:rFonts w:ascii="宋体" w:hAnsi="宋体" w:cs="宋体" w:eastAsia="宋体" w:hint="default"/>
          <w:sz w:val="14"/>
          <w:szCs w:val="14"/>
        </w:rPr>
      </w:pPr>
    </w:p>
    <w:p>
      <w:pPr>
        <w:pStyle w:val="BodyText"/>
        <w:spacing w:line="408" w:lineRule="auto" w:before="0"/>
        <w:ind w:left="572" w:right="7334"/>
        <w:jc w:val="left"/>
      </w:pPr>
      <w:r>
        <w:rPr>
          <w:spacing w:val="-2"/>
        </w:rPr>
        <w:t>（</w:t>
      </w:r>
      <w:r>
        <w:rPr>
          <w:rFonts w:ascii="宋体" w:hAnsi="宋体" w:cs="宋体" w:eastAsia="宋体" w:hint="default"/>
          <w:spacing w:val="-2"/>
        </w:rPr>
        <w:t>2</w:t>
      </w:r>
      <w:r>
        <w:rPr>
          <w:spacing w:val="-2"/>
        </w:rPr>
        <w:t>）新财务报表格式</w:t>
      </w:r>
      <w:r>
        <w:rPr>
          <w:spacing w:val="-89"/>
        </w:rPr>
        <w:t> </w:t>
      </w:r>
      <w:r>
        <w:rPr>
          <w:spacing w:val="-89"/>
        </w:rPr>
      </w:r>
      <w:r>
        <w:rPr/>
        <w:t>变更内容如下：</w:t>
      </w:r>
    </w:p>
    <w:p>
      <w:pPr>
        <w:pStyle w:val="BodyText"/>
        <w:spacing w:line="408" w:lineRule="auto"/>
        <w:ind w:right="1133" w:firstLine="419"/>
        <w:jc w:val="both"/>
      </w:pPr>
      <w:r>
        <w:rPr>
          <w:rFonts w:ascii="宋体" w:hAnsi="宋体" w:cs="宋体" w:eastAsia="宋体" w:hint="default"/>
        </w:rPr>
        <w:t>A</w:t>
      </w:r>
      <w:r>
        <w:rPr/>
        <w:t>、资产负债表中“应收票据及应收账款”项目分拆为“应收票据”及“应收账款”两个项目；“应</w:t>
      </w:r>
      <w:r>
        <w:rPr>
          <w:w w:val="100"/>
        </w:rPr>
        <w:t> </w:t>
      </w:r>
      <w:r>
        <w:rPr/>
        <w:t>付票据及应付账款”项目分拆为“应付票据”及</w:t>
      </w:r>
      <w:r>
        <w:rPr>
          <w:spacing w:val="-10"/>
        </w:rPr>
        <w:t> </w:t>
      </w:r>
      <w:r>
        <w:rPr/>
        <w:t>“应付账款”两个项目。</w:t>
      </w:r>
    </w:p>
    <w:p>
      <w:pPr>
        <w:pStyle w:val="BodyText"/>
        <w:spacing w:line="408" w:lineRule="auto"/>
        <w:ind w:left="153" w:right="1127" w:firstLine="419"/>
        <w:jc w:val="both"/>
      </w:pPr>
      <w:r>
        <w:rPr>
          <w:rFonts w:ascii="宋体" w:hAnsi="宋体" w:cs="宋体" w:eastAsia="宋体" w:hint="default"/>
          <w:spacing w:val="-9"/>
          <w:w w:val="100"/>
        </w:rPr>
        <w:t>B</w:t>
      </w:r>
      <w:r>
        <w:rPr>
          <w:spacing w:val="-9"/>
          <w:w w:val="100"/>
        </w:rPr>
        <w:t>、资产负债表新增“交易性金融资产”、“应收款项融资”、“债权投资”、“其他债权投资”、“其</w:t>
      </w:r>
      <w:r>
        <w:rPr>
          <w:w w:val="100"/>
        </w:rPr>
        <w:t> </w:t>
      </w:r>
      <w:r>
        <w:rPr>
          <w:spacing w:val="-7"/>
        </w:rPr>
        <w:t>他权益工具投资”、“其他非流动金融资产”、“交易性金融负债”等项目。其中：“其他权益工具投资”</w:t>
      </w:r>
      <w:r>
        <w:rPr>
          <w:spacing w:val="-22"/>
        </w:rPr>
        <w:t> </w:t>
      </w:r>
      <w:r>
        <w:rPr>
          <w:spacing w:val="-22"/>
        </w:rPr>
      </w:r>
      <w:r>
        <w:rPr>
          <w:spacing w:val="-2"/>
        </w:rPr>
        <w:t>项目，反映资产负债表日企业指定为以公允价值计量且其变动计入其他综合收益的非交易性权益工具投资</w:t>
      </w:r>
      <w:r>
        <w:rPr>
          <w:spacing w:val="-43"/>
        </w:rPr>
        <w:t> </w:t>
      </w:r>
      <w:r>
        <w:rPr>
          <w:spacing w:val="-43"/>
        </w:rPr>
      </w:r>
      <w:r>
        <w:rPr/>
        <w:t>的期末账面价值。</w:t>
      </w:r>
    </w:p>
    <w:p>
      <w:pPr>
        <w:pStyle w:val="BodyText"/>
        <w:spacing w:line="240" w:lineRule="auto"/>
        <w:ind w:left="573" w:right="0"/>
        <w:jc w:val="left"/>
      </w:pPr>
      <w:r>
        <w:rPr>
          <w:rFonts w:ascii="宋体" w:hAnsi="宋体" w:cs="宋体" w:eastAsia="宋体" w:hint="default"/>
        </w:rPr>
        <w:t>C</w:t>
      </w:r>
      <w:r>
        <w:rPr/>
        <w:t>、利润表新增“信用减值损失”项目，反映企业按照《企业会计准则第</w:t>
      </w:r>
      <w:r>
        <w:rPr>
          <w:rFonts w:ascii="宋体" w:hAnsi="宋体" w:cs="宋体" w:eastAsia="宋体" w:hint="default"/>
        </w:rPr>
        <w:t>22</w:t>
      </w:r>
      <w:r>
        <w:rPr/>
        <w:t>号</w:t>
      </w:r>
      <w:r>
        <w:rPr>
          <w:rFonts w:ascii="宋体" w:hAnsi="宋体" w:cs="宋体" w:eastAsia="宋体" w:hint="default"/>
        </w:rPr>
        <w:t>—</w:t>
      </w:r>
      <w:r>
        <w:rPr/>
        <w:t>金融工具确认和计量》</w:t>
      </w:r>
    </w:p>
    <w:p>
      <w:pPr>
        <w:spacing w:line="240" w:lineRule="auto" w:before="10"/>
        <w:rPr>
          <w:rFonts w:ascii="宋体" w:hAnsi="宋体" w:cs="宋体" w:eastAsia="宋体" w:hint="default"/>
          <w:sz w:val="14"/>
          <w:szCs w:val="14"/>
        </w:rPr>
      </w:pPr>
    </w:p>
    <w:p>
      <w:pPr>
        <w:pStyle w:val="BodyText"/>
        <w:spacing w:line="408" w:lineRule="auto" w:before="0"/>
        <w:ind w:left="154" w:right="1023" w:hanging="1"/>
        <w:jc w:val="left"/>
      </w:pPr>
      <w:r>
        <w:rPr/>
        <w:t>（财会〔</w:t>
      </w:r>
      <w:r>
        <w:rPr>
          <w:rFonts w:ascii="宋体" w:hAnsi="宋体" w:cs="宋体" w:eastAsia="宋体" w:hint="default"/>
        </w:rPr>
        <w:t>2017</w:t>
      </w:r>
      <w:r>
        <w:rPr/>
        <w:t>〕</w:t>
      </w:r>
      <w:r>
        <w:rPr>
          <w:rFonts w:ascii="宋体" w:hAnsi="宋体" w:cs="宋体" w:eastAsia="宋体" w:hint="default"/>
        </w:rPr>
        <w:t>7</w:t>
      </w:r>
      <w:r>
        <w:rPr/>
        <w:t>号）要求计提的各项金融工具信用减值准备所确认的信用损失。利润表增加“以摊余成</w:t>
      </w:r>
      <w:r>
        <w:rPr>
          <w:spacing w:val="-28"/>
        </w:rPr>
        <w:t> </w:t>
      </w:r>
      <w:r>
        <w:rPr>
          <w:spacing w:val="-28"/>
        </w:rPr>
      </w:r>
      <w:r>
        <w:rPr>
          <w:spacing w:val="-4"/>
        </w:rPr>
        <w:t>本计量的金融资产终止确认收益（损失以“</w:t>
      </w:r>
      <w:r>
        <w:rPr>
          <w:rFonts w:ascii="宋体" w:hAnsi="宋体" w:cs="宋体" w:eastAsia="宋体" w:hint="default"/>
          <w:spacing w:val="-4"/>
        </w:rPr>
        <w:t>-</w:t>
      </w:r>
      <w:r>
        <w:rPr>
          <w:spacing w:val="-4"/>
        </w:rPr>
        <w:t>”号填列）”、“净敞口套期收益（损失以“</w:t>
      </w:r>
      <w:r>
        <w:rPr>
          <w:rFonts w:ascii="宋体" w:hAnsi="宋体" w:cs="宋体" w:eastAsia="宋体" w:hint="default"/>
          <w:spacing w:val="-4"/>
        </w:rPr>
        <w:t>-</w:t>
      </w:r>
      <w:r>
        <w:rPr>
          <w:spacing w:val="-4"/>
        </w:rPr>
        <w:t>”号填列）”、</w:t>
      </w:r>
      <w:r>
        <w:rPr>
          <w:spacing w:val="-50"/>
        </w:rPr>
        <w:t> </w:t>
      </w:r>
      <w:r>
        <w:rPr>
          <w:spacing w:val="-50"/>
        </w:rPr>
      </w:r>
      <w:r>
        <w:rPr/>
        <w:t>“信用减值损失（损失以“</w:t>
      </w:r>
      <w:r>
        <w:rPr>
          <w:rFonts w:ascii="宋体" w:hAnsi="宋体" w:cs="宋体" w:eastAsia="宋体" w:hint="default"/>
        </w:rPr>
        <w:t>-</w:t>
      </w:r>
      <w:r>
        <w:rPr/>
        <w:t>”号填列）”项目等。</w:t>
      </w:r>
    </w:p>
    <w:p>
      <w:pPr>
        <w:spacing w:after="0" w:line="408"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left="593" w:right="0" w:hanging="1"/>
        <w:jc w:val="left"/>
      </w:pPr>
      <w:r>
        <w:rPr>
          <w:rFonts w:ascii="宋体" w:hAnsi="宋体" w:cs="宋体" w:eastAsia="宋体" w:hint="default"/>
        </w:rPr>
        <w:t>D</w:t>
      </w:r>
      <w:r>
        <w:rPr/>
        <w:t>、将利润表“减：资产减值损失”调整为“加：资产减值损失（损失以“</w:t>
      </w:r>
      <w:r>
        <w:rPr>
          <w:rFonts w:ascii="宋体" w:hAnsi="宋体" w:cs="宋体" w:eastAsia="宋体" w:hint="default"/>
        </w:rPr>
        <w:t>-</w:t>
      </w:r>
      <w:r>
        <w:rPr/>
        <w:t>”</w:t>
      </w:r>
      <w:r>
        <w:rPr>
          <w:spacing w:val="-3"/>
        </w:rPr>
        <w:t> </w:t>
      </w:r>
      <w:r>
        <w:rPr/>
        <w:t>列示）”。</w:t>
      </w:r>
      <w:r>
        <w:rPr>
          <w:w w:val="100"/>
        </w:rPr>
        <w:t> </w:t>
      </w:r>
      <w:r>
        <w:rPr>
          <w:rFonts w:ascii="宋体" w:hAnsi="宋体" w:cs="宋体" w:eastAsia="宋体" w:hint="default"/>
        </w:rPr>
        <w:t>F</w:t>
      </w:r>
      <w:r>
        <w:rPr/>
        <w:t>、进一步明确了研发费用项目的列报内容。</w:t>
      </w:r>
      <w:r>
        <w:rPr>
          <w:spacing w:val="-3"/>
          <w:w w:val="100"/>
        </w:rPr>
        <w:t> </w:t>
      </w:r>
      <w:r>
        <w:rPr>
          <w:rFonts w:ascii="宋体" w:hAnsi="宋体" w:cs="宋体" w:eastAsia="宋体" w:hint="default"/>
        </w:rPr>
        <w:t>G</w:t>
      </w:r>
      <w:r>
        <w:rPr/>
        <w:t>、现金流量表明确了政府补助的填列口径，企业实际收到的政府补助，无论是与资产相关还是与收</w:t>
      </w:r>
    </w:p>
    <w:p>
      <w:pPr>
        <w:pStyle w:val="BodyText"/>
        <w:spacing w:line="408" w:lineRule="auto"/>
        <w:ind w:left="593" w:right="0" w:hanging="420"/>
        <w:jc w:val="left"/>
      </w:pPr>
      <w:r>
        <w:rPr/>
        <w:t>益相关，均在“收到的其他与经营活动有关的现金”项目填列。</w:t>
      </w:r>
      <w:r>
        <w:rPr>
          <w:spacing w:val="-3"/>
          <w:w w:val="100"/>
        </w:rPr>
        <w:t> </w:t>
      </w:r>
      <w:r>
        <w:rPr>
          <w:spacing w:val="-2"/>
        </w:rPr>
        <w:t>公司根据《关于修订印发</w:t>
      </w:r>
      <w:r>
        <w:rPr>
          <w:rFonts w:ascii="宋体" w:hAnsi="宋体" w:cs="宋体" w:eastAsia="宋体" w:hint="default"/>
          <w:spacing w:val="-2"/>
        </w:rPr>
        <w:t>2019</w:t>
      </w:r>
      <w:r>
        <w:rPr>
          <w:spacing w:val="-2"/>
        </w:rPr>
        <w:t>年度一般企业财务报表格式的通知》相关要求编制财务报表，本次会计</w:t>
      </w:r>
      <w:r>
        <w:rPr/>
      </w:r>
    </w:p>
    <w:p>
      <w:pPr>
        <w:pStyle w:val="BodyText"/>
        <w:spacing w:line="240" w:lineRule="auto"/>
        <w:ind w:left="172" w:right="0"/>
        <w:jc w:val="left"/>
      </w:pPr>
      <w:r>
        <w:rPr/>
        <w:t>政策变更对公司</w:t>
      </w:r>
      <w:r>
        <w:rPr>
          <w:rFonts w:ascii="宋体" w:hAnsi="宋体" w:cs="宋体" w:eastAsia="宋体" w:hint="default"/>
        </w:rPr>
        <w:t>2019</w:t>
      </w:r>
      <w:r>
        <w:rPr/>
        <w:t>年度财务报表项目列报影响如下：</w:t>
      </w:r>
    </w:p>
    <w:p>
      <w:pPr>
        <w:spacing w:line="240" w:lineRule="auto" w:before="11"/>
        <w:rPr>
          <w:rFonts w:ascii="宋体" w:hAnsi="宋体" w:cs="宋体" w:eastAsia="宋体" w:hint="default"/>
          <w:sz w:val="9"/>
          <w:szCs w:val="9"/>
        </w:rPr>
      </w:pPr>
    </w:p>
    <w:tbl>
      <w:tblPr>
        <w:tblW w:w="0" w:type="auto"/>
        <w:jc w:val="left"/>
        <w:tblInd w:w="115" w:type="dxa"/>
        <w:tblLayout w:type="fixed"/>
        <w:tblCellMar>
          <w:top w:w="0" w:type="dxa"/>
          <w:left w:w="0" w:type="dxa"/>
          <w:bottom w:w="0" w:type="dxa"/>
          <w:right w:w="0" w:type="dxa"/>
        </w:tblCellMar>
        <w:tblLook w:val="01E0"/>
      </w:tblPr>
      <w:tblGrid>
        <w:gridCol w:w="3662"/>
        <w:gridCol w:w="2112"/>
        <w:gridCol w:w="2107"/>
        <w:gridCol w:w="1829"/>
      </w:tblGrid>
      <w:tr>
        <w:trPr>
          <w:trHeight w:val="413" w:hRule="exact"/>
        </w:trPr>
        <w:tc>
          <w:tcPr>
            <w:tcW w:w="3662"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33"/>
              <w:ind w:left="969" w:right="0"/>
              <w:jc w:val="left"/>
              <w:rPr>
                <w:rFonts w:ascii="宋体" w:hAnsi="宋体" w:cs="宋体" w:eastAsia="宋体" w:hint="default"/>
                <w:sz w:val="20"/>
                <w:szCs w:val="20"/>
              </w:rPr>
            </w:pPr>
            <w:r>
              <w:rPr>
                <w:rFonts w:ascii="Arial" w:hAnsi="Arial" w:cs="Arial" w:eastAsia="Arial" w:hint="default"/>
                <w:sz w:val="20"/>
                <w:szCs w:val="20"/>
              </w:rPr>
              <w:t>2018</w:t>
            </w:r>
            <w:r>
              <w:rPr>
                <w:rFonts w:ascii="Arial" w:hAnsi="Arial" w:cs="Arial" w:eastAsia="Arial" w:hint="default"/>
                <w:spacing w:val="-8"/>
                <w:sz w:val="20"/>
                <w:szCs w:val="20"/>
              </w:rPr>
              <w:t> </w:t>
            </w:r>
            <w:r>
              <w:rPr>
                <w:rFonts w:ascii="宋体" w:hAnsi="宋体" w:cs="宋体" w:eastAsia="宋体" w:hint="default"/>
                <w:sz w:val="20"/>
                <w:szCs w:val="20"/>
              </w:rPr>
              <w:t>年</w:t>
            </w:r>
            <w:r>
              <w:rPr>
                <w:rFonts w:ascii="宋体" w:hAnsi="宋体" w:cs="宋体" w:eastAsia="宋体" w:hint="default"/>
                <w:spacing w:val="-50"/>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宋体" w:hAnsi="宋体" w:cs="宋体" w:eastAsia="宋体" w:hint="default"/>
                <w:sz w:val="20"/>
                <w:szCs w:val="20"/>
              </w:rPr>
              <w:t>日</w:t>
            </w:r>
          </w:p>
        </w:tc>
        <w:tc>
          <w:tcPr>
            <w:tcW w:w="211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0"/>
                <w:szCs w:val="20"/>
              </w:rPr>
            </w:pPr>
            <w:r>
              <w:rPr>
                <w:rFonts w:ascii="宋体" w:hAnsi="宋体" w:cs="宋体" w:eastAsia="宋体" w:hint="default"/>
                <w:sz w:val="20"/>
                <w:szCs w:val="20"/>
              </w:rPr>
              <w:t>调整前</w:t>
            </w:r>
          </w:p>
        </w:tc>
        <w:tc>
          <w:tcPr>
            <w:tcW w:w="210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0"/>
                <w:szCs w:val="20"/>
              </w:rPr>
            </w:pPr>
            <w:r>
              <w:rPr>
                <w:rFonts w:ascii="宋体" w:hAnsi="宋体" w:cs="宋体" w:eastAsia="宋体" w:hint="default"/>
                <w:sz w:val="20"/>
                <w:szCs w:val="20"/>
              </w:rPr>
              <w:t>调整后</w:t>
            </w:r>
          </w:p>
        </w:tc>
        <w:tc>
          <w:tcPr>
            <w:tcW w:w="1829"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33"/>
              <w:ind w:left="508" w:right="0"/>
              <w:jc w:val="left"/>
              <w:rPr>
                <w:rFonts w:ascii="宋体" w:hAnsi="宋体" w:cs="宋体" w:eastAsia="宋体" w:hint="default"/>
                <w:sz w:val="20"/>
                <w:szCs w:val="20"/>
              </w:rPr>
            </w:pPr>
            <w:r>
              <w:rPr>
                <w:rFonts w:ascii="宋体" w:hAnsi="宋体" w:cs="宋体" w:eastAsia="宋体" w:hint="default"/>
                <w:sz w:val="20"/>
                <w:szCs w:val="20"/>
              </w:rPr>
              <w:t>调整金额</w:t>
            </w:r>
          </w:p>
        </w:tc>
      </w:tr>
      <w:tr>
        <w:trPr>
          <w:trHeight w:val="401" w:hRule="exact"/>
        </w:trPr>
        <w:tc>
          <w:tcPr>
            <w:tcW w:w="36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9"/>
              <w:ind w:left="43" w:right="0"/>
              <w:jc w:val="left"/>
              <w:rPr>
                <w:rFonts w:ascii="宋体" w:hAnsi="宋体" w:cs="宋体" w:eastAsia="宋体" w:hint="default"/>
                <w:sz w:val="18"/>
                <w:szCs w:val="18"/>
              </w:rPr>
            </w:pPr>
            <w:r>
              <w:rPr>
                <w:rFonts w:ascii="宋体" w:hAnsi="宋体" w:cs="宋体" w:eastAsia="宋体" w:hint="default"/>
                <w:b/>
                <w:bCs/>
                <w:sz w:val="18"/>
                <w:szCs w:val="18"/>
              </w:rPr>
              <w:t>合并报表：</w:t>
            </w:r>
            <w:r>
              <w:rPr>
                <w:rFonts w:ascii="宋体" w:hAnsi="宋体" w:cs="宋体" w:eastAsia="宋体" w:hint="default"/>
                <w:sz w:val="18"/>
                <w:szCs w:val="18"/>
              </w:rPr>
            </w:r>
          </w:p>
        </w:tc>
        <w:tc>
          <w:tcPr>
            <w:tcW w:w="2112" w:type="dxa"/>
            <w:tcBorders>
              <w:top w:val="single" w:sz="4" w:space="0" w:color="000000"/>
              <w:left w:val="single" w:sz="4" w:space="0" w:color="000000"/>
              <w:bottom w:val="single" w:sz="4" w:space="0" w:color="000000"/>
              <w:right w:val="single" w:sz="4" w:space="0" w:color="000000"/>
            </w:tcBorders>
          </w:tcPr>
          <w:p>
            <w:pPr/>
          </w:p>
        </w:tc>
        <w:tc>
          <w:tcPr>
            <w:tcW w:w="2107" w:type="dxa"/>
            <w:tcBorders>
              <w:top w:val="single" w:sz="4" w:space="0" w:color="000000"/>
              <w:left w:val="single" w:sz="4" w:space="0" w:color="000000"/>
              <w:bottom w:val="single" w:sz="4" w:space="0" w:color="000000"/>
              <w:right w:val="single" w:sz="4" w:space="0" w:color="000000"/>
            </w:tcBorders>
          </w:tcPr>
          <w:p>
            <w:pPr/>
          </w:p>
        </w:tc>
        <w:tc>
          <w:tcPr>
            <w:tcW w:w="1829" w:type="dxa"/>
            <w:tcBorders>
              <w:top w:val="single" w:sz="4" w:space="0" w:color="000000"/>
              <w:left w:val="single" w:sz="4" w:space="0" w:color="000000"/>
              <w:bottom w:val="single" w:sz="4" w:space="0" w:color="000000"/>
              <w:right w:val="nil" w:sz="6" w:space="0" w:color="auto"/>
            </w:tcBorders>
          </w:tcPr>
          <w:p>
            <w:pPr/>
          </w:p>
        </w:tc>
      </w:tr>
      <w:tr>
        <w:trPr>
          <w:trHeight w:val="403" w:hRule="exact"/>
        </w:trPr>
        <w:tc>
          <w:tcPr>
            <w:tcW w:w="36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3"/>
              <w:ind w:left="43" w:right="0"/>
              <w:jc w:val="left"/>
              <w:rPr>
                <w:rFonts w:ascii="宋体" w:hAnsi="宋体" w:cs="宋体" w:eastAsia="宋体" w:hint="default"/>
                <w:sz w:val="20"/>
                <w:szCs w:val="20"/>
              </w:rPr>
            </w:pPr>
            <w:r>
              <w:rPr>
                <w:rFonts w:ascii="宋体" w:hAnsi="宋体" w:cs="宋体" w:eastAsia="宋体" w:hint="default"/>
                <w:sz w:val="20"/>
                <w:szCs w:val="20"/>
              </w:rPr>
              <w:t>应收票据及应收账款</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0"/>
              <w:jc w:val="right"/>
              <w:rPr>
                <w:rFonts w:ascii="Arial" w:hAnsi="Arial" w:cs="Arial" w:eastAsia="Arial" w:hint="default"/>
                <w:sz w:val="18"/>
                <w:szCs w:val="18"/>
              </w:rPr>
            </w:pPr>
            <w:r>
              <w:rPr>
                <w:rFonts w:ascii="Arial"/>
                <w:spacing w:val="-1"/>
                <w:sz w:val="18"/>
              </w:rPr>
              <w:t>625,000,672.55</w:t>
            </w:r>
          </w:p>
        </w:tc>
        <w:tc>
          <w:tcPr>
            <w:tcW w:w="2107" w:type="dxa"/>
            <w:tcBorders>
              <w:top w:val="single" w:sz="4" w:space="0" w:color="000000"/>
              <w:left w:val="single" w:sz="4" w:space="0" w:color="000000"/>
              <w:bottom w:val="single" w:sz="4" w:space="0" w:color="000000"/>
              <w:right w:val="single" w:sz="4" w:space="0" w:color="000000"/>
            </w:tcBorders>
          </w:tcPr>
          <w:p>
            <w:pP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0"/>
              <w:ind w:right="25"/>
              <w:jc w:val="right"/>
              <w:rPr>
                <w:rFonts w:ascii="Arial" w:hAnsi="Arial" w:cs="Arial" w:eastAsia="Arial" w:hint="default"/>
                <w:sz w:val="18"/>
                <w:szCs w:val="18"/>
              </w:rPr>
            </w:pPr>
            <w:r>
              <w:rPr>
                <w:rFonts w:ascii="Arial"/>
                <w:spacing w:val="-1"/>
                <w:sz w:val="18"/>
              </w:rPr>
              <w:t>-625,000,672.55</w:t>
            </w:r>
          </w:p>
        </w:tc>
      </w:tr>
      <w:tr>
        <w:trPr>
          <w:trHeight w:val="401" w:hRule="exact"/>
        </w:trPr>
        <w:tc>
          <w:tcPr>
            <w:tcW w:w="36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3"/>
              <w:ind w:left="43" w:right="0"/>
              <w:jc w:val="left"/>
              <w:rPr>
                <w:rFonts w:ascii="宋体" w:hAnsi="宋体" w:cs="宋体" w:eastAsia="宋体" w:hint="default"/>
                <w:sz w:val="20"/>
                <w:szCs w:val="20"/>
              </w:rPr>
            </w:pPr>
            <w:r>
              <w:rPr>
                <w:rFonts w:ascii="宋体" w:hAnsi="宋体" w:cs="宋体" w:eastAsia="宋体" w:hint="default"/>
                <w:sz w:val="20"/>
                <w:szCs w:val="20"/>
              </w:rPr>
              <w:t>应收账款</w:t>
            </w:r>
          </w:p>
        </w:tc>
        <w:tc>
          <w:tcPr>
            <w:tcW w:w="2112" w:type="dxa"/>
            <w:tcBorders>
              <w:top w:val="single" w:sz="4" w:space="0" w:color="000000"/>
              <w:left w:val="single" w:sz="4" w:space="0" w:color="000000"/>
              <w:bottom w:val="single" w:sz="4" w:space="0" w:color="000000"/>
              <w:right w:val="single" w:sz="4" w:space="0" w:color="000000"/>
            </w:tcBorders>
          </w:tcPr>
          <w:p>
            <w:pP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7"/>
              <w:jc w:val="right"/>
              <w:rPr>
                <w:rFonts w:ascii="Arial" w:hAnsi="Arial" w:cs="Arial" w:eastAsia="Arial" w:hint="default"/>
                <w:sz w:val="18"/>
                <w:szCs w:val="18"/>
              </w:rPr>
            </w:pPr>
            <w:r>
              <w:rPr>
                <w:rFonts w:ascii="Arial"/>
                <w:spacing w:val="-1"/>
                <w:sz w:val="18"/>
              </w:rPr>
              <w:t>625,000,672.55</w:t>
            </w: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0"/>
              <w:ind w:right="25"/>
              <w:jc w:val="right"/>
              <w:rPr>
                <w:rFonts w:ascii="Arial" w:hAnsi="Arial" w:cs="Arial" w:eastAsia="Arial" w:hint="default"/>
                <w:sz w:val="18"/>
                <w:szCs w:val="18"/>
              </w:rPr>
            </w:pPr>
            <w:r>
              <w:rPr>
                <w:rFonts w:ascii="Arial"/>
                <w:spacing w:val="-1"/>
                <w:sz w:val="18"/>
              </w:rPr>
              <w:t>625,000,672.55</w:t>
            </w:r>
          </w:p>
        </w:tc>
      </w:tr>
      <w:tr>
        <w:trPr>
          <w:trHeight w:val="403" w:hRule="exact"/>
        </w:trPr>
        <w:tc>
          <w:tcPr>
            <w:tcW w:w="36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3"/>
              <w:ind w:left="43" w:right="0"/>
              <w:jc w:val="left"/>
              <w:rPr>
                <w:rFonts w:ascii="宋体" w:hAnsi="宋体" w:cs="宋体" w:eastAsia="宋体" w:hint="default"/>
                <w:sz w:val="20"/>
                <w:szCs w:val="20"/>
              </w:rPr>
            </w:pPr>
            <w:r>
              <w:rPr>
                <w:rFonts w:ascii="宋体" w:hAnsi="宋体" w:cs="宋体" w:eastAsia="宋体" w:hint="default"/>
                <w:sz w:val="20"/>
                <w:szCs w:val="20"/>
              </w:rPr>
              <w:t>应付票据及应付账款</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0"/>
              <w:jc w:val="right"/>
              <w:rPr>
                <w:rFonts w:ascii="Arial" w:hAnsi="Arial" w:cs="Arial" w:eastAsia="Arial" w:hint="default"/>
                <w:sz w:val="18"/>
                <w:szCs w:val="18"/>
              </w:rPr>
            </w:pPr>
            <w:r>
              <w:rPr>
                <w:rFonts w:ascii="Arial"/>
                <w:spacing w:val="-1"/>
                <w:sz w:val="18"/>
              </w:rPr>
              <w:t>238,396,689.30</w:t>
            </w:r>
          </w:p>
        </w:tc>
        <w:tc>
          <w:tcPr>
            <w:tcW w:w="2107" w:type="dxa"/>
            <w:tcBorders>
              <w:top w:val="single" w:sz="4" w:space="0" w:color="000000"/>
              <w:left w:val="single" w:sz="4" w:space="0" w:color="000000"/>
              <w:bottom w:val="single" w:sz="4" w:space="0" w:color="000000"/>
              <w:right w:val="single" w:sz="4" w:space="0" w:color="000000"/>
            </w:tcBorders>
          </w:tcPr>
          <w:p>
            <w:pP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0"/>
              <w:ind w:right="25"/>
              <w:jc w:val="right"/>
              <w:rPr>
                <w:rFonts w:ascii="Arial" w:hAnsi="Arial" w:cs="Arial" w:eastAsia="Arial" w:hint="default"/>
                <w:sz w:val="18"/>
                <w:szCs w:val="18"/>
              </w:rPr>
            </w:pPr>
            <w:r>
              <w:rPr>
                <w:rFonts w:ascii="Arial"/>
                <w:spacing w:val="-1"/>
                <w:sz w:val="18"/>
              </w:rPr>
              <w:t>-238,396,689.30</w:t>
            </w:r>
          </w:p>
        </w:tc>
      </w:tr>
      <w:tr>
        <w:trPr>
          <w:trHeight w:val="401" w:hRule="exact"/>
        </w:trPr>
        <w:tc>
          <w:tcPr>
            <w:tcW w:w="36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3"/>
              <w:ind w:left="43" w:right="0"/>
              <w:jc w:val="left"/>
              <w:rPr>
                <w:rFonts w:ascii="宋体" w:hAnsi="宋体" w:cs="宋体" w:eastAsia="宋体" w:hint="default"/>
                <w:sz w:val="20"/>
                <w:szCs w:val="20"/>
              </w:rPr>
            </w:pPr>
            <w:r>
              <w:rPr>
                <w:rFonts w:ascii="宋体" w:hAnsi="宋体" w:cs="宋体" w:eastAsia="宋体" w:hint="default"/>
                <w:sz w:val="20"/>
                <w:szCs w:val="20"/>
              </w:rPr>
              <w:t>应付票据</w:t>
            </w:r>
          </w:p>
        </w:tc>
        <w:tc>
          <w:tcPr>
            <w:tcW w:w="2112" w:type="dxa"/>
            <w:tcBorders>
              <w:top w:val="single" w:sz="4" w:space="0" w:color="000000"/>
              <w:left w:val="single" w:sz="4" w:space="0" w:color="000000"/>
              <w:bottom w:val="single" w:sz="4" w:space="0" w:color="000000"/>
              <w:right w:val="single" w:sz="4" w:space="0" w:color="000000"/>
            </w:tcBorders>
          </w:tcPr>
          <w:p>
            <w:pP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7"/>
              <w:jc w:val="right"/>
              <w:rPr>
                <w:rFonts w:ascii="Arial" w:hAnsi="Arial" w:cs="Arial" w:eastAsia="Arial" w:hint="default"/>
                <w:sz w:val="18"/>
                <w:szCs w:val="18"/>
              </w:rPr>
            </w:pPr>
            <w:r>
              <w:rPr>
                <w:rFonts w:ascii="Arial"/>
                <w:spacing w:val="-1"/>
                <w:sz w:val="18"/>
              </w:rPr>
              <w:t>78,812,370.00</w:t>
            </w: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0"/>
              <w:ind w:right="24"/>
              <w:jc w:val="right"/>
              <w:rPr>
                <w:rFonts w:ascii="Arial" w:hAnsi="Arial" w:cs="Arial" w:eastAsia="Arial" w:hint="default"/>
                <w:sz w:val="18"/>
                <w:szCs w:val="18"/>
              </w:rPr>
            </w:pPr>
            <w:r>
              <w:rPr>
                <w:rFonts w:ascii="Arial"/>
                <w:spacing w:val="-1"/>
                <w:sz w:val="18"/>
              </w:rPr>
              <w:t>78,812,370.00</w:t>
            </w:r>
          </w:p>
        </w:tc>
      </w:tr>
      <w:tr>
        <w:trPr>
          <w:trHeight w:val="403" w:hRule="exact"/>
        </w:trPr>
        <w:tc>
          <w:tcPr>
            <w:tcW w:w="36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3"/>
              <w:ind w:left="43" w:right="0"/>
              <w:jc w:val="left"/>
              <w:rPr>
                <w:rFonts w:ascii="宋体" w:hAnsi="宋体" w:cs="宋体" w:eastAsia="宋体" w:hint="default"/>
                <w:sz w:val="20"/>
                <w:szCs w:val="20"/>
              </w:rPr>
            </w:pPr>
            <w:r>
              <w:rPr>
                <w:rFonts w:ascii="宋体" w:hAnsi="宋体" w:cs="宋体" w:eastAsia="宋体" w:hint="default"/>
                <w:sz w:val="20"/>
                <w:szCs w:val="20"/>
              </w:rPr>
              <w:t>应付账款</w:t>
            </w:r>
          </w:p>
        </w:tc>
        <w:tc>
          <w:tcPr>
            <w:tcW w:w="2112" w:type="dxa"/>
            <w:tcBorders>
              <w:top w:val="single" w:sz="4" w:space="0" w:color="000000"/>
              <w:left w:val="single" w:sz="4" w:space="0" w:color="000000"/>
              <w:bottom w:val="single" w:sz="4" w:space="0" w:color="000000"/>
              <w:right w:val="single" w:sz="4" w:space="0" w:color="000000"/>
            </w:tcBorders>
          </w:tcPr>
          <w:p>
            <w:pP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7"/>
              <w:jc w:val="right"/>
              <w:rPr>
                <w:rFonts w:ascii="Arial" w:hAnsi="Arial" w:cs="Arial" w:eastAsia="Arial" w:hint="default"/>
                <w:sz w:val="18"/>
                <w:szCs w:val="18"/>
              </w:rPr>
            </w:pPr>
            <w:r>
              <w:rPr>
                <w:rFonts w:ascii="Arial"/>
                <w:spacing w:val="-1"/>
                <w:sz w:val="18"/>
              </w:rPr>
              <w:t>159,584,319.30</w:t>
            </w: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0"/>
              <w:ind w:right="25"/>
              <w:jc w:val="right"/>
              <w:rPr>
                <w:rFonts w:ascii="Arial" w:hAnsi="Arial" w:cs="Arial" w:eastAsia="Arial" w:hint="default"/>
                <w:sz w:val="18"/>
                <w:szCs w:val="18"/>
              </w:rPr>
            </w:pPr>
            <w:r>
              <w:rPr>
                <w:rFonts w:ascii="Arial"/>
                <w:spacing w:val="-1"/>
                <w:sz w:val="18"/>
              </w:rPr>
              <w:t>159,584,319.30</w:t>
            </w:r>
          </w:p>
        </w:tc>
      </w:tr>
      <w:tr>
        <w:trPr>
          <w:trHeight w:val="401" w:hRule="exact"/>
        </w:trPr>
        <w:tc>
          <w:tcPr>
            <w:tcW w:w="36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3"/>
              <w:ind w:left="43" w:right="0"/>
              <w:jc w:val="left"/>
              <w:rPr>
                <w:rFonts w:ascii="宋体" w:hAnsi="宋体" w:cs="宋体" w:eastAsia="宋体" w:hint="default"/>
                <w:sz w:val="20"/>
                <w:szCs w:val="20"/>
              </w:rPr>
            </w:pPr>
            <w:r>
              <w:rPr>
                <w:rFonts w:ascii="宋体" w:hAnsi="宋体" w:cs="宋体" w:eastAsia="宋体" w:hint="default"/>
                <w:sz w:val="20"/>
                <w:szCs w:val="20"/>
              </w:rPr>
              <w:t>管理费用</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0"/>
              <w:jc w:val="right"/>
              <w:rPr>
                <w:rFonts w:ascii="Arial" w:hAnsi="Arial" w:cs="Arial" w:eastAsia="Arial" w:hint="default"/>
                <w:sz w:val="18"/>
                <w:szCs w:val="18"/>
              </w:rPr>
            </w:pPr>
            <w:r>
              <w:rPr>
                <w:rFonts w:ascii="Arial"/>
                <w:spacing w:val="-1"/>
                <w:sz w:val="18"/>
              </w:rPr>
              <w:t>246,412,935.07</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7"/>
              <w:jc w:val="right"/>
              <w:rPr>
                <w:rFonts w:ascii="Arial" w:hAnsi="Arial" w:cs="Arial" w:eastAsia="Arial" w:hint="default"/>
                <w:sz w:val="18"/>
                <w:szCs w:val="18"/>
              </w:rPr>
            </w:pPr>
            <w:r>
              <w:rPr>
                <w:rFonts w:ascii="Arial"/>
                <w:spacing w:val="-1"/>
                <w:sz w:val="18"/>
              </w:rPr>
              <w:t>230,761,354.44</w:t>
            </w: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0"/>
              <w:ind w:right="24"/>
              <w:jc w:val="right"/>
              <w:rPr>
                <w:rFonts w:ascii="Arial" w:hAnsi="Arial" w:cs="Arial" w:eastAsia="Arial" w:hint="default"/>
                <w:sz w:val="18"/>
                <w:szCs w:val="18"/>
              </w:rPr>
            </w:pPr>
            <w:r>
              <w:rPr>
                <w:rFonts w:ascii="Arial"/>
                <w:spacing w:val="-1"/>
                <w:sz w:val="18"/>
              </w:rPr>
              <w:t>-15,651,580.63</w:t>
            </w:r>
          </w:p>
        </w:tc>
      </w:tr>
      <w:tr>
        <w:trPr>
          <w:trHeight w:val="403" w:hRule="exact"/>
        </w:trPr>
        <w:tc>
          <w:tcPr>
            <w:tcW w:w="36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3"/>
              <w:ind w:left="43" w:right="0"/>
              <w:jc w:val="left"/>
              <w:rPr>
                <w:rFonts w:ascii="宋体" w:hAnsi="宋体" w:cs="宋体" w:eastAsia="宋体" w:hint="default"/>
                <w:sz w:val="20"/>
                <w:szCs w:val="20"/>
              </w:rPr>
            </w:pPr>
            <w:r>
              <w:rPr>
                <w:rFonts w:ascii="宋体" w:hAnsi="宋体" w:cs="宋体" w:eastAsia="宋体" w:hint="default"/>
                <w:sz w:val="20"/>
                <w:szCs w:val="20"/>
              </w:rPr>
              <w:t>研发费用</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0"/>
              <w:jc w:val="right"/>
              <w:rPr>
                <w:rFonts w:ascii="Arial" w:hAnsi="Arial" w:cs="Arial" w:eastAsia="Arial" w:hint="default"/>
                <w:sz w:val="18"/>
                <w:szCs w:val="18"/>
              </w:rPr>
            </w:pPr>
            <w:r>
              <w:rPr>
                <w:rFonts w:ascii="Arial"/>
                <w:spacing w:val="-1"/>
                <w:sz w:val="18"/>
              </w:rPr>
              <w:t>223,666,196.45</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7"/>
              <w:jc w:val="right"/>
              <w:rPr>
                <w:rFonts w:ascii="Arial" w:hAnsi="Arial" w:cs="Arial" w:eastAsia="Arial" w:hint="default"/>
                <w:sz w:val="18"/>
                <w:szCs w:val="18"/>
              </w:rPr>
            </w:pPr>
            <w:r>
              <w:rPr>
                <w:rFonts w:ascii="Arial"/>
                <w:spacing w:val="-1"/>
                <w:sz w:val="18"/>
              </w:rPr>
              <w:t>239,317,777.08</w:t>
            </w: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0"/>
              <w:ind w:right="24"/>
              <w:jc w:val="right"/>
              <w:rPr>
                <w:rFonts w:ascii="Arial" w:hAnsi="Arial" w:cs="Arial" w:eastAsia="Arial" w:hint="default"/>
                <w:sz w:val="18"/>
                <w:szCs w:val="18"/>
              </w:rPr>
            </w:pPr>
            <w:r>
              <w:rPr>
                <w:rFonts w:ascii="Arial"/>
                <w:spacing w:val="-1"/>
                <w:sz w:val="18"/>
              </w:rPr>
              <w:t>15,651,580.63</w:t>
            </w:r>
          </w:p>
        </w:tc>
      </w:tr>
      <w:tr>
        <w:trPr>
          <w:trHeight w:val="401" w:hRule="exact"/>
        </w:trPr>
        <w:tc>
          <w:tcPr>
            <w:tcW w:w="36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9"/>
              <w:ind w:left="43" w:right="0"/>
              <w:jc w:val="left"/>
              <w:rPr>
                <w:rFonts w:ascii="宋体" w:hAnsi="宋体" w:cs="宋体" w:eastAsia="宋体" w:hint="default"/>
                <w:sz w:val="18"/>
                <w:szCs w:val="18"/>
              </w:rPr>
            </w:pPr>
            <w:r>
              <w:rPr>
                <w:rFonts w:ascii="宋体" w:hAnsi="宋体" w:cs="宋体" w:eastAsia="宋体" w:hint="default"/>
                <w:b/>
                <w:bCs/>
                <w:sz w:val="18"/>
                <w:szCs w:val="18"/>
              </w:rPr>
              <w:t>公司报表：</w:t>
            </w:r>
            <w:r>
              <w:rPr>
                <w:rFonts w:ascii="宋体" w:hAnsi="宋体" w:cs="宋体" w:eastAsia="宋体" w:hint="default"/>
                <w:sz w:val="18"/>
                <w:szCs w:val="18"/>
              </w:rPr>
            </w:r>
          </w:p>
        </w:tc>
        <w:tc>
          <w:tcPr>
            <w:tcW w:w="2112" w:type="dxa"/>
            <w:tcBorders>
              <w:top w:val="single" w:sz="4" w:space="0" w:color="000000"/>
              <w:left w:val="single" w:sz="4" w:space="0" w:color="000000"/>
              <w:bottom w:val="single" w:sz="4" w:space="0" w:color="000000"/>
              <w:right w:val="single" w:sz="4" w:space="0" w:color="000000"/>
            </w:tcBorders>
          </w:tcPr>
          <w:p>
            <w:pPr/>
          </w:p>
        </w:tc>
        <w:tc>
          <w:tcPr>
            <w:tcW w:w="2107" w:type="dxa"/>
            <w:tcBorders>
              <w:top w:val="single" w:sz="4" w:space="0" w:color="000000"/>
              <w:left w:val="single" w:sz="4" w:space="0" w:color="000000"/>
              <w:bottom w:val="single" w:sz="4" w:space="0" w:color="000000"/>
              <w:right w:val="single" w:sz="4" w:space="0" w:color="000000"/>
            </w:tcBorders>
          </w:tcPr>
          <w:p>
            <w:pPr/>
          </w:p>
        </w:tc>
        <w:tc>
          <w:tcPr>
            <w:tcW w:w="1829" w:type="dxa"/>
            <w:tcBorders>
              <w:top w:val="single" w:sz="4" w:space="0" w:color="000000"/>
              <w:left w:val="single" w:sz="4" w:space="0" w:color="000000"/>
              <w:bottom w:val="single" w:sz="4" w:space="0" w:color="000000"/>
              <w:right w:val="nil" w:sz="6" w:space="0" w:color="auto"/>
            </w:tcBorders>
          </w:tcPr>
          <w:p>
            <w:pPr/>
          </w:p>
        </w:tc>
      </w:tr>
      <w:tr>
        <w:trPr>
          <w:trHeight w:val="403" w:hRule="exact"/>
        </w:trPr>
        <w:tc>
          <w:tcPr>
            <w:tcW w:w="36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3"/>
              <w:ind w:left="43" w:right="0"/>
              <w:jc w:val="left"/>
              <w:rPr>
                <w:rFonts w:ascii="宋体" w:hAnsi="宋体" w:cs="宋体" w:eastAsia="宋体" w:hint="default"/>
                <w:sz w:val="20"/>
                <w:szCs w:val="20"/>
              </w:rPr>
            </w:pPr>
            <w:r>
              <w:rPr>
                <w:rFonts w:ascii="宋体" w:hAnsi="宋体" w:cs="宋体" w:eastAsia="宋体" w:hint="default"/>
                <w:sz w:val="20"/>
                <w:szCs w:val="20"/>
              </w:rPr>
              <w:t>应收票据及应收账款</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0"/>
              <w:jc w:val="right"/>
              <w:rPr>
                <w:rFonts w:ascii="Arial" w:hAnsi="Arial" w:cs="Arial" w:eastAsia="Arial" w:hint="default"/>
                <w:sz w:val="18"/>
                <w:szCs w:val="18"/>
              </w:rPr>
            </w:pPr>
            <w:r>
              <w:rPr>
                <w:rFonts w:ascii="Arial"/>
                <w:spacing w:val="-1"/>
                <w:sz w:val="18"/>
              </w:rPr>
              <w:t>472,718,923.83</w:t>
            </w:r>
          </w:p>
        </w:tc>
        <w:tc>
          <w:tcPr>
            <w:tcW w:w="2107" w:type="dxa"/>
            <w:tcBorders>
              <w:top w:val="single" w:sz="4" w:space="0" w:color="000000"/>
              <w:left w:val="single" w:sz="4" w:space="0" w:color="000000"/>
              <w:bottom w:val="single" w:sz="4" w:space="0" w:color="000000"/>
              <w:right w:val="single" w:sz="4" w:space="0" w:color="000000"/>
            </w:tcBorders>
          </w:tcPr>
          <w:p>
            <w:pP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0"/>
              <w:ind w:right="25"/>
              <w:jc w:val="right"/>
              <w:rPr>
                <w:rFonts w:ascii="Arial" w:hAnsi="Arial" w:cs="Arial" w:eastAsia="Arial" w:hint="default"/>
                <w:sz w:val="18"/>
                <w:szCs w:val="18"/>
              </w:rPr>
            </w:pPr>
            <w:r>
              <w:rPr>
                <w:rFonts w:ascii="Arial"/>
                <w:spacing w:val="-1"/>
                <w:sz w:val="18"/>
              </w:rPr>
              <w:t>-472,718,923.83</w:t>
            </w:r>
          </w:p>
        </w:tc>
      </w:tr>
      <w:tr>
        <w:trPr>
          <w:trHeight w:val="401" w:hRule="exact"/>
        </w:trPr>
        <w:tc>
          <w:tcPr>
            <w:tcW w:w="36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3"/>
              <w:ind w:left="43" w:right="0"/>
              <w:jc w:val="left"/>
              <w:rPr>
                <w:rFonts w:ascii="宋体" w:hAnsi="宋体" w:cs="宋体" w:eastAsia="宋体" w:hint="default"/>
                <w:sz w:val="20"/>
                <w:szCs w:val="20"/>
              </w:rPr>
            </w:pPr>
            <w:r>
              <w:rPr>
                <w:rFonts w:ascii="宋体" w:hAnsi="宋体" w:cs="宋体" w:eastAsia="宋体" w:hint="default"/>
                <w:sz w:val="20"/>
                <w:szCs w:val="20"/>
              </w:rPr>
              <w:t>应收账款</w:t>
            </w:r>
          </w:p>
        </w:tc>
        <w:tc>
          <w:tcPr>
            <w:tcW w:w="2112" w:type="dxa"/>
            <w:tcBorders>
              <w:top w:val="single" w:sz="4" w:space="0" w:color="000000"/>
              <w:left w:val="single" w:sz="4" w:space="0" w:color="000000"/>
              <w:bottom w:val="single" w:sz="4" w:space="0" w:color="000000"/>
              <w:right w:val="single" w:sz="4" w:space="0" w:color="000000"/>
            </w:tcBorders>
          </w:tcPr>
          <w:p>
            <w:pP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7"/>
              <w:jc w:val="right"/>
              <w:rPr>
                <w:rFonts w:ascii="Arial" w:hAnsi="Arial" w:cs="Arial" w:eastAsia="Arial" w:hint="default"/>
                <w:sz w:val="18"/>
                <w:szCs w:val="18"/>
              </w:rPr>
            </w:pPr>
            <w:r>
              <w:rPr>
                <w:rFonts w:ascii="Arial"/>
                <w:spacing w:val="-1"/>
                <w:sz w:val="18"/>
              </w:rPr>
              <w:t>472,718,923.83</w:t>
            </w: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0"/>
              <w:ind w:right="25"/>
              <w:jc w:val="right"/>
              <w:rPr>
                <w:rFonts w:ascii="Arial" w:hAnsi="Arial" w:cs="Arial" w:eastAsia="Arial" w:hint="default"/>
                <w:sz w:val="18"/>
                <w:szCs w:val="18"/>
              </w:rPr>
            </w:pPr>
            <w:r>
              <w:rPr>
                <w:rFonts w:ascii="Arial"/>
                <w:spacing w:val="-1"/>
                <w:sz w:val="18"/>
              </w:rPr>
              <w:t>472,718,923.83</w:t>
            </w:r>
          </w:p>
        </w:tc>
      </w:tr>
      <w:tr>
        <w:trPr>
          <w:trHeight w:val="403" w:hRule="exact"/>
        </w:trPr>
        <w:tc>
          <w:tcPr>
            <w:tcW w:w="36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3"/>
              <w:ind w:left="43" w:right="0"/>
              <w:jc w:val="left"/>
              <w:rPr>
                <w:rFonts w:ascii="宋体" w:hAnsi="宋体" w:cs="宋体" w:eastAsia="宋体" w:hint="default"/>
                <w:sz w:val="20"/>
                <w:szCs w:val="20"/>
              </w:rPr>
            </w:pPr>
            <w:r>
              <w:rPr>
                <w:rFonts w:ascii="宋体" w:hAnsi="宋体" w:cs="宋体" w:eastAsia="宋体" w:hint="default"/>
                <w:sz w:val="20"/>
                <w:szCs w:val="20"/>
              </w:rPr>
              <w:t>应付票据及应付账款</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0"/>
              <w:jc w:val="right"/>
              <w:rPr>
                <w:rFonts w:ascii="Arial" w:hAnsi="Arial" w:cs="Arial" w:eastAsia="Arial" w:hint="default"/>
                <w:sz w:val="18"/>
                <w:szCs w:val="18"/>
              </w:rPr>
            </w:pPr>
            <w:r>
              <w:rPr>
                <w:rFonts w:ascii="Arial"/>
                <w:spacing w:val="-1"/>
                <w:sz w:val="18"/>
              </w:rPr>
              <w:t>210,089,741.40</w:t>
            </w:r>
          </w:p>
        </w:tc>
        <w:tc>
          <w:tcPr>
            <w:tcW w:w="2107" w:type="dxa"/>
            <w:tcBorders>
              <w:top w:val="single" w:sz="4" w:space="0" w:color="000000"/>
              <w:left w:val="single" w:sz="4" w:space="0" w:color="000000"/>
              <w:bottom w:val="single" w:sz="4" w:space="0" w:color="000000"/>
              <w:right w:val="single" w:sz="4" w:space="0" w:color="000000"/>
            </w:tcBorders>
          </w:tcPr>
          <w:p>
            <w:pP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0"/>
              <w:ind w:right="25"/>
              <w:jc w:val="right"/>
              <w:rPr>
                <w:rFonts w:ascii="Arial" w:hAnsi="Arial" w:cs="Arial" w:eastAsia="Arial" w:hint="default"/>
                <w:sz w:val="18"/>
                <w:szCs w:val="18"/>
              </w:rPr>
            </w:pPr>
            <w:r>
              <w:rPr>
                <w:rFonts w:ascii="Arial"/>
                <w:spacing w:val="-1"/>
                <w:sz w:val="18"/>
              </w:rPr>
              <w:t>-210,089,741.40</w:t>
            </w:r>
          </w:p>
        </w:tc>
      </w:tr>
      <w:tr>
        <w:trPr>
          <w:trHeight w:val="401" w:hRule="exact"/>
        </w:trPr>
        <w:tc>
          <w:tcPr>
            <w:tcW w:w="36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3"/>
              <w:ind w:left="43" w:right="0"/>
              <w:jc w:val="left"/>
              <w:rPr>
                <w:rFonts w:ascii="宋体" w:hAnsi="宋体" w:cs="宋体" w:eastAsia="宋体" w:hint="default"/>
                <w:sz w:val="20"/>
                <w:szCs w:val="20"/>
              </w:rPr>
            </w:pPr>
            <w:r>
              <w:rPr>
                <w:rFonts w:ascii="宋体" w:hAnsi="宋体" w:cs="宋体" w:eastAsia="宋体" w:hint="default"/>
                <w:sz w:val="20"/>
                <w:szCs w:val="20"/>
              </w:rPr>
              <w:t>应付票据</w:t>
            </w:r>
          </w:p>
        </w:tc>
        <w:tc>
          <w:tcPr>
            <w:tcW w:w="2112" w:type="dxa"/>
            <w:tcBorders>
              <w:top w:val="single" w:sz="4" w:space="0" w:color="000000"/>
              <w:left w:val="single" w:sz="4" w:space="0" w:color="000000"/>
              <w:bottom w:val="single" w:sz="4" w:space="0" w:color="000000"/>
              <w:right w:val="single" w:sz="4" w:space="0" w:color="000000"/>
            </w:tcBorders>
          </w:tcPr>
          <w:p>
            <w:pP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7"/>
              <w:jc w:val="right"/>
              <w:rPr>
                <w:rFonts w:ascii="Arial" w:hAnsi="Arial" w:cs="Arial" w:eastAsia="Arial" w:hint="default"/>
                <w:sz w:val="18"/>
                <w:szCs w:val="18"/>
              </w:rPr>
            </w:pPr>
            <w:r>
              <w:rPr>
                <w:rFonts w:ascii="Arial"/>
                <w:spacing w:val="-1"/>
                <w:sz w:val="18"/>
              </w:rPr>
              <w:t>78,812,370.00</w:t>
            </w: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0"/>
              <w:ind w:right="24"/>
              <w:jc w:val="right"/>
              <w:rPr>
                <w:rFonts w:ascii="Arial" w:hAnsi="Arial" w:cs="Arial" w:eastAsia="Arial" w:hint="default"/>
                <w:sz w:val="18"/>
                <w:szCs w:val="18"/>
              </w:rPr>
            </w:pPr>
            <w:r>
              <w:rPr>
                <w:rFonts w:ascii="Arial"/>
                <w:spacing w:val="-1"/>
                <w:sz w:val="18"/>
              </w:rPr>
              <w:t>78,812,370.00</w:t>
            </w:r>
          </w:p>
        </w:tc>
      </w:tr>
      <w:tr>
        <w:trPr>
          <w:trHeight w:val="403" w:hRule="exact"/>
        </w:trPr>
        <w:tc>
          <w:tcPr>
            <w:tcW w:w="36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3"/>
              <w:ind w:left="43" w:right="0"/>
              <w:jc w:val="left"/>
              <w:rPr>
                <w:rFonts w:ascii="宋体" w:hAnsi="宋体" w:cs="宋体" w:eastAsia="宋体" w:hint="default"/>
                <w:sz w:val="20"/>
                <w:szCs w:val="20"/>
              </w:rPr>
            </w:pPr>
            <w:r>
              <w:rPr>
                <w:rFonts w:ascii="宋体" w:hAnsi="宋体" w:cs="宋体" w:eastAsia="宋体" w:hint="default"/>
                <w:sz w:val="20"/>
                <w:szCs w:val="20"/>
              </w:rPr>
              <w:t>应付账款</w:t>
            </w:r>
          </w:p>
        </w:tc>
        <w:tc>
          <w:tcPr>
            <w:tcW w:w="2112" w:type="dxa"/>
            <w:tcBorders>
              <w:top w:val="single" w:sz="4" w:space="0" w:color="000000"/>
              <w:left w:val="single" w:sz="4" w:space="0" w:color="000000"/>
              <w:bottom w:val="single" w:sz="4" w:space="0" w:color="000000"/>
              <w:right w:val="single" w:sz="4" w:space="0" w:color="000000"/>
            </w:tcBorders>
          </w:tcPr>
          <w:p>
            <w:pP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7"/>
              <w:jc w:val="right"/>
              <w:rPr>
                <w:rFonts w:ascii="Arial" w:hAnsi="Arial" w:cs="Arial" w:eastAsia="Arial" w:hint="default"/>
                <w:sz w:val="18"/>
                <w:szCs w:val="18"/>
              </w:rPr>
            </w:pPr>
            <w:r>
              <w:rPr>
                <w:rFonts w:ascii="Arial"/>
                <w:spacing w:val="-1"/>
                <w:sz w:val="18"/>
              </w:rPr>
              <w:t>131,277,371.40</w:t>
            </w: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0"/>
              <w:ind w:right="25"/>
              <w:jc w:val="right"/>
              <w:rPr>
                <w:rFonts w:ascii="Arial" w:hAnsi="Arial" w:cs="Arial" w:eastAsia="Arial" w:hint="default"/>
                <w:sz w:val="18"/>
                <w:szCs w:val="18"/>
              </w:rPr>
            </w:pPr>
            <w:r>
              <w:rPr>
                <w:rFonts w:ascii="Arial"/>
                <w:spacing w:val="-1"/>
                <w:sz w:val="18"/>
              </w:rPr>
              <w:t>131,277,371.40</w:t>
            </w:r>
          </w:p>
        </w:tc>
      </w:tr>
      <w:tr>
        <w:trPr>
          <w:trHeight w:val="401" w:hRule="exact"/>
        </w:trPr>
        <w:tc>
          <w:tcPr>
            <w:tcW w:w="36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3"/>
              <w:ind w:left="43" w:right="0"/>
              <w:jc w:val="left"/>
              <w:rPr>
                <w:rFonts w:ascii="宋体" w:hAnsi="宋体" w:cs="宋体" w:eastAsia="宋体" w:hint="default"/>
                <w:sz w:val="20"/>
                <w:szCs w:val="20"/>
              </w:rPr>
            </w:pPr>
            <w:r>
              <w:rPr>
                <w:rFonts w:ascii="宋体" w:hAnsi="宋体" w:cs="宋体" w:eastAsia="宋体" w:hint="default"/>
                <w:sz w:val="20"/>
                <w:szCs w:val="20"/>
              </w:rPr>
              <w:t>管理费用</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0"/>
              <w:jc w:val="right"/>
              <w:rPr>
                <w:rFonts w:ascii="Arial" w:hAnsi="Arial" w:cs="Arial" w:eastAsia="Arial" w:hint="default"/>
                <w:sz w:val="18"/>
                <w:szCs w:val="18"/>
              </w:rPr>
            </w:pPr>
            <w:r>
              <w:rPr>
                <w:rFonts w:ascii="Arial"/>
                <w:spacing w:val="-1"/>
                <w:sz w:val="18"/>
              </w:rPr>
              <w:t>151,960,520.88</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0"/>
              <w:jc w:val="right"/>
              <w:rPr>
                <w:rFonts w:ascii="Arial" w:hAnsi="Arial" w:cs="Arial" w:eastAsia="Arial" w:hint="default"/>
                <w:sz w:val="18"/>
                <w:szCs w:val="18"/>
              </w:rPr>
            </w:pPr>
            <w:r>
              <w:rPr>
                <w:rFonts w:ascii="Arial"/>
                <w:spacing w:val="-1"/>
                <w:sz w:val="18"/>
              </w:rPr>
              <w:t>138,151,364.09</w:t>
            </w: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0"/>
              <w:ind w:right="24"/>
              <w:jc w:val="right"/>
              <w:rPr>
                <w:rFonts w:ascii="Arial" w:hAnsi="Arial" w:cs="Arial" w:eastAsia="Arial" w:hint="default"/>
                <w:sz w:val="18"/>
                <w:szCs w:val="18"/>
              </w:rPr>
            </w:pPr>
            <w:r>
              <w:rPr>
                <w:rFonts w:ascii="Arial"/>
                <w:spacing w:val="-1"/>
                <w:sz w:val="18"/>
              </w:rPr>
              <w:t>-13,809,156.79</w:t>
            </w:r>
          </w:p>
        </w:tc>
      </w:tr>
      <w:tr>
        <w:trPr>
          <w:trHeight w:val="413" w:hRule="exact"/>
        </w:trPr>
        <w:tc>
          <w:tcPr>
            <w:tcW w:w="3662"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33"/>
              <w:ind w:left="43" w:right="0"/>
              <w:jc w:val="left"/>
              <w:rPr>
                <w:rFonts w:ascii="宋体" w:hAnsi="宋体" w:cs="宋体" w:eastAsia="宋体" w:hint="default"/>
                <w:sz w:val="20"/>
                <w:szCs w:val="20"/>
              </w:rPr>
            </w:pPr>
            <w:r>
              <w:rPr>
                <w:rFonts w:ascii="宋体" w:hAnsi="宋体" w:cs="宋体" w:eastAsia="宋体" w:hint="default"/>
                <w:sz w:val="20"/>
                <w:szCs w:val="20"/>
              </w:rPr>
              <w:t>研发费用</w:t>
            </w:r>
          </w:p>
        </w:tc>
        <w:tc>
          <w:tcPr>
            <w:tcW w:w="211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0"/>
              <w:ind w:right="20"/>
              <w:jc w:val="right"/>
              <w:rPr>
                <w:rFonts w:ascii="Arial" w:hAnsi="Arial" w:cs="Arial" w:eastAsia="Arial" w:hint="default"/>
                <w:sz w:val="18"/>
                <w:szCs w:val="18"/>
              </w:rPr>
            </w:pPr>
            <w:r>
              <w:rPr>
                <w:rFonts w:ascii="Arial"/>
                <w:spacing w:val="-1"/>
                <w:sz w:val="18"/>
              </w:rPr>
              <w:t>127,148,999.66</w:t>
            </w:r>
          </w:p>
        </w:tc>
        <w:tc>
          <w:tcPr>
            <w:tcW w:w="210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0"/>
              <w:ind w:right="20"/>
              <w:jc w:val="right"/>
              <w:rPr>
                <w:rFonts w:ascii="Arial" w:hAnsi="Arial" w:cs="Arial" w:eastAsia="Arial" w:hint="default"/>
                <w:sz w:val="18"/>
                <w:szCs w:val="18"/>
              </w:rPr>
            </w:pPr>
            <w:r>
              <w:rPr>
                <w:rFonts w:ascii="Arial"/>
                <w:spacing w:val="-1"/>
                <w:sz w:val="18"/>
              </w:rPr>
              <w:t>140,958,156.45</w:t>
            </w:r>
          </w:p>
        </w:tc>
        <w:tc>
          <w:tcPr>
            <w:tcW w:w="1829"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90"/>
              <w:ind w:right="24"/>
              <w:jc w:val="right"/>
              <w:rPr>
                <w:rFonts w:ascii="Arial" w:hAnsi="Arial" w:cs="Arial" w:eastAsia="Arial" w:hint="default"/>
                <w:sz w:val="18"/>
                <w:szCs w:val="18"/>
              </w:rPr>
            </w:pPr>
            <w:r>
              <w:rPr>
                <w:rFonts w:ascii="Arial"/>
                <w:spacing w:val="-1"/>
                <w:sz w:val="18"/>
              </w:rPr>
              <w:t>13,809,156.79</w:t>
            </w:r>
          </w:p>
        </w:tc>
      </w:tr>
    </w:tbl>
    <w:p>
      <w:pPr>
        <w:pStyle w:val="BodyText"/>
        <w:spacing w:line="240" w:lineRule="auto" w:before="64"/>
        <w:ind w:left="592" w:right="0"/>
        <w:jc w:val="left"/>
      </w:pPr>
      <w:r>
        <w:rPr/>
        <w:t>（</w:t>
      </w:r>
      <w:r>
        <w:rPr>
          <w:rFonts w:ascii="宋体" w:hAnsi="宋体" w:cs="宋体" w:eastAsia="宋体" w:hint="default"/>
        </w:rPr>
        <w:t>3</w:t>
      </w:r>
      <w:r>
        <w:rPr/>
        <w:t>）非货币性资产交换</w:t>
      </w:r>
    </w:p>
    <w:p>
      <w:pPr>
        <w:spacing w:line="240" w:lineRule="auto" w:before="10"/>
        <w:rPr>
          <w:rFonts w:ascii="宋体" w:hAnsi="宋体" w:cs="宋体" w:eastAsia="宋体" w:hint="default"/>
          <w:sz w:val="14"/>
          <w:szCs w:val="14"/>
        </w:rPr>
      </w:pPr>
    </w:p>
    <w:p>
      <w:pPr>
        <w:pStyle w:val="BodyText"/>
        <w:spacing w:line="408" w:lineRule="auto" w:before="0"/>
        <w:ind w:left="172" w:right="0" w:firstLine="420"/>
        <w:jc w:val="left"/>
      </w:pPr>
      <w:r>
        <w:rPr>
          <w:rFonts w:ascii="宋体" w:hAnsi="宋体" w:cs="宋体" w:eastAsia="宋体" w:hint="default"/>
        </w:rPr>
        <w:t>A</w:t>
      </w:r>
      <w:r>
        <w:rPr/>
        <w:t>、重新明确了非货币性资产交换的概念和应适用其他准则的情形，明确了货币性资产是指企业持有</w:t>
      </w:r>
      <w:r>
        <w:rPr>
          <w:w w:val="100"/>
        </w:rPr>
        <w:t> </w:t>
      </w:r>
      <w:r>
        <w:rPr/>
        <w:t>的货币资金和收取固定或可确定金额的货币资金的权利。</w:t>
      </w:r>
    </w:p>
    <w:p>
      <w:pPr>
        <w:pStyle w:val="BodyText"/>
        <w:spacing w:line="408" w:lineRule="auto"/>
        <w:ind w:left="172" w:right="0" w:firstLine="420"/>
        <w:jc w:val="left"/>
      </w:pPr>
      <w:r>
        <w:rPr>
          <w:rFonts w:ascii="宋体" w:hAnsi="宋体" w:cs="宋体" w:eastAsia="宋体" w:hint="default"/>
        </w:rPr>
        <w:t>B</w:t>
      </w:r>
      <w:r>
        <w:rPr/>
        <w:t>、明确了非货币性资产交换的确认时点。对于换入资产，企业应当在换入资产符合资产定义并满足</w:t>
      </w:r>
      <w:r>
        <w:rPr>
          <w:w w:val="100"/>
        </w:rPr>
        <w:t> </w:t>
      </w:r>
      <w:r>
        <w:rPr/>
        <w:t>资产确认条件时予以确认；对于换出资产，企业应当在换出资产满足资产终止确认条件时终止确认。</w:t>
      </w:r>
    </w:p>
    <w:p>
      <w:pPr>
        <w:pStyle w:val="BodyText"/>
        <w:spacing w:line="408" w:lineRule="auto"/>
        <w:ind w:left="592" w:right="0"/>
        <w:jc w:val="left"/>
      </w:pPr>
      <w:r>
        <w:rPr>
          <w:rFonts w:ascii="宋体" w:hAnsi="宋体" w:cs="宋体" w:eastAsia="宋体" w:hint="default"/>
          <w:spacing w:val="-2"/>
        </w:rPr>
        <w:t>C</w:t>
      </w:r>
      <w:r>
        <w:rPr>
          <w:spacing w:val="-2"/>
        </w:rPr>
        <w:t>、明确了不同条件下非货币交换的价值计量基础和核算方法及相关信息披露要求等。</w:t>
      </w:r>
      <w:r>
        <w:rPr>
          <w:spacing w:val="-35"/>
        </w:rPr>
        <w:t> </w:t>
      </w:r>
      <w:r>
        <w:rPr>
          <w:spacing w:val="-35"/>
        </w:rPr>
      </w:r>
      <w:r>
        <w:rPr/>
        <w:t>该准则的变化不影响公司净资产、净利润等财务指标。</w:t>
      </w:r>
    </w:p>
    <w:p>
      <w:pPr>
        <w:pStyle w:val="BodyText"/>
        <w:spacing w:line="240" w:lineRule="auto"/>
        <w:ind w:left="592" w:right="0"/>
        <w:jc w:val="left"/>
      </w:pPr>
      <w:r>
        <w:rPr/>
        <w:t>（</w:t>
      </w:r>
      <w:r>
        <w:rPr>
          <w:rFonts w:ascii="宋体" w:hAnsi="宋体" w:cs="宋体" w:eastAsia="宋体" w:hint="default"/>
        </w:rPr>
        <w:t>4</w:t>
      </w:r>
      <w:r>
        <w:rPr/>
        <w:t>）债务重组</w:t>
      </w:r>
    </w:p>
    <w:p>
      <w:pPr>
        <w:spacing w:line="240" w:lineRule="auto" w:before="10"/>
        <w:rPr>
          <w:rFonts w:ascii="宋体" w:hAnsi="宋体" w:cs="宋体" w:eastAsia="宋体" w:hint="default"/>
          <w:sz w:val="14"/>
          <w:szCs w:val="14"/>
        </w:rPr>
      </w:pPr>
    </w:p>
    <w:p>
      <w:pPr>
        <w:pStyle w:val="BodyText"/>
        <w:spacing w:line="240" w:lineRule="auto" w:before="0"/>
        <w:ind w:left="592" w:right="0"/>
        <w:jc w:val="left"/>
      </w:pPr>
      <w:r>
        <w:rPr>
          <w:rFonts w:ascii="宋体" w:hAnsi="宋体" w:cs="宋体" w:eastAsia="宋体" w:hint="default"/>
        </w:rPr>
        <w:t>A</w:t>
      </w:r>
      <w:r>
        <w:rPr/>
        <w:t>、在债务重组定义方面，强调重新达成协议，不再强调债务人发生财务困难、债权人作出让步，将</w:t>
      </w:r>
    </w:p>
    <w:p>
      <w:pPr>
        <w:spacing w:after="0" w:line="240" w:lineRule="auto"/>
        <w:jc w:val="left"/>
        <w:sectPr>
          <w:pgSz w:w="11910" w:h="16840"/>
          <w:pgMar w:header="745" w:footer="982" w:top="1060" w:bottom="1180" w:left="960" w:right="0"/>
        </w:sectPr>
      </w:pPr>
    </w:p>
    <w:p>
      <w:pPr>
        <w:spacing w:line="240" w:lineRule="auto" w:before="0"/>
        <w:rPr>
          <w:rFonts w:ascii="宋体" w:hAnsi="宋体" w:cs="宋体" w:eastAsia="宋体" w:hint="default"/>
          <w:sz w:val="20"/>
          <w:szCs w:val="20"/>
        </w:rPr>
      </w:pPr>
    </w:p>
    <w:p>
      <w:pPr>
        <w:pStyle w:val="BodyText"/>
        <w:spacing w:line="240" w:lineRule="auto" w:before="175"/>
        <w:ind w:right="986"/>
        <w:jc w:val="left"/>
      </w:pPr>
      <w:r>
        <w:rPr/>
        <w:t>重组债权和债务指定为《企业会计准则第</w:t>
      </w:r>
      <w:r>
        <w:rPr>
          <w:rFonts w:ascii="宋体" w:hAnsi="宋体" w:cs="宋体" w:eastAsia="宋体" w:hint="default"/>
        </w:rPr>
        <w:t>22</w:t>
      </w:r>
      <w:r>
        <w:rPr/>
        <w:t>号</w:t>
      </w:r>
      <w:r>
        <w:rPr>
          <w:rFonts w:ascii="宋体" w:hAnsi="宋体" w:cs="宋体" w:eastAsia="宋体" w:hint="default"/>
        </w:rPr>
        <w:t>—</w:t>
      </w:r>
      <w:r>
        <w:rPr/>
        <w:t>金融工具确认和计量》规范的金融工具范畴。</w:t>
      </w:r>
    </w:p>
    <w:p>
      <w:pPr>
        <w:spacing w:line="240" w:lineRule="auto" w:before="10"/>
        <w:rPr>
          <w:rFonts w:ascii="宋体" w:hAnsi="宋体" w:cs="宋体" w:eastAsia="宋体" w:hint="default"/>
          <w:sz w:val="14"/>
          <w:szCs w:val="14"/>
        </w:rPr>
      </w:pPr>
    </w:p>
    <w:p>
      <w:pPr>
        <w:pStyle w:val="BodyText"/>
        <w:spacing w:line="408" w:lineRule="auto" w:before="0"/>
        <w:ind w:left="153" w:right="986" w:firstLine="420"/>
        <w:jc w:val="left"/>
      </w:pPr>
      <w:r>
        <w:rPr>
          <w:rFonts w:ascii="宋体" w:hAnsi="宋体" w:cs="宋体" w:eastAsia="宋体" w:hint="default"/>
        </w:rPr>
        <w:t>B</w:t>
      </w:r>
      <w:r>
        <w:rPr/>
        <w:t>、对以非现金资产清偿债务方式进行债务重组的，明确了债权人初始确认受让的金融资产以外的资</w:t>
      </w:r>
      <w:r>
        <w:rPr>
          <w:w w:val="100"/>
        </w:rPr>
        <w:t> </w:t>
      </w:r>
      <w:r>
        <w:rPr/>
        <w:t>产时的成本计量原则。</w:t>
      </w:r>
    </w:p>
    <w:p>
      <w:pPr>
        <w:pStyle w:val="BodyText"/>
        <w:spacing w:line="408" w:lineRule="auto"/>
        <w:ind w:left="572" w:right="986"/>
        <w:jc w:val="left"/>
      </w:pPr>
      <w:r>
        <w:rPr>
          <w:rFonts w:ascii="宋体" w:hAnsi="宋体" w:cs="宋体" w:eastAsia="宋体" w:hint="default"/>
        </w:rPr>
        <w:t>C</w:t>
      </w:r>
      <w:r>
        <w:rPr/>
        <w:t>、明确了债权人放弃债权采用公允价值计量等。</w:t>
      </w:r>
      <w:r>
        <w:rPr>
          <w:spacing w:val="-3"/>
          <w:w w:val="100"/>
        </w:rPr>
        <w:t> </w:t>
      </w:r>
      <w:r>
        <w:rPr>
          <w:rFonts w:ascii="宋体" w:hAnsi="宋体" w:cs="宋体" w:eastAsia="宋体" w:hint="default"/>
          <w:spacing w:val="-2"/>
        </w:rPr>
        <w:t>D</w:t>
      </w:r>
      <w:r>
        <w:rPr>
          <w:spacing w:val="-2"/>
        </w:rPr>
        <w:t>、重新规定了债权人、债务人的会计处理及信息披露要求等。</w:t>
      </w:r>
      <w:r>
        <w:rPr>
          <w:spacing w:val="-52"/>
        </w:rPr>
        <w:t> </w:t>
      </w:r>
      <w:r>
        <w:rPr>
          <w:spacing w:val="-52"/>
        </w:rPr>
      </w:r>
      <w:r>
        <w:rPr/>
        <w:t>该准则的变化不影响公司净资产、净利润等财务指标。</w:t>
      </w:r>
    </w:p>
    <w:p>
      <w:pPr>
        <w:spacing w:line="240" w:lineRule="auto" w:before="8"/>
        <w:rPr>
          <w:rFonts w:ascii="宋体" w:hAnsi="宋体" w:cs="宋体" w:eastAsia="宋体" w:hint="default"/>
          <w:sz w:val="20"/>
          <w:szCs w:val="20"/>
        </w:rPr>
      </w:pPr>
    </w:p>
    <w:p>
      <w:pPr>
        <w:pStyle w:val="Heading4"/>
        <w:spacing w:line="240" w:lineRule="auto"/>
        <w:ind w:right="986"/>
        <w:jc w:val="left"/>
        <w:rPr>
          <w:b w:val="0"/>
          <w:bCs w:val="0"/>
        </w:rPr>
      </w:pPr>
      <w:bookmarkStart w:name="（2）重要会计估计变更" w:id="228"/>
      <w:bookmarkEnd w:id="228"/>
      <w:r>
        <w:rPr>
          <w:b w:val="0"/>
          <w:bCs w:val="0"/>
        </w:rPr>
      </w:r>
      <w:r>
        <w:rPr/>
        <w:t>（</w:t>
      </w:r>
      <w:r>
        <w:rPr>
          <w:rFonts w:ascii="Times New Roman" w:hAnsi="Times New Roman" w:cs="Times New Roman" w:eastAsia="Times New Roman" w:hint="default"/>
        </w:rPr>
        <w:t>2</w:t>
      </w:r>
      <w:r>
        <w:rPr/>
        <w:t>）重要会计估计变更</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3）2019年起执行新金融工具准则、新收入准则或新租赁准则调整执行当年年初财务" w:id="229"/>
      <w:bookmarkEnd w:id="229"/>
      <w:r>
        <w:rPr>
          <w:b w:val="0"/>
          <w:bCs w:val="0"/>
        </w:rPr>
      </w:r>
      <w:r>
        <w:rPr/>
        <w:t>（</w:t>
      </w:r>
      <w:r>
        <w:rPr>
          <w:rFonts w:ascii="Times New Roman" w:hAnsi="Times New Roman" w:cs="Times New Roman" w:eastAsia="Times New Roman" w:hint="default"/>
        </w:rPr>
        <w:t>3</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15"/>
        </w:rPr>
        <w:t> </w:t>
      </w:r>
      <w:r>
        <w:rPr/>
        <w:t>年起执行新金融工具准则、新收入准则或新租赁准则调整执行当年年初财务报表相关项目情况</w:t>
      </w:r>
      <w:r>
        <w:rPr>
          <w:b w:val="0"/>
          <w:bCs w:val="0"/>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82" w:top="1060" w:bottom="1180" w:left="980" w:right="0"/>
        </w:sectPr>
      </w:pPr>
    </w:p>
    <w:p>
      <w:pPr>
        <w:spacing w:line="360" w:lineRule="auto" w:before="44"/>
        <w:ind w:left="152" w:right="-18" w:hanging="1"/>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r>
        <w:rPr>
          <w:rFonts w:ascii="宋体" w:hAnsi="宋体" w:cs="宋体" w:eastAsia="宋体" w:hint="default"/>
          <w:sz w:val="18"/>
          <w:szCs w:val="18"/>
        </w:rPr>
        <w:t> 合并资产负债表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1687" w:space="7232"/>
            <w:col w:w="2011"/>
          </w:cols>
        </w:sectPr>
      </w:pP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405"/>
        <w:gridCol w:w="1842"/>
        <w:gridCol w:w="1966"/>
        <w:gridCol w:w="1342"/>
      </w:tblGrid>
      <w:tr>
        <w:trPr>
          <w:trHeight w:val="403"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4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19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134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96" w:right="0"/>
              <w:jc w:val="left"/>
              <w:rPr>
                <w:rFonts w:ascii="宋体" w:hAnsi="宋体" w:cs="宋体" w:eastAsia="宋体" w:hint="default"/>
                <w:sz w:val="18"/>
                <w:szCs w:val="18"/>
              </w:rPr>
            </w:pPr>
            <w:r>
              <w:rPr>
                <w:rFonts w:ascii="宋体" w:hAnsi="宋体" w:cs="宋体" w:eastAsia="宋体" w:hint="default"/>
                <w:sz w:val="18"/>
                <w:szCs w:val="18"/>
              </w:rPr>
              <w:t>调整数</w:t>
            </w:r>
          </w:p>
        </w:tc>
      </w:tr>
      <w:tr>
        <w:trPr>
          <w:trHeight w:val="401"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842"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966"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342"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3"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935,741,411.95</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935,741,411.95</w:t>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以公允价值计量且其变动计入当期损益的金融资产</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625,000,672.55</w:t>
            </w:r>
            <w:r>
              <w:rPr>
                <w:rFonts w:ascii="Times New Roman"/>
                <w:sz w:val="18"/>
              </w:rPr>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625,000,672.55</w:t>
            </w:r>
            <w:r>
              <w:rPr>
                <w:rFonts w:ascii="Times New Roman"/>
                <w:sz w:val="18"/>
              </w:rPr>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93,038,560.47</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93,038,560.47</w:t>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71,547,601.94</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71,547,601.94</w:t>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1,581,027.56</w:t>
            </w:r>
            <w:r>
              <w:rPr>
                <w:rFonts w:ascii="Times New Roman"/>
                <w:sz w:val="18"/>
              </w:rPr>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1,581,027.56</w:t>
            </w:r>
            <w:r>
              <w:rPr>
                <w:rFonts w:ascii="Times New Roman"/>
                <w:sz w:val="18"/>
              </w:rPr>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4405"/>
        <w:gridCol w:w="1842"/>
        <w:gridCol w:w="1966"/>
        <w:gridCol w:w="1342"/>
      </w:tblGrid>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360,520,395.81</w:t>
            </w:r>
            <w:r>
              <w:rPr>
                <w:rFonts w:ascii="Times New Roman"/>
                <w:sz w:val="18"/>
              </w:rPr>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360,520,395.81</w:t>
            </w:r>
            <w:r>
              <w:rPr>
                <w:rFonts w:ascii="Times New Roman"/>
                <w:sz w:val="18"/>
              </w:rPr>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25,456,376.09</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25,456,376.09</w:t>
            </w:r>
            <w:r>
              <w:rPr>
                <w:rFonts w:ascii="Times New Roman"/>
                <w:sz w:val="18"/>
              </w:rPr>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2"/>
                <w:sz w:val="18"/>
              </w:rPr>
              <w:t>2,111,305,018.81</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2"/>
                <w:sz w:val="18"/>
              </w:rPr>
              <w:t>2,111,305,018.81</w:t>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842"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966"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342"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发放贷款和垫款</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241,452,268.01</w:t>
            </w:r>
            <w:r>
              <w:rPr>
                <w:rFonts w:ascii="Times New Roman"/>
                <w:sz w:val="18"/>
              </w:rPr>
            </w: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-241,452,268.01</w:t>
            </w:r>
            <w:r>
              <w:rPr>
                <w:rFonts w:ascii="Times New Roman"/>
                <w:sz w:val="18"/>
              </w:rPr>
            </w: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14,759,392.18</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14,759,392.18</w:t>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274,611,755.56</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274,611,755.56</w:t>
            </w: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295,290.17</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295,290.17</w:t>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269,979,915.61</w:t>
            </w:r>
            <w:r>
              <w:rPr>
                <w:rFonts w:ascii="Times New Roman"/>
                <w:sz w:val="18"/>
              </w:rPr>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269,979,915.61</w:t>
            </w:r>
            <w:r>
              <w:rPr>
                <w:rFonts w:ascii="Times New Roman"/>
                <w:sz w:val="18"/>
              </w:rPr>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1,415,526.94</w:t>
            </w:r>
            <w:r>
              <w:rPr>
                <w:rFonts w:ascii="Times New Roman"/>
                <w:sz w:val="18"/>
              </w:rPr>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1,415,526.94</w:t>
            </w:r>
            <w:r>
              <w:rPr>
                <w:rFonts w:ascii="Times New Roman"/>
                <w:sz w:val="18"/>
              </w:rPr>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53,958,244.97</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53,958,244.97</w:t>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29,428,986.40</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29,428,986.40</w:t>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542,202,213.88</w:t>
            </w:r>
            <w:r>
              <w:rPr>
                <w:rFonts w:ascii="Times New Roman"/>
                <w:sz w:val="18"/>
              </w:rPr>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542,202,213.88</w:t>
            </w:r>
            <w:r>
              <w:rPr>
                <w:rFonts w:ascii="Times New Roman"/>
                <w:sz w:val="18"/>
              </w:rPr>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15,766,831.63</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15,766,831.63</w:t>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35,071,784.54</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34,912,262.65</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-159,521.89</w:t>
            </w:r>
            <w:r>
              <w:rPr>
                <w:rFonts w:ascii="Times New Roman"/>
                <w:sz w:val="18"/>
              </w:rPr>
            </w: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128,505,056.03</w:t>
            </w:r>
            <w:r>
              <w:rPr>
                <w:rFonts w:ascii="Times New Roman"/>
                <w:sz w:val="18"/>
              </w:rPr>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128,505,056.03</w:t>
            </w:r>
            <w:r>
              <w:rPr>
                <w:rFonts w:ascii="Times New Roman"/>
                <w:sz w:val="18"/>
              </w:rPr>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1,332,835,510.36</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1,365,835,476.02</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32,999,965.66</w:t>
            </w: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3,444,140,529.17</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3,477,140,494.83</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32,999,965.66</w:t>
            </w: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842"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966"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342"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4405"/>
        <w:gridCol w:w="1842"/>
        <w:gridCol w:w="1966"/>
        <w:gridCol w:w="1342"/>
      </w:tblGrid>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以公允价值计量且其变动计入当期损益的金融负债</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78,812,370.00</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78,812,370.00</w:t>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159,584,319.30</w:t>
            </w:r>
            <w:r>
              <w:rPr>
                <w:rFonts w:ascii="Times New Roman"/>
                <w:sz w:val="18"/>
              </w:rPr>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159,584,319.30</w:t>
            </w:r>
            <w:r>
              <w:rPr>
                <w:rFonts w:ascii="Times New Roman"/>
                <w:sz w:val="18"/>
              </w:rPr>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324,121,092.84</w:t>
            </w:r>
            <w:r>
              <w:rPr>
                <w:rFonts w:ascii="Times New Roman"/>
                <w:sz w:val="18"/>
              </w:rPr>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324,121,092.84</w:t>
            </w:r>
            <w:r>
              <w:rPr>
                <w:rFonts w:ascii="Times New Roman"/>
                <w:sz w:val="18"/>
              </w:rPr>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112,794,692.63</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112,794,692.63</w:t>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72,928,822.67</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72,928,822.67</w:t>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61,356,640.75</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61,328,926.49</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w w:val="95"/>
                <w:sz w:val="18"/>
              </w:rPr>
              <w:t>-27,714.26</w:t>
            </w:r>
            <w:r>
              <w:rPr>
                <w:rFonts w:ascii="Times New Roman"/>
                <w:sz w:val="18"/>
              </w:rPr>
            </w: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27,714.26</w:t>
            </w: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w w:val="95"/>
                <w:sz w:val="18"/>
              </w:rPr>
              <w:t>-27,714.26</w:t>
            </w:r>
            <w:r>
              <w:rPr>
                <w:rFonts w:ascii="Times New Roman"/>
                <w:sz w:val="18"/>
              </w:rPr>
            </w: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09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1,486,502.41</w:t>
            </w:r>
            <w:r>
              <w:rPr>
                <w:rFonts w:ascii="Times New Roman"/>
                <w:sz w:val="18"/>
              </w:rPr>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1,514,216.67</w:t>
            </w:r>
            <w:r>
              <w:rPr>
                <w:rFonts w:ascii="Times New Roman"/>
                <w:sz w:val="18"/>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27,714.26</w:t>
            </w: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811,084,440.60</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811,084,440.60</w:t>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842"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966"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342"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17,023,952.45</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17,023,952.45</w:t>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09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28,099,101.81</w:t>
            </w:r>
            <w:r>
              <w:rPr>
                <w:rFonts w:ascii="Times New Roman"/>
                <w:sz w:val="18"/>
              </w:rPr>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28,099,101.81</w:t>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14,814,023.56</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17,970,450.42</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3,156,426.86</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4405"/>
        <w:gridCol w:w="1842"/>
        <w:gridCol w:w="1966"/>
        <w:gridCol w:w="1342"/>
      </w:tblGrid>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59,937,077.82</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63,093,504.68</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3,156,426.86</w:t>
            </w:r>
            <w:r>
              <w:rPr>
                <w:rFonts w:ascii="Times New Roman"/>
                <w:sz w:val="18"/>
              </w:rPr>
            </w: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871,021,518.42</w:t>
            </w:r>
            <w:r>
              <w:rPr>
                <w:rFonts w:ascii="Times New Roman"/>
                <w:sz w:val="18"/>
              </w:rPr>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874,177,945.28</w:t>
            </w:r>
            <w:r>
              <w:rPr>
                <w:rFonts w:ascii="Times New Roman"/>
                <w:sz w:val="18"/>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3,156,426.86</w:t>
            </w:r>
            <w:r>
              <w:rPr>
                <w:rFonts w:ascii="Times New Roman"/>
                <w:sz w:val="18"/>
              </w:rPr>
            </w: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1842"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966"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342"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794,832,809.00</w:t>
            </w:r>
            <w:r>
              <w:rPr>
                <w:rFonts w:ascii="Times New Roman"/>
                <w:sz w:val="18"/>
              </w:rPr>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794,832,809.00</w:t>
            </w:r>
            <w:r>
              <w:rPr>
                <w:rFonts w:ascii="Times New Roman"/>
                <w:sz w:val="18"/>
              </w:rPr>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09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582,325,767.41</w:t>
            </w:r>
            <w:r>
              <w:rPr>
                <w:rFonts w:ascii="Times New Roman"/>
                <w:sz w:val="18"/>
              </w:rPr>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582,325,767.41</w:t>
            </w:r>
            <w:r>
              <w:rPr>
                <w:rFonts w:ascii="Times New Roman"/>
                <w:sz w:val="18"/>
              </w:rPr>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34,813,142.00</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34,813,142.00</w:t>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131,692,509.57</w:t>
            </w:r>
            <w:r>
              <w:rPr>
                <w:rFonts w:ascii="Times New Roman"/>
                <w:sz w:val="18"/>
              </w:rPr>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160,100,351.33</w:t>
            </w:r>
            <w:r>
              <w:rPr>
                <w:rFonts w:ascii="Times New Roman"/>
                <w:sz w:val="18"/>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28,407,841.76</w:t>
            </w: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97,552,177.95</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97,695,747.65</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143,569.70</w:t>
            </w: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842" w:type="dxa"/>
            <w:tcBorders>
              <w:top w:val="single" w:sz="4" w:space="0" w:color="000000"/>
              <w:left w:val="single" w:sz="10" w:space="0" w:color="D4D4D4"/>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979,094,436.87</w:t>
            </w:r>
            <w:r>
              <w:rPr>
                <w:rFonts w:ascii="Times New Roman"/>
                <w:sz w:val="18"/>
              </w:rPr>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980,386,564.21</w:t>
            </w:r>
            <w:r>
              <w:rPr>
                <w:rFonts w:ascii="Times New Roman"/>
                <w:sz w:val="18"/>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1,292,127.34</w:t>
            </w:r>
            <w:r>
              <w:rPr>
                <w:rFonts w:ascii="Times New Roman"/>
                <w:sz w:val="18"/>
              </w:rPr>
            </w: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2,550,684,558.80</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2,580,528,097.60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29,843,538.80</w:t>
            </w: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22,434,451.95</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22,434,451.95</w:t>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2,573,119,010.75</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2,602,962,549.55</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29,843,538.80</w:t>
            </w:r>
          </w:p>
        </w:tc>
      </w:tr>
      <w:tr>
        <w:trPr>
          <w:trHeight w:val="403" w:hRule="exact"/>
        </w:trPr>
        <w:tc>
          <w:tcPr>
            <w:tcW w:w="44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18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3,444,140,529.17</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3,477,140,494.83</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32,999,965.66</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357" w:lineRule="auto" w:before="49"/>
        <w:ind w:left="152" w:right="-20" w:firstLine="0"/>
        <w:jc w:val="left"/>
        <w:rPr>
          <w:rFonts w:ascii="宋体" w:hAnsi="宋体" w:cs="宋体" w:eastAsia="宋体" w:hint="default"/>
          <w:sz w:val="18"/>
          <w:szCs w:val="18"/>
        </w:rPr>
      </w:pPr>
      <w:r>
        <w:rPr>
          <w:rFonts w:ascii="宋体" w:hAnsi="宋体" w:cs="宋体" w:eastAsia="宋体" w:hint="default"/>
          <w:sz w:val="18"/>
          <w:szCs w:val="18"/>
        </w:rPr>
        <w:t>调整情况说明 母公司资产负债表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1593" w:space="7325"/>
            <w:col w:w="2012"/>
          </w:cols>
        </w:sectPr>
      </w:pP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376"/>
        <w:gridCol w:w="1900"/>
        <w:gridCol w:w="1906"/>
        <w:gridCol w:w="1373"/>
      </w:tblGrid>
      <w:tr>
        <w:trPr>
          <w:trHeight w:val="403"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0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190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13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12" w:right="0"/>
              <w:jc w:val="left"/>
              <w:rPr>
                <w:rFonts w:ascii="宋体" w:hAnsi="宋体" w:cs="宋体" w:eastAsia="宋体" w:hint="default"/>
                <w:sz w:val="18"/>
                <w:szCs w:val="18"/>
              </w:rPr>
            </w:pPr>
            <w:r>
              <w:rPr>
                <w:rFonts w:ascii="宋体" w:hAnsi="宋体" w:cs="宋体" w:eastAsia="宋体" w:hint="default"/>
                <w:sz w:val="18"/>
                <w:szCs w:val="18"/>
              </w:rPr>
              <w:t>调整数</w:t>
            </w:r>
          </w:p>
        </w:tc>
      </w:tr>
      <w:tr>
        <w:trPr>
          <w:trHeight w:val="401"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900"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906"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373"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3"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671,338,464.42</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671,338,464.42</w:t>
            </w:r>
            <w:r>
              <w:rPr>
                <w:rFonts w:ascii="Times New Roman"/>
                <w:sz w:val="18"/>
              </w:rPr>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以公允价值计量且其变动计入当期损益的金融资产</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472,718,923.83</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472,718,923.83</w:t>
            </w:r>
            <w:r>
              <w:rPr>
                <w:rFonts w:ascii="Times New Roman"/>
                <w:sz w:val="18"/>
              </w:rPr>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88,106,675.06</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88,106,675.06</w:t>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55,328,888.55</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55,328,888.55</w:t>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1,190,298.78</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1,190,298.78</w:t>
            </w:r>
            <w:r>
              <w:rPr>
                <w:rFonts w:ascii="Times New Roman"/>
                <w:sz w:val="18"/>
              </w:rPr>
            </w:r>
          </w:p>
        </w:tc>
        <w:tc>
          <w:tcPr>
            <w:tcW w:w="1373"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4376"/>
        <w:gridCol w:w="1900"/>
        <w:gridCol w:w="1906"/>
        <w:gridCol w:w="1373"/>
      </w:tblGrid>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250,238,607.38</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250,238,607.38</w:t>
            </w:r>
            <w:r>
              <w:rPr>
                <w:rFonts w:ascii="Times New Roman"/>
                <w:sz w:val="18"/>
              </w:rPr>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20,941,529.76</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20,941,529.76</w:t>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1,558,673,089.00</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1,558,673,089.00</w:t>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900"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906"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373"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241,452,268.01</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-241,452,268.01</w:t>
            </w:r>
            <w:r>
              <w:rPr>
                <w:rFonts w:ascii="Times New Roman"/>
                <w:sz w:val="18"/>
              </w:rPr>
            </w: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942,569,538.76</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942,569,538.76</w:t>
            </w:r>
            <w:r>
              <w:rPr>
                <w:rFonts w:ascii="Times New Roman"/>
                <w:sz w:val="18"/>
              </w:rPr>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274,611,755.56</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274,611,755.56</w:t>
            </w: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30,435,171.15</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30,435,171.15</w:t>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226,582,975.12</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226,582,975.12</w:t>
            </w:r>
            <w:r>
              <w:rPr>
                <w:rFonts w:ascii="Times New Roman"/>
                <w:sz w:val="18"/>
              </w:rPr>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1,415,526.94</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1,415,526.94</w:t>
            </w:r>
            <w:r>
              <w:rPr>
                <w:rFonts w:ascii="Times New Roman"/>
                <w:sz w:val="18"/>
              </w:rPr>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47,448,755.91</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47,448,755.91</w:t>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13,689,656.08</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13,689,656.08</w:t>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4,364,857.76</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4,364,857.76</w:t>
            </w:r>
            <w:r>
              <w:rPr>
                <w:rFonts w:ascii="Times New Roman"/>
                <w:sz w:val="18"/>
              </w:rPr>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22,171,622.64</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22,012,100.75</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-159,521.89</w:t>
            </w:r>
            <w:r>
              <w:rPr>
                <w:rFonts w:ascii="Times New Roman"/>
                <w:sz w:val="18"/>
              </w:rPr>
            </w: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125,102,556.62</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125,102,556.62</w:t>
            </w:r>
            <w:r>
              <w:rPr>
                <w:rFonts w:ascii="Times New Roman"/>
                <w:sz w:val="18"/>
              </w:rPr>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1,655,232,928.99</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1,688,232,894.65</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32,999,965.66</w:t>
            </w: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3,213,906,017.99</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3,246,905,983.65</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32,999,965.66</w:t>
            </w: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900"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906"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373"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以公允价值计量且其变动计入当期损益的金融负债</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4376"/>
        <w:gridCol w:w="1900"/>
        <w:gridCol w:w="1906"/>
        <w:gridCol w:w="1373"/>
      </w:tblGrid>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78,812,370.00</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78,812,370.00</w:t>
            </w:r>
            <w:r>
              <w:rPr>
                <w:rFonts w:ascii="Times New Roman"/>
                <w:sz w:val="18"/>
              </w:rPr>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131,277,371.40</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131,277,371.40</w:t>
            </w:r>
            <w:r>
              <w:rPr>
                <w:rFonts w:ascii="Times New Roman"/>
                <w:sz w:val="18"/>
              </w:rPr>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289,320,789.48</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289,320,789.48</w:t>
            </w:r>
            <w:r>
              <w:rPr>
                <w:rFonts w:ascii="Times New Roman"/>
                <w:sz w:val="18"/>
              </w:rPr>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77,382,831.26</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77,382,831.26</w:t>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36,873,767.96</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36,873,767.96</w:t>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50,719,234.60</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50,691,520.34</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w w:val="95"/>
                <w:sz w:val="18"/>
              </w:rPr>
              <w:t>-27,714.26</w:t>
            </w:r>
            <w:r>
              <w:rPr>
                <w:rFonts w:ascii="Times New Roman"/>
                <w:sz w:val="18"/>
              </w:rPr>
            </w: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27,714.26</w:t>
            </w: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w w:val="95"/>
                <w:sz w:val="18"/>
              </w:rPr>
              <w:t>-27,714.26</w:t>
            </w:r>
            <w:r>
              <w:rPr>
                <w:rFonts w:ascii="Times New Roman"/>
                <w:sz w:val="18"/>
              </w:rPr>
            </w: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09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1,486,502.41</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1,514,216.67</w:t>
            </w:r>
            <w:r>
              <w:rPr>
                <w:rFonts w:ascii="Times New Roman"/>
                <w:sz w:val="18"/>
              </w:rPr>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27,714.26</w:t>
            </w: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665,872,867.11</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665,872,867.11</w:t>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900"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906"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373"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17,023,952.45</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17,023,952.45</w:t>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23,099,101.81</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23,099,101.81</w:t>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14,632,501.06</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17,788,927.92</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3,156,426.86</w:t>
            </w:r>
            <w:r>
              <w:rPr>
                <w:rFonts w:ascii="Times New Roman"/>
                <w:sz w:val="18"/>
              </w:rPr>
            </w: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54,755,555.32</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57,911,982.18</w:t>
            </w:r>
            <w:r>
              <w:rPr>
                <w:rFonts w:ascii="Times New Roman"/>
                <w:sz w:val="18"/>
              </w:rPr>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3,156,426.86</w:t>
            </w:r>
            <w:r>
              <w:rPr>
                <w:rFonts w:ascii="Times New Roman"/>
                <w:sz w:val="18"/>
              </w:rPr>
            </w: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720,628,422.43</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723,784,849.29</w:t>
            </w:r>
            <w:r>
              <w:rPr>
                <w:rFonts w:ascii="Times New Roman"/>
                <w:sz w:val="18"/>
              </w:rPr>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3,156,426.86</w:t>
            </w:r>
            <w:r>
              <w:rPr>
                <w:rFonts w:ascii="Times New Roman"/>
                <w:sz w:val="18"/>
              </w:rPr>
            </w: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1900"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906"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373"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794,832,809.00</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794,832,809.00</w:t>
            </w:r>
            <w:r>
              <w:rPr>
                <w:rFonts w:ascii="Times New Roman"/>
                <w:sz w:val="18"/>
              </w:rPr>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1900" w:type="dxa"/>
            <w:tcBorders>
              <w:top w:val="single" w:sz="4" w:space="0" w:color="000000"/>
              <w:left w:val="single" w:sz="12" w:space="0" w:color="D4D4D4"/>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90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810,125,909.65</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810,125,909.65</w:t>
            </w:r>
            <w:r>
              <w:rPr>
                <w:rFonts w:ascii="Times New Roman"/>
                <w:sz w:val="18"/>
              </w:rPr>
            </w:r>
          </w:p>
        </w:tc>
        <w:tc>
          <w:tcPr>
            <w:tcW w:w="137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4398"/>
        <w:gridCol w:w="1889"/>
        <w:gridCol w:w="1906"/>
        <w:gridCol w:w="1373"/>
      </w:tblGrid>
      <w:tr>
        <w:trPr>
          <w:trHeight w:val="402" w:hRule="exact"/>
        </w:trPr>
        <w:tc>
          <w:tcPr>
            <w:tcW w:w="43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34,813,142.00</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34,813,142.00</w:t>
            </w: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8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131,692,509.57</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160,100,351.33</w:t>
            </w:r>
            <w:r>
              <w:rPr>
                <w:rFonts w:ascii="Times New Roman"/>
                <w:sz w:val="18"/>
              </w:rPr>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28,407,841.76</w:t>
            </w:r>
          </w:p>
        </w:tc>
      </w:tr>
      <w:tr>
        <w:trPr>
          <w:trHeight w:val="402" w:hRule="exact"/>
        </w:trPr>
        <w:tc>
          <w:tcPr>
            <w:tcW w:w="43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889" w:type="dxa"/>
            <w:tcBorders>
              <w:top w:val="single" w:sz="4" w:space="0" w:color="000000"/>
              <w:left w:val="single" w:sz="4" w:space="0" w:color="000000"/>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8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97,552,177.95</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97,695,747.65</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143,569.70</w:t>
            </w:r>
          </w:p>
        </w:tc>
      </w:tr>
      <w:tr>
        <w:trPr>
          <w:trHeight w:val="402" w:hRule="exact"/>
        </w:trPr>
        <w:tc>
          <w:tcPr>
            <w:tcW w:w="43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693,887,331.39</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695,179,458.73</w:t>
            </w:r>
            <w:r>
              <w:rPr>
                <w:rFonts w:ascii="Times New Roman"/>
                <w:sz w:val="18"/>
              </w:rPr>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1,292,127.34</w:t>
            </w:r>
            <w:r>
              <w:rPr>
                <w:rFonts w:ascii="Times New Roman"/>
                <w:sz w:val="18"/>
              </w:rPr>
            </w:r>
          </w:p>
        </w:tc>
      </w:tr>
      <w:tr>
        <w:trPr>
          <w:trHeight w:val="402" w:hRule="exact"/>
        </w:trPr>
        <w:tc>
          <w:tcPr>
            <w:tcW w:w="43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2,493,277,595.56</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2,523,121,134.36</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29,843,538.80</w:t>
            </w:r>
          </w:p>
        </w:tc>
      </w:tr>
      <w:tr>
        <w:trPr>
          <w:trHeight w:val="403" w:hRule="exact"/>
        </w:trPr>
        <w:tc>
          <w:tcPr>
            <w:tcW w:w="43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3,213,906,017.99</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3,246,905,983.65</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32,999,965.66</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调整情况说明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4）2019年起执行新金融工具准则或新租赁准则追溯调整前期比较数据说明" w:id="230"/>
      <w:bookmarkEnd w:id="230"/>
      <w:r>
        <w:rPr>
          <w:b w:val="0"/>
          <w:bCs w:val="0"/>
        </w:rPr>
      </w:r>
      <w:r>
        <w:rPr/>
        <w:t>（</w:t>
      </w:r>
      <w:r>
        <w:rPr>
          <w:rFonts w:ascii="Times New Roman" w:hAnsi="Times New Roman" w:cs="Times New Roman" w:eastAsia="Times New Roman" w:hint="default"/>
        </w:rPr>
        <w:t>4</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5"/>
        </w:rPr>
        <w:t> </w:t>
      </w:r>
      <w:r>
        <w:rPr/>
        <w:t>年起执行新金融工具准则或新租赁准则追溯调整前期比较数据说明</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45、其他" w:id="231"/>
      <w:bookmarkEnd w:id="231"/>
      <w:r>
        <w:rPr>
          <w:b w:val="0"/>
          <w:bCs w:val="0"/>
        </w:rPr>
      </w:r>
      <w:r>
        <w:rPr>
          <w:rFonts w:ascii="Times New Roman" w:hAnsi="Times New Roman" w:cs="Times New Roman" w:eastAsia="Times New Roman" w:hint="default"/>
        </w:rPr>
        <w:t>45</w:t>
      </w:r>
      <w:r>
        <w:rPr/>
        <w:t>、其他</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3"/>
        <w:rPr>
          <w:rFonts w:ascii="宋体" w:hAnsi="宋体" w:cs="宋体" w:eastAsia="宋体" w:hint="default"/>
          <w:sz w:val="25"/>
          <w:szCs w:val="25"/>
        </w:rPr>
      </w:pPr>
    </w:p>
    <w:p>
      <w:pPr>
        <w:pStyle w:val="Heading2"/>
        <w:spacing w:line="240" w:lineRule="auto"/>
        <w:ind w:right="986"/>
        <w:jc w:val="left"/>
        <w:rPr>
          <w:b w:val="0"/>
          <w:bCs w:val="0"/>
        </w:rPr>
      </w:pPr>
      <w:bookmarkStart w:name="六、税项" w:id="232"/>
      <w:bookmarkEnd w:id="232"/>
      <w:r>
        <w:rPr>
          <w:b w:val="0"/>
          <w:bCs w:val="0"/>
        </w:rPr>
      </w:r>
      <w:r>
        <w:rPr/>
        <w:t>六、税项</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6"/>
        <w:jc w:val="left"/>
        <w:rPr>
          <w:b w:val="0"/>
          <w:bCs w:val="0"/>
        </w:rPr>
      </w:pPr>
      <w:bookmarkStart w:name="1、主要税种及税率" w:id="233"/>
      <w:bookmarkEnd w:id="233"/>
      <w:r>
        <w:rPr>
          <w:b w:val="0"/>
          <w:bCs w:val="0"/>
        </w:rPr>
      </w:r>
      <w:r>
        <w:rPr>
          <w:rFonts w:ascii="Times New Roman" w:hAnsi="Times New Roman" w:cs="Times New Roman" w:eastAsia="Times New Roman" w:hint="default"/>
        </w:rPr>
        <w:t>1</w:t>
      </w:r>
      <w:r>
        <w:rPr/>
        <w:t>、主要税种及税率</w:t>
      </w:r>
      <w:r>
        <w:rPr>
          <w:b w:val="0"/>
          <w:bCs w:val="0"/>
        </w:rPr>
      </w:r>
    </w:p>
    <w:p>
      <w:pPr>
        <w:spacing w:line="240" w:lineRule="auto" w:before="7"/>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167"/>
        <w:gridCol w:w="3200"/>
        <w:gridCol w:w="3190"/>
      </w:tblGrid>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税种</w:t>
            </w:r>
          </w:p>
        </w:tc>
        <w:tc>
          <w:tcPr>
            <w:tcW w:w="320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3"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401"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2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应税收入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16.00</w:t>
            </w:r>
            <w:r>
              <w:rPr>
                <w:rFonts w:ascii="宋体" w:hAnsi="宋体" w:cs="宋体" w:eastAsia="宋体" w:hint="default"/>
                <w:sz w:val="18"/>
                <w:szCs w:val="18"/>
              </w:rPr>
              <w:t>、</w:t>
            </w:r>
            <w:r>
              <w:rPr>
                <w:rFonts w:ascii="Times New Roman" w:hAnsi="Times New Roman" w:cs="Times New Roman" w:eastAsia="Times New Roman" w:hint="default"/>
                <w:sz w:val="18"/>
                <w:szCs w:val="18"/>
              </w:rPr>
              <w:t>13.00</w:t>
            </w:r>
            <w:r>
              <w:rPr>
                <w:rFonts w:ascii="宋体" w:hAnsi="宋体" w:cs="宋体" w:eastAsia="宋体" w:hint="default"/>
                <w:sz w:val="18"/>
                <w:szCs w:val="18"/>
              </w:rPr>
              <w:t>、</w:t>
            </w:r>
            <w:r>
              <w:rPr>
                <w:rFonts w:ascii="Times New Roman" w:hAnsi="Times New Roman" w:cs="Times New Roman" w:eastAsia="Times New Roman" w:hint="default"/>
                <w:sz w:val="18"/>
                <w:szCs w:val="18"/>
              </w:rPr>
              <w:t>6.00</w:t>
            </w:r>
            <w:r>
              <w:rPr>
                <w:rFonts w:ascii="宋体" w:hAnsi="宋体" w:cs="宋体" w:eastAsia="宋体" w:hint="default"/>
                <w:sz w:val="18"/>
                <w:szCs w:val="18"/>
              </w:rPr>
              <w:t>、</w:t>
            </w:r>
            <w:r>
              <w:rPr>
                <w:rFonts w:ascii="Times New Roman" w:hAnsi="Times New Roman" w:cs="Times New Roman" w:eastAsia="Times New Roman" w:hint="default"/>
                <w:sz w:val="18"/>
                <w:szCs w:val="18"/>
              </w:rPr>
              <w:t>5.00</w:t>
            </w:r>
            <w:r>
              <w:rPr>
                <w:rFonts w:ascii="宋体" w:hAnsi="宋体" w:cs="宋体" w:eastAsia="宋体" w:hint="default"/>
                <w:sz w:val="18"/>
                <w:szCs w:val="18"/>
              </w:rPr>
              <w:t>、</w:t>
            </w:r>
            <w:r>
              <w:rPr>
                <w:rFonts w:ascii="Times New Roman" w:hAnsi="Times New Roman" w:cs="Times New Roman" w:eastAsia="Times New Roman" w:hint="default"/>
                <w:sz w:val="18"/>
                <w:szCs w:val="18"/>
              </w:rPr>
              <w:t>3.00</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51"/>
              <w:ind w:left="28" w:right="0"/>
              <w:jc w:val="left"/>
              <w:rPr>
                <w:rFonts w:ascii="宋体" w:hAnsi="宋体" w:cs="宋体" w:eastAsia="宋体" w:hint="default"/>
                <w:sz w:val="18"/>
                <w:szCs w:val="18"/>
              </w:rPr>
            </w:pPr>
            <w:r>
              <w:rPr>
                <w:rFonts w:ascii="宋体" w:hAnsi="宋体" w:cs="宋体" w:eastAsia="宋体" w:hint="default"/>
                <w:sz w:val="18"/>
                <w:szCs w:val="18"/>
              </w:rPr>
              <w:t>应纳流转税额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7.00</w:t>
            </w:r>
            <w:r>
              <w:rPr>
                <w:rFonts w:ascii="宋体" w:hAnsi="宋体" w:cs="宋体" w:eastAsia="宋体" w:hint="default"/>
                <w:sz w:val="18"/>
                <w:szCs w:val="18"/>
              </w:rPr>
              <w:t>、</w:t>
            </w:r>
            <w:r>
              <w:rPr>
                <w:rFonts w:ascii="Times New Roman" w:hAnsi="Times New Roman" w:cs="Times New Roman" w:eastAsia="Times New Roman" w:hint="default"/>
                <w:sz w:val="18"/>
                <w:szCs w:val="18"/>
              </w:rPr>
              <w:t>5.00</w:t>
            </w:r>
          </w:p>
        </w:tc>
      </w:tr>
      <w:tr>
        <w:trPr>
          <w:trHeight w:val="401"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2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应纳税所得额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7"/>
                <w:sz w:val="18"/>
                <w:szCs w:val="18"/>
              </w:rPr>
              <w:t>10.00</w:t>
            </w: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15.00</w:t>
            </w: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16.50</w:t>
            </w: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12.50</w:t>
            </w: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20.00</w:t>
            </w: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25.00</w:t>
            </w:r>
            <w:r>
              <w:rPr>
                <w:rFonts w:ascii="Times New Roman" w:hAnsi="Times New Roman" w:cs="Times New Roman" w:eastAsia="Times New Roman" w:hint="default"/>
                <w:sz w:val="18"/>
                <w:szCs w:val="18"/>
              </w:rPr>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 w:right="0"/>
              <w:jc w:val="left"/>
              <w:rPr>
                <w:rFonts w:ascii="宋体" w:hAnsi="宋体" w:cs="宋体" w:eastAsia="宋体" w:hint="default"/>
                <w:sz w:val="18"/>
                <w:szCs w:val="18"/>
              </w:rPr>
            </w:pPr>
            <w:r>
              <w:rPr>
                <w:rFonts w:ascii="宋体" w:hAnsi="宋体" w:cs="宋体" w:eastAsia="宋体" w:hint="default"/>
                <w:sz w:val="18"/>
                <w:szCs w:val="18"/>
              </w:rPr>
              <w:t>应纳流转税额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3.00</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3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4" w:right="0"/>
              <w:jc w:val="left"/>
              <w:rPr>
                <w:rFonts w:ascii="宋体" w:hAnsi="宋体" w:cs="宋体" w:eastAsia="宋体" w:hint="default"/>
                <w:sz w:val="18"/>
                <w:szCs w:val="18"/>
              </w:rPr>
            </w:pPr>
            <w:r>
              <w:rPr>
                <w:rFonts w:ascii="宋体" w:hAnsi="宋体" w:cs="宋体" w:eastAsia="宋体" w:hint="default"/>
                <w:sz w:val="18"/>
                <w:szCs w:val="18"/>
              </w:rPr>
              <w:t>应纳流转税额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2.00</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存在不同企业所得税税率纳税主体的，披露情况说明</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783"/>
        <w:gridCol w:w="4786"/>
      </w:tblGrid>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厦门美亚柏科信息安全研究所有限公司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15.00</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珠海市新德汇信息技术有限公司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15.00</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厦门美亚中敏科技有限公司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15.00</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香港鼎永泰克科技有限公司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16.50</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厦门安胜网络科技有限公司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12.50</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武汉大千信息技术有限公司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25.00</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江苏税软软件科技有限公司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15.00</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无锡博盾信息科技有限公司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4783"/>
        <w:gridCol w:w="4786"/>
      </w:tblGrid>
      <w:tr>
        <w:trPr>
          <w:trHeight w:val="401"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北京美亚宏数科技有限责任公司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25.00</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北京国信宏数科技有限责任公司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15.00</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北京美亚智讯信息技术有限公司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25.00</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厦门美亚商鼎信息科技有限公司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12.50</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厦门美亚天信会议服务有限公司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20.00</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北京美亚京安科技有限公司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20.00</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福建美亚榕安科技有限公司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20.00</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厦门美银智投科技有限公司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20.00</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厦门美亚亿安信息科技有限公司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20.00</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云南美亚信安信息技术有限公司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20.00</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陕西美亚秦安信息科技有限公司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25.00</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中检美亚（北京）科技有限公司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20.00</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甘肃美亚陇安信息科技有限公司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25.00</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四川美亚川安信息科技有限公司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25.00</w:t>
            </w:r>
          </w:p>
        </w:tc>
      </w:tr>
    </w:tbl>
    <w:p>
      <w:pPr>
        <w:spacing w:line="240" w:lineRule="auto" w:before="3"/>
        <w:rPr>
          <w:rFonts w:ascii="宋体" w:hAnsi="宋体" w:cs="宋体" w:eastAsia="宋体" w:hint="default"/>
          <w:sz w:val="19"/>
          <w:szCs w:val="19"/>
        </w:rPr>
      </w:pPr>
    </w:p>
    <w:p>
      <w:pPr>
        <w:pStyle w:val="Heading4"/>
        <w:spacing w:line="240" w:lineRule="auto" w:before="36"/>
        <w:ind w:right="0"/>
        <w:jc w:val="both"/>
        <w:rPr>
          <w:b w:val="0"/>
          <w:bCs w:val="0"/>
        </w:rPr>
      </w:pPr>
      <w:bookmarkStart w:name="2、税收优惠" w:id="234"/>
      <w:bookmarkEnd w:id="234"/>
      <w:r>
        <w:rPr>
          <w:b w:val="0"/>
          <w:bCs w:val="0"/>
        </w:rPr>
      </w:r>
      <w:r>
        <w:rPr>
          <w:rFonts w:ascii="Times New Roman" w:hAnsi="Times New Roman" w:cs="Times New Roman" w:eastAsia="Times New Roman" w:hint="default"/>
        </w:rPr>
        <w:t>2</w:t>
      </w:r>
      <w:r>
        <w:rPr/>
        <w:t>、税收优惠</w:t>
      </w:r>
      <w:r>
        <w:rPr>
          <w:b w:val="0"/>
          <w:bCs w:val="0"/>
        </w:rPr>
      </w:r>
    </w:p>
    <w:p>
      <w:pPr>
        <w:spacing w:line="240" w:lineRule="auto" w:before="8"/>
        <w:rPr>
          <w:rFonts w:ascii="宋体" w:hAnsi="宋体" w:cs="宋体" w:eastAsia="宋体" w:hint="default"/>
          <w:b/>
          <w:bCs/>
          <w:sz w:val="30"/>
          <w:szCs w:val="30"/>
        </w:rPr>
      </w:pPr>
    </w:p>
    <w:p>
      <w:pPr>
        <w:pStyle w:val="BodyText"/>
        <w:spacing w:line="408" w:lineRule="auto" w:before="0"/>
        <w:ind w:left="572" w:right="986"/>
        <w:jc w:val="left"/>
        <w:rPr>
          <w:rFonts w:ascii="宋体" w:hAnsi="宋体" w:cs="宋体" w:eastAsia="宋体" w:hint="default"/>
        </w:rPr>
      </w:pPr>
      <w:r>
        <w:rPr>
          <w:rFonts w:ascii="宋体" w:hAnsi="宋体" w:cs="宋体" w:eastAsia="宋体" w:hint="default"/>
        </w:rPr>
        <w:t>1</w:t>
      </w:r>
      <w:r>
        <w:rPr/>
        <w:t>、增值税</w:t>
      </w:r>
      <w:r>
        <w:rPr>
          <w:spacing w:val="-103"/>
        </w:rPr>
        <w:t> </w:t>
      </w:r>
      <w:r>
        <w:rPr>
          <w:spacing w:val="-103"/>
        </w:rPr>
      </w:r>
      <w:r>
        <w:rPr/>
        <w:t>根据《国务院关于印发进一步鼓励软件产业和集成电路产业发展若干政策的通知》（国发〔</w:t>
      </w:r>
      <w:r>
        <w:rPr>
          <w:rFonts w:ascii="宋体" w:hAnsi="宋体" w:cs="宋体" w:eastAsia="宋体" w:hint="default"/>
        </w:rPr>
        <w:t>2011</w:t>
      </w:r>
      <w:r>
        <w:rPr/>
        <w:t>〕</w:t>
      </w:r>
      <w:r>
        <w:rPr>
          <w:rFonts w:ascii="宋体" w:hAnsi="宋体" w:cs="宋体" w:eastAsia="宋体" w:hint="default"/>
        </w:rPr>
        <w:t>4</w:t>
      </w:r>
    </w:p>
    <w:p>
      <w:pPr>
        <w:pStyle w:val="BodyText"/>
        <w:spacing w:line="408" w:lineRule="auto"/>
        <w:ind w:right="1025"/>
        <w:jc w:val="both"/>
      </w:pPr>
      <w:r>
        <w:rPr/>
        <w:t>号）、《关于软件产品增值税政策的通知》（财税</w:t>
      </w:r>
      <w:r>
        <w:rPr>
          <w:rFonts w:ascii="宋体" w:hAnsi="宋体" w:cs="宋体" w:eastAsia="宋体" w:hint="default"/>
        </w:rPr>
        <w:t>[2011]100</w:t>
      </w:r>
      <w:r>
        <w:rPr/>
        <w:t>号）规定，对增值税一般纳税人销售其自行</w:t>
      </w:r>
      <w:r>
        <w:rPr>
          <w:spacing w:val="-27"/>
        </w:rPr>
        <w:t> </w:t>
      </w:r>
      <w:r>
        <w:rPr>
          <w:spacing w:val="-27"/>
        </w:rPr>
      </w:r>
      <w:r>
        <w:rPr>
          <w:spacing w:val="-2"/>
        </w:rPr>
        <w:t>开发生产的软件产品，按法定税率征收增值税后，对其增值税实际税负超过</w:t>
      </w:r>
      <w:r>
        <w:rPr>
          <w:rFonts w:ascii="宋体" w:hAnsi="宋体" w:cs="宋体" w:eastAsia="宋体" w:hint="default"/>
          <w:spacing w:val="-2"/>
        </w:rPr>
        <w:t>3</w:t>
      </w:r>
      <w:r>
        <w:rPr>
          <w:spacing w:val="-2"/>
        </w:rPr>
        <w:t>％的部分实行即征即退政策。</w:t>
      </w:r>
    </w:p>
    <w:p>
      <w:pPr>
        <w:pStyle w:val="BodyText"/>
        <w:spacing w:line="240" w:lineRule="auto"/>
        <w:ind w:left="572" w:right="986"/>
        <w:jc w:val="left"/>
      </w:pPr>
      <w:r>
        <w:rPr>
          <w:rFonts w:ascii="宋体" w:hAnsi="宋体" w:cs="宋体" w:eastAsia="宋体" w:hint="default"/>
        </w:rPr>
        <w:t>2</w:t>
      </w:r>
      <w:r>
        <w:rPr/>
        <w:t>、企业所得税</w:t>
      </w:r>
    </w:p>
    <w:p>
      <w:pPr>
        <w:spacing w:line="240" w:lineRule="auto" w:before="10"/>
        <w:rPr>
          <w:rFonts w:ascii="宋体" w:hAnsi="宋体" w:cs="宋体" w:eastAsia="宋体" w:hint="default"/>
          <w:sz w:val="14"/>
          <w:szCs w:val="14"/>
        </w:rPr>
      </w:pPr>
    </w:p>
    <w:p>
      <w:pPr>
        <w:pStyle w:val="BodyText"/>
        <w:spacing w:line="408" w:lineRule="auto" w:before="0"/>
        <w:ind w:right="1127" w:firstLine="420"/>
        <w:jc w:val="both"/>
      </w:pPr>
      <w:r>
        <w:rPr>
          <w:spacing w:val="-2"/>
        </w:rPr>
        <w:t>（</w:t>
      </w:r>
      <w:r>
        <w:rPr>
          <w:rFonts w:ascii="宋体" w:hAnsi="宋体" w:cs="宋体" w:eastAsia="宋体" w:hint="default"/>
          <w:spacing w:val="-2"/>
        </w:rPr>
        <w:t>1</w:t>
      </w:r>
      <w:r>
        <w:rPr>
          <w:spacing w:val="-2"/>
        </w:rPr>
        <w:t>）</w:t>
      </w:r>
      <w:r>
        <w:rPr>
          <w:rFonts w:ascii="宋体" w:hAnsi="宋体" w:cs="宋体" w:eastAsia="宋体" w:hint="default"/>
          <w:spacing w:val="-2"/>
        </w:rPr>
        <w:t>2008</w:t>
      </w:r>
      <w:r>
        <w:rPr>
          <w:spacing w:val="-2"/>
        </w:rPr>
        <w:t>年</w:t>
      </w:r>
      <w:r>
        <w:rPr>
          <w:rFonts w:ascii="宋体" w:hAnsi="宋体" w:cs="宋体" w:eastAsia="宋体" w:hint="default"/>
          <w:spacing w:val="-2"/>
        </w:rPr>
        <w:t>9</w:t>
      </w:r>
      <w:r>
        <w:rPr>
          <w:spacing w:val="-2"/>
        </w:rPr>
        <w:t>月，本公司经厦门市科学技术局、厦门市财政局、厦门市国税局、厦门市地税局以厦科</w:t>
      </w:r>
      <w:r>
        <w:rPr>
          <w:w w:val="100"/>
        </w:rPr>
        <w:t> </w:t>
      </w:r>
      <w:r>
        <w:rPr/>
        <w:t>联【</w:t>
      </w:r>
      <w:r>
        <w:rPr>
          <w:rFonts w:ascii="宋体" w:hAnsi="宋体" w:cs="宋体" w:eastAsia="宋体" w:hint="default"/>
        </w:rPr>
        <w:t>2008</w:t>
      </w:r>
      <w:r>
        <w:rPr/>
        <w:t>】</w:t>
      </w:r>
      <w:r>
        <w:rPr>
          <w:rFonts w:ascii="宋体" w:hAnsi="宋体" w:cs="宋体" w:eastAsia="宋体" w:hint="default"/>
        </w:rPr>
        <w:t>65</w:t>
      </w:r>
      <w:r>
        <w:rPr/>
        <w:t>号文获得高新技术企业认定，高新技术企业证书认定有效期三年；</w:t>
      </w:r>
      <w:r>
        <w:rPr>
          <w:rFonts w:ascii="宋体" w:hAnsi="宋体" w:cs="宋体" w:eastAsia="宋体" w:hint="default"/>
        </w:rPr>
        <w:t>2011</w:t>
      </w:r>
      <w:r>
        <w:rPr/>
        <w:t>年</w:t>
      </w:r>
      <w:r>
        <w:rPr>
          <w:rFonts w:ascii="宋体" w:hAnsi="宋体" w:cs="宋体" w:eastAsia="宋体" w:hint="default"/>
        </w:rPr>
        <w:t>9</w:t>
      </w:r>
      <w:r>
        <w:rPr/>
        <w:t>月，本公司再次</w:t>
      </w:r>
      <w:r>
        <w:rPr>
          <w:spacing w:val="-30"/>
        </w:rPr>
        <w:t> </w:t>
      </w:r>
      <w:r>
        <w:rPr>
          <w:spacing w:val="-30"/>
        </w:rPr>
      </w:r>
      <w:r>
        <w:rPr>
          <w:spacing w:val="-2"/>
        </w:rPr>
        <w:t>获得高新技术企业认定。根据国科火字【</w:t>
      </w:r>
      <w:r>
        <w:rPr>
          <w:rFonts w:ascii="宋体" w:hAnsi="宋体" w:cs="宋体" w:eastAsia="宋体" w:hint="default"/>
          <w:spacing w:val="-2"/>
        </w:rPr>
        <w:t>2015</w:t>
      </w:r>
      <w:r>
        <w:rPr>
          <w:spacing w:val="-2"/>
        </w:rPr>
        <w:t>】</w:t>
      </w:r>
      <w:r>
        <w:rPr>
          <w:rFonts w:ascii="宋体" w:hAnsi="宋体" w:cs="宋体" w:eastAsia="宋体" w:hint="default"/>
          <w:spacing w:val="-2"/>
        </w:rPr>
        <w:t>28</w:t>
      </w:r>
      <w:r>
        <w:rPr>
          <w:spacing w:val="-2"/>
        </w:rPr>
        <w:t>号文，本公司再次获得高新技术企业认定，发证日期为</w:t>
      </w:r>
      <w:r>
        <w:rPr>
          <w:spacing w:val="-37"/>
        </w:rPr>
        <w:t> </w:t>
      </w:r>
      <w:r>
        <w:rPr>
          <w:spacing w:val="-37"/>
        </w:rPr>
      </w:r>
      <w:r>
        <w:rPr>
          <w:rFonts w:ascii="宋体" w:hAnsi="宋体" w:cs="宋体" w:eastAsia="宋体" w:hint="default"/>
        </w:rPr>
        <w:t>2014</w:t>
      </w:r>
      <w:r>
        <w:rPr/>
        <w:t>年</w:t>
      </w:r>
      <w:r>
        <w:rPr>
          <w:rFonts w:ascii="宋体" w:hAnsi="宋体" w:cs="宋体" w:eastAsia="宋体" w:hint="default"/>
        </w:rPr>
        <w:t>9</w:t>
      </w:r>
      <w:r>
        <w:rPr/>
        <w:t>月</w:t>
      </w:r>
      <w:r>
        <w:rPr>
          <w:rFonts w:ascii="宋体" w:hAnsi="宋体" w:cs="宋体" w:eastAsia="宋体" w:hint="default"/>
        </w:rPr>
        <w:t>30</w:t>
      </w:r>
      <w:r>
        <w:rPr/>
        <w:t>日，证书编号</w:t>
      </w:r>
      <w:r>
        <w:rPr>
          <w:rFonts w:ascii="宋体" w:hAnsi="宋体" w:cs="宋体" w:eastAsia="宋体" w:hint="default"/>
        </w:rPr>
        <w:t>GR201435100149</w:t>
      </w:r>
      <w:r>
        <w:rPr/>
        <w:t>；</w:t>
      </w:r>
      <w:r>
        <w:rPr>
          <w:rFonts w:ascii="宋体" w:hAnsi="宋体" w:cs="宋体" w:eastAsia="宋体" w:hint="default"/>
        </w:rPr>
        <w:t>2017</w:t>
      </w:r>
      <w:r>
        <w:rPr/>
        <w:t>年</w:t>
      </w:r>
      <w:r>
        <w:rPr>
          <w:rFonts w:ascii="宋体" w:hAnsi="宋体" w:cs="宋体" w:eastAsia="宋体" w:hint="default"/>
        </w:rPr>
        <w:t>10</w:t>
      </w:r>
      <w:r>
        <w:rPr/>
        <w:t>月</w:t>
      </w:r>
      <w:r>
        <w:rPr>
          <w:rFonts w:ascii="宋体" w:hAnsi="宋体" w:cs="宋体" w:eastAsia="宋体" w:hint="default"/>
        </w:rPr>
        <w:t>10</w:t>
      </w:r>
      <w:r>
        <w:rPr/>
        <w:t>日，本公司再次获得高新技术企业认定，证书</w:t>
      </w:r>
      <w:r>
        <w:rPr>
          <w:spacing w:val="-28"/>
        </w:rPr>
        <w:t> </w:t>
      </w:r>
      <w:r>
        <w:rPr>
          <w:spacing w:val="-28"/>
        </w:rPr>
      </w:r>
      <w:r>
        <w:rPr/>
        <w:t>编号：</w:t>
      </w:r>
      <w:r>
        <w:rPr>
          <w:rFonts w:ascii="宋体" w:hAnsi="宋体" w:cs="宋体" w:eastAsia="宋体" w:hint="default"/>
        </w:rPr>
        <w:t>GR201735100074</w:t>
      </w:r>
      <w:r>
        <w:rPr/>
        <w:t>，本公司根据有关规定，高新技术企业享受减按</w:t>
      </w:r>
      <w:r>
        <w:rPr>
          <w:rFonts w:ascii="宋体" w:hAnsi="宋体" w:cs="宋体" w:eastAsia="宋体" w:hint="default"/>
        </w:rPr>
        <w:t>15%</w:t>
      </w:r>
      <w:r>
        <w:rPr/>
        <w:t>的税率征收企业所得税。</w:t>
      </w:r>
    </w:p>
    <w:p>
      <w:pPr>
        <w:pStyle w:val="BodyText"/>
        <w:spacing w:line="240" w:lineRule="auto"/>
        <w:ind w:left="572" w:right="986"/>
        <w:jc w:val="left"/>
      </w:pPr>
      <w:r>
        <w:rPr/>
        <w:t>根据《财税【</w:t>
      </w:r>
      <w:r>
        <w:rPr>
          <w:rFonts w:ascii="宋体" w:hAnsi="宋体" w:cs="宋体" w:eastAsia="宋体" w:hint="default"/>
        </w:rPr>
        <w:t>2016</w:t>
      </w:r>
      <w:r>
        <w:rPr/>
        <w:t>】</w:t>
      </w:r>
      <w:r>
        <w:rPr>
          <w:rFonts w:ascii="宋体" w:hAnsi="宋体" w:cs="宋体" w:eastAsia="宋体" w:hint="default"/>
        </w:rPr>
        <w:t>49</w:t>
      </w:r>
      <w:r>
        <w:rPr/>
        <w:t>号关于软件和集成电路产业企业所得税优惠政策有关问题的通知》，享受财税</w:t>
      </w:r>
    </w:p>
    <w:p>
      <w:pPr>
        <w:spacing w:line="240" w:lineRule="auto" w:before="10"/>
        <w:rPr>
          <w:rFonts w:ascii="宋体" w:hAnsi="宋体" w:cs="宋体" w:eastAsia="宋体" w:hint="default"/>
          <w:sz w:val="14"/>
          <w:szCs w:val="14"/>
        </w:rPr>
      </w:pPr>
    </w:p>
    <w:p>
      <w:pPr>
        <w:pStyle w:val="BodyText"/>
        <w:spacing w:line="408" w:lineRule="auto" w:before="0"/>
        <w:ind w:right="1107"/>
        <w:jc w:val="both"/>
      </w:pPr>
      <w:r>
        <w:rPr>
          <w:spacing w:val="-2"/>
        </w:rPr>
        <w:t>〔</w:t>
      </w:r>
      <w:r>
        <w:rPr>
          <w:rFonts w:ascii="宋体" w:hAnsi="宋体" w:cs="宋体" w:eastAsia="宋体" w:hint="default"/>
          <w:spacing w:val="-2"/>
        </w:rPr>
        <w:t>2012</w:t>
      </w:r>
      <w:r>
        <w:rPr>
          <w:spacing w:val="-2"/>
        </w:rPr>
        <w:t>〕</w:t>
      </w:r>
      <w:r>
        <w:rPr>
          <w:rFonts w:ascii="宋体" w:hAnsi="宋体" w:cs="宋体" w:eastAsia="宋体" w:hint="default"/>
          <w:spacing w:val="-2"/>
        </w:rPr>
        <w:t>27</w:t>
      </w:r>
      <w:r>
        <w:rPr>
          <w:spacing w:val="-2"/>
        </w:rPr>
        <w:t>号文件规定的税收优惠政策的软件、集成电路企业，每年汇算清缴时应按照《国家税务总局关</w:t>
      </w:r>
      <w:r>
        <w:rPr>
          <w:spacing w:val="-44"/>
        </w:rPr>
        <w:t> </w:t>
      </w:r>
      <w:r>
        <w:rPr>
          <w:spacing w:val="-44"/>
        </w:rPr>
      </w:r>
      <w:r>
        <w:rPr>
          <w:spacing w:val="-2"/>
        </w:rPr>
        <w:t>于发布〈企业所得税优惠政策事项办理办法〉的公告》（国家税务总局公告</w:t>
      </w:r>
      <w:r>
        <w:rPr>
          <w:rFonts w:ascii="宋体" w:hAnsi="宋体" w:cs="宋体" w:eastAsia="宋体" w:hint="default"/>
          <w:spacing w:val="-2"/>
        </w:rPr>
        <w:t>2015</w:t>
      </w:r>
      <w:r>
        <w:rPr>
          <w:spacing w:val="-2"/>
        </w:rPr>
        <w:t>年第</w:t>
      </w:r>
      <w:r>
        <w:rPr>
          <w:rFonts w:ascii="宋体" w:hAnsi="宋体" w:cs="宋体" w:eastAsia="宋体" w:hint="default"/>
          <w:spacing w:val="-2"/>
        </w:rPr>
        <w:t>76</w:t>
      </w:r>
      <w:r>
        <w:rPr>
          <w:spacing w:val="-2"/>
        </w:rPr>
        <w:t>号）规定向税务机</w:t>
      </w:r>
      <w:r>
        <w:rPr>
          <w:spacing w:val="-45"/>
        </w:rPr>
        <w:t> </w:t>
      </w:r>
      <w:r>
        <w:rPr>
          <w:spacing w:val="-45"/>
        </w:rPr>
      </w:r>
      <w:r>
        <w:rPr>
          <w:spacing w:val="-2"/>
        </w:rPr>
        <w:t>关备案，同时提交《享受企业所得税优惠政策的软件和集成电路企业备案资料明细表》规定的备案资料。</w:t>
      </w:r>
      <w:r>
        <w:rPr>
          <w:spacing w:val="-21"/>
        </w:rPr>
        <w:t> </w:t>
      </w:r>
      <w:r>
        <w:rPr>
          <w:spacing w:val="-21"/>
        </w:rPr>
      </w:r>
      <w:r>
        <w:rPr/>
        <w:t>本公司预计能够符合财税〔</w:t>
      </w:r>
      <w:r>
        <w:rPr>
          <w:rFonts w:ascii="宋体" w:hAnsi="宋体" w:cs="宋体" w:eastAsia="宋体" w:hint="default"/>
        </w:rPr>
        <w:t>2012</w:t>
      </w:r>
      <w:r>
        <w:rPr/>
        <w:t>〕</w:t>
      </w:r>
      <w:r>
        <w:rPr>
          <w:rFonts w:ascii="宋体" w:hAnsi="宋体" w:cs="宋体" w:eastAsia="宋体" w:hint="default"/>
        </w:rPr>
        <w:t>27</w:t>
      </w:r>
      <w:r>
        <w:rPr/>
        <w:t>号文件规定的税收优惠政策，故</w:t>
      </w:r>
      <w:r>
        <w:rPr>
          <w:rFonts w:ascii="宋体" w:hAnsi="宋体" w:cs="宋体" w:eastAsia="宋体" w:hint="default"/>
        </w:rPr>
        <w:t>2019</w:t>
      </w:r>
      <w:r>
        <w:rPr/>
        <w:t>年度企业所得税按</w:t>
      </w:r>
      <w:r>
        <w:rPr>
          <w:rFonts w:ascii="宋体" w:hAnsi="宋体" w:cs="宋体" w:eastAsia="宋体" w:hint="default"/>
        </w:rPr>
        <w:t>10%</w:t>
      </w:r>
      <w:r>
        <w:rPr/>
        <w:t>的税率确</w:t>
      </w:r>
      <w:r>
        <w:rPr>
          <w:spacing w:val="-28"/>
        </w:rPr>
        <w:t> </w:t>
      </w:r>
      <w:r>
        <w:rPr/>
        <w:t>认。</w:t>
      </w:r>
    </w:p>
    <w:p>
      <w:pPr>
        <w:spacing w:after="0" w:line="408" w:lineRule="auto"/>
        <w:jc w:val="both"/>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1106" w:firstLine="420"/>
        <w:jc w:val="both"/>
      </w:pPr>
      <w:r>
        <w:rPr>
          <w:spacing w:val="-2"/>
        </w:rPr>
        <w:t>（</w:t>
      </w:r>
      <w:r>
        <w:rPr>
          <w:rFonts w:ascii="宋体" w:hAnsi="宋体" w:cs="宋体" w:eastAsia="宋体" w:hint="default"/>
          <w:spacing w:val="-2"/>
        </w:rPr>
        <w:t>2</w:t>
      </w:r>
      <w:r>
        <w:rPr>
          <w:spacing w:val="-2"/>
        </w:rPr>
        <w:t>）</w:t>
      </w:r>
      <w:r>
        <w:rPr>
          <w:rFonts w:ascii="宋体" w:hAnsi="宋体" w:cs="宋体" w:eastAsia="宋体" w:hint="default"/>
          <w:spacing w:val="-2"/>
        </w:rPr>
        <w:t>2014</w:t>
      </w:r>
      <w:r>
        <w:rPr>
          <w:spacing w:val="-2"/>
        </w:rPr>
        <w:t>年</w:t>
      </w:r>
      <w:r>
        <w:rPr>
          <w:rFonts w:ascii="宋体" w:hAnsi="宋体" w:cs="宋体" w:eastAsia="宋体" w:hint="default"/>
          <w:spacing w:val="-2"/>
        </w:rPr>
        <w:t>9</w:t>
      </w:r>
      <w:r>
        <w:rPr>
          <w:spacing w:val="-2"/>
        </w:rPr>
        <w:t>月</w:t>
      </w:r>
      <w:r>
        <w:rPr>
          <w:rFonts w:ascii="宋体" w:hAnsi="宋体" w:cs="宋体" w:eastAsia="宋体" w:hint="default"/>
          <w:spacing w:val="-2"/>
        </w:rPr>
        <w:t>30</w:t>
      </w:r>
      <w:r>
        <w:rPr>
          <w:spacing w:val="-2"/>
        </w:rPr>
        <w:t>日，子公司美亚研究所经厦门市科学技术局、厦门市财政局、厦门市国家税务局、</w:t>
      </w:r>
      <w:r>
        <w:rPr>
          <w:w w:val="100"/>
        </w:rPr>
        <w:t> </w:t>
      </w:r>
      <w:r>
        <w:rPr>
          <w:spacing w:val="-2"/>
        </w:rPr>
        <w:t>福建省厦门市地方税务局认定为高新技术企业，证书编号：</w:t>
      </w:r>
      <w:r>
        <w:rPr>
          <w:rFonts w:ascii="宋体" w:hAnsi="宋体" w:cs="宋体" w:eastAsia="宋体" w:hint="default"/>
          <w:spacing w:val="-2"/>
        </w:rPr>
        <w:t>GR201435100154</w:t>
      </w:r>
      <w:r>
        <w:rPr>
          <w:spacing w:val="-2"/>
        </w:rPr>
        <w:t>；</w:t>
      </w:r>
      <w:r>
        <w:rPr>
          <w:rFonts w:ascii="宋体" w:hAnsi="宋体" w:cs="宋体" w:eastAsia="宋体" w:hint="default"/>
          <w:spacing w:val="-2"/>
        </w:rPr>
        <w:t>2017</w:t>
      </w:r>
      <w:r>
        <w:rPr>
          <w:spacing w:val="-2"/>
        </w:rPr>
        <w:t>年</w:t>
      </w:r>
      <w:r>
        <w:rPr>
          <w:rFonts w:ascii="宋体" w:hAnsi="宋体" w:cs="宋体" w:eastAsia="宋体" w:hint="default"/>
          <w:spacing w:val="-2"/>
        </w:rPr>
        <w:t>10</w:t>
      </w:r>
      <w:r>
        <w:rPr>
          <w:spacing w:val="-2"/>
        </w:rPr>
        <w:t>月</w:t>
      </w:r>
      <w:r>
        <w:rPr>
          <w:rFonts w:ascii="宋体" w:hAnsi="宋体" w:cs="宋体" w:eastAsia="宋体" w:hint="default"/>
          <w:spacing w:val="-2"/>
        </w:rPr>
        <w:t>10</w:t>
      </w:r>
      <w:r>
        <w:rPr>
          <w:spacing w:val="-2"/>
        </w:rPr>
        <w:t>日，美亚研究</w:t>
      </w:r>
      <w:r>
        <w:rPr>
          <w:spacing w:val="-25"/>
        </w:rPr>
        <w:t> </w:t>
      </w:r>
      <w:r>
        <w:rPr>
          <w:spacing w:val="-25"/>
        </w:rPr>
      </w:r>
      <w:r>
        <w:rPr/>
        <w:t>所再次获得高新技术企业认定，证书编号：</w:t>
      </w:r>
      <w:r>
        <w:rPr>
          <w:rFonts w:ascii="宋体" w:hAnsi="宋体" w:cs="宋体" w:eastAsia="宋体" w:hint="default"/>
        </w:rPr>
        <w:t>GR201735100130</w:t>
      </w:r>
      <w:r>
        <w:rPr/>
        <w:t>，根据有关规定，</w:t>
      </w:r>
      <w:r>
        <w:rPr>
          <w:rFonts w:ascii="宋体" w:hAnsi="宋体" w:cs="宋体" w:eastAsia="宋体" w:hint="default"/>
        </w:rPr>
        <w:t>2019</w:t>
      </w:r>
      <w:r>
        <w:rPr/>
        <w:t>年度享受减按</w:t>
      </w:r>
      <w:r>
        <w:rPr>
          <w:rFonts w:ascii="宋体" w:hAnsi="宋体" w:cs="宋体" w:eastAsia="宋体" w:hint="default"/>
        </w:rPr>
        <w:t>15%</w:t>
      </w:r>
      <w:r>
        <w:rPr/>
        <w:t>的税</w:t>
      </w:r>
      <w:r>
        <w:rPr>
          <w:spacing w:val="-24"/>
        </w:rPr>
        <w:t> </w:t>
      </w:r>
      <w:r>
        <w:rPr/>
        <w:t>率征收企业所得税。</w:t>
      </w:r>
    </w:p>
    <w:p>
      <w:pPr>
        <w:pStyle w:val="BodyText"/>
        <w:spacing w:line="408" w:lineRule="auto"/>
        <w:ind w:right="986" w:firstLine="420"/>
        <w:jc w:val="left"/>
      </w:pPr>
      <w:r>
        <w:rPr>
          <w:spacing w:val="-2"/>
        </w:rPr>
        <w:t>（</w:t>
      </w:r>
      <w:r>
        <w:rPr>
          <w:rFonts w:ascii="宋体" w:hAnsi="宋体" w:cs="宋体" w:eastAsia="宋体" w:hint="default"/>
          <w:spacing w:val="-2"/>
        </w:rPr>
        <w:t>3</w:t>
      </w:r>
      <w:r>
        <w:rPr>
          <w:spacing w:val="-2"/>
        </w:rPr>
        <w:t>）</w:t>
      </w:r>
      <w:r>
        <w:rPr>
          <w:rFonts w:ascii="宋体" w:hAnsi="宋体" w:cs="宋体" w:eastAsia="宋体" w:hint="default"/>
          <w:spacing w:val="-2"/>
        </w:rPr>
        <w:t>2011</w:t>
      </w:r>
      <w:r>
        <w:rPr>
          <w:spacing w:val="-2"/>
        </w:rPr>
        <w:t>年</w:t>
      </w:r>
      <w:r>
        <w:rPr>
          <w:rFonts w:ascii="宋体" w:hAnsi="宋体" w:cs="宋体" w:eastAsia="宋体" w:hint="default"/>
          <w:spacing w:val="-2"/>
        </w:rPr>
        <w:t>11</w:t>
      </w:r>
      <w:r>
        <w:rPr>
          <w:spacing w:val="-2"/>
        </w:rPr>
        <w:t>月</w:t>
      </w:r>
      <w:r>
        <w:rPr>
          <w:rFonts w:ascii="宋体" w:hAnsi="宋体" w:cs="宋体" w:eastAsia="宋体" w:hint="default"/>
          <w:spacing w:val="-2"/>
        </w:rPr>
        <w:t>17</w:t>
      </w:r>
      <w:r>
        <w:rPr>
          <w:spacing w:val="-2"/>
        </w:rPr>
        <w:t>日，子公司珠海新德汇经广东省科学技术厅、广东省财政厅、广东省国家税务局、</w:t>
      </w:r>
      <w:r>
        <w:rPr>
          <w:w w:val="100"/>
        </w:rPr>
        <w:t> </w:t>
      </w:r>
      <w:r>
        <w:rPr/>
        <w:t>广东省地方税务局认定为高新技术企业，证书编号：</w:t>
      </w:r>
      <w:r>
        <w:rPr>
          <w:rFonts w:ascii="宋体" w:hAnsi="宋体" w:cs="宋体" w:eastAsia="宋体" w:hint="default"/>
        </w:rPr>
        <w:t>GR201144000598</w:t>
      </w:r>
      <w:r>
        <w:rPr/>
        <w:t>；</w:t>
      </w:r>
      <w:r>
        <w:rPr>
          <w:rFonts w:ascii="宋体" w:hAnsi="宋体" w:cs="宋体" w:eastAsia="宋体" w:hint="default"/>
        </w:rPr>
        <w:t>2014</w:t>
      </w:r>
      <w:r>
        <w:rPr/>
        <w:t>年</w:t>
      </w:r>
      <w:r>
        <w:rPr>
          <w:rFonts w:ascii="宋体" w:hAnsi="宋体" w:cs="宋体" w:eastAsia="宋体" w:hint="default"/>
        </w:rPr>
        <w:t>10</w:t>
      </w:r>
      <w:r>
        <w:rPr/>
        <w:t>月</w:t>
      </w:r>
      <w:r>
        <w:rPr>
          <w:rFonts w:ascii="宋体" w:hAnsi="宋体" w:cs="宋体" w:eastAsia="宋体" w:hint="default"/>
        </w:rPr>
        <w:t>9</w:t>
      </w:r>
      <w:r>
        <w:rPr/>
        <w:t>日再次获得高新技术</w:t>
      </w:r>
      <w:r>
        <w:rPr>
          <w:spacing w:val="-29"/>
        </w:rPr>
        <w:t> </w:t>
      </w:r>
      <w:r>
        <w:rPr>
          <w:spacing w:val="-29"/>
        </w:rPr>
      </w:r>
      <w:r>
        <w:rPr>
          <w:spacing w:val="-2"/>
        </w:rPr>
        <w:t>企业认定，证书编号：</w:t>
      </w:r>
      <w:r>
        <w:rPr>
          <w:rFonts w:ascii="宋体" w:hAnsi="宋体" w:cs="宋体" w:eastAsia="宋体" w:hint="default"/>
          <w:spacing w:val="-2"/>
        </w:rPr>
        <w:t>GR201444000050</w:t>
      </w:r>
      <w:r>
        <w:rPr>
          <w:spacing w:val="-2"/>
        </w:rPr>
        <w:t>；</w:t>
      </w:r>
      <w:r>
        <w:rPr>
          <w:rFonts w:ascii="宋体" w:hAnsi="宋体" w:cs="宋体" w:eastAsia="宋体" w:hint="default"/>
          <w:spacing w:val="-2"/>
        </w:rPr>
        <w:t>2017</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11</w:t>
      </w:r>
      <w:r>
        <w:rPr>
          <w:spacing w:val="-2"/>
        </w:rPr>
        <w:t>日，珠海新德汇再次获得高新技术企业认定，证书</w:t>
      </w:r>
      <w:r>
        <w:rPr>
          <w:spacing w:val="-24"/>
        </w:rPr>
        <w:t> </w:t>
      </w:r>
      <w:r>
        <w:rPr>
          <w:spacing w:val="-24"/>
        </w:rPr>
      </w:r>
      <w:r>
        <w:rPr/>
        <w:t>编号：</w:t>
      </w:r>
      <w:r>
        <w:rPr>
          <w:rFonts w:ascii="宋体" w:hAnsi="宋体" w:cs="宋体" w:eastAsia="宋体" w:hint="default"/>
        </w:rPr>
        <w:t>GR201744006210</w:t>
      </w:r>
      <w:r>
        <w:rPr/>
        <w:t>，根据有关规定，</w:t>
      </w:r>
      <w:r>
        <w:rPr>
          <w:rFonts w:ascii="宋体" w:hAnsi="宋体" w:cs="宋体" w:eastAsia="宋体" w:hint="default"/>
        </w:rPr>
        <w:t>2019</w:t>
      </w:r>
      <w:r>
        <w:rPr/>
        <w:t>年度享受减按</w:t>
      </w:r>
      <w:r>
        <w:rPr>
          <w:rFonts w:ascii="宋体" w:hAnsi="宋体" w:cs="宋体" w:eastAsia="宋体" w:hint="default"/>
        </w:rPr>
        <w:t>15%</w:t>
      </w:r>
      <w:r>
        <w:rPr/>
        <w:t>的税率征收企业所得税。</w:t>
      </w:r>
    </w:p>
    <w:p>
      <w:pPr>
        <w:pStyle w:val="BodyText"/>
        <w:spacing w:line="408" w:lineRule="auto"/>
        <w:ind w:right="986" w:firstLine="420"/>
        <w:jc w:val="left"/>
      </w:pPr>
      <w:r>
        <w:rPr/>
        <w:t>（</w:t>
      </w:r>
      <w:r>
        <w:rPr>
          <w:rFonts w:ascii="宋体" w:hAnsi="宋体" w:cs="宋体" w:eastAsia="宋体" w:hint="default"/>
        </w:rPr>
        <w:t>4</w:t>
      </w:r>
      <w:r>
        <w:rPr/>
        <w:t>）</w:t>
      </w:r>
      <w:r>
        <w:rPr>
          <w:rFonts w:ascii="宋体" w:hAnsi="宋体" w:cs="宋体" w:eastAsia="宋体" w:hint="default"/>
        </w:rPr>
        <w:t>2012</w:t>
      </w:r>
      <w:r>
        <w:rPr/>
        <w:t>年</w:t>
      </w:r>
      <w:r>
        <w:rPr>
          <w:rFonts w:ascii="宋体" w:hAnsi="宋体" w:cs="宋体" w:eastAsia="宋体" w:hint="default"/>
        </w:rPr>
        <w:t>11</w:t>
      </w:r>
      <w:r>
        <w:rPr/>
        <w:t>月</w:t>
      </w:r>
      <w:r>
        <w:rPr>
          <w:rFonts w:ascii="宋体" w:hAnsi="宋体" w:cs="宋体" w:eastAsia="宋体" w:hint="default"/>
        </w:rPr>
        <w:t>29</w:t>
      </w:r>
      <w:r>
        <w:rPr/>
        <w:t>日，子公司美亚中敏经厦门市科学技术局、厦门市财政局、厦门市国家税务局、</w:t>
      </w:r>
      <w:r>
        <w:rPr>
          <w:w w:val="100"/>
        </w:rPr>
        <w:t> </w:t>
      </w:r>
      <w:r>
        <w:rPr>
          <w:spacing w:val="8"/>
        </w:rPr>
        <w:t>厦门市地方税务局认定为高新技术企业；</w:t>
      </w:r>
      <w:r>
        <w:rPr>
          <w:rFonts w:ascii="宋体" w:hAnsi="宋体" w:cs="宋体" w:eastAsia="宋体" w:hint="default"/>
          <w:spacing w:val="8"/>
        </w:rPr>
        <w:t>2015</w:t>
      </w:r>
      <w:r>
        <w:rPr>
          <w:spacing w:val="8"/>
        </w:rPr>
        <w:t>年</w:t>
      </w:r>
      <w:r>
        <w:rPr>
          <w:rFonts w:ascii="宋体" w:hAnsi="宋体" w:cs="宋体" w:eastAsia="宋体" w:hint="default"/>
          <w:spacing w:val="8"/>
        </w:rPr>
        <w:t>6</w:t>
      </w:r>
      <w:r>
        <w:rPr>
          <w:spacing w:val="8"/>
        </w:rPr>
        <w:t>月</w:t>
      </w:r>
      <w:r>
        <w:rPr>
          <w:rFonts w:ascii="宋体" w:hAnsi="宋体" w:cs="宋体" w:eastAsia="宋体" w:hint="default"/>
          <w:spacing w:val="8"/>
        </w:rPr>
        <w:t>29</w:t>
      </w:r>
      <w:r>
        <w:rPr>
          <w:spacing w:val="8"/>
        </w:rPr>
        <w:t>日，再次获得高新技术企业认定，证书编号：</w:t>
      </w:r>
      <w:r>
        <w:rPr>
          <w:spacing w:val="7"/>
        </w:rPr>
        <w:t> </w:t>
      </w:r>
      <w:r>
        <w:rPr>
          <w:spacing w:val="7"/>
        </w:rPr>
      </w:r>
      <w:r>
        <w:rPr>
          <w:rFonts w:ascii="宋体" w:hAnsi="宋体" w:cs="宋体" w:eastAsia="宋体" w:hint="default"/>
        </w:rPr>
        <w:t>GF201535100002</w:t>
      </w:r>
      <w:r>
        <w:rPr/>
        <w:t>；</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w:t>
      </w:r>
      <w:r>
        <w:rPr/>
        <w:t>日，美亚中敏取得全国高新技术企业认定管理工作小组办公室《关于厦门</w:t>
      </w:r>
      <w:r>
        <w:rPr>
          <w:spacing w:val="-30"/>
        </w:rPr>
        <w:t> </w:t>
      </w:r>
      <w:r>
        <w:rPr>
          <w:spacing w:val="-30"/>
        </w:rPr>
      </w:r>
      <w:r>
        <w:rPr>
          <w:spacing w:val="-4"/>
        </w:rPr>
        <w:t>市</w:t>
      </w:r>
      <w:r>
        <w:rPr>
          <w:rFonts w:ascii="宋体" w:hAnsi="宋体" w:cs="宋体" w:eastAsia="宋体" w:hint="default"/>
          <w:spacing w:val="-4"/>
        </w:rPr>
        <w:t>2018</w:t>
      </w:r>
      <w:r>
        <w:rPr>
          <w:spacing w:val="-4"/>
        </w:rPr>
        <w:t>年第二批高新技术企业备案的复函》（国科火字（</w:t>
      </w:r>
      <w:r>
        <w:rPr>
          <w:rFonts w:ascii="宋体" w:hAnsi="宋体" w:cs="宋体" w:eastAsia="宋体" w:hint="default"/>
          <w:spacing w:val="-4"/>
        </w:rPr>
        <w:t>2019</w:t>
      </w:r>
      <w:r>
        <w:rPr>
          <w:spacing w:val="-4"/>
        </w:rPr>
        <w:t>）</w:t>
      </w:r>
      <w:r>
        <w:rPr>
          <w:rFonts w:ascii="宋体" w:hAnsi="宋体" w:cs="宋体" w:eastAsia="宋体" w:hint="default"/>
          <w:spacing w:val="-4"/>
        </w:rPr>
        <w:t>35</w:t>
      </w:r>
      <w:r>
        <w:rPr>
          <w:spacing w:val="-4"/>
        </w:rPr>
        <w:t>号），美亚中敏被认定为高新技术企业；</w:t>
      </w:r>
      <w:r>
        <w:rPr>
          <w:spacing w:val="-32"/>
        </w:rPr>
        <w:t> </w:t>
      </w:r>
      <w:r>
        <w:rPr>
          <w:spacing w:val="-32"/>
        </w:rPr>
      </w:r>
      <w:r>
        <w:rPr/>
        <w:t>根据有关规定，</w:t>
      </w:r>
      <w:r>
        <w:rPr>
          <w:rFonts w:ascii="宋体" w:hAnsi="宋体" w:cs="宋体" w:eastAsia="宋体" w:hint="default"/>
        </w:rPr>
        <w:t>2019</w:t>
      </w:r>
      <w:r>
        <w:rPr/>
        <w:t>年度享受减按</w:t>
      </w:r>
      <w:r>
        <w:rPr>
          <w:rFonts w:ascii="宋体" w:hAnsi="宋体" w:cs="宋体" w:eastAsia="宋体" w:hint="default"/>
        </w:rPr>
        <w:t>15%</w:t>
      </w:r>
      <w:r>
        <w:rPr/>
        <w:t>的税率征收企业所得税。</w:t>
      </w:r>
    </w:p>
    <w:p>
      <w:pPr>
        <w:pStyle w:val="BodyText"/>
        <w:spacing w:line="408" w:lineRule="auto"/>
        <w:ind w:right="1128" w:firstLine="420"/>
        <w:jc w:val="both"/>
      </w:pPr>
      <w:r>
        <w:rPr>
          <w:spacing w:val="-2"/>
        </w:rPr>
        <w:t>（</w:t>
      </w:r>
      <w:r>
        <w:rPr>
          <w:rFonts w:ascii="宋体" w:hAnsi="宋体" w:cs="宋体" w:eastAsia="宋体" w:hint="default"/>
          <w:spacing w:val="-2"/>
        </w:rPr>
        <w:t>5</w:t>
      </w:r>
      <w:r>
        <w:rPr>
          <w:spacing w:val="-2"/>
        </w:rPr>
        <w:t>）</w:t>
      </w:r>
      <w:r>
        <w:rPr>
          <w:rFonts w:ascii="宋体" w:hAnsi="宋体" w:cs="宋体" w:eastAsia="宋体" w:hint="default"/>
          <w:spacing w:val="-2"/>
        </w:rPr>
        <w:t>2016</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1</w:t>
      </w:r>
      <w:r>
        <w:rPr>
          <w:spacing w:val="-2"/>
        </w:rPr>
        <w:t>日，子公司安胜科技经厦门市科学技术局、厦门市财政局、厦门市国家税务局、福</w:t>
      </w:r>
      <w:r>
        <w:rPr>
          <w:w w:val="100"/>
        </w:rPr>
        <w:t> </w:t>
      </w:r>
      <w:r>
        <w:rPr>
          <w:spacing w:val="-2"/>
        </w:rPr>
        <w:t>建省厦门市地方税务局认定为高新技术企业，证书编号：</w:t>
      </w:r>
      <w:r>
        <w:rPr>
          <w:rFonts w:ascii="宋体" w:hAnsi="宋体" w:cs="宋体" w:eastAsia="宋体" w:hint="default"/>
          <w:spacing w:val="-2"/>
        </w:rPr>
        <w:t>GR201635100333</w:t>
      </w:r>
      <w:r>
        <w:rPr>
          <w:spacing w:val="-2"/>
        </w:rPr>
        <w:t>，有效期三年，该证书于</w:t>
      </w:r>
      <w:r>
        <w:rPr>
          <w:rFonts w:ascii="宋体" w:hAnsi="宋体" w:cs="宋体" w:eastAsia="宋体" w:hint="default"/>
          <w:spacing w:val="-2"/>
        </w:rPr>
        <w:t>2019</w:t>
      </w:r>
      <w:r>
        <w:rPr>
          <w:spacing w:val="-2"/>
        </w:rPr>
        <w:t>年</w:t>
      </w:r>
      <w:r>
        <w:rPr>
          <w:spacing w:val="-31"/>
        </w:rPr>
        <w:t> </w:t>
      </w:r>
      <w:r>
        <w:rPr>
          <w:spacing w:val="-2"/>
        </w:rPr>
        <w:t>到期。</w:t>
      </w:r>
      <w:r>
        <w:rPr>
          <w:rFonts w:ascii="宋体" w:hAnsi="宋体" w:cs="宋体" w:eastAsia="宋体" w:hint="default"/>
          <w:spacing w:val="-2"/>
        </w:rPr>
        <w:t>2019</w:t>
      </w:r>
      <w:r>
        <w:rPr>
          <w:spacing w:val="-2"/>
        </w:rPr>
        <w:t>年</w:t>
      </w:r>
      <w:r>
        <w:rPr>
          <w:rFonts w:ascii="宋体" w:hAnsi="宋体" w:cs="宋体" w:eastAsia="宋体" w:hint="default"/>
          <w:spacing w:val="-2"/>
        </w:rPr>
        <w:t>11</w:t>
      </w:r>
      <w:r>
        <w:rPr>
          <w:spacing w:val="-2"/>
        </w:rPr>
        <w:t>月</w:t>
      </w:r>
      <w:r>
        <w:rPr>
          <w:rFonts w:ascii="宋体" w:hAnsi="宋体" w:cs="宋体" w:eastAsia="宋体" w:hint="default"/>
          <w:spacing w:val="-2"/>
        </w:rPr>
        <w:t>21</w:t>
      </w:r>
      <w:r>
        <w:rPr>
          <w:spacing w:val="-2"/>
        </w:rPr>
        <w:t>日，公司再次取得了高新技术企业，证书编号：</w:t>
      </w:r>
      <w:r>
        <w:rPr>
          <w:rFonts w:ascii="宋体" w:hAnsi="宋体" w:cs="宋体" w:eastAsia="宋体" w:hint="default"/>
          <w:spacing w:val="-2"/>
        </w:rPr>
        <w:t>GR201935100404</w:t>
      </w:r>
      <w:r>
        <w:rPr>
          <w:spacing w:val="-2"/>
        </w:rPr>
        <w:t>，根据有关规定，安</w:t>
      </w:r>
      <w:r>
        <w:rPr>
          <w:spacing w:val="-23"/>
        </w:rPr>
        <w:t> </w:t>
      </w:r>
      <w:r>
        <w:rPr>
          <w:spacing w:val="-23"/>
        </w:rPr>
      </w:r>
      <w:r>
        <w:rPr>
          <w:spacing w:val="-2"/>
        </w:rPr>
        <w:t>胜科技可享受</w:t>
      </w:r>
      <w:r>
        <w:rPr>
          <w:rFonts w:ascii="宋体" w:hAnsi="宋体" w:cs="宋体" w:eastAsia="宋体" w:hint="default"/>
          <w:spacing w:val="-2"/>
        </w:rPr>
        <w:t>15%</w:t>
      </w:r>
      <w:r>
        <w:rPr>
          <w:spacing w:val="-2"/>
        </w:rPr>
        <w:t>的税率征收企业所得税。</w:t>
      </w:r>
      <w:r>
        <w:rPr>
          <w:rFonts w:ascii="宋体" w:hAnsi="宋体" w:cs="宋体" w:eastAsia="宋体" w:hint="default"/>
          <w:spacing w:val="-2"/>
        </w:rPr>
        <w:t>2017</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2"/>
        </w:rPr>
        <w:t>26</w:t>
      </w:r>
      <w:r>
        <w:rPr>
          <w:spacing w:val="-2"/>
        </w:rPr>
        <w:t>日，子公司安胜科技取得厦门市软件行业协会颁发</w:t>
      </w:r>
      <w:r>
        <w:rPr>
          <w:spacing w:val="-37"/>
        </w:rPr>
        <w:t> </w:t>
      </w:r>
      <w:r>
        <w:rPr>
          <w:spacing w:val="-37"/>
        </w:rPr>
      </w:r>
      <w:r>
        <w:rPr>
          <w:spacing w:val="-2"/>
        </w:rPr>
        <w:t>的“厦</w:t>
      </w:r>
      <w:r>
        <w:rPr>
          <w:rFonts w:ascii="宋体" w:hAnsi="宋体" w:cs="宋体" w:eastAsia="宋体" w:hint="default"/>
          <w:spacing w:val="-2"/>
        </w:rPr>
        <w:t>RQ-2017-0053</w:t>
      </w:r>
      <w:r>
        <w:rPr>
          <w:spacing w:val="-2"/>
        </w:rPr>
        <w:t>号”《软件企业证书》，被认定为软件企业。根据《关于进一步鼓励软件产业和集成</w:t>
      </w:r>
      <w:r>
        <w:rPr>
          <w:spacing w:val="-31"/>
        </w:rPr>
        <w:t> </w:t>
      </w:r>
      <w:r>
        <w:rPr>
          <w:spacing w:val="-31"/>
        </w:rPr>
      </w:r>
      <w:r>
        <w:rPr>
          <w:spacing w:val="-2"/>
        </w:rPr>
        <w:t>电路产业发展企业所得税政策的通知》（财税【</w:t>
      </w:r>
      <w:r>
        <w:rPr>
          <w:rFonts w:ascii="宋体" w:hAnsi="宋体" w:cs="宋体" w:eastAsia="宋体" w:hint="default"/>
          <w:spacing w:val="-2"/>
        </w:rPr>
        <w:t>2012</w:t>
      </w:r>
      <w:r>
        <w:rPr>
          <w:spacing w:val="-2"/>
        </w:rPr>
        <w:t>】</w:t>
      </w:r>
      <w:r>
        <w:rPr>
          <w:rFonts w:ascii="宋体" w:hAnsi="宋体" w:cs="宋体" w:eastAsia="宋体" w:hint="default"/>
          <w:spacing w:val="-2"/>
        </w:rPr>
        <w:t>27</w:t>
      </w:r>
      <w:r>
        <w:rPr>
          <w:spacing w:val="-2"/>
        </w:rPr>
        <w:t>号）规定，对新办集成电路设计企业和符合条件</w:t>
      </w:r>
      <w:r>
        <w:rPr>
          <w:spacing w:val="-38"/>
        </w:rPr>
        <w:t> </w:t>
      </w:r>
      <w:r>
        <w:rPr>
          <w:spacing w:val="-38"/>
        </w:rPr>
      </w:r>
      <w:r>
        <w:rPr>
          <w:spacing w:val="-2"/>
        </w:rPr>
        <w:t>的软件企业，经认定后，自获利年度起，享受企业所得税“两免三减半”优惠政策。</w:t>
      </w:r>
      <w:r>
        <w:rPr>
          <w:rFonts w:ascii="宋体" w:hAnsi="宋体" w:cs="宋体" w:eastAsia="宋体" w:hint="default"/>
          <w:spacing w:val="-2"/>
        </w:rPr>
        <w:t>2015</w:t>
      </w:r>
      <w:r>
        <w:rPr>
          <w:spacing w:val="-2"/>
        </w:rPr>
        <w:t>年为首个获利年</w:t>
      </w:r>
      <w:r>
        <w:rPr>
          <w:spacing w:val="-43"/>
        </w:rPr>
        <w:t> </w:t>
      </w:r>
      <w:r>
        <w:rPr>
          <w:spacing w:val="-43"/>
        </w:rPr>
      </w:r>
      <w:r>
        <w:rPr/>
        <w:t>度，</w:t>
      </w:r>
      <w:r>
        <w:rPr>
          <w:rFonts w:ascii="宋体" w:hAnsi="宋体" w:cs="宋体" w:eastAsia="宋体" w:hint="default"/>
        </w:rPr>
        <w:t>2019</w:t>
      </w:r>
      <w:r>
        <w:rPr/>
        <w:t>年度享受减按</w:t>
      </w:r>
      <w:r>
        <w:rPr>
          <w:rFonts w:ascii="宋体" w:hAnsi="宋体" w:cs="宋体" w:eastAsia="宋体" w:hint="default"/>
        </w:rPr>
        <w:t>12.5%</w:t>
      </w:r>
      <w:r>
        <w:rPr/>
        <w:t>的税率征收企业所得税。</w:t>
      </w:r>
    </w:p>
    <w:p>
      <w:pPr>
        <w:pStyle w:val="BodyText"/>
        <w:spacing w:line="408" w:lineRule="auto"/>
        <w:ind w:right="1130" w:firstLine="420"/>
        <w:jc w:val="both"/>
      </w:pPr>
      <w:r>
        <w:rPr/>
        <w:t>（</w:t>
      </w:r>
      <w:r>
        <w:rPr>
          <w:rFonts w:ascii="宋体" w:hAnsi="宋体" w:cs="宋体" w:eastAsia="宋体" w:hint="default"/>
        </w:rPr>
        <w:t>6</w:t>
      </w:r>
      <w:r>
        <w:rPr/>
        <w:t>）</w:t>
      </w:r>
      <w:r>
        <w:rPr>
          <w:rFonts w:ascii="宋体" w:hAnsi="宋体" w:cs="宋体" w:eastAsia="宋体" w:hint="default"/>
        </w:rPr>
        <w:t>2016</w:t>
      </w:r>
      <w:r>
        <w:rPr/>
        <w:t>年</w:t>
      </w:r>
      <w:r>
        <w:rPr>
          <w:rFonts w:ascii="宋体" w:hAnsi="宋体" w:cs="宋体" w:eastAsia="宋体" w:hint="default"/>
        </w:rPr>
        <w:t>11</w:t>
      </w:r>
      <w:r>
        <w:rPr/>
        <w:t>月</w:t>
      </w:r>
      <w:r>
        <w:rPr>
          <w:rFonts w:ascii="宋体" w:hAnsi="宋体" w:cs="宋体" w:eastAsia="宋体" w:hint="default"/>
        </w:rPr>
        <w:t>30</w:t>
      </w:r>
      <w:r>
        <w:rPr/>
        <w:t>日，子公司江苏税软经江苏省科技厅、江苏省财政厅、江苏省国家税务局、江苏</w:t>
      </w:r>
      <w:r>
        <w:rPr>
          <w:w w:val="100"/>
        </w:rPr>
        <w:t> </w:t>
      </w:r>
      <w:r>
        <w:rPr>
          <w:spacing w:val="-6"/>
        </w:rPr>
        <w:t>省地方税务局认定为高新技术企业，证书编号：</w:t>
      </w:r>
      <w:r>
        <w:rPr>
          <w:rFonts w:ascii="宋体" w:hAnsi="宋体" w:cs="宋体" w:eastAsia="宋体" w:hint="default"/>
          <w:spacing w:val="-6"/>
        </w:rPr>
        <w:t>GR201632001848</w:t>
      </w:r>
      <w:r>
        <w:rPr>
          <w:spacing w:val="-6"/>
        </w:rPr>
        <w:t>，有效期三年，该证书于</w:t>
      </w:r>
      <w:r>
        <w:rPr>
          <w:rFonts w:ascii="宋体" w:hAnsi="宋体" w:cs="宋体" w:eastAsia="宋体" w:hint="default"/>
          <w:spacing w:val="-6"/>
        </w:rPr>
        <w:t>2019</w:t>
      </w:r>
      <w:r>
        <w:rPr>
          <w:spacing w:val="-6"/>
        </w:rPr>
        <w:t>年到期，</w:t>
      </w:r>
      <w:r>
        <w:rPr>
          <w:rFonts w:ascii="宋体" w:hAnsi="宋体" w:cs="宋体" w:eastAsia="宋体" w:hint="default"/>
          <w:spacing w:val="-6"/>
        </w:rPr>
        <w:t>2019 </w:t>
      </w:r>
      <w:r>
        <w:rPr>
          <w:spacing w:val="-2"/>
        </w:rPr>
        <w:t>年公司再次申请了高新技术企业认证，并已获批准，证书编号：</w:t>
      </w:r>
      <w:r>
        <w:rPr>
          <w:rFonts w:ascii="宋体" w:hAnsi="宋体" w:cs="宋体" w:eastAsia="宋体" w:hint="default"/>
          <w:spacing w:val="-2"/>
        </w:rPr>
        <w:t>GR201932002246</w:t>
      </w:r>
      <w:r>
        <w:rPr>
          <w:spacing w:val="-2"/>
        </w:rPr>
        <w:t>，根据有关规定，</w:t>
      </w:r>
      <w:r>
        <w:rPr>
          <w:rFonts w:ascii="宋体" w:hAnsi="宋体" w:cs="宋体" w:eastAsia="宋体" w:hint="default"/>
          <w:spacing w:val="-2"/>
        </w:rPr>
        <w:t>2019</w:t>
      </w:r>
      <w:r>
        <w:rPr>
          <w:spacing w:val="-2"/>
        </w:rPr>
        <w:t>年</w:t>
      </w:r>
      <w:r>
        <w:rPr>
          <w:spacing w:val="-28"/>
        </w:rPr>
        <w:t> </w:t>
      </w:r>
      <w:r>
        <w:rPr/>
        <w:t>度享受减按</w:t>
      </w:r>
      <w:r>
        <w:rPr>
          <w:rFonts w:ascii="宋体" w:hAnsi="宋体" w:cs="宋体" w:eastAsia="宋体" w:hint="default"/>
        </w:rPr>
        <w:t>15%</w:t>
      </w:r>
      <w:r>
        <w:rPr/>
        <w:t>的税率征收企业所得税。</w:t>
      </w:r>
    </w:p>
    <w:p>
      <w:pPr>
        <w:pStyle w:val="BodyText"/>
        <w:spacing w:line="408" w:lineRule="auto"/>
        <w:ind w:left="153" w:right="1129" w:firstLine="419"/>
        <w:jc w:val="both"/>
      </w:pPr>
      <w:r>
        <w:rPr>
          <w:spacing w:val="7"/>
        </w:rPr>
        <w:t>（</w:t>
      </w:r>
      <w:r>
        <w:rPr>
          <w:rFonts w:ascii="宋体" w:hAnsi="宋体" w:cs="宋体" w:eastAsia="宋体" w:hint="default"/>
          <w:spacing w:val="7"/>
        </w:rPr>
        <w:t>7</w:t>
      </w:r>
      <w:r>
        <w:rPr>
          <w:rFonts w:ascii="宋体" w:hAnsi="宋体" w:cs="宋体" w:eastAsia="宋体" w:hint="default"/>
          <w:spacing w:val="-68"/>
        </w:rPr>
        <w:t> </w:t>
      </w:r>
      <w:r>
        <w:rPr>
          <w:spacing w:val="4"/>
        </w:rPr>
        <w:t>）</w:t>
      </w:r>
      <w:r>
        <w:rPr>
          <w:rFonts w:ascii="宋体" w:hAnsi="宋体" w:cs="宋体" w:eastAsia="宋体" w:hint="default"/>
          <w:spacing w:val="4"/>
        </w:rPr>
        <w:t>2016</w:t>
      </w:r>
      <w:r>
        <w:rPr>
          <w:spacing w:val="4"/>
        </w:rPr>
        <w:t>年</w:t>
      </w:r>
      <w:r>
        <w:rPr>
          <w:spacing w:val="-68"/>
        </w:rPr>
        <w:t> </w:t>
      </w:r>
      <w:r>
        <w:rPr>
          <w:rFonts w:ascii="宋体" w:hAnsi="宋体" w:cs="宋体" w:eastAsia="宋体" w:hint="default"/>
          <w:spacing w:val="10"/>
        </w:rPr>
        <w:t>11</w:t>
      </w:r>
      <w:r>
        <w:rPr>
          <w:spacing w:val="10"/>
        </w:rPr>
        <w:t>月</w:t>
      </w:r>
      <w:r>
        <w:rPr>
          <w:rFonts w:ascii="宋体" w:hAnsi="宋体" w:cs="宋体" w:eastAsia="宋体" w:hint="default"/>
          <w:spacing w:val="10"/>
        </w:rPr>
        <w:t>30</w:t>
      </w:r>
      <w:r>
        <w:rPr>
          <w:spacing w:val="10"/>
        </w:rPr>
        <w:t>日，子公司无</w:t>
      </w:r>
      <w:r>
        <w:rPr>
          <w:spacing w:val="-68"/>
        </w:rPr>
        <w:t> </w:t>
      </w:r>
      <w:r>
        <w:rPr>
          <w:spacing w:val="14"/>
        </w:rPr>
        <w:t>锡博盾通过了江苏省软件行业协会软件企业认证，取得“</w:t>
      </w:r>
      <w:r>
        <w:rPr>
          <w:spacing w:val="-68"/>
        </w:rPr>
        <w:t> </w:t>
      </w:r>
      <w:r>
        <w:rPr/>
        <w:t>苏</w:t>
      </w:r>
      <w:r>
        <w:rPr>
          <w:w w:val="100"/>
        </w:rPr>
        <w:t> </w:t>
      </w:r>
      <w:r>
        <w:rPr>
          <w:rFonts w:ascii="宋体" w:hAnsi="宋体" w:cs="宋体" w:eastAsia="宋体" w:hint="default"/>
        </w:rPr>
        <w:t>RQ-2016-</w:t>
      </w:r>
      <w:r>
        <w:rPr/>
        <w:t>B0264”软件企业证书。根据《关于进一步鼓励软件产业和集成电路产业发展企业所得税政策的</w:t>
      </w:r>
      <w:r>
        <w:rPr>
          <w:spacing w:val="-28"/>
        </w:rPr>
        <w:t> </w:t>
      </w:r>
      <w:r>
        <w:rPr>
          <w:spacing w:val="-28"/>
        </w:rPr>
      </w:r>
      <w:r>
        <w:rPr>
          <w:spacing w:val="-2"/>
        </w:rPr>
        <w:t>通知》（财税【</w:t>
      </w:r>
      <w:r>
        <w:rPr>
          <w:rFonts w:ascii="宋体" w:hAnsi="宋体" w:cs="宋体" w:eastAsia="宋体" w:hint="default"/>
          <w:spacing w:val="-2"/>
        </w:rPr>
        <w:t>2012</w:t>
      </w:r>
      <w:r>
        <w:rPr>
          <w:spacing w:val="-2"/>
        </w:rPr>
        <w:t>】</w:t>
      </w:r>
      <w:r>
        <w:rPr>
          <w:rFonts w:ascii="宋体" w:hAnsi="宋体" w:cs="宋体" w:eastAsia="宋体" w:hint="default"/>
          <w:spacing w:val="-2"/>
        </w:rPr>
        <w:t>27</w:t>
      </w:r>
      <w:r>
        <w:rPr>
          <w:spacing w:val="-2"/>
        </w:rPr>
        <w:t>号）规定，对新办集成电路设计企业和符合条件的软件企业，经认定后，在</w:t>
      </w:r>
      <w:r>
        <w:rPr>
          <w:rFonts w:ascii="宋体" w:hAnsi="宋体" w:cs="宋体" w:eastAsia="宋体" w:hint="default"/>
          <w:spacing w:val="-2"/>
        </w:rPr>
        <w:t>2017</w:t>
      </w:r>
      <w:r>
        <w:rPr>
          <w:rFonts w:ascii="宋体" w:hAnsi="宋体" w:cs="宋体" w:eastAsia="宋体" w:hint="default"/>
          <w:spacing w:val="-39"/>
        </w:rPr>
        <w:t> </w:t>
      </w:r>
      <w:r>
        <w:rPr>
          <w:rFonts w:ascii="宋体" w:hAnsi="宋体" w:cs="宋体" w:eastAsia="宋体" w:hint="default"/>
          <w:spacing w:val="-39"/>
        </w:rPr>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日前自获利年度起，享受企业所得税“两免三减半”优惠政策。无锡博盾尚未盈利，尚未开始享</w:t>
      </w:r>
      <w:r>
        <w:rPr>
          <w:spacing w:val="-44"/>
        </w:rPr>
        <w:t> </w:t>
      </w:r>
      <w:r>
        <w:rPr>
          <w:spacing w:val="-44"/>
        </w:rPr>
      </w:r>
      <w:r>
        <w:rPr/>
        <w:t>受两免三减半政策。</w:t>
      </w:r>
    </w:p>
    <w:p>
      <w:pPr>
        <w:spacing w:after="0" w:line="408" w:lineRule="auto"/>
        <w:jc w:val="both"/>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1128" w:firstLine="420"/>
        <w:jc w:val="both"/>
      </w:pPr>
      <w:r>
        <w:rPr/>
        <w:t>（</w:t>
      </w:r>
      <w:r>
        <w:rPr>
          <w:rFonts w:ascii="宋体" w:hAnsi="宋体" w:cs="宋体" w:eastAsia="宋体" w:hint="default"/>
        </w:rPr>
        <w:t>8</w:t>
      </w:r>
      <w:r>
        <w:rPr/>
        <w:t>）</w:t>
      </w:r>
      <w:r>
        <w:rPr>
          <w:rFonts w:ascii="宋体" w:hAnsi="宋体" w:cs="宋体" w:eastAsia="宋体" w:hint="default"/>
        </w:rPr>
        <w:t>2017</w:t>
      </w:r>
      <w:r>
        <w:rPr/>
        <w:t>年</w:t>
      </w:r>
      <w:r>
        <w:rPr>
          <w:rFonts w:ascii="宋体" w:hAnsi="宋体" w:cs="宋体" w:eastAsia="宋体" w:hint="default"/>
        </w:rPr>
        <w:t>10</w:t>
      </w:r>
      <w:r>
        <w:rPr/>
        <w:t>月</w:t>
      </w:r>
      <w:r>
        <w:rPr>
          <w:rFonts w:ascii="宋体" w:hAnsi="宋体" w:cs="宋体" w:eastAsia="宋体" w:hint="default"/>
        </w:rPr>
        <w:t>25</w:t>
      </w:r>
      <w:r>
        <w:rPr/>
        <w:t>日，子公司国信宏数经北京市科学技术委员会、北京市财政局、北京市国家税务</w:t>
      </w:r>
      <w:r>
        <w:rPr>
          <w:w w:val="100"/>
        </w:rPr>
        <w:t> </w:t>
      </w:r>
      <w:r>
        <w:rPr>
          <w:spacing w:val="-2"/>
        </w:rPr>
        <w:t>局、北京市地方税务局认定为高新技术企业，证书编号：</w:t>
      </w:r>
      <w:r>
        <w:rPr>
          <w:rFonts w:ascii="宋体" w:hAnsi="宋体" w:cs="宋体" w:eastAsia="宋体" w:hint="default"/>
          <w:spacing w:val="-2"/>
        </w:rPr>
        <w:t>GR201711003458</w:t>
      </w:r>
      <w:r>
        <w:rPr>
          <w:spacing w:val="-2"/>
        </w:rPr>
        <w:t>，根据有关规定，</w:t>
      </w:r>
      <w:r>
        <w:rPr>
          <w:rFonts w:ascii="宋体" w:hAnsi="宋体" w:cs="宋体" w:eastAsia="宋体" w:hint="default"/>
          <w:spacing w:val="-2"/>
        </w:rPr>
        <w:t>2019</w:t>
      </w:r>
      <w:r>
        <w:rPr>
          <w:spacing w:val="-2"/>
        </w:rPr>
        <w:t>年度享受</w:t>
      </w:r>
      <w:r>
        <w:rPr>
          <w:spacing w:val="-25"/>
        </w:rPr>
        <w:t> </w:t>
      </w:r>
      <w:r>
        <w:rPr>
          <w:spacing w:val="-25"/>
        </w:rPr>
      </w:r>
      <w:r>
        <w:rPr/>
        <w:t>减按</w:t>
      </w:r>
      <w:r>
        <w:rPr>
          <w:rFonts w:ascii="宋体" w:hAnsi="宋体" w:cs="宋体" w:eastAsia="宋体" w:hint="default"/>
        </w:rPr>
        <w:t>15%</w:t>
      </w:r>
      <w:r>
        <w:rPr/>
        <w:t>的税率征收企业所得税。</w:t>
      </w:r>
    </w:p>
    <w:p>
      <w:pPr>
        <w:pStyle w:val="BodyText"/>
        <w:spacing w:line="408" w:lineRule="auto"/>
        <w:ind w:right="1128" w:firstLine="420"/>
        <w:jc w:val="both"/>
      </w:pPr>
      <w:r>
        <w:rPr/>
        <w:t>（</w:t>
      </w:r>
      <w:r>
        <w:rPr>
          <w:spacing w:val="-76"/>
        </w:rPr>
        <w:t> </w:t>
      </w:r>
      <w:r>
        <w:rPr>
          <w:rFonts w:ascii="宋体" w:hAnsi="宋体" w:cs="宋体" w:eastAsia="宋体" w:hint="default"/>
        </w:rPr>
        <w:t>9</w:t>
      </w:r>
      <w:r>
        <w:rPr>
          <w:rFonts w:ascii="宋体" w:hAnsi="宋体" w:cs="宋体" w:eastAsia="宋体" w:hint="default"/>
          <w:spacing w:val="-79"/>
        </w:rPr>
        <w:t> </w:t>
      </w:r>
      <w:r>
        <w:rPr/>
        <w:t>）</w:t>
      </w:r>
      <w:r>
        <w:rPr>
          <w:spacing w:val="-76"/>
        </w:rPr>
        <w:t> </w:t>
      </w:r>
      <w:r>
        <w:rPr>
          <w:rFonts w:ascii="宋体" w:hAnsi="宋体" w:cs="宋体" w:eastAsia="宋体" w:hint="default"/>
        </w:rPr>
        <w:t>2018</w:t>
      </w:r>
      <w:r>
        <w:rPr>
          <w:rFonts w:ascii="宋体" w:hAnsi="宋体" w:cs="宋体" w:eastAsia="宋体" w:hint="default"/>
          <w:spacing w:val="-79"/>
        </w:rPr>
        <w:t> </w:t>
      </w:r>
      <w:r>
        <w:rPr/>
        <w:t>年</w:t>
      </w:r>
      <w:r>
        <w:rPr>
          <w:spacing w:val="-79"/>
        </w:rPr>
        <w:t> </w:t>
      </w:r>
      <w:r>
        <w:rPr>
          <w:rFonts w:ascii="宋体" w:hAnsi="宋体" w:cs="宋体" w:eastAsia="宋体" w:hint="default"/>
        </w:rPr>
        <w:t>9</w:t>
      </w:r>
      <w:r>
        <w:rPr>
          <w:rFonts w:ascii="宋体" w:hAnsi="宋体" w:cs="宋体" w:eastAsia="宋体" w:hint="default"/>
          <w:spacing w:val="-76"/>
        </w:rPr>
        <w:t> </w:t>
      </w:r>
      <w:r>
        <w:rPr/>
        <w:t>月</w:t>
      </w:r>
      <w:r>
        <w:rPr>
          <w:spacing w:val="-79"/>
        </w:rPr>
        <w:t> </w:t>
      </w:r>
      <w:r>
        <w:rPr>
          <w:rFonts w:ascii="宋体" w:hAnsi="宋体" w:cs="宋体" w:eastAsia="宋体" w:hint="default"/>
        </w:rPr>
        <w:t>19</w:t>
      </w:r>
      <w:r>
        <w:rPr>
          <w:rFonts w:ascii="宋体" w:hAnsi="宋体" w:cs="宋体" w:eastAsia="宋体" w:hint="default"/>
          <w:spacing w:val="-79"/>
        </w:rPr>
        <w:t> </w:t>
      </w:r>
      <w:r>
        <w:rPr>
          <w:spacing w:val="17"/>
        </w:rPr>
        <w:t>日，子公司美亚商鼎通过了厦门市软件行业协会软件企业认证，</w:t>
      </w:r>
      <w:r>
        <w:rPr>
          <w:spacing w:val="-76"/>
        </w:rPr>
        <w:t> </w:t>
      </w:r>
      <w:r>
        <w:rPr>
          <w:spacing w:val="12"/>
        </w:rPr>
        <w:t>取得“</w:t>
      </w:r>
      <w:r>
        <w:rPr>
          <w:spacing w:val="-76"/>
        </w:rPr>
        <w:t> </w:t>
      </w:r>
      <w:r>
        <w:rPr/>
        <w:t>厦</w:t>
      </w:r>
      <w:r>
        <w:rPr>
          <w:w w:val="100"/>
        </w:rPr>
        <w:t> </w:t>
      </w:r>
      <w:r>
        <w:rPr>
          <w:rFonts w:ascii="宋体" w:hAnsi="宋体" w:cs="宋体" w:eastAsia="宋体" w:hint="default"/>
          <w:spacing w:val="-2"/>
        </w:rPr>
        <w:t>RQ-2018-</w:t>
      </w:r>
      <w:r>
        <w:rPr>
          <w:spacing w:val="-2"/>
        </w:rPr>
        <w:t>0128”软件企业证书。根据《关于进一步鼓励软件产业和集成电路产业发展企业所得税政策的通</w:t>
      </w:r>
      <w:r>
        <w:rPr>
          <w:spacing w:val="-30"/>
        </w:rPr>
        <w:t> </w:t>
      </w:r>
      <w:r>
        <w:rPr>
          <w:spacing w:val="-30"/>
        </w:rPr>
      </w:r>
      <w:r>
        <w:rPr>
          <w:spacing w:val="-2"/>
        </w:rPr>
        <w:t>知》（财税【</w:t>
      </w:r>
      <w:r>
        <w:rPr>
          <w:rFonts w:ascii="宋体" w:hAnsi="宋体" w:cs="宋体" w:eastAsia="宋体" w:hint="default"/>
          <w:spacing w:val="-2"/>
        </w:rPr>
        <w:t>2012</w:t>
      </w:r>
      <w:r>
        <w:rPr>
          <w:spacing w:val="-2"/>
        </w:rPr>
        <w:t>】</w:t>
      </w:r>
      <w:r>
        <w:rPr>
          <w:rFonts w:ascii="宋体" w:hAnsi="宋体" w:cs="宋体" w:eastAsia="宋体" w:hint="default"/>
          <w:spacing w:val="-2"/>
        </w:rPr>
        <w:t>27</w:t>
      </w:r>
      <w:r>
        <w:rPr>
          <w:spacing w:val="-2"/>
        </w:rPr>
        <w:t>号）规定，对新办集成电路设计企业和符合条件的软件企业，经认定后，在</w:t>
      </w:r>
      <w:r>
        <w:rPr>
          <w:rFonts w:ascii="宋体" w:hAnsi="宋体" w:cs="宋体" w:eastAsia="宋体" w:hint="default"/>
          <w:spacing w:val="-2"/>
        </w:rPr>
        <w:t>2017</w:t>
      </w:r>
      <w:r>
        <w:rPr>
          <w:spacing w:val="-2"/>
        </w:rPr>
        <w:t>年</w:t>
      </w:r>
      <w:r>
        <w:rPr>
          <w:spacing w:val="-41"/>
        </w:rPr>
        <w:t> </w:t>
      </w:r>
      <w:r>
        <w:rPr>
          <w:rFonts w:ascii="宋体" w:hAnsi="宋体" w:cs="宋体" w:eastAsia="宋体" w:hint="default"/>
        </w:rPr>
        <w:t>12</w:t>
      </w:r>
      <w:r>
        <w:rPr/>
        <w:t>月</w:t>
      </w:r>
      <w:r>
        <w:rPr>
          <w:rFonts w:ascii="宋体" w:hAnsi="宋体" w:cs="宋体" w:eastAsia="宋体" w:hint="default"/>
        </w:rPr>
        <w:t>31</w:t>
      </w:r>
      <w:r>
        <w:rPr/>
        <w:t>日前自获利年度起，享受企业所得税“两免三减半”优惠政策。美亚商鼎</w:t>
      </w:r>
      <w:r>
        <w:rPr>
          <w:rFonts w:ascii="宋体" w:hAnsi="宋体" w:cs="宋体" w:eastAsia="宋体" w:hint="default"/>
        </w:rPr>
        <w:t>2019</w:t>
      </w:r>
      <w:r>
        <w:rPr/>
        <w:t>年享受减按</w:t>
      </w:r>
      <w:r>
        <w:rPr>
          <w:rFonts w:ascii="宋体" w:hAnsi="宋体" w:cs="宋体" w:eastAsia="宋体" w:hint="default"/>
        </w:rPr>
        <w:t>12.5%</w:t>
      </w:r>
      <w:r>
        <w:rPr/>
        <w:t>的</w:t>
      </w:r>
      <w:r>
        <w:rPr>
          <w:spacing w:val="-29"/>
        </w:rPr>
        <w:t> </w:t>
      </w:r>
      <w:r>
        <w:rPr/>
        <w:t>税率征收企业所得税。</w:t>
      </w:r>
    </w:p>
    <w:p>
      <w:pPr>
        <w:pStyle w:val="BodyText"/>
        <w:spacing w:line="408" w:lineRule="auto"/>
        <w:ind w:right="986" w:firstLine="419"/>
        <w:jc w:val="left"/>
      </w:pPr>
      <w:r>
        <w:rPr>
          <w:spacing w:val="-2"/>
        </w:rPr>
        <w:t>（</w:t>
      </w:r>
      <w:r>
        <w:rPr>
          <w:rFonts w:ascii="宋体" w:hAnsi="宋体" w:cs="宋体" w:eastAsia="宋体" w:hint="default"/>
          <w:spacing w:val="-2"/>
        </w:rPr>
        <w:t>10</w:t>
      </w:r>
      <w:r>
        <w:rPr>
          <w:spacing w:val="-2"/>
        </w:rPr>
        <w:t>）根据《中华人民共和国企业所得税法》及实施条例和《财政部、国家税务总局关于实施小微企</w:t>
      </w:r>
      <w:r>
        <w:rPr>
          <w:w w:val="100"/>
        </w:rPr>
        <w:t> </w:t>
      </w:r>
      <w:r>
        <w:rPr>
          <w:spacing w:val="-2"/>
        </w:rPr>
        <w:t>业普惠性税收减免政策的通知》（财税</w:t>
      </w:r>
      <w:r>
        <w:rPr>
          <w:rFonts w:ascii="宋体" w:hAnsi="宋体" w:cs="宋体" w:eastAsia="宋体" w:hint="default"/>
          <w:spacing w:val="-2"/>
        </w:rPr>
        <w:t>[2019]13</w:t>
      </w:r>
      <w:r>
        <w:rPr>
          <w:spacing w:val="-2"/>
        </w:rPr>
        <w:t>号），对年应纳税所得额不超过</w:t>
      </w:r>
      <w:r>
        <w:rPr>
          <w:rFonts w:ascii="宋体" w:hAnsi="宋体" w:cs="宋体" w:eastAsia="宋体" w:hint="default"/>
          <w:spacing w:val="-2"/>
        </w:rPr>
        <w:t>100</w:t>
      </w:r>
      <w:r>
        <w:rPr>
          <w:spacing w:val="-2"/>
        </w:rPr>
        <w:t>万元的部分，减按</w:t>
      </w:r>
      <w:r>
        <w:rPr>
          <w:rFonts w:ascii="宋体" w:hAnsi="宋体" w:cs="宋体" w:eastAsia="宋体" w:hint="default"/>
          <w:spacing w:val="-2"/>
        </w:rPr>
        <w:t>25%</w:t>
      </w:r>
      <w:r>
        <w:rPr>
          <w:rFonts w:ascii="宋体" w:hAnsi="宋体" w:cs="宋体" w:eastAsia="宋体" w:hint="default"/>
          <w:spacing w:val="-32"/>
        </w:rPr>
        <w:t> </w:t>
      </w:r>
      <w:r>
        <w:rPr/>
        <w:t>计入应纳税所得额，按</w:t>
      </w:r>
      <w:r>
        <w:rPr>
          <w:rFonts w:ascii="宋体" w:hAnsi="宋体" w:cs="宋体" w:eastAsia="宋体" w:hint="default"/>
        </w:rPr>
        <w:t>20%</w:t>
      </w:r>
      <w:r>
        <w:rPr/>
        <w:t>的税率缴纳企业所得税；对年应纳税所得额超过</w:t>
      </w:r>
      <w:r>
        <w:rPr>
          <w:rFonts w:ascii="宋体" w:hAnsi="宋体" w:cs="宋体" w:eastAsia="宋体" w:hint="default"/>
        </w:rPr>
        <w:t>100</w:t>
      </w:r>
      <w:r>
        <w:rPr/>
        <w:t>万元但不超过</w:t>
      </w:r>
      <w:r>
        <w:rPr>
          <w:rFonts w:ascii="宋体" w:hAnsi="宋体" w:cs="宋体" w:eastAsia="宋体" w:hint="default"/>
        </w:rPr>
        <w:t>300</w:t>
      </w:r>
      <w:r>
        <w:rPr/>
        <w:t>万元的部</w:t>
      </w:r>
      <w:r>
        <w:rPr>
          <w:spacing w:val="-30"/>
        </w:rPr>
        <w:t> </w:t>
      </w:r>
      <w:r>
        <w:rPr>
          <w:spacing w:val="-30"/>
        </w:rPr>
      </w:r>
      <w:r>
        <w:rPr>
          <w:spacing w:val="-2"/>
        </w:rPr>
        <w:t>分，减按</w:t>
      </w:r>
      <w:r>
        <w:rPr>
          <w:rFonts w:ascii="宋体" w:hAnsi="宋体" w:cs="宋体" w:eastAsia="宋体" w:hint="default"/>
          <w:spacing w:val="-2"/>
        </w:rPr>
        <w:t>50%</w:t>
      </w:r>
      <w:r>
        <w:rPr>
          <w:spacing w:val="-2"/>
        </w:rPr>
        <w:t>计入应纳税所得额，按</w:t>
      </w:r>
      <w:r>
        <w:rPr>
          <w:rFonts w:ascii="宋体" w:hAnsi="宋体" w:cs="宋体" w:eastAsia="宋体" w:hint="default"/>
          <w:spacing w:val="-2"/>
        </w:rPr>
        <w:t>20%</w:t>
      </w:r>
      <w:r>
        <w:rPr>
          <w:spacing w:val="-2"/>
        </w:rPr>
        <w:t>的税率缴纳企业所得税。本公司之子公司美亚天信、美亚榕安、美</w:t>
      </w:r>
      <w:r>
        <w:rPr>
          <w:spacing w:val="-44"/>
        </w:rPr>
        <w:t> </w:t>
      </w:r>
      <w:r>
        <w:rPr>
          <w:spacing w:val="-44"/>
        </w:rPr>
      </w:r>
      <w:r>
        <w:rPr/>
        <w:t>亚亿安、美亚京安、美亚信安、美银智投、中检美亚享受小微企业税收减免。</w:t>
      </w:r>
      <w:r>
        <w:rPr>
          <w:w w:val="100"/>
        </w:rPr>
        <w:t> </w:t>
      </w:r>
      <w:r>
        <w:rPr/>
        <w:t>公司需遵守《深圳证券交易所行业信息披露指引第</w:t>
      </w:r>
      <w:r>
        <w:rPr>
          <w:spacing w:val="-58"/>
        </w:rPr>
        <w:t> </w:t>
      </w:r>
      <w:r>
        <w:rPr>
          <w:rFonts w:ascii="宋体" w:hAnsi="宋体" w:cs="宋体" w:eastAsia="宋体" w:hint="default"/>
        </w:rPr>
        <w:t>12</w:t>
      </w:r>
      <w:r>
        <w:rPr>
          <w:rFonts w:ascii="宋体" w:hAnsi="宋体" w:cs="宋体" w:eastAsia="宋体" w:hint="default"/>
          <w:spacing w:val="-56"/>
        </w:rPr>
        <w:t> </w:t>
      </w:r>
      <w:r>
        <w:rPr/>
        <w:t>号</w:t>
      </w:r>
      <w:r>
        <w:rPr>
          <w:rFonts w:ascii="宋体" w:hAnsi="宋体" w:cs="宋体" w:eastAsia="宋体" w:hint="default"/>
        </w:rPr>
        <w:t>——</w:t>
      </w:r>
      <w:r>
        <w:rPr/>
        <w:t>上市公司从事软件与信息技术服务业务》的</w:t>
      </w:r>
      <w:r>
        <w:rPr>
          <w:spacing w:val="-3"/>
          <w:w w:val="100"/>
        </w:rPr>
        <w:t> </w:t>
      </w:r>
      <w:r>
        <w:rPr/>
        <w:t>披露要求</w:t>
      </w:r>
    </w:p>
    <w:p>
      <w:pPr>
        <w:pStyle w:val="BodyText"/>
        <w:spacing w:line="408" w:lineRule="auto"/>
        <w:ind w:left="153" w:right="986" w:firstLine="419"/>
        <w:jc w:val="left"/>
      </w:pPr>
      <w:r>
        <w:rPr/>
        <w:t>根据《国务院关于印发进一步鼓励软件产业和集成电路产业发展若干政策的通知》（国发〔</w:t>
      </w:r>
      <w:r>
        <w:rPr>
          <w:rFonts w:ascii="宋体" w:hAnsi="宋体" w:cs="宋体" w:eastAsia="宋体" w:hint="default"/>
        </w:rPr>
        <w:t>2011</w:t>
      </w:r>
      <w:r>
        <w:rPr/>
        <w:t>〕</w:t>
      </w:r>
      <w:r>
        <w:rPr>
          <w:rFonts w:ascii="宋体" w:hAnsi="宋体" w:cs="宋体" w:eastAsia="宋体" w:hint="default"/>
        </w:rPr>
        <w:t>4</w:t>
      </w:r>
      <w:r>
        <w:rPr>
          <w:rFonts w:ascii="宋体" w:hAnsi="宋体" w:cs="宋体" w:eastAsia="宋体" w:hint="default"/>
          <w:w w:val="100"/>
        </w:rPr>
        <w:t> </w:t>
      </w:r>
      <w:r>
        <w:rPr/>
        <w:t>号）、《关于软件产品增值税政策的通知》（财税</w:t>
      </w:r>
      <w:r>
        <w:rPr>
          <w:rFonts w:ascii="宋体" w:hAnsi="宋体" w:cs="宋体" w:eastAsia="宋体" w:hint="default"/>
        </w:rPr>
        <w:t>[2011]100</w:t>
      </w:r>
      <w:r>
        <w:rPr/>
        <w:t>号）规定，对增值税一般纳税人销售其自行</w:t>
      </w:r>
      <w:r>
        <w:rPr>
          <w:spacing w:val="-3"/>
          <w:w w:val="100"/>
        </w:rPr>
        <w:t> </w:t>
      </w:r>
      <w:r>
        <w:rPr>
          <w:spacing w:val="-2"/>
        </w:rPr>
        <w:t>开发生产的软件产品，按法定税率征收增值税后，对其增值税实际税负超过</w:t>
      </w:r>
      <w:r>
        <w:rPr>
          <w:rFonts w:ascii="宋体" w:hAnsi="宋体" w:cs="宋体" w:eastAsia="宋体" w:hint="default"/>
          <w:spacing w:val="-2"/>
        </w:rPr>
        <w:t>3</w:t>
      </w:r>
      <w:r>
        <w:rPr>
          <w:spacing w:val="-2"/>
        </w:rPr>
        <w:t>％的部分实行即征即退政策。</w:t>
      </w:r>
      <w:r>
        <w:rPr>
          <w:spacing w:val="-42"/>
        </w:rPr>
        <w:t> </w:t>
      </w:r>
      <w:r>
        <w:rPr>
          <w:spacing w:val="-42"/>
        </w:rPr>
      </w:r>
      <w:r>
        <w:rPr>
          <w:rFonts w:ascii="宋体" w:hAnsi="宋体" w:cs="宋体" w:eastAsia="宋体" w:hint="default"/>
        </w:rPr>
        <w:t>2019</w:t>
      </w:r>
      <w:r>
        <w:rPr/>
        <w:t>年公司享受软件产品增值税即征即退退税收入</w:t>
      </w:r>
      <w:r>
        <w:rPr>
          <w:rFonts w:ascii="宋体" w:hAnsi="宋体" w:cs="宋体" w:eastAsia="宋体" w:hint="default"/>
        </w:rPr>
        <w:t>40,919,616.39</w:t>
      </w:r>
      <w:r>
        <w:rPr/>
        <w:t>元。</w:t>
      </w:r>
    </w:p>
    <w:p>
      <w:pPr>
        <w:spacing w:line="240" w:lineRule="auto" w:before="8"/>
        <w:rPr>
          <w:rFonts w:ascii="宋体" w:hAnsi="宋体" w:cs="宋体" w:eastAsia="宋体" w:hint="default"/>
          <w:sz w:val="20"/>
          <w:szCs w:val="20"/>
        </w:rPr>
      </w:pPr>
    </w:p>
    <w:p>
      <w:pPr>
        <w:spacing w:line="487" w:lineRule="auto" w:before="0"/>
        <w:ind w:left="152" w:right="7863" w:firstLine="0"/>
        <w:jc w:val="left"/>
        <w:rPr>
          <w:rFonts w:ascii="宋体" w:hAnsi="宋体" w:cs="宋体" w:eastAsia="宋体" w:hint="default"/>
          <w:sz w:val="21"/>
          <w:szCs w:val="21"/>
        </w:rPr>
      </w:pPr>
      <w:bookmarkStart w:name="3、其他" w:id="235"/>
      <w:bookmarkEnd w:id="235"/>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w:t>
      </w:r>
      <w:r>
        <w:rPr>
          <w:rFonts w:ascii="宋体" w:hAnsi="宋体" w:cs="宋体" w:eastAsia="宋体" w:hint="default"/>
          <w:b/>
          <w:bCs/>
          <w:w w:val="100"/>
          <w:sz w:val="21"/>
          <w:szCs w:val="21"/>
        </w:rPr>
        <w:t> </w:t>
      </w:r>
      <w:bookmarkStart w:name="七、合并财务报表项目注释" w:id="236"/>
      <w:bookmarkEnd w:id="236"/>
      <w:r>
        <w:rPr>
          <w:rFonts w:ascii="宋体" w:hAnsi="宋体" w:cs="宋体" w:eastAsia="宋体" w:hint="default"/>
          <w:b/>
          <w:bCs/>
          <w:w w:val="100"/>
          <w:sz w:val="21"/>
          <w:szCs w:val="21"/>
        </w:rPr>
      </w:r>
      <w:r>
        <w:rPr>
          <w:rFonts w:ascii="宋体" w:hAnsi="宋体" w:cs="宋体" w:eastAsia="宋体" w:hint="default"/>
          <w:b/>
          <w:bCs/>
          <w:sz w:val="24"/>
          <w:szCs w:val="24"/>
        </w:rPr>
        <w:t>七、合并财务报表项目注释</w:t>
      </w:r>
      <w:r>
        <w:rPr>
          <w:rFonts w:ascii="宋体" w:hAnsi="宋体" w:cs="宋体" w:eastAsia="宋体" w:hint="default"/>
          <w:b/>
          <w:bCs/>
          <w:w w:val="99"/>
          <w:sz w:val="24"/>
          <w:szCs w:val="24"/>
        </w:rPr>
        <w:t> </w:t>
      </w:r>
      <w:bookmarkStart w:name="1、货币资金" w:id="237"/>
      <w:bookmarkEnd w:id="237"/>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、货币资金</w:t>
      </w:r>
      <w:r>
        <w:rPr>
          <w:rFonts w:ascii="宋体" w:hAnsi="宋体" w:cs="宋体" w:eastAsia="宋体" w:hint="default"/>
          <w:sz w:val="21"/>
          <w:szCs w:val="21"/>
        </w:rPr>
      </w:r>
    </w:p>
    <w:p>
      <w:pPr>
        <w:spacing w:before="105"/>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7"/>
        <w:gridCol w:w="3200"/>
        <w:gridCol w:w="3190"/>
      </w:tblGrid>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2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33,513.05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24,996.08</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2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1,152,934,649.73</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906,816,315.88</w:t>
            </w:r>
            <w:r>
              <w:rPr>
                <w:rFonts w:ascii="Times New Roman"/>
                <w:sz w:val="18"/>
              </w:rPr>
            </w:r>
          </w:p>
        </w:tc>
      </w:tr>
      <w:tr>
        <w:trPr>
          <w:trHeight w:val="401"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2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12,060,724.20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28,900,099.99</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1,165,028,886.98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935,741,411.95</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1130" w:firstLine="420"/>
        <w:jc w:val="both"/>
      </w:pPr>
      <w:r>
        <w:rPr>
          <w:spacing w:val="7"/>
        </w:rPr>
        <w:t>（</w:t>
      </w:r>
      <w:r>
        <w:rPr>
          <w:rFonts w:ascii="宋体" w:hAnsi="宋体" w:cs="宋体" w:eastAsia="宋体" w:hint="default"/>
          <w:spacing w:val="7"/>
        </w:rPr>
        <w:t>1</w:t>
      </w:r>
      <w:r>
        <w:rPr>
          <w:spacing w:val="7"/>
        </w:rPr>
        <w:t>）银行存款期末余额</w:t>
      </w:r>
      <w:r>
        <w:rPr>
          <w:rFonts w:ascii="宋体" w:hAnsi="宋体" w:cs="宋体" w:eastAsia="宋体" w:hint="default"/>
          <w:spacing w:val="7"/>
        </w:rPr>
        <w:t>1,152,934,649.73</w:t>
      </w:r>
      <w:r>
        <w:rPr>
          <w:spacing w:val="7"/>
        </w:rPr>
        <w:t>元，其中定期存款</w:t>
      </w:r>
      <w:r>
        <w:rPr>
          <w:rFonts w:ascii="宋体" w:hAnsi="宋体" w:cs="宋体" w:eastAsia="宋体" w:hint="default"/>
          <w:spacing w:val="7"/>
        </w:rPr>
        <w:t>359,332,866.62</w:t>
      </w:r>
      <w:r>
        <w:rPr>
          <w:spacing w:val="7"/>
        </w:rPr>
        <w:t>元（其中定期存单</w:t>
      </w:r>
      <w:r>
        <w:rPr>
          <w:w w:val="100"/>
        </w:rPr>
        <w:t> </w:t>
      </w:r>
      <w:r>
        <w:rPr>
          <w:rFonts w:ascii="宋体" w:hAnsi="宋体" w:cs="宋体" w:eastAsia="宋体" w:hint="default"/>
        </w:rPr>
        <w:t>19,000,000.00</w:t>
      </w:r>
      <w:r>
        <w:rPr/>
        <w:t>元用于长期借款质押，详见附注七、四十五），在编制现金流量表时不作为现金及现金等</w:t>
      </w:r>
      <w:r>
        <w:rPr>
          <w:spacing w:val="-29"/>
        </w:rPr>
        <w:t> </w:t>
      </w:r>
      <w:r>
        <w:rPr>
          <w:spacing w:val="-29"/>
        </w:rPr>
      </w:r>
      <w:r>
        <w:rPr/>
        <w:t>价物。</w:t>
      </w:r>
    </w:p>
    <w:p>
      <w:pPr>
        <w:pStyle w:val="BodyText"/>
        <w:spacing w:line="408" w:lineRule="auto"/>
        <w:ind w:right="1131" w:firstLine="420"/>
        <w:jc w:val="both"/>
      </w:pPr>
      <w:r>
        <w:rPr/>
        <w:t>（</w:t>
      </w:r>
      <w:r>
        <w:rPr>
          <w:rFonts w:ascii="宋体" w:hAnsi="宋体" w:cs="宋体" w:eastAsia="宋体" w:hint="default"/>
        </w:rPr>
        <w:t>2</w:t>
      </w:r>
      <w:r>
        <w:rPr/>
        <w:t>）其他货币资金期末余额</w:t>
      </w:r>
      <w:r>
        <w:rPr>
          <w:rFonts w:ascii="宋体" w:hAnsi="宋体" w:cs="宋体" w:eastAsia="宋体" w:hint="default"/>
        </w:rPr>
        <w:t>12,060,724.20</w:t>
      </w:r>
      <w:r>
        <w:rPr/>
        <w:t>元，其中保函保证金</w:t>
      </w:r>
      <w:r>
        <w:rPr>
          <w:rFonts w:ascii="宋体" w:hAnsi="宋体" w:cs="宋体" w:eastAsia="宋体" w:hint="default"/>
        </w:rPr>
        <w:t>10,358,262.74</w:t>
      </w:r>
      <w:r>
        <w:rPr/>
        <w:t>元在编制现金流量表</w:t>
      </w:r>
      <w:r>
        <w:rPr>
          <w:w w:val="100"/>
        </w:rPr>
        <w:t> </w:t>
      </w:r>
      <w:r>
        <w:rPr/>
        <w:t>时不作为现金及现金等价物。</w:t>
      </w:r>
    </w:p>
    <w:p>
      <w:pPr>
        <w:pStyle w:val="BodyText"/>
        <w:spacing w:line="408" w:lineRule="auto"/>
        <w:ind w:right="1129" w:firstLine="420"/>
        <w:jc w:val="both"/>
      </w:pPr>
      <w:r>
        <w:rPr>
          <w:spacing w:val="-2"/>
        </w:rPr>
        <w:t>除此以外，截至</w:t>
      </w:r>
      <w:r>
        <w:rPr>
          <w:rFonts w:ascii="宋体" w:hAnsi="宋体" w:cs="宋体" w:eastAsia="宋体" w:hint="default"/>
          <w:spacing w:val="-2"/>
        </w:rPr>
        <w:t>2019</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日止，本集团不存在抵押、质押或冻结、或存放在境外且资金汇回受到</w:t>
      </w:r>
      <w:r>
        <w:rPr>
          <w:w w:val="100"/>
        </w:rPr>
        <w:t> </w:t>
      </w:r>
      <w:r>
        <w:rPr/>
        <w:t>限制的款项。</w:t>
      </w:r>
    </w:p>
    <w:p>
      <w:pPr>
        <w:spacing w:line="240" w:lineRule="auto" w:before="8"/>
        <w:rPr>
          <w:rFonts w:ascii="宋体" w:hAnsi="宋体" w:cs="宋体" w:eastAsia="宋体" w:hint="default"/>
          <w:sz w:val="20"/>
          <w:szCs w:val="20"/>
        </w:rPr>
      </w:pPr>
    </w:p>
    <w:p>
      <w:pPr>
        <w:pStyle w:val="Heading4"/>
        <w:spacing w:line="240" w:lineRule="auto"/>
        <w:ind w:right="986"/>
        <w:jc w:val="left"/>
        <w:rPr>
          <w:b w:val="0"/>
          <w:bCs w:val="0"/>
        </w:rPr>
      </w:pPr>
      <w:bookmarkStart w:name="2、交易性金融资产" w:id="238"/>
      <w:bookmarkEnd w:id="238"/>
      <w:r>
        <w:rPr>
          <w:b w:val="0"/>
          <w:bCs w:val="0"/>
        </w:rPr>
      </w:r>
      <w:r>
        <w:rPr>
          <w:rFonts w:ascii="Times New Roman" w:hAnsi="Times New Roman" w:cs="Times New Roman" w:eastAsia="Times New Roman" w:hint="default"/>
        </w:rPr>
        <w:t>2</w:t>
      </w:r>
      <w:r>
        <w:rPr/>
        <w:t>、交易性金融资产</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3、衍生金融资产" w:id="239"/>
      <w:bookmarkEnd w:id="239"/>
      <w:r>
        <w:rPr>
          <w:b w:val="0"/>
          <w:bCs w:val="0"/>
        </w:rPr>
      </w:r>
      <w:r>
        <w:rPr>
          <w:rFonts w:ascii="Times New Roman" w:hAnsi="Times New Roman" w:cs="Times New Roman" w:eastAsia="Times New Roman" w:hint="default"/>
        </w:rPr>
        <w:t>3</w:t>
      </w:r>
      <w:r>
        <w:rPr/>
        <w:t>、衍生金融资产</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4、应收票据" w:id="240"/>
      <w:bookmarkEnd w:id="240"/>
      <w:r>
        <w:rPr>
          <w:b w:val="0"/>
          <w:bCs w:val="0"/>
        </w:rPr>
      </w:r>
      <w:r>
        <w:rPr>
          <w:rFonts w:ascii="Times New Roman" w:hAnsi="Times New Roman" w:cs="Times New Roman" w:eastAsia="Times New Roman" w:hint="default"/>
        </w:rPr>
        <w:t>4</w:t>
      </w:r>
      <w:r>
        <w:rPr/>
        <w:t>、应收票据</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应收票据分类列示" w:id="241"/>
      <w:bookmarkEnd w:id="241"/>
      <w:r>
        <w:rPr>
          <w:b w:val="0"/>
          <w:bCs w:val="0"/>
        </w:rPr>
      </w:r>
      <w:r>
        <w:rPr/>
        <w:t>（</w:t>
      </w:r>
      <w:r>
        <w:rPr>
          <w:rFonts w:ascii="Times New Roman" w:hAnsi="Times New Roman" w:cs="Times New Roman" w:eastAsia="Times New Roman" w:hint="default"/>
        </w:rPr>
        <w:t>1</w:t>
      </w:r>
      <w:r>
        <w:rPr/>
        <w:t>）应收票据分类列示</w:t>
      </w:r>
      <w:r>
        <w:rPr>
          <w:b w:val="0"/>
          <w:bCs w:val="0"/>
        </w:rPr>
      </w:r>
    </w:p>
    <w:p>
      <w:pPr>
        <w:spacing w:line="240" w:lineRule="auto" w:before="2"/>
        <w:rPr>
          <w:rFonts w:ascii="宋体" w:hAnsi="宋体" w:cs="宋体" w:eastAsia="宋体" w:hint="default"/>
          <w:b/>
          <w:bCs/>
          <w:sz w:val="26"/>
          <w:szCs w:val="26"/>
        </w:rPr>
      </w:pPr>
    </w:p>
    <w:p>
      <w:pPr>
        <w:spacing w:before="0"/>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7"/>
        <w:gridCol w:w="3200"/>
        <w:gridCol w:w="3190"/>
      </w:tblGrid>
      <w:tr>
        <w:trPr>
          <w:trHeight w:val="401"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11,126,193.79</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11,126,193.79</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Heading4"/>
        <w:spacing w:line="240" w:lineRule="auto" w:before="36"/>
        <w:ind w:right="986"/>
        <w:jc w:val="left"/>
        <w:rPr>
          <w:b w:val="0"/>
          <w:bCs w:val="0"/>
        </w:rPr>
      </w:pPr>
      <w:bookmarkStart w:name="（2）本期计提、收回或转回的坏账准备情况" w:id="242"/>
      <w:bookmarkEnd w:id="242"/>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本期计提坏账准备情况：</w:t>
      </w:r>
    </w:p>
    <w:p>
      <w:pPr>
        <w:spacing w:before="115"/>
        <w:ind w:left="152" w:right="986"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3）期末公司已质押的应收票据" w:id="243"/>
      <w:bookmarkEnd w:id="243"/>
      <w:r>
        <w:rPr>
          <w:b w:val="0"/>
          <w:bCs w:val="0"/>
        </w:rPr>
      </w:r>
      <w:r>
        <w:rPr/>
        <w:t>（</w:t>
      </w:r>
      <w:r>
        <w:rPr>
          <w:rFonts w:ascii="Times New Roman" w:hAnsi="Times New Roman" w:cs="Times New Roman" w:eastAsia="Times New Roman" w:hint="default"/>
        </w:rPr>
        <w:t>3</w:t>
      </w:r>
      <w:r>
        <w:rPr/>
        <w:t>）期末公司已质押的应收票据</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4）期末公司已背书或贴现且在资产负债表日尚未到期的应收票据" w:id="244"/>
      <w:bookmarkEnd w:id="244"/>
      <w:r>
        <w:rPr>
          <w:b w:val="0"/>
          <w:bCs w:val="0"/>
        </w:rPr>
      </w:r>
      <w:r>
        <w:rPr/>
        <w:t>（</w:t>
      </w:r>
      <w:r>
        <w:rPr>
          <w:rFonts w:ascii="Times New Roman" w:hAnsi="Times New Roman" w:cs="Times New Roman" w:eastAsia="Times New Roman" w:hint="default"/>
        </w:rPr>
        <w:t>4</w:t>
      </w:r>
      <w:r>
        <w:rPr/>
        <w:t>）期末公司已背书或贴现且在资产负债表日尚未到期的应收票据</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5）期末公司因出票人未履约而将其转应收账款的票据" w:id="245"/>
      <w:bookmarkEnd w:id="245"/>
      <w:r>
        <w:rPr>
          <w:b w:val="0"/>
          <w:bCs w:val="0"/>
        </w:rPr>
      </w:r>
      <w:r>
        <w:rPr/>
        <w:t>（</w:t>
      </w:r>
      <w:r>
        <w:rPr>
          <w:rFonts w:ascii="Times New Roman" w:hAnsi="Times New Roman" w:cs="Times New Roman" w:eastAsia="Times New Roman" w:hint="default"/>
        </w:rPr>
        <w:t>5</w:t>
      </w:r>
      <w:r>
        <w:rPr/>
        <w:t>）期末公司因出票人未履约而将其转应收账款的票据</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6）本期实际核销的应收票据情况" w:id="246"/>
      <w:bookmarkEnd w:id="246"/>
      <w:r>
        <w:rPr>
          <w:b w:val="0"/>
          <w:bCs w:val="0"/>
        </w:rPr>
      </w:r>
      <w:r>
        <w:rPr/>
        <w:t>（</w:t>
      </w:r>
      <w:r>
        <w:rPr>
          <w:rFonts w:ascii="Times New Roman" w:hAnsi="Times New Roman" w:cs="Times New Roman" w:eastAsia="Times New Roman" w:hint="default"/>
        </w:rPr>
        <w:t>6</w:t>
      </w:r>
      <w:r>
        <w:rPr/>
        <w:t>）本期实际核销的应收票据情况</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5、应收账款" w:id="247"/>
      <w:bookmarkEnd w:id="247"/>
      <w:r>
        <w:rPr>
          <w:b w:val="0"/>
          <w:bCs w:val="0"/>
        </w:rPr>
      </w:r>
      <w:r>
        <w:rPr>
          <w:rFonts w:ascii="Times New Roman" w:hAnsi="Times New Roman" w:cs="Times New Roman" w:eastAsia="Times New Roman" w:hint="default"/>
        </w:rPr>
        <w:t>5</w:t>
      </w:r>
      <w:r>
        <w:rPr/>
        <w:t>、应收账款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应收账款分类披露" w:id="248"/>
      <w:bookmarkEnd w:id="248"/>
      <w:r>
        <w:rPr>
          <w:b w:val="0"/>
          <w:bCs w:val="0"/>
        </w:rPr>
      </w:r>
      <w:r>
        <w:rPr/>
        <w:t>（</w:t>
      </w:r>
      <w:r>
        <w:rPr>
          <w:rFonts w:ascii="Times New Roman" w:hAnsi="Times New Roman" w:cs="Times New Roman" w:eastAsia="Times New Roman" w:hint="default"/>
        </w:rPr>
        <w:t>1</w:t>
      </w:r>
      <w:r>
        <w:rPr/>
        <w:t>）应收账款分类披露</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634"/>
        <w:gridCol w:w="763"/>
        <w:gridCol w:w="864"/>
        <w:gridCol w:w="660"/>
        <w:gridCol w:w="763"/>
        <w:gridCol w:w="790"/>
        <w:gridCol w:w="775"/>
        <w:gridCol w:w="797"/>
        <w:gridCol w:w="799"/>
        <w:gridCol w:w="790"/>
        <w:gridCol w:w="931"/>
      </w:tblGrid>
      <w:tr>
        <w:trPr>
          <w:trHeight w:val="396" w:hRule="exact"/>
        </w:trPr>
        <w:tc>
          <w:tcPr>
            <w:tcW w:w="1634" w:type="dxa"/>
            <w:vMerge w:val="restart"/>
            <w:tcBorders>
              <w:top w:val="single" w:sz="4" w:space="0" w:color="000000"/>
              <w:left w:val="single" w:sz="4" w:space="0" w:color="000000"/>
              <w:right w:val="single" w:sz="4" w:space="0" w:color="000000"/>
            </w:tcBorders>
            <w:shd w:val="clear" w:color="auto" w:fill="D4D4D4"/>
          </w:tcPr>
          <w:p>
            <w:pPr/>
          </w:p>
        </w:tc>
        <w:tc>
          <w:tcPr>
            <w:tcW w:w="3840" w:type="dxa"/>
            <w:gridSpan w:val="5"/>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2" w:type="dxa"/>
            <w:gridSpan w:val="5"/>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34" w:type="dxa"/>
            <w:vMerge/>
            <w:tcBorders>
              <w:left w:val="single" w:sz="4" w:space="0" w:color="000000"/>
              <w:bottom w:val="nil" w:sz="6" w:space="0" w:color="auto"/>
              <w:right w:val="single" w:sz="4" w:space="0" w:color="000000"/>
            </w:tcBorders>
            <w:shd w:val="clear" w:color="auto" w:fill="D4D4D4"/>
          </w:tcPr>
          <w:p>
            <w:pPr/>
          </w:p>
        </w:tc>
        <w:tc>
          <w:tcPr>
            <w:tcW w:w="1627"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44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23"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34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4D4D4"/>
          </w:tcPr>
          <w:p>
            <w:pPr/>
          </w:p>
        </w:tc>
        <w:tc>
          <w:tcPr>
            <w:tcW w:w="1572"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42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89"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42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4D4D4"/>
          </w:tcPr>
          <w:p>
            <w:pPr/>
          </w:p>
        </w:tc>
      </w:tr>
      <w:tr>
        <w:trPr>
          <w:trHeight w:val="242" w:hRule="exact"/>
        </w:trPr>
        <w:tc>
          <w:tcPr>
            <w:tcW w:w="1634"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627" w:type="dxa"/>
            <w:gridSpan w:val="2"/>
            <w:vMerge/>
            <w:tcBorders>
              <w:left w:val="single" w:sz="4" w:space="0" w:color="000000"/>
              <w:bottom w:val="single" w:sz="4" w:space="0" w:color="000000"/>
              <w:right w:val="single" w:sz="4" w:space="0" w:color="000000"/>
            </w:tcBorders>
            <w:shd w:val="clear" w:color="auto" w:fill="D4D4D4"/>
          </w:tcPr>
          <w:p>
            <w:pPr/>
          </w:p>
        </w:tc>
        <w:tc>
          <w:tcPr>
            <w:tcW w:w="1423" w:type="dxa"/>
            <w:gridSpan w:val="2"/>
            <w:vMerge/>
            <w:tcBorders>
              <w:left w:val="single" w:sz="4" w:space="0" w:color="000000"/>
              <w:bottom w:val="single" w:sz="4" w:space="0" w:color="000000"/>
              <w:right w:val="single" w:sz="4" w:space="0" w:color="000000"/>
            </w:tcBorders>
            <w:shd w:val="clear" w:color="auto" w:fill="D4D4D4"/>
          </w:tcPr>
          <w:p>
            <w:pPr/>
          </w:p>
        </w:tc>
        <w:tc>
          <w:tcPr>
            <w:tcW w:w="790" w:type="dxa"/>
            <w:vMerge/>
            <w:tcBorders>
              <w:left w:val="single" w:sz="4" w:space="0" w:color="000000"/>
              <w:bottom w:val="nil" w:sz="6" w:space="0" w:color="auto"/>
              <w:right w:val="single" w:sz="4" w:space="0" w:color="000000"/>
            </w:tcBorders>
            <w:shd w:val="clear" w:color="auto" w:fill="D4D4D4"/>
          </w:tcPr>
          <w:p>
            <w:pPr/>
          </w:p>
        </w:tc>
        <w:tc>
          <w:tcPr>
            <w:tcW w:w="1572" w:type="dxa"/>
            <w:gridSpan w:val="2"/>
            <w:vMerge/>
            <w:tcBorders>
              <w:left w:val="single" w:sz="4" w:space="0" w:color="000000"/>
              <w:bottom w:val="single" w:sz="4" w:space="0" w:color="000000"/>
              <w:right w:val="single" w:sz="4" w:space="0" w:color="000000"/>
            </w:tcBorders>
            <w:shd w:val="clear" w:color="auto" w:fill="D4D4D4"/>
          </w:tcPr>
          <w:p>
            <w:pPr/>
          </w:p>
        </w:tc>
        <w:tc>
          <w:tcPr>
            <w:tcW w:w="1589" w:type="dxa"/>
            <w:gridSpan w:val="2"/>
            <w:vMerge/>
            <w:tcBorders>
              <w:left w:val="single" w:sz="4" w:space="0" w:color="000000"/>
              <w:bottom w:val="single" w:sz="4" w:space="0" w:color="000000"/>
              <w:right w:val="single" w:sz="4" w:space="0" w:color="000000"/>
            </w:tcBorders>
            <w:shd w:val="clear" w:color="auto" w:fill="D4D4D4"/>
          </w:tcPr>
          <w:p>
            <w:pPr/>
          </w:p>
        </w:tc>
        <w:tc>
          <w:tcPr>
            <w:tcW w:w="931" w:type="dxa"/>
            <w:vMerge/>
            <w:tcBorders>
              <w:left w:val="single" w:sz="4" w:space="0" w:color="000000"/>
              <w:bottom w:val="nil" w:sz="6" w:space="0" w:color="auto"/>
              <w:right w:val="single" w:sz="4" w:space="0" w:color="000000"/>
            </w:tcBorders>
            <w:shd w:val="clear" w:color="auto" w:fill="D4D4D4"/>
          </w:tcPr>
          <w:p>
            <w:pPr/>
          </w:p>
        </w:tc>
      </w:tr>
      <w:tr>
        <w:trPr>
          <w:trHeight w:val="158" w:hRule="exact"/>
        </w:trPr>
        <w:tc>
          <w:tcPr>
            <w:tcW w:w="1634" w:type="dxa"/>
            <w:vMerge/>
            <w:tcBorders>
              <w:left w:val="single" w:sz="4" w:space="0" w:color="000000"/>
              <w:bottom w:val="single" w:sz="4" w:space="0" w:color="FFFFFF"/>
              <w:right w:val="single" w:sz="4" w:space="0" w:color="000000"/>
            </w:tcBorders>
            <w:shd w:val="clear" w:color="auto" w:fill="D4D4D4"/>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4D4D4"/>
          </w:tcPr>
          <w:p>
            <w:pPr/>
          </w:p>
        </w:tc>
        <w:tc>
          <w:tcPr>
            <w:tcW w:w="864" w:type="dxa"/>
            <w:tcBorders>
              <w:top w:val="single" w:sz="4" w:space="0" w:color="000000"/>
              <w:left w:val="single" w:sz="4" w:space="0" w:color="000000"/>
              <w:bottom w:val="single" w:sz="4" w:space="0" w:color="FFFFFF"/>
              <w:right w:val="single" w:sz="4" w:space="0" w:color="000000"/>
            </w:tcBorders>
            <w:shd w:val="clear" w:color="auto" w:fill="D4D4D4"/>
          </w:tcPr>
          <w:p>
            <w:pPr/>
          </w:p>
        </w:tc>
        <w:tc>
          <w:tcPr>
            <w:tcW w:w="660" w:type="dxa"/>
            <w:tcBorders>
              <w:top w:val="single" w:sz="4" w:space="0" w:color="000000"/>
              <w:left w:val="single" w:sz="4" w:space="0" w:color="000000"/>
              <w:bottom w:val="single" w:sz="4" w:space="0" w:color="FFFFFF"/>
              <w:right w:val="single" w:sz="4" w:space="0" w:color="000000"/>
            </w:tcBorders>
            <w:shd w:val="clear" w:color="auto" w:fill="D4D4D4"/>
          </w:tcPr>
          <w:p>
            <w:pPr/>
          </w:p>
        </w:tc>
        <w:tc>
          <w:tcPr>
            <w:tcW w:w="763"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287" w:right="10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8"/>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775" w:type="dxa"/>
            <w:tcBorders>
              <w:top w:val="single" w:sz="4" w:space="0" w:color="000000"/>
              <w:left w:val="single" w:sz="4" w:space="0" w:color="000000"/>
              <w:bottom w:val="nil" w:sz="6" w:space="0" w:color="auto"/>
              <w:right w:val="single" w:sz="4" w:space="0" w:color="000000"/>
            </w:tcBorders>
            <w:shd w:val="clear" w:color="auto" w:fill="D4D4D4"/>
          </w:tcPr>
          <w:p>
            <w:pPr/>
          </w:p>
        </w:tc>
        <w:tc>
          <w:tcPr>
            <w:tcW w:w="797" w:type="dxa"/>
            <w:tcBorders>
              <w:top w:val="single" w:sz="4" w:space="0" w:color="000000"/>
              <w:left w:val="single" w:sz="4" w:space="0" w:color="000000"/>
              <w:bottom w:val="nil" w:sz="6" w:space="0" w:color="auto"/>
              <w:right w:val="single" w:sz="4" w:space="0" w:color="000000"/>
            </w:tcBorders>
            <w:shd w:val="clear" w:color="auto" w:fill="D4D4D4"/>
          </w:tcPr>
          <w:p>
            <w:pPr/>
          </w:p>
        </w:tc>
        <w:tc>
          <w:tcPr>
            <w:tcW w:w="799" w:type="dxa"/>
            <w:tcBorders>
              <w:top w:val="single" w:sz="4" w:space="0" w:color="000000"/>
              <w:left w:val="single" w:sz="4" w:space="0" w:color="000000"/>
              <w:bottom w:val="nil" w:sz="6" w:space="0" w:color="auto"/>
              <w:right w:val="single" w:sz="4" w:space="0" w:color="000000"/>
            </w:tcBorders>
            <w:shd w:val="clear" w:color="auto" w:fill="D4D4D4"/>
          </w:tcPr>
          <w:p>
            <w:pPr/>
          </w:p>
        </w:tc>
        <w:tc>
          <w:tcPr>
            <w:tcW w:w="790" w:type="dxa"/>
            <w:tcBorders>
              <w:top w:val="single" w:sz="4" w:space="0" w:color="000000"/>
              <w:left w:val="single" w:sz="4" w:space="0" w:color="000000"/>
              <w:bottom w:val="nil" w:sz="6" w:space="0" w:color="auto"/>
              <w:right w:val="single" w:sz="4" w:space="0" w:color="000000"/>
            </w:tcBorders>
            <w:shd w:val="clear" w:color="auto" w:fill="D4D4D4"/>
          </w:tcPr>
          <w:p>
            <w:pPr/>
          </w:p>
        </w:tc>
        <w:tc>
          <w:tcPr>
            <w:tcW w:w="931"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4" w:hRule="exact"/>
        </w:trPr>
        <w:tc>
          <w:tcPr>
            <w:tcW w:w="1634" w:type="dxa"/>
            <w:vMerge w:val="restart"/>
            <w:tcBorders>
              <w:top w:val="single" w:sz="4" w:space="0" w:color="FFFFFF"/>
              <w:left w:val="single" w:sz="4" w:space="0" w:color="000000"/>
              <w:right w:val="single" w:sz="4" w:space="0" w:color="000000"/>
            </w:tcBorders>
            <w:shd w:val="clear" w:color="auto" w:fill="D4D4D4"/>
          </w:tcPr>
          <w:p>
            <w:pPr/>
          </w:p>
        </w:tc>
        <w:tc>
          <w:tcPr>
            <w:tcW w:w="763" w:type="dxa"/>
            <w:vMerge w:val="restart"/>
            <w:tcBorders>
              <w:top w:val="single" w:sz="4" w:space="0" w:color="FFFFFF"/>
              <w:left w:val="single" w:sz="4" w:space="0" w:color="000000"/>
              <w:right w:val="single" w:sz="4" w:space="0" w:color="000000"/>
            </w:tcBorders>
            <w:shd w:val="clear" w:color="auto" w:fill="D4D4D4"/>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864" w:type="dxa"/>
            <w:vMerge w:val="restart"/>
            <w:tcBorders>
              <w:top w:val="single" w:sz="4" w:space="0" w:color="FFFFFF"/>
              <w:left w:val="single" w:sz="4" w:space="0" w:color="000000"/>
              <w:right w:val="single" w:sz="4" w:space="0" w:color="000000"/>
            </w:tcBorders>
            <w:shd w:val="clear" w:color="auto" w:fill="D4D4D4"/>
          </w:tcPr>
          <w:p>
            <w:pPr>
              <w:pStyle w:val="TableParagraph"/>
              <w:spacing w:line="240" w:lineRule="auto" w:before="46"/>
              <w:ind w:left="247"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660" w:type="dxa"/>
            <w:vMerge w:val="restart"/>
            <w:tcBorders>
              <w:top w:val="single" w:sz="4" w:space="0" w:color="FFFFFF"/>
              <w:left w:val="single" w:sz="4" w:space="0" w:color="000000"/>
              <w:right w:val="single" w:sz="4" w:space="0" w:color="000000"/>
            </w:tcBorders>
            <w:shd w:val="clear" w:color="auto" w:fill="D4D4D4"/>
          </w:tcPr>
          <w:p>
            <w:pPr>
              <w:pStyle w:val="TableParagraph"/>
              <w:spacing w:line="240" w:lineRule="auto" w:before="46"/>
              <w:ind w:left="14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tcBorders>
              <w:left w:val="single" w:sz="4" w:space="0" w:color="000000"/>
              <w:right w:val="single" w:sz="4" w:space="0" w:color="000000"/>
            </w:tcBorders>
            <w:shd w:val="clear" w:color="auto" w:fill="D4D4D4"/>
          </w:tcPr>
          <w:p>
            <w:pPr/>
          </w:p>
        </w:tc>
        <w:tc>
          <w:tcPr>
            <w:tcW w:w="790" w:type="dxa"/>
            <w:vMerge/>
            <w:tcBorders>
              <w:left w:val="single" w:sz="4" w:space="0" w:color="000000"/>
              <w:bottom w:val="nil" w:sz="6" w:space="0" w:color="auto"/>
              <w:right w:val="single" w:sz="4" w:space="0" w:color="000000"/>
            </w:tcBorders>
            <w:shd w:val="clear" w:color="auto" w:fill="D4D4D4"/>
          </w:tcPr>
          <w:p>
            <w:pPr/>
          </w:p>
        </w:tc>
        <w:tc>
          <w:tcPr>
            <w:tcW w:w="775"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20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7"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213"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99"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21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0"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3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nil" w:sz="6" w:space="0" w:color="auto"/>
              <w:right w:val="single" w:sz="4" w:space="0" w:color="000000"/>
            </w:tcBorders>
            <w:shd w:val="clear" w:color="auto" w:fill="D4D4D4"/>
          </w:tcPr>
          <w:p>
            <w:pPr/>
          </w:p>
        </w:tc>
      </w:tr>
      <w:tr>
        <w:trPr>
          <w:trHeight w:val="199" w:hRule="exact"/>
        </w:trPr>
        <w:tc>
          <w:tcPr>
            <w:tcW w:w="1634" w:type="dxa"/>
            <w:vMerge/>
            <w:tcBorders>
              <w:left w:val="single" w:sz="4" w:space="0" w:color="000000"/>
              <w:right w:val="single" w:sz="4" w:space="0" w:color="000000"/>
            </w:tcBorders>
            <w:shd w:val="clear" w:color="auto" w:fill="D4D4D4"/>
          </w:tcPr>
          <w:p>
            <w:pPr/>
          </w:p>
        </w:tc>
        <w:tc>
          <w:tcPr>
            <w:tcW w:w="763" w:type="dxa"/>
            <w:vMerge/>
            <w:tcBorders>
              <w:left w:val="single" w:sz="4" w:space="0" w:color="000000"/>
              <w:bottom w:val="nil" w:sz="6" w:space="0" w:color="auto"/>
              <w:right w:val="single" w:sz="4" w:space="0" w:color="000000"/>
            </w:tcBorders>
            <w:shd w:val="clear" w:color="auto" w:fill="D4D4D4"/>
          </w:tcPr>
          <w:p>
            <w:pPr/>
          </w:p>
        </w:tc>
        <w:tc>
          <w:tcPr>
            <w:tcW w:w="864" w:type="dxa"/>
            <w:vMerge/>
            <w:tcBorders>
              <w:left w:val="single" w:sz="4" w:space="0" w:color="000000"/>
              <w:bottom w:val="nil" w:sz="6" w:space="0" w:color="auto"/>
              <w:right w:val="single" w:sz="4" w:space="0" w:color="000000"/>
            </w:tcBorders>
            <w:shd w:val="clear" w:color="auto" w:fill="D4D4D4"/>
          </w:tcPr>
          <w:p>
            <w:pPr/>
          </w:p>
        </w:tc>
        <w:tc>
          <w:tcPr>
            <w:tcW w:w="660" w:type="dxa"/>
            <w:vMerge/>
            <w:tcBorders>
              <w:left w:val="single" w:sz="4" w:space="0" w:color="000000"/>
              <w:bottom w:val="nil" w:sz="6" w:space="0" w:color="auto"/>
              <w:right w:val="single" w:sz="4" w:space="0" w:color="000000"/>
            </w:tcBorders>
            <w:shd w:val="clear" w:color="auto" w:fill="D4D4D4"/>
          </w:tcPr>
          <w:p>
            <w:pPr/>
          </w:p>
        </w:tc>
        <w:tc>
          <w:tcPr>
            <w:tcW w:w="763" w:type="dxa"/>
            <w:vMerge/>
            <w:tcBorders>
              <w:left w:val="single" w:sz="4" w:space="0" w:color="000000"/>
              <w:right w:val="single" w:sz="4" w:space="0" w:color="000000"/>
            </w:tcBorders>
            <w:shd w:val="clear" w:color="auto" w:fill="D4D4D4"/>
          </w:tcPr>
          <w:p>
            <w:pPr/>
          </w:p>
        </w:tc>
        <w:tc>
          <w:tcPr>
            <w:tcW w:w="790" w:type="dxa"/>
            <w:vMerge w:val="restart"/>
            <w:tcBorders>
              <w:top w:val="nil" w:sz="6" w:space="0" w:color="auto"/>
              <w:left w:val="single" w:sz="4" w:space="0" w:color="000000"/>
              <w:right w:val="single" w:sz="4" w:space="0" w:color="000000"/>
            </w:tcBorders>
            <w:shd w:val="clear" w:color="auto" w:fill="D4D4D4"/>
          </w:tcPr>
          <w:p>
            <w:pPr/>
          </w:p>
        </w:tc>
        <w:tc>
          <w:tcPr>
            <w:tcW w:w="775" w:type="dxa"/>
            <w:vMerge/>
            <w:tcBorders>
              <w:left w:val="single" w:sz="4" w:space="0" w:color="000000"/>
              <w:bottom w:val="nil" w:sz="6" w:space="0" w:color="auto"/>
              <w:right w:val="single" w:sz="4" w:space="0" w:color="000000"/>
            </w:tcBorders>
            <w:shd w:val="clear" w:color="auto" w:fill="D4D4D4"/>
          </w:tcPr>
          <w:p>
            <w:pPr/>
          </w:p>
        </w:tc>
        <w:tc>
          <w:tcPr>
            <w:tcW w:w="797" w:type="dxa"/>
            <w:vMerge/>
            <w:tcBorders>
              <w:left w:val="single" w:sz="4" w:space="0" w:color="000000"/>
              <w:bottom w:val="nil" w:sz="6" w:space="0" w:color="auto"/>
              <w:right w:val="single" w:sz="4" w:space="0" w:color="000000"/>
            </w:tcBorders>
            <w:shd w:val="clear" w:color="auto" w:fill="D4D4D4"/>
          </w:tcPr>
          <w:p>
            <w:pPr/>
          </w:p>
        </w:tc>
        <w:tc>
          <w:tcPr>
            <w:tcW w:w="799" w:type="dxa"/>
            <w:vMerge/>
            <w:tcBorders>
              <w:left w:val="single" w:sz="4" w:space="0" w:color="000000"/>
              <w:bottom w:val="nil" w:sz="6" w:space="0" w:color="auto"/>
              <w:right w:val="single" w:sz="4" w:space="0" w:color="000000"/>
            </w:tcBorders>
            <w:shd w:val="clear" w:color="auto" w:fill="D4D4D4"/>
          </w:tcPr>
          <w:p>
            <w:pPr/>
          </w:p>
        </w:tc>
        <w:tc>
          <w:tcPr>
            <w:tcW w:w="790" w:type="dxa"/>
            <w:vMerge/>
            <w:tcBorders>
              <w:left w:val="single" w:sz="4" w:space="0" w:color="000000"/>
              <w:bottom w:val="nil" w:sz="6" w:space="0" w:color="auto"/>
              <w:right w:val="single" w:sz="4" w:space="0" w:color="000000"/>
            </w:tcBorders>
            <w:shd w:val="clear" w:color="auto" w:fill="D4D4D4"/>
          </w:tcPr>
          <w:p>
            <w:pPr/>
          </w:p>
        </w:tc>
        <w:tc>
          <w:tcPr>
            <w:tcW w:w="931" w:type="dxa"/>
            <w:vMerge w:val="restart"/>
            <w:tcBorders>
              <w:top w:val="nil" w:sz="6" w:space="0" w:color="auto"/>
              <w:left w:val="single" w:sz="4" w:space="0" w:color="000000"/>
              <w:right w:val="single" w:sz="4" w:space="0" w:color="000000"/>
            </w:tcBorders>
            <w:shd w:val="clear" w:color="auto" w:fill="D4D4D4"/>
          </w:tcPr>
          <w:p>
            <w:pPr/>
          </w:p>
        </w:tc>
      </w:tr>
      <w:tr>
        <w:trPr>
          <w:trHeight w:val="161" w:hRule="exact"/>
        </w:trPr>
        <w:tc>
          <w:tcPr>
            <w:tcW w:w="1634" w:type="dxa"/>
            <w:vMerge/>
            <w:tcBorders>
              <w:left w:val="single" w:sz="4" w:space="0" w:color="000000"/>
              <w:bottom w:val="single" w:sz="4" w:space="0" w:color="000000"/>
              <w:right w:val="single" w:sz="4" w:space="0" w:color="000000"/>
            </w:tcBorders>
            <w:shd w:val="clear" w:color="auto" w:fill="D4D4D4"/>
          </w:tcPr>
          <w:p>
            <w:pPr/>
          </w:p>
        </w:tc>
        <w:tc>
          <w:tcPr>
            <w:tcW w:w="763" w:type="dxa"/>
            <w:tcBorders>
              <w:top w:val="nil" w:sz="6" w:space="0" w:color="auto"/>
              <w:left w:val="single" w:sz="4" w:space="0" w:color="000000"/>
              <w:bottom w:val="single" w:sz="4" w:space="0" w:color="000000"/>
              <w:right w:val="single" w:sz="4" w:space="0" w:color="000000"/>
            </w:tcBorders>
            <w:shd w:val="clear" w:color="auto" w:fill="D4D4D4"/>
          </w:tcPr>
          <w:p>
            <w:pPr/>
          </w:p>
        </w:tc>
        <w:tc>
          <w:tcPr>
            <w:tcW w:w="864" w:type="dxa"/>
            <w:tcBorders>
              <w:top w:val="nil" w:sz="6" w:space="0" w:color="auto"/>
              <w:left w:val="single" w:sz="4" w:space="0" w:color="000000"/>
              <w:bottom w:val="single" w:sz="4" w:space="0" w:color="000000"/>
              <w:right w:val="single" w:sz="4" w:space="0" w:color="000000"/>
            </w:tcBorders>
            <w:shd w:val="clear" w:color="auto" w:fill="D4D4D4"/>
          </w:tcPr>
          <w:p>
            <w:pPr/>
          </w:p>
        </w:tc>
        <w:tc>
          <w:tcPr>
            <w:tcW w:w="660" w:type="dxa"/>
            <w:tcBorders>
              <w:top w:val="nil" w:sz="6" w:space="0" w:color="auto"/>
              <w:left w:val="single" w:sz="4" w:space="0" w:color="000000"/>
              <w:bottom w:val="single" w:sz="4" w:space="0" w:color="000000"/>
              <w:right w:val="single" w:sz="4" w:space="0" w:color="000000"/>
            </w:tcBorders>
            <w:shd w:val="clear" w:color="auto" w:fill="D4D4D4"/>
          </w:tcPr>
          <w:p>
            <w:pPr/>
          </w:p>
        </w:tc>
        <w:tc>
          <w:tcPr>
            <w:tcW w:w="763" w:type="dxa"/>
            <w:vMerge/>
            <w:tcBorders>
              <w:left w:val="single" w:sz="4" w:space="0" w:color="000000"/>
              <w:bottom w:val="single" w:sz="4" w:space="0" w:color="000000"/>
              <w:right w:val="single" w:sz="4" w:space="0" w:color="000000"/>
            </w:tcBorders>
            <w:shd w:val="clear" w:color="auto" w:fill="D4D4D4"/>
          </w:tcPr>
          <w:p>
            <w:pPr/>
          </w:p>
        </w:tc>
        <w:tc>
          <w:tcPr>
            <w:tcW w:w="790" w:type="dxa"/>
            <w:vMerge/>
            <w:tcBorders>
              <w:left w:val="single" w:sz="4" w:space="0" w:color="000000"/>
              <w:bottom w:val="single" w:sz="4" w:space="0" w:color="000000"/>
              <w:right w:val="single" w:sz="4" w:space="0" w:color="000000"/>
            </w:tcBorders>
            <w:shd w:val="clear" w:color="auto" w:fill="D4D4D4"/>
          </w:tcPr>
          <w:p>
            <w:pPr/>
          </w:p>
        </w:tc>
        <w:tc>
          <w:tcPr>
            <w:tcW w:w="775" w:type="dxa"/>
            <w:tcBorders>
              <w:top w:val="nil" w:sz="6" w:space="0" w:color="auto"/>
              <w:left w:val="single" w:sz="4" w:space="0" w:color="000000"/>
              <w:bottom w:val="single" w:sz="4" w:space="0" w:color="000000"/>
              <w:right w:val="single" w:sz="4" w:space="0" w:color="000000"/>
            </w:tcBorders>
            <w:shd w:val="clear" w:color="auto" w:fill="D4D4D4"/>
          </w:tcPr>
          <w:p>
            <w:pPr/>
          </w:p>
        </w:tc>
        <w:tc>
          <w:tcPr>
            <w:tcW w:w="797" w:type="dxa"/>
            <w:tcBorders>
              <w:top w:val="nil" w:sz="6" w:space="0" w:color="auto"/>
              <w:left w:val="single" w:sz="4" w:space="0" w:color="000000"/>
              <w:bottom w:val="single" w:sz="4" w:space="0" w:color="000000"/>
              <w:right w:val="single" w:sz="4" w:space="0" w:color="000000"/>
            </w:tcBorders>
            <w:shd w:val="clear" w:color="auto" w:fill="D4D4D4"/>
          </w:tcPr>
          <w:p>
            <w:pPr/>
          </w:p>
        </w:tc>
        <w:tc>
          <w:tcPr>
            <w:tcW w:w="799" w:type="dxa"/>
            <w:tcBorders>
              <w:top w:val="nil" w:sz="6" w:space="0" w:color="auto"/>
              <w:left w:val="single" w:sz="4" w:space="0" w:color="000000"/>
              <w:bottom w:val="single" w:sz="4" w:space="0" w:color="000000"/>
              <w:right w:val="single" w:sz="4" w:space="0" w:color="000000"/>
            </w:tcBorders>
            <w:shd w:val="clear" w:color="auto" w:fill="D4D4D4"/>
          </w:tcPr>
          <w:p>
            <w:pPr/>
          </w:p>
        </w:tc>
        <w:tc>
          <w:tcPr>
            <w:tcW w:w="790" w:type="dxa"/>
            <w:tcBorders>
              <w:top w:val="nil" w:sz="6" w:space="0" w:color="auto"/>
              <w:left w:val="single" w:sz="4" w:space="0" w:color="000000"/>
              <w:bottom w:val="single" w:sz="4" w:space="0" w:color="000000"/>
              <w:right w:val="single" w:sz="4" w:space="0" w:color="000000"/>
            </w:tcBorders>
            <w:shd w:val="clear" w:color="auto" w:fill="D4D4D4"/>
          </w:tcPr>
          <w:p>
            <w:pPr/>
          </w:p>
        </w:tc>
        <w:tc>
          <w:tcPr>
            <w:tcW w:w="931" w:type="dxa"/>
            <w:vMerge/>
            <w:tcBorders>
              <w:left w:val="single" w:sz="4" w:space="0" w:color="000000"/>
              <w:bottom w:val="single" w:sz="4" w:space="0" w:color="000000"/>
              <w:right w:val="single" w:sz="4" w:space="0" w:color="000000"/>
            </w:tcBorders>
            <w:shd w:val="clear" w:color="auto" w:fill="D4D4D4"/>
          </w:tcPr>
          <w:p>
            <w:pPr/>
          </w:p>
        </w:tc>
      </w:tr>
      <w:tr>
        <w:trPr>
          <w:trHeight w:val="715" w:hRule="exact"/>
        </w:trPr>
        <w:tc>
          <w:tcPr>
            <w:tcW w:w="16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4" w:right="158"/>
              <w:jc w:val="left"/>
              <w:rPr>
                <w:rFonts w:ascii="宋体" w:hAnsi="宋体" w:cs="宋体" w:eastAsia="宋体" w:hint="default"/>
                <w:sz w:val="18"/>
                <w:szCs w:val="18"/>
              </w:rPr>
            </w:pPr>
            <w:r>
              <w:rPr>
                <w:rFonts w:ascii="宋体" w:hAnsi="宋体" w:cs="宋体" w:eastAsia="宋体" w:hint="default"/>
                <w:sz w:val="18"/>
                <w:szCs w:val="18"/>
              </w:rPr>
              <w:t>按单项计提坏账准 备的应收账款</w:t>
            </w:r>
          </w:p>
        </w:tc>
        <w:tc>
          <w:tcPr>
            <w:tcW w:w="763" w:type="dxa"/>
            <w:tcBorders>
              <w:top w:val="single" w:sz="4" w:space="0" w:color="000000"/>
              <w:left w:val="single" w:sz="10" w:space="0" w:color="D4D4D4"/>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4,418,000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0.62%</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4,418,000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100.00%</w:t>
            </w: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6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864"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660"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75"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99"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931"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1027" w:hRule="exact"/>
        </w:trPr>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8"/>
              <w:jc w:val="both"/>
              <w:rPr>
                <w:rFonts w:ascii="宋体" w:hAnsi="宋体" w:cs="宋体" w:eastAsia="宋体" w:hint="default"/>
                <w:sz w:val="18"/>
                <w:szCs w:val="18"/>
              </w:rPr>
            </w:pPr>
            <w:r>
              <w:rPr>
                <w:rFonts w:ascii="宋体" w:hAnsi="宋体" w:cs="宋体" w:eastAsia="宋体" w:hint="default"/>
                <w:sz w:val="18"/>
                <w:szCs w:val="18"/>
              </w:rPr>
              <w:t>单项金额重大并单 独计提坏账准备的 应收账款</w:t>
            </w:r>
          </w:p>
        </w:tc>
        <w:tc>
          <w:tcPr>
            <w:tcW w:w="763"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4,383,000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0.62%</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4,383,000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100.00%</w:t>
            </w: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8"/>
              <w:jc w:val="both"/>
              <w:rPr>
                <w:rFonts w:ascii="宋体" w:hAnsi="宋体" w:cs="宋体" w:eastAsia="宋体" w:hint="default"/>
                <w:sz w:val="18"/>
                <w:szCs w:val="18"/>
              </w:rPr>
            </w:pPr>
            <w:r>
              <w:rPr>
                <w:rFonts w:ascii="宋体" w:hAnsi="宋体" w:cs="宋体" w:eastAsia="宋体" w:hint="default"/>
                <w:sz w:val="18"/>
                <w:szCs w:val="18"/>
              </w:rPr>
              <w:t>单项金额不重大但 单独计提坏账准备 的应收账款</w:t>
            </w:r>
          </w:p>
        </w:tc>
        <w:tc>
          <w:tcPr>
            <w:tcW w:w="763"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35,000.00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35,000.00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100.00%</w:t>
            </w: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6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4" w:right="158"/>
              <w:jc w:val="left"/>
              <w:rPr>
                <w:rFonts w:ascii="宋体" w:hAnsi="宋体" w:cs="宋体" w:eastAsia="宋体" w:hint="default"/>
                <w:sz w:val="18"/>
                <w:szCs w:val="18"/>
              </w:rPr>
            </w:pPr>
            <w:r>
              <w:rPr>
                <w:rFonts w:ascii="宋体" w:hAnsi="宋体" w:cs="宋体" w:eastAsia="宋体" w:hint="default"/>
                <w:sz w:val="18"/>
                <w:szCs w:val="18"/>
              </w:rPr>
              <w:t>按组合计提坏账准 备的应收账款</w:t>
            </w:r>
          </w:p>
        </w:tc>
        <w:tc>
          <w:tcPr>
            <w:tcW w:w="763"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left="75" w:right="0"/>
              <w:jc w:val="center"/>
              <w:rPr>
                <w:rFonts w:ascii="Times New Roman" w:hAnsi="Times New Roman" w:cs="Times New Roman" w:eastAsia="Times New Roman" w:hint="default"/>
                <w:sz w:val="18"/>
                <w:szCs w:val="18"/>
              </w:rPr>
            </w:pPr>
            <w:r>
              <w:rPr>
                <w:rFonts w:ascii="Times New Roman"/>
                <w:sz w:val="18"/>
              </w:rPr>
              <w:t>904,924,</w:t>
            </w:r>
          </w:p>
          <w:p>
            <w:pPr>
              <w:pStyle w:val="TableParagraph"/>
              <w:spacing w:line="240" w:lineRule="auto" w:before="105"/>
              <w:ind w:left="208" w:right="0"/>
              <w:jc w:val="center"/>
              <w:rPr>
                <w:rFonts w:ascii="Times New Roman" w:hAnsi="Times New Roman" w:cs="Times New Roman" w:eastAsia="Times New Roman" w:hint="default"/>
                <w:sz w:val="18"/>
                <w:szCs w:val="18"/>
              </w:rPr>
            </w:pPr>
            <w:r>
              <w:rPr>
                <w:rFonts w:ascii="Times New Roman"/>
                <w:sz w:val="18"/>
              </w:rPr>
              <w:t>571.83</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 w:right="0"/>
              <w:jc w:val="left"/>
              <w:rPr>
                <w:rFonts w:ascii="Times New Roman" w:hAnsi="Times New Roman" w:cs="Times New Roman" w:eastAsia="Times New Roman" w:hint="default"/>
                <w:sz w:val="18"/>
                <w:szCs w:val="18"/>
              </w:rPr>
            </w:pPr>
            <w:r>
              <w:rPr>
                <w:rFonts w:ascii="Times New Roman"/>
                <w:sz w:val="18"/>
              </w:rPr>
              <w:t>108,145</w:t>
            </w:r>
          </w:p>
          <w:p>
            <w:pPr>
              <w:pStyle w:val="TableParagraph"/>
              <w:spacing w:line="240" w:lineRule="auto" w:before="105"/>
              <w:ind w:left="88" w:right="0"/>
              <w:jc w:val="left"/>
              <w:rPr>
                <w:rFonts w:ascii="Times New Roman" w:hAnsi="Times New Roman" w:cs="Times New Roman" w:eastAsia="Times New Roman" w:hint="default"/>
                <w:sz w:val="18"/>
                <w:szCs w:val="18"/>
              </w:rPr>
            </w:pPr>
            <w:r>
              <w:rPr>
                <w:rFonts w:ascii="Times New Roman"/>
                <w:sz w:val="18"/>
              </w:rPr>
              <w:t>,354.70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11.95%</w:t>
            </w:r>
            <w:r>
              <w:rPr>
                <w:rFonts w:ascii="Times New Roman"/>
                <w:sz w:val="18"/>
              </w:rPr>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796,779,2</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17.13</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698,270,1</w:t>
            </w:r>
          </w:p>
          <w:p>
            <w:pPr>
              <w:pStyle w:val="TableParagraph"/>
              <w:spacing w:line="240" w:lineRule="auto" w:before="105"/>
              <w:ind w:left="338" w:right="0"/>
              <w:jc w:val="left"/>
              <w:rPr>
                <w:rFonts w:ascii="Times New Roman" w:hAnsi="Times New Roman" w:cs="Times New Roman" w:eastAsia="Times New Roman" w:hint="default"/>
                <w:sz w:val="18"/>
                <w:szCs w:val="18"/>
              </w:rPr>
            </w:pPr>
            <w:r>
              <w:rPr>
                <w:rFonts w:ascii="Times New Roman"/>
                <w:sz w:val="18"/>
              </w:rPr>
              <w:t>48.98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99.38%</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73,269,47</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6.43</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10.49%</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625,000,67</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2.55</w:t>
            </w:r>
          </w:p>
        </w:tc>
      </w:tr>
      <w:tr>
        <w:trPr>
          <w:trHeight w:val="401" w:hRule="exact"/>
        </w:trPr>
        <w:tc>
          <w:tcPr>
            <w:tcW w:w="16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864"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660"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75"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99"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931"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715" w:hRule="exact"/>
        </w:trPr>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销售货款及其他</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2" w:right="0"/>
              <w:jc w:val="center"/>
              <w:rPr>
                <w:rFonts w:ascii="Times New Roman" w:hAnsi="Times New Roman" w:cs="Times New Roman" w:eastAsia="Times New Roman" w:hint="default"/>
                <w:sz w:val="18"/>
                <w:szCs w:val="18"/>
              </w:rPr>
            </w:pPr>
            <w:r>
              <w:rPr>
                <w:rFonts w:ascii="Times New Roman"/>
                <w:sz w:val="18"/>
              </w:rPr>
              <w:t>904,924,</w:t>
            </w:r>
          </w:p>
          <w:p>
            <w:pPr>
              <w:pStyle w:val="TableParagraph"/>
              <w:spacing w:line="240" w:lineRule="auto" w:before="105"/>
              <w:ind w:left="215" w:right="0"/>
              <w:jc w:val="center"/>
              <w:rPr>
                <w:rFonts w:ascii="Times New Roman" w:hAnsi="Times New Roman" w:cs="Times New Roman" w:eastAsia="Times New Roman" w:hint="default"/>
                <w:sz w:val="18"/>
                <w:szCs w:val="18"/>
              </w:rPr>
            </w:pPr>
            <w:r>
              <w:rPr>
                <w:rFonts w:ascii="Times New Roman"/>
                <w:sz w:val="18"/>
              </w:rPr>
              <w:t>571.83</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 w:right="0"/>
              <w:jc w:val="left"/>
              <w:rPr>
                <w:rFonts w:ascii="Times New Roman" w:hAnsi="Times New Roman" w:cs="Times New Roman" w:eastAsia="Times New Roman" w:hint="default"/>
                <w:sz w:val="18"/>
                <w:szCs w:val="18"/>
              </w:rPr>
            </w:pPr>
            <w:r>
              <w:rPr>
                <w:rFonts w:ascii="Times New Roman"/>
                <w:sz w:val="18"/>
              </w:rPr>
              <w:t>108,145</w:t>
            </w:r>
          </w:p>
          <w:p>
            <w:pPr>
              <w:pStyle w:val="TableParagraph"/>
              <w:spacing w:line="240" w:lineRule="auto" w:before="105"/>
              <w:ind w:left="88" w:right="0"/>
              <w:jc w:val="left"/>
              <w:rPr>
                <w:rFonts w:ascii="Times New Roman" w:hAnsi="Times New Roman" w:cs="Times New Roman" w:eastAsia="Times New Roman" w:hint="default"/>
                <w:sz w:val="18"/>
                <w:szCs w:val="18"/>
              </w:rPr>
            </w:pPr>
            <w:r>
              <w:rPr>
                <w:rFonts w:ascii="Times New Roman"/>
                <w:sz w:val="18"/>
              </w:rPr>
              <w:t>,354.70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11.95%</w:t>
            </w:r>
            <w:r>
              <w:rPr>
                <w:rFonts w:ascii="Times New Roman"/>
                <w:sz w:val="18"/>
              </w:rPr>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796,779,2</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17.13</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698,270,1</w:t>
            </w:r>
          </w:p>
          <w:p>
            <w:pPr>
              <w:pStyle w:val="TableParagraph"/>
              <w:spacing w:line="240" w:lineRule="auto" w:before="105"/>
              <w:ind w:left="338" w:right="0"/>
              <w:jc w:val="left"/>
              <w:rPr>
                <w:rFonts w:ascii="Times New Roman" w:hAnsi="Times New Roman" w:cs="Times New Roman" w:eastAsia="Times New Roman" w:hint="default"/>
                <w:sz w:val="18"/>
                <w:szCs w:val="18"/>
              </w:rPr>
            </w:pPr>
            <w:r>
              <w:rPr>
                <w:rFonts w:ascii="Times New Roman"/>
                <w:sz w:val="18"/>
              </w:rPr>
              <w:t>48.98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99.38%</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73,269,47</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6.43</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10.49%</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625,000,67</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2.55</w:t>
            </w:r>
          </w:p>
        </w:tc>
      </w:tr>
      <w:tr>
        <w:trPr>
          <w:trHeight w:val="713" w:hRule="exact"/>
        </w:trPr>
        <w:tc>
          <w:tcPr>
            <w:tcW w:w="16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2" w:right="0"/>
              <w:jc w:val="center"/>
              <w:rPr>
                <w:rFonts w:ascii="Times New Roman" w:hAnsi="Times New Roman" w:cs="Times New Roman" w:eastAsia="Times New Roman" w:hint="default"/>
                <w:sz w:val="18"/>
                <w:szCs w:val="18"/>
              </w:rPr>
            </w:pPr>
            <w:r>
              <w:rPr>
                <w:rFonts w:ascii="Times New Roman"/>
                <w:sz w:val="18"/>
              </w:rPr>
              <w:t>904,924,</w:t>
            </w:r>
          </w:p>
          <w:p>
            <w:pPr>
              <w:pStyle w:val="TableParagraph"/>
              <w:spacing w:line="240" w:lineRule="auto" w:before="105"/>
              <w:ind w:left="215" w:right="0"/>
              <w:jc w:val="center"/>
              <w:rPr>
                <w:rFonts w:ascii="Times New Roman" w:hAnsi="Times New Roman" w:cs="Times New Roman" w:eastAsia="Times New Roman" w:hint="default"/>
                <w:sz w:val="18"/>
                <w:szCs w:val="18"/>
              </w:rPr>
            </w:pPr>
            <w:r>
              <w:rPr>
                <w:rFonts w:ascii="Times New Roman"/>
                <w:sz w:val="18"/>
              </w:rPr>
              <w:t>571.83</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 w:right="0"/>
              <w:jc w:val="left"/>
              <w:rPr>
                <w:rFonts w:ascii="Times New Roman" w:hAnsi="Times New Roman" w:cs="Times New Roman" w:eastAsia="Times New Roman" w:hint="default"/>
                <w:sz w:val="18"/>
                <w:szCs w:val="18"/>
              </w:rPr>
            </w:pPr>
            <w:r>
              <w:rPr>
                <w:rFonts w:ascii="Times New Roman"/>
                <w:sz w:val="18"/>
              </w:rPr>
              <w:t>108,145</w:t>
            </w:r>
          </w:p>
          <w:p>
            <w:pPr>
              <w:pStyle w:val="TableParagraph"/>
              <w:spacing w:line="240" w:lineRule="auto" w:before="105"/>
              <w:ind w:left="88" w:right="0"/>
              <w:jc w:val="left"/>
              <w:rPr>
                <w:rFonts w:ascii="Times New Roman" w:hAnsi="Times New Roman" w:cs="Times New Roman" w:eastAsia="Times New Roman" w:hint="default"/>
                <w:sz w:val="18"/>
                <w:szCs w:val="18"/>
              </w:rPr>
            </w:pPr>
            <w:r>
              <w:rPr>
                <w:rFonts w:ascii="Times New Roman"/>
                <w:sz w:val="18"/>
              </w:rPr>
              <w:t>,354.70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11.95%</w:t>
            </w:r>
            <w:r>
              <w:rPr>
                <w:rFonts w:ascii="Times New Roman"/>
                <w:sz w:val="18"/>
              </w:rPr>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796,779,2</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17.13</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702,688,1</w:t>
            </w:r>
          </w:p>
          <w:p>
            <w:pPr>
              <w:pStyle w:val="TableParagraph"/>
              <w:spacing w:line="240" w:lineRule="auto" w:before="105"/>
              <w:ind w:left="338" w:right="0"/>
              <w:jc w:val="left"/>
              <w:rPr>
                <w:rFonts w:ascii="Times New Roman" w:hAnsi="Times New Roman" w:cs="Times New Roman" w:eastAsia="Times New Roman" w:hint="default"/>
                <w:sz w:val="18"/>
                <w:szCs w:val="18"/>
              </w:rPr>
            </w:pPr>
            <w:r>
              <w:rPr>
                <w:rFonts w:ascii="Times New Roman"/>
                <w:sz w:val="18"/>
              </w:rPr>
              <w:t>48.98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77,687,47</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6.43</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11.06%</w:t>
            </w:r>
            <w:r>
              <w:rPr>
                <w:rFonts w:ascii="Times New Roman"/>
                <w:sz w:val="18"/>
              </w:rPr>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625,000,67</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2.55</w:t>
            </w:r>
          </w:p>
        </w:tc>
      </w:tr>
    </w:tbl>
    <w:p>
      <w:pPr>
        <w:spacing w:line="360" w:lineRule="auto" w:before="49"/>
        <w:ind w:left="152" w:right="8954" w:firstLine="0"/>
        <w:jc w:val="left"/>
        <w:rPr>
          <w:rFonts w:ascii="宋体" w:hAnsi="宋体" w:cs="宋体" w:eastAsia="宋体" w:hint="default"/>
          <w:sz w:val="18"/>
          <w:szCs w:val="18"/>
        </w:rPr>
      </w:pPr>
      <w:r>
        <w:rPr>
          <w:rFonts w:ascii="宋体" w:hAnsi="宋体" w:cs="宋体" w:eastAsia="宋体" w:hint="default"/>
          <w:sz w:val="18"/>
          <w:szCs w:val="18"/>
        </w:rPr>
        <w:t>按单项计提坏账准备： 无</w:t>
      </w:r>
    </w:p>
    <w:p>
      <w:pPr>
        <w:spacing w:line="240" w:lineRule="auto" w:before="6"/>
        <w:rPr>
          <w:rFonts w:ascii="宋体" w:hAnsi="宋体" w:cs="宋体" w:eastAsia="宋体" w:hint="default"/>
          <w:sz w:val="25"/>
          <w:szCs w:val="25"/>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2"/>
        <w:gridCol w:w="2390"/>
        <w:gridCol w:w="2393"/>
        <w:gridCol w:w="2393"/>
      </w:tblGrid>
      <w:tr>
        <w:trPr>
          <w:trHeight w:val="401" w:hRule="exact"/>
        </w:trPr>
        <w:tc>
          <w:tcPr>
            <w:tcW w:w="2392"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名称</w:t>
            </w:r>
          </w:p>
        </w:tc>
        <w:tc>
          <w:tcPr>
            <w:tcW w:w="7176" w:type="dxa"/>
            <w:gridSpan w:val="3"/>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2392" w:type="dxa"/>
            <w:vMerge/>
            <w:tcBorders>
              <w:left w:val="single" w:sz="4" w:space="0" w:color="000000"/>
              <w:bottom w:val="single" w:sz="4" w:space="0" w:color="000000"/>
              <w:right w:val="single" w:sz="4" w:space="0" w:color="000000"/>
            </w:tcBorders>
            <w:shd w:val="clear" w:color="auto" w:fill="D4D4D4"/>
          </w:tcPr>
          <w:p>
            <w:pPr/>
          </w:p>
        </w:tc>
        <w:tc>
          <w:tcPr>
            <w:tcW w:w="23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1"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3" w:right="0"/>
              <w:jc w:val="left"/>
              <w:rPr>
                <w:rFonts w:ascii="Times New Roman" w:hAnsi="Times New Roman" w:cs="Times New Roman" w:eastAsia="Times New Roman" w:hint="default"/>
                <w:sz w:val="18"/>
                <w:szCs w:val="18"/>
              </w:rPr>
            </w:pPr>
            <w:r>
              <w:rPr>
                <w:rFonts w:ascii="Times New Roman"/>
                <w:sz w:val="18"/>
              </w:rPr>
              <w:t>607,037,760.19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24" w:right="0"/>
              <w:jc w:val="left"/>
              <w:rPr>
                <w:rFonts w:ascii="Times New Roman" w:hAnsi="Times New Roman" w:cs="Times New Roman" w:eastAsia="Times New Roman" w:hint="default"/>
                <w:sz w:val="18"/>
                <w:szCs w:val="18"/>
              </w:rPr>
            </w:pPr>
            <w:r>
              <w:rPr>
                <w:rFonts w:ascii="Times New Roman"/>
                <w:sz w:val="18"/>
              </w:rPr>
              <w:t>30,351,888.04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2393"/>
        <w:gridCol w:w="2390"/>
        <w:gridCol w:w="2393"/>
        <w:gridCol w:w="2393"/>
      </w:tblGrid>
      <w:tr>
        <w:trPr>
          <w:trHeight w:val="401"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187,672,379.89</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18,767,237.99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10.00%</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53,914,445.05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16,174,333.52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30.00%</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21,435,483.78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10,717,741.90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50.00%</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13,651,748.33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10,921,398.66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80.00%</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21,212,754.59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21,212,754.59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904,924,571.83</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108,145,354.70</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5" w:footer="982" w:top="1060" w:bottom="1180" w:left="980" w:right="0"/>
        </w:sectPr>
      </w:pPr>
    </w:p>
    <w:p>
      <w:pPr>
        <w:spacing w:before="49"/>
        <w:ind w:left="152" w:right="-20"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w:t>
      </w:r>
    </w:p>
    <w:p>
      <w:pPr>
        <w:spacing w:line="360" w:lineRule="auto" w:before="115"/>
        <w:ind w:left="152" w:right="106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1"/>
          <w:sz w:val="18"/>
          <w:szCs w:val="18"/>
        </w:rPr>
        <w:t> </w:t>
      </w:r>
      <w:r>
        <w:rPr>
          <w:rFonts w:ascii="宋体" w:hAnsi="宋体" w:cs="宋体" w:eastAsia="宋体" w:hint="default"/>
          <w:sz w:val="18"/>
          <w:szCs w:val="18"/>
        </w:rPr>
        <w:t>不适用</w:t>
      </w:r>
      <w:r>
        <w:rPr>
          <w:rFonts w:ascii="宋体" w:hAnsi="宋体" w:cs="宋体" w:eastAsia="宋体" w:hint="default"/>
          <w:sz w:val="18"/>
          <w:szCs w:val="18"/>
        </w:rPr>
        <w:t> 按账龄披露</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2"/>
          <w:szCs w:val="12"/>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2133" w:space="6694"/>
            <w:col w:w="2103"/>
          </w:cols>
        </w:sectPr>
      </w:pP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760"/>
        <w:gridCol w:w="4796"/>
      </w:tblGrid>
      <w:tr>
        <w:trPr>
          <w:trHeight w:val="403"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607,037,760.19</w:t>
            </w:r>
            <w:r>
              <w:rPr>
                <w:rFonts w:ascii="Times New Roman"/>
                <w:sz w:val="18"/>
              </w:rPr>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187,672,379.89</w:t>
            </w:r>
            <w:r>
              <w:rPr>
                <w:rFonts w:ascii="Times New Roman"/>
                <w:sz w:val="18"/>
              </w:rPr>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53,914,445.05</w:t>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56,299,986.70</w:t>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21,435,483.78</w:t>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13,651,748.33</w:t>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21,212,754.59</w:t>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904,924,571.83</w:t>
            </w:r>
            <w:r>
              <w:rPr>
                <w:rFonts w:ascii="Times New Roman"/>
                <w:sz w:val="18"/>
              </w:rPr>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公司需要遵守《深圳证券交易所行业信息披露指引第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上市公司从事软件与信息技术服务业务》的披露要求</w:t>
      </w:r>
    </w:p>
    <w:p>
      <w:pPr>
        <w:spacing w:line="240" w:lineRule="auto" w:before="13"/>
        <w:rPr>
          <w:rFonts w:ascii="宋体" w:hAnsi="宋体" w:cs="宋体" w:eastAsia="宋体" w:hint="default"/>
          <w:sz w:val="25"/>
          <w:szCs w:val="25"/>
        </w:rPr>
      </w:pPr>
    </w:p>
    <w:p>
      <w:pPr>
        <w:pStyle w:val="Heading4"/>
        <w:spacing w:line="240" w:lineRule="auto"/>
        <w:ind w:right="986"/>
        <w:jc w:val="left"/>
        <w:rPr>
          <w:b w:val="0"/>
          <w:bCs w:val="0"/>
        </w:rPr>
      </w:pPr>
      <w:bookmarkStart w:name="（2）本期计提、收回或转回的坏账准备情况" w:id="249"/>
      <w:bookmarkEnd w:id="249"/>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12"/>
        <w:rPr>
          <w:rFonts w:ascii="宋体" w:hAnsi="宋体" w:cs="宋体" w:eastAsia="宋体" w:hint="default"/>
          <w:b/>
          <w:bCs/>
          <w:sz w:val="22"/>
          <w:szCs w:val="22"/>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本期计提坏账准备情况：</w:t>
      </w:r>
    </w:p>
    <w:p>
      <w:pPr>
        <w:spacing w:before="117"/>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126"/>
        <w:gridCol w:w="1277"/>
        <w:gridCol w:w="1380"/>
        <w:gridCol w:w="1596"/>
        <w:gridCol w:w="1594"/>
        <w:gridCol w:w="1594"/>
      </w:tblGrid>
      <w:tr>
        <w:trPr>
          <w:trHeight w:val="401" w:hRule="exact"/>
        </w:trPr>
        <w:tc>
          <w:tcPr>
            <w:tcW w:w="2126"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277"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570" w:type="dxa"/>
            <w:gridSpan w:val="3"/>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594"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2126" w:type="dxa"/>
            <w:vMerge/>
            <w:tcBorders>
              <w:left w:val="single" w:sz="4" w:space="0" w:color="000000"/>
              <w:bottom w:val="single" w:sz="4" w:space="0" w:color="000000"/>
              <w:right w:val="single" w:sz="4" w:space="0" w:color="000000"/>
            </w:tcBorders>
            <w:shd w:val="clear" w:color="auto" w:fill="D4D4D4"/>
          </w:tcPr>
          <w:p>
            <w:pPr/>
          </w:p>
        </w:tc>
        <w:tc>
          <w:tcPr>
            <w:tcW w:w="1277" w:type="dxa"/>
            <w:vMerge/>
            <w:tcBorders>
              <w:left w:val="single" w:sz="4" w:space="0" w:color="000000"/>
              <w:bottom w:val="single" w:sz="4" w:space="0" w:color="000000"/>
              <w:right w:val="single" w:sz="4" w:space="0" w:color="000000"/>
            </w:tcBorders>
            <w:shd w:val="clear" w:color="auto" w:fill="D4D4D4"/>
          </w:tcPr>
          <w:p>
            <w:pPr/>
          </w:p>
        </w:tc>
        <w:tc>
          <w:tcPr>
            <w:tcW w:w="138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5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43"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611" w:right="0"/>
              <w:jc w:val="left"/>
              <w:rPr>
                <w:rFonts w:ascii="宋体" w:hAnsi="宋体" w:cs="宋体" w:eastAsia="宋体" w:hint="default"/>
                <w:sz w:val="18"/>
                <w:szCs w:val="18"/>
              </w:rPr>
            </w:pPr>
            <w:r>
              <w:rPr>
                <w:rFonts w:ascii="宋体" w:hAnsi="宋体" w:cs="宋体" w:eastAsia="宋体" w:hint="default"/>
                <w:sz w:val="18"/>
                <w:szCs w:val="18"/>
              </w:rPr>
              <w:t>核销</w:t>
            </w:r>
          </w:p>
        </w:tc>
        <w:tc>
          <w:tcPr>
            <w:tcW w:w="1594" w:type="dxa"/>
            <w:vMerge/>
            <w:tcBorders>
              <w:left w:val="single" w:sz="4" w:space="0" w:color="000000"/>
              <w:bottom w:val="single" w:sz="4" w:space="0" w:color="000000"/>
              <w:right w:val="single" w:sz="4" w:space="0" w:color="000000"/>
            </w:tcBorders>
            <w:shd w:val="clear" w:color="auto" w:fill="D4D4D4"/>
          </w:tcPr>
          <w:p>
            <w:pPr/>
          </w:p>
        </w:tc>
      </w:tr>
      <w:tr>
        <w:trPr>
          <w:trHeight w:val="713"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0"/>
              <w:jc w:val="left"/>
              <w:rPr>
                <w:rFonts w:ascii="宋体" w:hAnsi="宋体" w:cs="宋体" w:eastAsia="宋体" w:hint="default"/>
                <w:sz w:val="18"/>
                <w:szCs w:val="18"/>
              </w:rPr>
            </w:pPr>
            <w:r>
              <w:rPr>
                <w:rFonts w:ascii="宋体" w:hAnsi="宋体" w:cs="宋体" w:eastAsia="宋体" w:hint="default"/>
                <w:sz w:val="18"/>
                <w:szCs w:val="18"/>
              </w:rPr>
              <w:t>单项金额重大并单独计提 坏账准备的应收账款</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4,383,000.00</w:t>
            </w:r>
            <w:r>
              <w:rPr>
                <w:rFonts w:ascii="Times New Roman"/>
                <w:sz w:val="18"/>
              </w:rPr>
            </w:r>
          </w:p>
        </w:tc>
        <w:tc>
          <w:tcPr>
            <w:tcW w:w="1380"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16" w:right="0"/>
              <w:jc w:val="left"/>
              <w:rPr>
                <w:rFonts w:ascii="Times New Roman" w:hAnsi="Times New Roman" w:cs="Times New Roman" w:eastAsia="Times New Roman" w:hint="default"/>
                <w:sz w:val="18"/>
                <w:szCs w:val="18"/>
              </w:rPr>
            </w:pPr>
            <w:r>
              <w:rPr>
                <w:rFonts w:ascii="Times New Roman"/>
                <w:sz w:val="18"/>
              </w:rPr>
              <w:t>4,383,000.00</w:t>
            </w: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0"/>
              <w:jc w:val="left"/>
              <w:rPr>
                <w:rFonts w:ascii="宋体" w:hAnsi="宋体" w:cs="宋体" w:eastAsia="宋体" w:hint="default"/>
                <w:sz w:val="18"/>
                <w:szCs w:val="18"/>
              </w:rPr>
            </w:pPr>
            <w:r>
              <w:rPr>
                <w:rFonts w:ascii="宋体" w:hAnsi="宋体" w:cs="宋体" w:eastAsia="宋体" w:hint="default"/>
                <w:sz w:val="18"/>
                <w:szCs w:val="18"/>
              </w:rPr>
              <w:t>单项金额不重大但单独计 提坏账准备的应收账款</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35,000.00</w:t>
            </w:r>
          </w:p>
        </w:tc>
        <w:tc>
          <w:tcPr>
            <w:tcW w:w="1380"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35,000.00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0"/>
              <w:jc w:val="left"/>
              <w:rPr>
                <w:rFonts w:ascii="宋体" w:hAnsi="宋体" w:cs="宋体" w:eastAsia="宋体" w:hint="default"/>
                <w:sz w:val="18"/>
                <w:szCs w:val="18"/>
              </w:rPr>
            </w:pPr>
            <w:r>
              <w:rPr>
                <w:rFonts w:ascii="宋体" w:hAnsi="宋体" w:cs="宋体" w:eastAsia="宋体" w:hint="default"/>
                <w:sz w:val="18"/>
                <w:szCs w:val="18"/>
              </w:rPr>
              <w:t>按组合计提坏账准备的应 收账款</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73,269,476.43</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pacing w:val="-1"/>
                <w:sz w:val="18"/>
              </w:rPr>
              <w:t>34,875,878.27</w:t>
            </w:r>
          </w:p>
        </w:tc>
        <w:tc>
          <w:tcPr>
            <w:tcW w:w="159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108,145,354.70</w:t>
            </w:r>
            <w:r>
              <w:rPr>
                <w:rFonts w:ascii="Times New Roman"/>
                <w:sz w:val="18"/>
              </w:rPr>
            </w:r>
          </w:p>
        </w:tc>
      </w:tr>
      <w:tr>
        <w:trPr>
          <w:trHeight w:val="403" w:hRule="exact"/>
        </w:trPr>
        <w:tc>
          <w:tcPr>
            <w:tcW w:w="21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77,687,476.43</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34,875,878.27</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6" w:right="0"/>
              <w:jc w:val="left"/>
              <w:rPr>
                <w:rFonts w:ascii="Times New Roman" w:hAnsi="Times New Roman" w:cs="Times New Roman" w:eastAsia="Times New Roman" w:hint="default"/>
                <w:sz w:val="18"/>
                <w:szCs w:val="18"/>
              </w:rPr>
            </w:pPr>
            <w:r>
              <w:rPr>
                <w:rFonts w:ascii="Times New Roman"/>
                <w:sz w:val="18"/>
              </w:rPr>
              <w:t>4,383,000.00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108,145,354.70</w:t>
            </w:r>
            <w:r>
              <w:rPr>
                <w:rFonts w:ascii="Times New Roman"/>
                <w:sz w:val="18"/>
              </w:rPr>
            </w:r>
          </w:p>
        </w:tc>
      </w:tr>
    </w:tbl>
    <w:p>
      <w:pPr>
        <w:spacing w:line="338" w:lineRule="auto" w:before="49"/>
        <w:ind w:left="152" w:right="7245" w:firstLine="0"/>
        <w:jc w:val="left"/>
        <w:rPr>
          <w:rFonts w:ascii="宋体" w:hAnsi="宋体" w:cs="宋体" w:eastAsia="宋体" w:hint="default"/>
          <w:sz w:val="18"/>
          <w:szCs w:val="18"/>
        </w:rPr>
      </w:pPr>
      <w:r>
        <w:rPr>
          <w:rFonts w:ascii="宋体" w:hAnsi="宋体" w:cs="宋体" w:eastAsia="宋体" w:hint="default"/>
          <w:sz w:val="18"/>
          <w:szCs w:val="18"/>
        </w:rPr>
        <w:t>注：本期计提含合并中检美亚</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83,214.37 </w:t>
      </w:r>
      <w:r>
        <w:rPr>
          <w:rFonts w:ascii="宋体" w:hAnsi="宋体" w:cs="宋体" w:eastAsia="宋体" w:hint="default"/>
          <w:sz w:val="18"/>
          <w:szCs w:val="18"/>
        </w:rPr>
        <w:t>元。 其中本期坏账准备收回或转回金额重要的：</w:t>
      </w:r>
    </w:p>
    <w:p>
      <w:pPr>
        <w:spacing w:after="0" w:line="338" w:lineRule="auto"/>
        <w:jc w:val="left"/>
        <w:rPr>
          <w:rFonts w:ascii="宋体" w:hAnsi="宋体" w:cs="宋体" w:eastAsia="宋体" w:hint="default"/>
          <w:sz w:val="18"/>
          <w:szCs w:val="18"/>
        </w:rPr>
        <w:sectPr>
          <w:type w:val="continuous"/>
          <w:pgSz w:w="11910" w:h="16840"/>
          <w:pgMar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3）本期实际核销的应收账款情况" w:id="250"/>
      <w:bookmarkEnd w:id="250"/>
      <w:r>
        <w:rPr>
          <w:b w:val="0"/>
          <w:bCs w:val="0"/>
        </w:rPr>
      </w:r>
      <w:r>
        <w:rPr/>
        <w:t>（</w:t>
      </w:r>
      <w:r>
        <w:rPr>
          <w:rFonts w:ascii="Times New Roman" w:hAnsi="Times New Roman" w:cs="Times New Roman" w:eastAsia="Times New Roman" w:hint="default"/>
        </w:rPr>
        <w:t>3</w:t>
      </w:r>
      <w:r>
        <w:rPr/>
        <w:t>）本期实际核销的应收账款情况</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783"/>
        <w:gridCol w:w="4786"/>
      </w:tblGrid>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2203"/>
              <w:jc w:val="right"/>
              <w:rPr>
                <w:rFonts w:ascii="宋体" w:hAnsi="宋体" w:cs="宋体" w:eastAsia="宋体" w:hint="default"/>
                <w:sz w:val="18"/>
                <w:szCs w:val="18"/>
              </w:rPr>
            </w:pPr>
            <w:r>
              <w:rPr>
                <w:rFonts w:ascii="宋体" w:hAnsi="宋体" w:cs="宋体" w:eastAsia="宋体" w:hint="default"/>
                <w:sz w:val="18"/>
                <w:szCs w:val="18"/>
              </w:rPr>
              <w:t>项目</w:t>
            </w:r>
          </w:p>
        </w:tc>
        <w:tc>
          <w:tcPr>
            <w:tcW w:w="478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27"/>
              <w:jc w:val="right"/>
              <w:rPr>
                <w:rFonts w:ascii="宋体" w:hAnsi="宋体" w:cs="宋体" w:eastAsia="宋体" w:hint="default"/>
                <w:sz w:val="18"/>
                <w:szCs w:val="18"/>
              </w:rPr>
            </w:pPr>
            <w:r>
              <w:rPr>
                <w:rFonts w:ascii="宋体" w:hAnsi="宋体" w:cs="宋体" w:eastAsia="宋体" w:hint="default"/>
                <w:sz w:val="18"/>
                <w:szCs w:val="18"/>
              </w:rPr>
              <w:t>北京瑞邦一网科技发展有限公司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4,383,000.00</w:t>
            </w:r>
            <w:r>
              <w:rPr>
                <w:rFonts w:ascii="Times New Roman"/>
                <w:sz w:val="18"/>
              </w:rPr>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其中重要的应收账款核销情况：</w:t>
      </w:r>
    </w:p>
    <w:p>
      <w:pPr>
        <w:spacing w:before="117"/>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695"/>
        <w:gridCol w:w="1274"/>
        <w:gridCol w:w="1274"/>
        <w:gridCol w:w="1135"/>
        <w:gridCol w:w="1594"/>
        <w:gridCol w:w="1594"/>
      </w:tblGrid>
      <w:tr>
        <w:trPr>
          <w:trHeight w:val="714" w:hRule="exact"/>
        </w:trPr>
        <w:tc>
          <w:tcPr>
            <w:tcW w:w="26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27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应收账款性质</w:t>
            </w:r>
          </w:p>
        </w:tc>
        <w:tc>
          <w:tcPr>
            <w:tcW w:w="127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1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核销原因</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履行的核销程序</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0"/>
              <w:ind w:left="523" w:right="71" w:hanging="452"/>
              <w:jc w:val="left"/>
              <w:rPr>
                <w:rFonts w:ascii="宋体" w:hAnsi="宋体" w:cs="宋体" w:eastAsia="宋体" w:hint="default"/>
                <w:sz w:val="18"/>
                <w:szCs w:val="18"/>
              </w:rPr>
            </w:pPr>
            <w:r>
              <w:rPr>
                <w:rFonts w:ascii="宋体" w:hAnsi="宋体" w:cs="宋体" w:eastAsia="宋体" w:hint="default"/>
                <w:sz w:val="18"/>
                <w:szCs w:val="18"/>
              </w:rPr>
              <w:t>款项是否由关联交 易产生</w:t>
            </w:r>
          </w:p>
        </w:tc>
      </w:tr>
      <w:tr>
        <w:trPr>
          <w:trHeight w:val="401" w:hRule="exact"/>
        </w:trPr>
        <w:tc>
          <w:tcPr>
            <w:tcW w:w="2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1" w:right="0"/>
              <w:jc w:val="left"/>
              <w:rPr>
                <w:rFonts w:ascii="宋体" w:hAnsi="宋体" w:cs="宋体" w:eastAsia="宋体" w:hint="default"/>
                <w:sz w:val="18"/>
                <w:szCs w:val="18"/>
              </w:rPr>
            </w:pPr>
            <w:r>
              <w:rPr>
                <w:rFonts w:ascii="宋体" w:hAnsi="宋体" w:cs="宋体" w:eastAsia="宋体" w:hint="default"/>
                <w:sz w:val="18"/>
                <w:szCs w:val="18"/>
              </w:rPr>
              <w:t>北京瑞邦一网科技发展有限公司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0" w:right="0"/>
              <w:jc w:val="left"/>
              <w:rPr>
                <w:rFonts w:ascii="Times New Roman" w:hAnsi="Times New Roman" w:cs="Times New Roman" w:eastAsia="Times New Roman" w:hint="default"/>
                <w:sz w:val="18"/>
                <w:szCs w:val="18"/>
              </w:rPr>
            </w:pPr>
            <w:r>
              <w:rPr>
                <w:rFonts w:ascii="Times New Roman"/>
                <w:sz w:val="18"/>
              </w:rPr>
              <w:t>4,383,000.00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无法收回</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董事会审批</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26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97" w:right="0"/>
              <w:jc w:val="left"/>
              <w:rPr>
                <w:rFonts w:ascii="Times New Roman" w:hAnsi="Times New Roman" w:cs="Times New Roman" w:eastAsia="Times New Roman" w:hint="default"/>
                <w:sz w:val="18"/>
                <w:szCs w:val="18"/>
              </w:rPr>
            </w:pPr>
            <w:r>
              <w:rPr>
                <w:rFonts w:ascii="Times New Roman"/>
                <w:sz w:val="18"/>
              </w:rPr>
              <w:t>4,383,000.00</w:t>
            </w:r>
          </w:p>
        </w:tc>
        <w:tc>
          <w:tcPr>
            <w:tcW w:w="11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应收账款核销说明：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4）按欠款方归集的期末余额前五名的应收账款情况" w:id="251"/>
      <w:bookmarkEnd w:id="251"/>
      <w:r>
        <w:rPr>
          <w:b w:val="0"/>
          <w:bCs w:val="0"/>
        </w:rPr>
      </w: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80"/>
        <w:gridCol w:w="2530"/>
        <w:gridCol w:w="2530"/>
        <w:gridCol w:w="2527"/>
      </w:tblGrid>
      <w:tr>
        <w:trPr>
          <w:trHeight w:val="713" w:hRule="exact"/>
        </w:trPr>
        <w:tc>
          <w:tcPr>
            <w:tcW w:w="198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62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25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42" w:right="0"/>
              <w:jc w:val="left"/>
              <w:rPr>
                <w:rFonts w:ascii="宋体" w:hAnsi="宋体" w:cs="宋体" w:eastAsia="宋体" w:hint="default"/>
                <w:sz w:val="18"/>
                <w:szCs w:val="18"/>
              </w:rPr>
            </w:pPr>
            <w:r>
              <w:rPr>
                <w:rFonts w:ascii="宋体" w:hAnsi="宋体" w:cs="宋体" w:eastAsia="宋体" w:hint="default"/>
                <w:sz w:val="18"/>
                <w:szCs w:val="18"/>
              </w:rPr>
              <w:t>应收账款期末余额</w:t>
            </w:r>
          </w:p>
        </w:tc>
        <w:tc>
          <w:tcPr>
            <w:tcW w:w="25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080" w:right="89" w:hanging="992"/>
              <w:jc w:val="left"/>
              <w:rPr>
                <w:rFonts w:ascii="宋体" w:hAnsi="宋体" w:cs="宋体" w:eastAsia="宋体" w:hint="default"/>
                <w:sz w:val="18"/>
                <w:szCs w:val="18"/>
              </w:rPr>
            </w:pPr>
            <w:r>
              <w:rPr>
                <w:rFonts w:ascii="宋体" w:hAnsi="宋体" w:cs="宋体" w:eastAsia="宋体" w:hint="default"/>
                <w:sz w:val="18"/>
                <w:szCs w:val="18"/>
              </w:rPr>
              <w:t>占应收账款期末余额合计数的 比例</w:t>
            </w:r>
          </w:p>
        </w:tc>
        <w:tc>
          <w:tcPr>
            <w:tcW w:w="252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39"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3"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50,873,435.31</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5.62%</w:t>
            </w:r>
          </w:p>
        </w:tc>
        <w:tc>
          <w:tcPr>
            <w:tcW w:w="2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2,543,671.77</w:t>
            </w:r>
            <w:r>
              <w:rPr>
                <w:rFonts w:ascii="Times New Roman"/>
                <w:sz w:val="18"/>
              </w:rPr>
            </w:r>
          </w:p>
        </w:tc>
      </w:tr>
      <w:tr>
        <w:trPr>
          <w:trHeight w:val="401"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39,802,336.00</w:t>
            </w:r>
            <w:r>
              <w:rPr>
                <w:rFonts w:ascii="Times New Roman"/>
                <w:sz w:val="18"/>
              </w:rPr>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4.40%</w:t>
            </w:r>
          </w:p>
        </w:tc>
        <w:tc>
          <w:tcPr>
            <w:tcW w:w="2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1,990,116.80</w:t>
            </w:r>
            <w:r>
              <w:rPr>
                <w:rFonts w:ascii="Times New Roman"/>
                <w:sz w:val="18"/>
              </w:rPr>
            </w:r>
          </w:p>
        </w:tc>
      </w:tr>
      <w:tr>
        <w:trPr>
          <w:trHeight w:val="403"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30,500,000.00</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3.37%</w:t>
            </w:r>
          </w:p>
        </w:tc>
        <w:tc>
          <w:tcPr>
            <w:tcW w:w="2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3,050,000.00</w:t>
            </w:r>
            <w:r>
              <w:rPr>
                <w:rFonts w:ascii="Times New Roman"/>
                <w:sz w:val="18"/>
              </w:rPr>
            </w:r>
          </w:p>
        </w:tc>
      </w:tr>
      <w:tr>
        <w:trPr>
          <w:trHeight w:val="401"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25,508,300.00</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2.82%</w:t>
            </w:r>
          </w:p>
        </w:tc>
        <w:tc>
          <w:tcPr>
            <w:tcW w:w="2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1,275,415.00</w:t>
            </w:r>
            <w:r>
              <w:rPr>
                <w:rFonts w:ascii="Times New Roman"/>
                <w:sz w:val="18"/>
              </w:rPr>
            </w:r>
          </w:p>
        </w:tc>
      </w:tr>
      <w:tr>
        <w:trPr>
          <w:trHeight w:val="403"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16,398,224.50</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1.81%</w:t>
            </w:r>
          </w:p>
        </w:tc>
        <w:tc>
          <w:tcPr>
            <w:tcW w:w="2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819,911.23</w:t>
            </w:r>
            <w:r>
              <w:rPr>
                <w:rFonts w:ascii="Times New Roman"/>
                <w:sz w:val="18"/>
              </w:rPr>
            </w:r>
          </w:p>
        </w:tc>
      </w:tr>
      <w:tr>
        <w:trPr>
          <w:trHeight w:val="403" w:hRule="exact"/>
        </w:trPr>
        <w:tc>
          <w:tcPr>
            <w:tcW w:w="198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163,082,295.81</w:t>
            </w:r>
            <w:r>
              <w:rPr>
                <w:rFonts w:ascii="Times New Roman"/>
                <w:sz w:val="18"/>
              </w:rPr>
            </w:r>
          </w:p>
        </w:tc>
        <w:tc>
          <w:tcPr>
            <w:tcW w:w="2530" w:type="dxa"/>
            <w:tcBorders>
              <w:top w:val="single" w:sz="4" w:space="0" w:color="000000"/>
              <w:left w:val="single" w:sz="4" w:space="0" w:color="000000"/>
              <w:bottom w:val="single" w:sz="4" w:space="0" w:color="000000"/>
              <w:right w:val="single" w:sz="10" w:space="0" w:color="D4D4D4"/>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18.02%</w:t>
            </w:r>
          </w:p>
        </w:tc>
        <w:tc>
          <w:tcPr>
            <w:tcW w:w="2527" w:type="dxa"/>
            <w:tcBorders>
              <w:top w:val="single" w:sz="4" w:space="0" w:color="000000"/>
              <w:left w:val="single" w:sz="4" w:space="0" w:color="000000"/>
              <w:bottom w:val="single" w:sz="4" w:space="0" w:color="000000"/>
              <w:right w:val="single" w:sz="4" w:space="0" w:color="000000"/>
            </w:tcBorders>
            <w:shd w:val="clear" w:color="auto" w:fill="D4D4D4"/>
          </w:tcPr>
          <w:p>
            <w:pPr/>
          </w:p>
        </w:tc>
      </w:tr>
    </w:tbl>
    <w:p>
      <w:pPr>
        <w:spacing w:line="240" w:lineRule="auto" w:before="3"/>
        <w:rPr>
          <w:rFonts w:ascii="宋体" w:hAnsi="宋体" w:cs="宋体" w:eastAsia="宋体" w:hint="default"/>
          <w:sz w:val="19"/>
          <w:szCs w:val="19"/>
        </w:rPr>
      </w:pPr>
    </w:p>
    <w:p>
      <w:pPr>
        <w:spacing w:line="506" w:lineRule="auto" w:before="36"/>
        <w:ind w:left="152" w:right="2114" w:firstLine="0"/>
        <w:jc w:val="left"/>
        <w:rPr>
          <w:rFonts w:ascii="宋体" w:hAnsi="宋体" w:cs="宋体" w:eastAsia="宋体" w:hint="default"/>
          <w:sz w:val="21"/>
          <w:szCs w:val="21"/>
        </w:rPr>
      </w:pPr>
      <w:bookmarkStart w:name="（5）因金融资产转移而终止确认的应收账款" w:id="252"/>
      <w:bookmarkEnd w:id="25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）因金融资产转移而终止确认的应收账款</w:t>
      </w:r>
      <w:r>
        <w:rPr>
          <w:rFonts w:ascii="宋体" w:hAnsi="宋体" w:cs="宋体" w:eastAsia="宋体" w:hint="default"/>
          <w:b/>
          <w:bCs/>
          <w:w w:val="100"/>
          <w:sz w:val="21"/>
          <w:szCs w:val="21"/>
        </w:rPr>
        <w:t> </w:t>
      </w:r>
      <w:r>
        <w:rPr>
          <w:rFonts w:ascii="宋体" w:hAnsi="宋体" w:cs="宋体" w:eastAsia="宋体" w:hint="default"/>
          <w:spacing w:val="-2"/>
          <w:sz w:val="21"/>
          <w:szCs w:val="21"/>
        </w:rPr>
        <w:t>期末无因金融资产转移而终止确认的应收账款情况。</w:t>
      </w:r>
    </w:p>
    <w:p>
      <w:pPr>
        <w:pStyle w:val="Heading4"/>
        <w:spacing w:line="240" w:lineRule="auto" w:before="104"/>
        <w:ind w:right="986"/>
        <w:jc w:val="left"/>
        <w:rPr>
          <w:b w:val="0"/>
          <w:bCs w:val="0"/>
        </w:rPr>
      </w:pPr>
      <w:bookmarkStart w:name="（6）转移应收账款且继续涉入形成的资产、负债金额" w:id="253"/>
      <w:bookmarkEnd w:id="253"/>
      <w:r>
        <w:rPr>
          <w:b w:val="0"/>
          <w:bCs w:val="0"/>
        </w:rPr>
      </w:r>
      <w:r>
        <w:rPr/>
        <w:t>（</w:t>
      </w:r>
      <w:r>
        <w:rPr>
          <w:rFonts w:ascii="Times New Roman" w:hAnsi="Times New Roman" w:cs="Times New Roman" w:eastAsia="Times New Roman" w:hint="default"/>
        </w:rPr>
        <w:t>6</w:t>
      </w:r>
      <w:r>
        <w:rPr/>
        <w:t>）转移应收账款且继续涉入形成的资产、负债金额</w:t>
      </w:r>
      <w:r>
        <w:rPr>
          <w:b w:val="0"/>
          <w:bCs w:val="0"/>
        </w:rPr>
      </w:r>
    </w:p>
    <w:p>
      <w:pPr>
        <w:spacing w:line="240" w:lineRule="auto" w:before="10"/>
        <w:rPr>
          <w:rFonts w:ascii="宋体" w:hAnsi="宋体" w:cs="宋体" w:eastAsia="宋体" w:hint="default"/>
          <w:b/>
          <w:bCs/>
          <w:sz w:val="24"/>
          <w:szCs w:val="24"/>
        </w:rPr>
      </w:pPr>
    </w:p>
    <w:p>
      <w:pPr>
        <w:pStyle w:val="BodyText"/>
        <w:spacing w:line="240" w:lineRule="auto" w:before="0"/>
        <w:ind w:right="986"/>
        <w:jc w:val="left"/>
      </w:pPr>
      <w:r>
        <w:rPr/>
        <w:t>期末无转移应收账款且继续涉入形成的资产、负债的金额。</w:t>
      </w:r>
    </w:p>
    <w:p>
      <w:pPr>
        <w:spacing w:before="98"/>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6、应收款项融资" w:id="254"/>
      <w:bookmarkEnd w:id="254"/>
      <w:r>
        <w:rPr>
          <w:b w:val="0"/>
          <w:bCs w:val="0"/>
        </w:rPr>
      </w:r>
      <w:r>
        <w:rPr>
          <w:rFonts w:ascii="Times New Roman" w:hAnsi="Times New Roman" w:cs="Times New Roman" w:eastAsia="Times New Roman" w:hint="default"/>
        </w:rPr>
        <w:t>6</w:t>
      </w:r>
      <w:r>
        <w:rPr/>
        <w:t>、应收款项融资</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7、预付款项" w:id="255"/>
      <w:bookmarkEnd w:id="255"/>
      <w:r>
        <w:rPr>
          <w:b w:val="0"/>
          <w:bCs w:val="0"/>
        </w:rPr>
      </w:r>
      <w:r>
        <w:rPr>
          <w:rFonts w:ascii="Times New Roman" w:hAnsi="Times New Roman" w:cs="Times New Roman" w:eastAsia="Times New Roman" w:hint="default"/>
        </w:rPr>
        <w:t>7</w:t>
      </w:r>
      <w:r>
        <w:rPr/>
        <w:t>、预付款项</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预付款项按账龄列示" w:id="256"/>
      <w:bookmarkEnd w:id="256"/>
      <w:r>
        <w:rPr>
          <w:b w:val="0"/>
          <w:bCs w:val="0"/>
        </w:rPr>
      </w:r>
      <w:r>
        <w:rPr/>
        <w:t>（</w:t>
      </w:r>
      <w:r>
        <w:rPr>
          <w:rFonts w:ascii="Times New Roman" w:hAnsi="Times New Roman" w:cs="Times New Roman" w:eastAsia="Times New Roman" w:hint="default"/>
        </w:rPr>
        <w:t>1</w:t>
      </w:r>
      <w:r>
        <w:rPr/>
        <w:t>）预付款项按账龄列示</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7"/>
        <w:gridCol w:w="1913"/>
        <w:gridCol w:w="1915"/>
        <w:gridCol w:w="1915"/>
      </w:tblGrid>
      <w:tr>
        <w:trPr>
          <w:trHeight w:val="206" w:hRule="exact"/>
        </w:trPr>
        <w:tc>
          <w:tcPr>
            <w:tcW w:w="1889" w:type="dxa"/>
            <w:tcBorders>
              <w:top w:val="single" w:sz="4" w:space="0" w:color="000000"/>
              <w:left w:val="single" w:sz="4" w:space="0" w:color="000000"/>
              <w:bottom w:val="nil" w:sz="6" w:space="0" w:color="auto"/>
              <w:right w:val="single" w:sz="4" w:space="0" w:color="000000"/>
            </w:tcBorders>
            <w:shd w:val="clear" w:color="auto" w:fill="D4D4D4"/>
          </w:tcPr>
          <w:p>
            <w:pPr/>
          </w:p>
        </w:tc>
        <w:tc>
          <w:tcPr>
            <w:tcW w:w="3840"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left="1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0"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0" w:hRule="exact"/>
        </w:trPr>
        <w:tc>
          <w:tcPr>
            <w:tcW w:w="1889"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840" w:type="dxa"/>
            <w:gridSpan w:val="2"/>
            <w:vMerge/>
            <w:tcBorders>
              <w:left w:val="single" w:sz="4" w:space="0" w:color="000000"/>
              <w:bottom w:val="single" w:sz="4" w:space="0" w:color="000000"/>
              <w:right w:val="single" w:sz="4" w:space="0" w:color="000000"/>
            </w:tcBorders>
            <w:shd w:val="clear" w:color="auto" w:fill="D4D4D4"/>
          </w:tcPr>
          <w:p>
            <w:pPr/>
          </w:p>
        </w:tc>
        <w:tc>
          <w:tcPr>
            <w:tcW w:w="3830" w:type="dxa"/>
            <w:gridSpan w:val="2"/>
            <w:vMerge/>
            <w:tcBorders>
              <w:left w:val="single" w:sz="4" w:space="0" w:color="000000"/>
              <w:bottom w:val="single" w:sz="4" w:space="0" w:color="000000"/>
              <w:right w:val="single" w:sz="4" w:space="0" w:color="000000"/>
            </w:tcBorders>
            <w:shd w:val="clear" w:color="auto" w:fill="D4D4D4"/>
          </w:tcPr>
          <w:p>
            <w:pPr/>
          </w:p>
        </w:tc>
      </w:tr>
      <w:tr>
        <w:trPr>
          <w:trHeight w:val="202" w:hRule="exact"/>
        </w:trPr>
        <w:tc>
          <w:tcPr>
            <w:tcW w:w="1889" w:type="dxa"/>
            <w:vMerge/>
            <w:tcBorders>
              <w:left w:val="single" w:sz="4" w:space="0" w:color="000000"/>
              <w:bottom w:val="nil" w:sz="6" w:space="0" w:color="auto"/>
              <w:right w:val="single" w:sz="4" w:space="0" w:color="000000"/>
            </w:tcBorders>
            <w:shd w:val="clear" w:color="auto" w:fill="D4D4D4"/>
          </w:tcPr>
          <w:p>
            <w:pPr/>
          </w:p>
        </w:tc>
        <w:tc>
          <w:tcPr>
            <w:tcW w:w="1927"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1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3"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1915"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5"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206" w:hRule="exact"/>
        </w:trPr>
        <w:tc>
          <w:tcPr>
            <w:tcW w:w="1889" w:type="dxa"/>
            <w:tcBorders>
              <w:top w:val="nil" w:sz="6" w:space="0" w:color="auto"/>
              <w:left w:val="single" w:sz="4" w:space="0" w:color="000000"/>
              <w:bottom w:val="single" w:sz="4" w:space="0" w:color="000000"/>
              <w:right w:val="single" w:sz="4" w:space="0" w:color="000000"/>
            </w:tcBorders>
            <w:shd w:val="clear" w:color="auto" w:fill="D4D4D4"/>
          </w:tcPr>
          <w:p>
            <w:pPr/>
          </w:p>
        </w:tc>
        <w:tc>
          <w:tcPr>
            <w:tcW w:w="1927" w:type="dxa"/>
            <w:vMerge/>
            <w:tcBorders>
              <w:left w:val="single" w:sz="4" w:space="0" w:color="000000"/>
              <w:bottom w:val="single" w:sz="4" w:space="0" w:color="000000"/>
              <w:right w:val="single" w:sz="4" w:space="0" w:color="000000"/>
            </w:tcBorders>
            <w:shd w:val="clear" w:color="auto" w:fill="D4D4D4"/>
          </w:tcPr>
          <w:p>
            <w:pPr/>
          </w:p>
        </w:tc>
        <w:tc>
          <w:tcPr>
            <w:tcW w:w="1913" w:type="dxa"/>
            <w:vMerge/>
            <w:tcBorders>
              <w:left w:val="single" w:sz="4" w:space="0" w:color="000000"/>
              <w:bottom w:val="single" w:sz="4" w:space="0" w:color="000000"/>
              <w:right w:val="single" w:sz="4" w:space="0" w:color="000000"/>
            </w:tcBorders>
            <w:shd w:val="clear" w:color="auto" w:fill="D4D4D4"/>
          </w:tcPr>
          <w:p>
            <w:pPr/>
          </w:p>
        </w:tc>
        <w:tc>
          <w:tcPr>
            <w:tcW w:w="1915" w:type="dxa"/>
            <w:vMerge/>
            <w:tcBorders>
              <w:left w:val="single" w:sz="4" w:space="0" w:color="000000"/>
              <w:bottom w:val="single" w:sz="4" w:space="0" w:color="000000"/>
              <w:right w:val="single" w:sz="4" w:space="0" w:color="000000"/>
            </w:tcBorders>
            <w:shd w:val="clear" w:color="auto" w:fill="D4D4D4"/>
          </w:tcPr>
          <w:p>
            <w:pPr/>
          </w:p>
        </w:tc>
        <w:tc>
          <w:tcPr>
            <w:tcW w:w="1915" w:type="dxa"/>
            <w:vMerge/>
            <w:tcBorders>
              <w:left w:val="single" w:sz="4" w:space="0" w:color="000000"/>
              <w:bottom w:val="single" w:sz="4" w:space="0" w:color="000000"/>
              <w:right w:val="single" w:sz="4" w:space="0" w:color="000000"/>
            </w:tcBorders>
            <w:shd w:val="clear" w:color="auto" w:fill="D4D4D4"/>
          </w:tcPr>
          <w:p>
            <w:pP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27"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61,110,133.89</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84.97%</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84,494,210.88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90.82%</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7"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8,223,480.62</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11.44%</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6,384,879.99</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6.86%</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7"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804,656.36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1.12%</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1,540,682.49</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1.66%</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27"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1,778,136.77</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2.47%</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618,787.11</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0.66%</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7" w:type="dxa"/>
            <w:tcBorders>
              <w:top w:val="single" w:sz="4" w:space="0" w:color="000000"/>
              <w:left w:val="single" w:sz="13" w:space="0" w:color="D4D4D4"/>
              <w:bottom w:val="single" w:sz="4" w:space="0" w:color="000000"/>
              <w:right w:val="single" w:sz="10" w:space="0" w:color="D4D4D4"/>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pacing w:val="-1"/>
                <w:sz w:val="18"/>
              </w:rPr>
              <w:t>71,916,407.64</w:t>
            </w:r>
          </w:p>
        </w:tc>
        <w:tc>
          <w:tcPr>
            <w:tcW w:w="19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1915" w:type="dxa"/>
            <w:tcBorders>
              <w:top w:val="single" w:sz="4" w:space="0" w:color="000000"/>
              <w:left w:val="single" w:sz="10" w:space="0" w:color="D4D4D4"/>
              <w:bottom w:val="single" w:sz="4" w:space="0" w:color="000000"/>
              <w:right w:val="single" w:sz="10" w:space="0" w:color="D4D4D4"/>
            </w:tcBorders>
          </w:tcPr>
          <w:p>
            <w:pPr>
              <w:pStyle w:val="TableParagraph"/>
              <w:spacing w:line="240" w:lineRule="auto" w:before="91"/>
              <w:ind w:right="13"/>
              <w:jc w:val="right"/>
              <w:rPr>
                <w:rFonts w:ascii="Times New Roman" w:hAnsi="Times New Roman" w:cs="Times New Roman" w:eastAsia="Times New Roman" w:hint="default"/>
                <w:sz w:val="18"/>
                <w:szCs w:val="18"/>
              </w:rPr>
            </w:pPr>
            <w:r>
              <w:rPr>
                <w:rFonts w:ascii="Times New Roman"/>
                <w:spacing w:val="-1"/>
                <w:sz w:val="18"/>
              </w:rPr>
              <w:t>93,038,560.47</w:t>
            </w: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账龄超过</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年且金额重要的预付款项未及时结算原因的说明：</w:t>
      </w:r>
    </w:p>
    <w:p>
      <w:pPr>
        <w:pStyle w:val="BodyText"/>
        <w:spacing w:line="240" w:lineRule="auto" w:before="83"/>
        <w:ind w:right="986"/>
        <w:jc w:val="left"/>
      </w:pPr>
      <w:r>
        <w:rPr/>
        <w:t>期末无账龄</w:t>
      </w:r>
      <w:r>
        <w:rPr>
          <w:rFonts w:ascii="Times New Roman" w:hAnsi="Times New Roman" w:cs="Times New Roman" w:eastAsia="Times New Roman" w:hint="default"/>
        </w:rPr>
        <w:t>1</w:t>
      </w:r>
      <w:r>
        <w:rPr/>
        <w:t>年以上且金额重大的预付款项。</w:t>
      </w:r>
    </w:p>
    <w:p>
      <w:pPr>
        <w:spacing w:line="240" w:lineRule="auto" w:before="7"/>
        <w:rPr>
          <w:rFonts w:ascii="宋体" w:hAnsi="宋体" w:cs="宋体" w:eastAsia="宋体" w:hint="default"/>
          <w:sz w:val="24"/>
          <w:szCs w:val="24"/>
        </w:rPr>
      </w:pPr>
    </w:p>
    <w:p>
      <w:pPr>
        <w:pStyle w:val="Heading4"/>
        <w:spacing w:line="240" w:lineRule="auto"/>
        <w:ind w:right="986"/>
        <w:jc w:val="left"/>
        <w:rPr>
          <w:b w:val="0"/>
          <w:bCs w:val="0"/>
        </w:rPr>
      </w:pPr>
      <w:bookmarkStart w:name="（2）按预付对象归集的期末余额前五名的预付款情况" w:id="257"/>
      <w:bookmarkEnd w:id="257"/>
      <w:r>
        <w:rPr>
          <w:b w:val="0"/>
          <w:bCs w:val="0"/>
        </w:rPr>
      </w:r>
      <w:r>
        <w:rPr/>
        <w:t>（</w:t>
      </w:r>
      <w:r>
        <w:rPr>
          <w:rFonts w:ascii="Times New Roman" w:hAnsi="Times New Roman" w:cs="Times New Roman" w:eastAsia="Times New Roman" w:hint="default"/>
        </w:rPr>
        <w:t>2</w:t>
      </w:r>
      <w:r>
        <w:rPr/>
        <w:t>）按预付对象归集的期末余额前五名的预付款情况</w:t>
      </w:r>
      <w:r>
        <w:rPr>
          <w:b w:val="0"/>
          <w:bCs w:val="0"/>
        </w:rPr>
      </w:r>
    </w:p>
    <w:p>
      <w:pPr>
        <w:spacing w:line="240" w:lineRule="auto" w:before="0"/>
        <w:rPr>
          <w:rFonts w:ascii="宋体" w:hAnsi="宋体" w:cs="宋体" w:eastAsia="宋体" w:hint="default"/>
          <w:b/>
          <w:bCs/>
          <w:sz w:val="22"/>
          <w:szCs w:val="22"/>
        </w:rPr>
      </w:pPr>
    </w:p>
    <w:p>
      <w:pPr>
        <w:spacing w:line="240" w:lineRule="auto" w:before="13"/>
        <w:rPr>
          <w:rFonts w:ascii="宋体" w:hAnsi="宋体" w:cs="宋体" w:eastAsia="宋体" w:hint="default"/>
          <w:b/>
          <w:bCs/>
          <w:sz w:val="27"/>
          <w:szCs w:val="27"/>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3"/>
        <w:rPr>
          <w:rFonts w:ascii="宋体" w:hAnsi="宋体" w:cs="宋体" w:eastAsia="宋体" w:hint="default"/>
          <w:sz w:val="5"/>
          <w:szCs w:val="5"/>
        </w:rPr>
      </w:pPr>
    </w:p>
    <w:tbl>
      <w:tblPr>
        <w:tblW w:w="0" w:type="auto"/>
        <w:jc w:val="left"/>
        <w:tblInd w:w="145" w:type="dxa"/>
        <w:tblLayout w:type="fixed"/>
        <w:tblCellMar>
          <w:top w:w="0" w:type="dxa"/>
          <w:left w:w="0" w:type="dxa"/>
          <w:bottom w:w="0" w:type="dxa"/>
          <w:right w:w="0" w:type="dxa"/>
        </w:tblCellMar>
        <w:tblLook w:val="01E0"/>
      </w:tblPr>
      <w:tblGrid>
        <w:gridCol w:w="2119"/>
        <w:gridCol w:w="1320"/>
        <w:gridCol w:w="2026"/>
        <w:gridCol w:w="2261"/>
        <w:gridCol w:w="1234"/>
      </w:tblGrid>
      <w:tr>
        <w:trPr>
          <w:trHeight w:val="355" w:hRule="exact"/>
        </w:trPr>
        <w:tc>
          <w:tcPr>
            <w:tcW w:w="211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0"/>
              <w:ind w:left="693"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32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sz w:val="18"/>
                <w:szCs w:val="18"/>
              </w:rPr>
              <w:t>与本集团关系</w:t>
            </w:r>
          </w:p>
        </w:tc>
        <w:tc>
          <w:tcPr>
            <w:tcW w:w="202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0"/>
              <w:ind w:left="465"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26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0"/>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占预付账款总额的比例（</w:t>
            </w:r>
            <w:r>
              <w:rPr>
                <w:rFonts w:ascii="Times New Roman" w:hAnsi="Times New Roman" w:cs="Times New Roman" w:eastAsia="Times New Roman" w:hint="default"/>
                <w:sz w:val="18"/>
                <w:szCs w:val="18"/>
              </w:rPr>
              <w:t>%</w:t>
            </w:r>
          </w:p>
        </w:tc>
        <w:tc>
          <w:tcPr>
            <w:tcW w:w="1234" w:type="dxa"/>
            <w:tcBorders>
              <w:top w:val="single" w:sz="6" w:space="0" w:color="000000"/>
              <w:left w:val="single" w:sz="6" w:space="0" w:color="000000"/>
              <w:bottom w:val="single" w:sz="12" w:space="0" w:color="000000"/>
              <w:right w:val="nil" w:sz="6" w:space="0" w:color="auto"/>
            </w:tcBorders>
          </w:tcPr>
          <w:p>
            <w:pPr>
              <w:pStyle w:val="TableParagraph"/>
              <w:tabs>
                <w:tab w:pos="427" w:val="left" w:leader="none"/>
              </w:tabs>
              <w:spacing w:line="240" w:lineRule="auto" w:before="20"/>
              <w:ind w:left="-130" w:right="0"/>
              <w:jc w:val="left"/>
              <w:rPr>
                <w:rFonts w:ascii="宋体" w:hAnsi="宋体" w:cs="宋体" w:eastAsia="宋体" w:hint="default"/>
                <w:sz w:val="18"/>
                <w:szCs w:val="18"/>
              </w:rPr>
            </w:pPr>
            <w:r>
              <w:rPr>
                <w:rFonts w:ascii="宋体" w:hAnsi="宋体" w:cs="宋体" w:eastAsia="宋体" w:hint="default"/>
                <w:sz w:val="18"/>
                <w:szCs w:val="18"/>
              </w:rPr>
              <w:t>）</w:t>
              <w:tab/>
              <w:t>备注</w:t>
            </w:r>
          </w:p>
        </w:tc>
      </w:tr>
      <w:tr>
        <w:trPr>
          <w:trHeight w:val="353" w:hRule="exact"/>
        </w:trPr>
        <w:tc>
          <w:tcPr>
            <w:tcW w:w="211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8"/>
              <w:ind w:left="4"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32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202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pacing w:val="-1"/>
                <w:sz w:val="18"/>
              </w:rPr>
              <w:t>22,371,007.05</w:t>
            </w:r>
          </w:p>
        </w:tc>
        <w:tc>
          <w:tcPr>
            <w:tcW w:w="2261"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z w:val="18"/>
              </w:rPr>
              <w:t>31.11</w:t>
            </w:r>
          </w:p>
        </w:tc>
        <w:tc>
          <w:tcPr>
            <w:tcW w:w="1234" w:type="dxa"/>
            <w:tcBorders>
              <w:top w:val="single" w:sz="12" w:space="0" w:color="000000"/>
              <w:left w:val="single" w:sz="6" w:space="0" w:color="000000"/>
              <w:bottom w:val="single" w:sz="12" w:space="0" w:color="000000"/>
              <w:right w:val="nil" w:sz="6" w:space="0" w:color="auto"/>
            </w:tcBorders>
          </w:tcPr>
          <w:p>
            <w:pPr/>
          </w:p>
        </w:tc>
      </w:tr>
      <w:tr>
        <w:trPr>
          <w:trHeight w:val="350" w:hRule="exact"/>
        </w:trPr>
        <w:tc>
          <w:tcPr>
            <w:tcW w:w="211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8"/>
              <w:ind w:left="4"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32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202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4,932,486.69</w:t>
            </w:r>
            <w:r>
              <w:rPr>
                <w:rFonts w:ascii="Times New Roman"/>
                <w:sz w:val="18"/>
              </w:rPr>
            </w:r>
          </w:p>
        </w:tc>
        <w:tc>
          <w:tcPr>
            <w:tcW w:w="2261"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pacing w:val="-1"/>
                <w:sz w:val="18"/>
              </w:rPr>
              <w:t>6.86</w:t>
            </w:r>
            <w:r>
              <w:rPr>
                <w:rFonts w:ascii="Times New Roman"/>
                <w:sz w:val="18"/>
              </w:rPr>
            </w:r>
          </w:p>
        </w:tc>
        <w:tc>
          <w:tcPr>
            <w:tcW w:w="1234" w:type="dxa"/>
            <w:tcBorders>
              <w:top w:val="single" w:sz="12" w:space="0" w:color="000000"/>
              <w:left w:val="single" w:sz="6" w:space="0" w:color="000000"/>
              <w:bottom w:val="single" w:sz="12" w:space="0" w:color="000000"/>
              <w:right w:val="nil" w:sz="6" w:space="0" w:color="auto"/>
            </w:tcBorders>
          </w:tcPr>
          <w:p>
            <w:pPr/>
          </w:p>
        </w:tc>
      </w:tr>
      <w:tr>
        <w:trPr>
          <w:trHeight w:val="353" w:hRule="exact"/>
        </w:trPr>
        <w:tc>
          <w:tcPr>
            <w:tcW w:w="211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4"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32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202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2"/>
              <w:ind w:right="-1"/>
              <w:jc w:val="right"/>
              <w:rPr>
                <w:rFonts w:ascii="Times New Roman" w:hAnsi="Times New Roman" w:cs="Times New Roman" w:eastAsia="Times New Roman" w:hint="default"/>
                <w:sz w:val="18"/>
                <w:szCs w:val="18"/>
              </w:rPr>
            </w:pPr>
            <w:r>
              <w:rPr>
                <w:rFonts w:ascii="Times New Roman"/>
                <w:spacing w:val="-1"/>
                <w:sz w:val="18"/>
              </w:rPr>
              <w:t>4,723,709.31</w:t>
            </w:r>
            <w:r>
              <w:rPr>
                <w:rFonts w:ascii="Times New Roman"/>
                <w:sz w:val="18"/>
              </w:rPr>
            </w:r>
          </w:p>
        </w:tc>
        <w:tc>
          <w:tcPr>
            <w:tcW w:w="2261"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2"/>
              <w:ind w:right="0"/>
              <w:jc w:val="right"/>
              <w:rPr>
                <w:rFonts w:ascii="Times New Roman" w:hAnsi="Times New Roman" w:cs="Times New Roman" w:eastAsia="Times New Roman" w:hint="default"/>
                <w:sz w:val="18"/>
                <w:szCs w:val="18"/>
              </w:rPr>
            </w:pPr>
            <w:r>
              <w:rPr>
                <w:rFonts w:ascii="Times New Roman"/>
                <w:spacing w:val="-1"/>
                <w:sz w:val="18"/>
              </w:rPr>
              <w:t>6.57</w:t>
            </w:r>
            <w:r>
              <w:rPr>
                <w:rFonts w:ascii="Times New Roman"/>
                <w:sz w:val="18"/>
              </w:rPr>
            </w:r>
          </w:p>
        </w:tc>
        <w:tc>
          <w:tcPr>
            <w:tcW w:w="1234" w:type="dxa"/>
            <w:tcBorders>
              <w:top w:val="single" w:sz="12" w:space="0" w:color="000000"/>
              <w:left w:val="single" w:sz="6" w:space="0" w:color="000000"/>
              <w:bottom w:val="single" w:sz="12" w:space="0" w:color="000000"/>
              <w:right w:val="nil" w:sz="6" w:space="0" w:color="auto"/>
            </w:tcBorders>
          </w:tcPr>
          <w:p>
            <w:pPr/>
          </w:p>
        </w:tc>
      </w:tr>
      <w:tr>
        <w:trPr>
          <w:trHeight w:val="353" w:hRule="exact"/>
        </w:trPr>
        <w:tc>
          <w:tcPr>
            <w:tcW w:w="211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8"/>
              <w:ind w:left="4"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32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202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3,584,070.83</w:t>
            </w:r>
            <w:r>
              <w:rPr>
                <w:rFonts w:ascii="Times New Roman"/>
                <w:sz w:val="18"/>
              </w:rPr>
            </w:r>
          </w:p>
        </w:tc>
        <w:tc>
          <w:tcPr>
            <w:tcW w:w="2261"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pacing w:val="-1"/>
                <w:sz w:val="18"/>
              </w:rPr>
              <w:t>4.98</w:t>
            </w:r>
            <w:r>
              <w:rPr>
                <w:rFonts w:ascii="Times New Roman"/>
                <w:sz w:val="18"/>
              </w:rPr>
            </w:r>
          </w:p>
        </w:tc>
        <w:tc>
          <w:tcPr>
            <w:tcW w:w="1234" w:type="dxa"/>
            <w:tcBorders>
              <w:top w:val="single" w:sz="12" w:space="0" w:color="000000"/>
              <w:left w:val="single" w:sz="6" w:space="0" w:color="000000"/>
              <w:bottom w:val="single" w:sz="12" w:space="0" w:color="000000"/>
              <w:right w:val="nil" w:sz="6" w:space="0" w:color="auto"/>
            </w:tcBorders>
          </w:tcPr>
          <w:p>
            <w:pPr/>
          </w:p>
        </w:tc>
      </w:tr>
      <w:tr>
        <w:trPr>
          <w:trHeight w:val="350" w:hRule="exact"/>
        </w:trPr>
        <w:tc>
          <w:tcPr>
            <w:tcW w:w="211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8"/>
              <w:ind w:left="4"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32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hAnsi="宋体" w:cs="宋体" w:eastAsia="宋体" w:hint="default"/>
                <w:sz w:val="18"/>
                <w:szCs w:val="18"/>
              </w:rPr>
              <w:t>参股公司</w:t>
            </w:r>
          </w:p>
        </w:tc>
        <w:tc>
          <w:tcPr>
            <w:tcW w:w="202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3,188,568.73</w:t>
            </w:r>
            <w:r>
              <w:rPr>
                <w:rFonts w:ascii="Times New Roman"/>
                <w:sz w:val="18"/>
              </w:rPr>
            </w:r>
          </w:p>
        </w:tc>
        <w:tc>
          <w:tcPr>
            <w:tcW w:w="2261"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pacing w:val="-1"/>
                <w:sz w:val="18"/>
              </w:rPr>
              <w:t>4.43</w:t>
            </w:r>
            <w:r>
              <w:rPr>
                <w:rFonts w:ascii="Times New Roman"/>
                <w:sz w:val="18"/>
              </w:rPr>
            </w:r>
          </w:p>
        </w:tc>
        <w:tc>
          <w:tcPr>
            <w:tcW w:w="1234" w:type="dxa"/>
            <w:tcBorders>
              <w:top w:val="single" w:sz="12" w:space="0" w:color="000000"/>
              <w:left w:val="single" w:sz="6" w:space="0" w:color="000000"/>
              <w:bottom w:val="single" w:sz="12" w:space="0" w:color="000000"/>
              <w:right w:val="nil" w:sz="6" w:space="0" w:color="auto"/>
            </w:tcBorders>
          </w:tcPr>
          <w:p>
            <w:pPr/>
          </w:p>
        </w:tc>
      </w:tr>
      <w:tr>
        <w:trPr>
          <w:trHeight w:val="353" w:hRule="exact"/>
        </w:trPr>
        <w:tc>
          <w:tcPr>
            <w:tcW w:w="211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54"/>
                <w:sz w:val="18"/>
                <w:szCs w:val="18"/>
              </w:rPr>
              <w:t> </w:t>
            </w:r>
            <w:r>
              <w:rPr>
                <w:rFonts w:ascii="宋体" w:hAnsi="宋体" w:cs="宋体" w:eastAsia="宋体" w:hint="default"/>
                <w:sz w:val="18"/>
                <w:szCs w:val="18"/>
              </w:rPr>
              <w:t>计</w:t>
            </w:r>
          </w:p>
        </w:tc>
        <w:tc>
          <w:tcPr>
            <w:tcW w:w="1320" w:type="dxa"/>
            <w:tcBorders>
              <w:top w:val="single" w:sz="12" w:space="0" w:color="000000"/>
              <w:left w:val="single" w:sz="6" w:space="0" w:color="000000"/>
              <w:bottom w:val="single" w:sz="12" w:space="0" w:color="000000"/>
              <w:right w:val="single" w:sz="6" w:space="0" w:color="000000"/>
            </w:tcBorders>
          </w:tcPr>
          <w:p>
            <w:pPr/>
          </w:p>
        </w:tc>
        <w:tc>
          <w:tcPr>
            <w:tcW w:w="202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2"/>
              <w:ind w:right="0"/>
              <w:jc w:val="right"/>
              <w:rPr>
                <w:rFonts w:ascii="Times New Roman" w:hAnsi="Times New Roman" w:cs="Times New Roman" w:eastAsia="Times New Roman" w:hint="default"/>
                <w:sz w:val="18"/>
                <w:szCs w:val="18"/>
              </w:rPr>
            </w:pPr>
            <w:r>
              <w:rPr>
                <w:rFonts w:ascii="Times New Roman"/>
                <w:spacing w:val="-1"/>
                <w:sz w:val="18"/>
              </w:rPr>
              <w:t>38,799,842.61</w:t>
            </w:r>
          </w:p>
        </w:tc>
        <w:tc>
          <w:tcPr>
            <w:tcW w:w="2261"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2"/>
              <w:ind w:right="-1"/>
              <w:jc w:val="right"/>
              <w:rPr>
                <w:rFonts w:ascii="Times New Roman" w:hAnsi="Times New Roman" w:cs="Times New Roman" w:eastAsia="Times New Roman" w:hint="default"/>
                <w:sz w:val="18"/>
                <w:szCs w:val="18"/>
              </w:rPr>
            </w:pPr>
            <w:r>
              <w:rPr>
                <w:rFonts w:ascii="Times New Roman"/>
                <w:sz w:val="18"/>
              </w:rPr>
              <w:t>53.95</w:t>
            </w:r>
          </w:p>
        </w:tc>
        <w:tc>
          <w:tcPr>
            <w:tcW w:w="1234" w:type="dxa"/>
            <w:tcBorders>
              <w:top w:val="single" w:sz="12" w:space="0" w:color="000000"/>
              <w:left w:val="single" w:sz="6" w:space="0" w:color="000000"/>
              <w:bottom w:val="single" w:sz="12" w:space="0" w:color="000000"/>
              <w:right w:val="nil" w:sz="6" w:space="0" w:color="auto"/>
            </w:tcBorders>
          </w:tcPr>
          <w:p>
            <w:pPr/>
          </w:p>
        </w:tc>
      </w:tr>
    </w:tbl>
    <w:p>
      <w:pPr>
        <w:spacing w:line="240" w:lineRule="auto" w:before="2"/>
        <w:rPr>
          <w:rFonts w:ascii="宋体" w:hAnsi="宋体" w:cs="宋体" w:eastAsia="宋体" w:hint="default"/>
          <w:sz w:val="24"/>
          <w:szCs w:val="24"/>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8、其他应收款" w:id="258"/>
      <w:bookmarkEnd w:id="258"/>
      <w:r>
        <w:rPr>
          <w:b w:val="0"/>
          <w:bCs w:val="0"/>
        </w:rPr>
      </w:r>
      <w:r>
        <w:rPr>
          <w:rFonts w:ascii="Times New Roman" w:hAnsi="Times New Roman" w:cs="Times New Roman" w:eastAsia="Times New Roman" w:hint="default"/>
        </w:rPr>
        <w:t>8</w:t>
      </w:r>
      <w:r>
        <w:rPr/>
        <w:t>、其他应收款</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891"/>
        <w:gridCol w:w="3042"/>
        <w:gridCol w:w="3624"/>
      </w:tblGrid>
      <w:tr>
        <w:trPr>
          <w:trHeight w:val="403" w:hRule="exact"/>
        </w:trPr>
        <w:tc>
          <w:tcPr>
            <w:tcW w:w="289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4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8"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62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289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0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2,414,206.76</w:t>
            </w:r>
            <w:r>
              <w:rPr>
                <w:rFonts w:ascii="Times New Roman"/>
                <w:sz w:val="18"/>
              </w:rPr>
            </w:r>
          </w:p>
        </w:tc>
        <w:tc>
          <w:tcPr>
            <w:tcW w:w="3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1,581,027.56</w:t>
            </w:r>
            <w:r>
              <w:rPr>
                <w:rFonts w:ascii="Times New Roman"/>
                <w:sz w:val="18"/>
              </w:rPr>
            </w:r>
          </w:p>
        </w:tc>
      </w:tr>
      <w:tr>
        <w:trPr>
          <w:trHeight w:val="403" w:hRule="exact"/>
        </w:trPr>
        <w:tc>
          <w:tcPr>
            <w:tcW w:w="289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0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79,354,972.44</w:t>
            </w:r>
          </w:p>
        </w:tc>
        <w:tc>
          <w:tcPr>
            <w:tcW w:w="3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69,966,574.38</w:t>
            </w:r>
          </w:p>
        </w:tc>
      </w:tr>
      <w:tr>
        <w:trPr>
          <w:trHeight w:val="401" w:hRule="exact"/>
        </w:trPr>
        <w:tc>
          <w:tcPr>
            <w:tcW w:w="289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4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81,769,179.20</w:t>
            </w:r>
          </w:p>
        </w:tc>
        <w:tc>
          <w:tcPr>
            <w:tcW w:w="3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71,547,601.94</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1）应收利息" w:id="259"/>
      <w:bookmarkEnd w:id="259"/>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应收利息分类" w:id="260"/>
      <w:bookmarkEnd w:id="260"/>
      <w:r>
        <w:rPr>
          <w:b w:val="0"/>
          <w:bCs w:val="0"/>
        </w:rPr>
      </w:r>
      <w:r>
        <w:rPr>
          <w:rFonts w:ascii="Times New Roman" w:hAnsi="Times New Roman" w:cs="Times New Roman" w:eastAsia="Times New Roman" w:hint="default"/>
        </w:rPr>
        <w:t>1</w:t>
      </w:r>
      <w:r>
        <w:rPr/>
        <w:t>）应收利息分类</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05"/>
        <w:gridCol w:w="2996"/>
        <w:gridCol w:w="3655"/>
      </w:tblGrid>
      <w:tr>
        <w:trPr>
          <w:trHeight w:val="401" w:hRule="exact"/>
        </w:trPr>
        <w:tc>
          <w:tcPr>
            <w:tcW w:w="2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9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5"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65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2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定期存款利息</w:t>
            </w:r>
          </w:p>
        </w:tc>
        <w:tc>
          <w:tcPr>
            <w:tcW w:w="29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2,414,206.76</w:t>
            </w:r>
            <w:r>
              <w:rPr>
                <w:rFonts w:ascii="Times New Roman"/>
                <w:sz w:val="18"/>
              </w:rPr>
            </w:r>
          </w:p>
        </w:tc>
        <w:tc>
          <w:tcPr>
            <w:tcW w:w="3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1,581,027.56</w:t>
            </w:r>
            <w:r>
              <w:rPr>
                <w:rFonts w:ascii="Times New Roman"/>
                <w:sz w:val="18"/>
              </w:rPr>
            </w:r>
          </w:p>
        </w:tc>
      </w:tr>
      <w:tr>
        <w:trPr>
          <w:trHeight w:val="401" w:hRule="exact"/>
        </w:trPr>
        <w:tc>
          <w:tcPr>
            <w:tcW w:w="29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9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2,414,206.76</w:t>
            </w:r>
            <w:r>
              <w:rPr>
                <w:rFonts w:ascii="Times New Roman"/>
                <w:sz w:val="18"/>
              </w:rPr>
            </w:r>
          </w:p>
        </w:tc>
        <w:tc>
          <w:tcPr>
            <w:tcW w:w="3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1,581,027.56</w:t>
            </w:r>
            <w:r>
              <w:rPr>
                <w:rFonts w:ascii="Times New Roman"/>
                <w:sz w:val="18"/>
              </w:rPr>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2）重要逾期利息" w:id="261"/>
      <w:bookmarkEnd w:id="261"/>
      <w:r>
        <w:rPr>
          <w:b w:val="0"/>
          <w:bCs w:val="0"/>
        </w:rPr>
      </w:r>
      <w:r>
        <w:rPr>
          <w:rFonts w:ascii="Times New Roman" w:hAnsi="Times New Roman" w:cs="Times New Roman" w:eastAsia="Times New Roman" w:hint="default"/>
        </w:rPr>
        <w:t>2</w:t>
      </w:r>
      <w:r>
        <w:rPr/>
        <w:t>）重要逾期利息</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3）坏账准备计提情况" w:id="262"/>
      <w:bookmarkEnd w:id="262"/>
      <w:r>
        <w:rPr>
          <w:b w:val="0"/>
          <w:bCs w:val="0"/>
        </w:rPr>
      </w:r>
      <w:r>
        <w:rPr>
          <w:rFonts w:ascii="Times New Roman" w:hAnsi="Times New Roman" w:cs="Times New Roman" w:eastAsia="Times New Roman" w:hint="default"/>
        </w:rPr>
        <w:t>3</w:t>
      </w:r>
      <w:r>
        <w:rPr/>
        <w:t>）坏账准备计提情况</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p>
    <w:p>
      <w:pPr>
        <w:pStyle w:val="Heading4"/>
        <w:spacing w:line="516" w:lineRule="auto" w:before="120"/>
        <w:ind w:right="9173"/>
        <w:jc w:val="left"/>
        <w:rPr>
          <w:rFonts w:ascii="宋体" w:hAnsi="宋体" w:cs="宋体" w:eastAsia="宋体" w:hint="default"/>
          <w:b w:val="0"/>
          <w:bCs w:val="0"/>
          <w:sz w:val="18"/>
          <w:szCs w:val="18"/>
        </w:rPr>
      </w:pPr>
      <w:bookmarkStart w:name="（2）应收股利" w:id="263"/>
      <w:bookmarkEnd w:id="263"/>
      <w:r>
        <w:rPr>
          <w:b w:val="0"/>
          <w:bCs w:val="0"/>
        </w:rPr>
      </w:r>
      <w:r>
        <w:rPr/>
        <w:t>（</w:t>
      </w:r>
      <w:r>
        <w:rPr>
          <w:rFonts w:ascii="Times New Roman" w:hAnsi="Times New Roman" w:cs="Times New Roman" w:eastAsia="Times New Roman" w:hint="default"/>
        </w:rPr>
        <w:t>2</w:t>
      </w:r>
      <w:r>
        <w:rPr/>
        <w:t>）应收股利</w:t>
      </w:r>
      <w:r>
        <w:rPr>
          <w:w w:val="100"/>
        </w:rPr>
        <w:t> </w:t>
      </w:r>
      <w:bookmarkStart w:name="1）应收股利分类" w:id="264"/>
      <w:bookmarkEnd w:id="264"/>
      <w:r>
        <w:rPr>
          <w:w w:val="100"/>
        </w:rPr>
      </w:r>
      <w:r>
        <w:rPr>
          <w:rFonts w:ascii="Times New Roman" w:hAnsi="Times New Roman" w:cs="Times New Roman" w:eastAsia="Times New Roman" w:hint="default"/>
        </w:rPr>
        <w:t>1</w:t>
      </w:r>
      <w:r>
        <w:rPr/>
        <w:t>）应收股利分类</w:t>
      </w:r>
      <w:r>
        <w:rPr>
          <w:spacing w:val="-103"/>
        </w:rPr>
        <w:t> </w:t>
      </w:r>
      <w:r>
        <w:rPr>
          <w:rFonts w:ascii="宋体" w:hAnsi="宋体" w:cs="宋体" w:eastAsia="宋体" w:hint="default"/>
          <w:b w:val="0"/>
          <w:bCs w:val="0"/>
          <w:sz w:val="18"/>
          <w:szCs w:val="18"/>
        </w:rPr>
        <w:t>无</w:t>
      </w:r>
    </w:p>
    <w:p>
      <w:pPr>
        <w:pStyle w:val="Heading4"/>
        <w:spacing w:line="240" w:lineRule="auto" w:before="146"/>
        <w:ind w:right="986"/>
        <w:jc w:val="left"/>
        <w:rPr>
          <w:b w:val="0"/>
          <w:bCs w:val="0"/>
        </w:rPr>
      </w:pPr>
      <w:bookmarkStart w:name="2）重要的账龄超过1年的应收股利" w:id="265"/>
      <w:bookmarkEnd w:id="265"/>
      <w:r>
        <w:rPr>
          <w:b w:val="0"/>
          <w:bCs w:val="0"/>
        </w:rPr>
      </w:r>
      <w:r>
        <w:rPr>
          <w:rFonts w:ascii="Times New Roman" w:hAnsi="Times New Roman" w:cs="Times New Roman" w:eastAsia="Times New Roman" w:hint="default"/>
        </w:rPr>
        <w:t>2</w:t>
      </w:r>
      <w:r>
        <w:rPr/>
        <w:t>）重要的账龄超过</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年的应收股利</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3）坏账准备计提情况" w:id="266"/>
      <w:bookmarkEnd w:id="266"/>
      <w:r>
        <w:rPr>
          <w:b w:val="0"/>
          <w:bCs w:val="0"/>
        </w:rPr>
      </w:r>
      <w:r>
        <w:rPr>
          <w:rFonts w:ascii="Times New Roman" w:hAnsi="Times New Roman" w:cs="Times New Roman" w:eastAsia="Times New Roman" w:hint="default"/>
        </w:rPr>
        <w:t>3</w:t>
      </w:r>
      <w:r>
        <w:rPr/>
        <w:t>）坏账准备计提情况</w:t>
      </w:r>
      <w:r>
        <w:rPr>
          <w:b w:val="0"/>
          <w:bCs w:val="0"/>
        </w:rPr>
      </w:r>
    </w:p>
    <w:p>
      <w:pPr>
        <w:spacing w:line="240" w:lineRule="auto" w:before="4"/>
        <w:rPr>
          <w:rFonts w:ascii="宋体" w:hAnsi="宋体" w:cs="宋体" w:eastAsia="宋体" w:hint="default"/>
          <w:b/>
          <w:bCs/>
          <w:sz w:val="26"/>
          <w:szCs w:val="26"/>
        </w:rPr>
      </w:pPr>
    </w:p>
    <w:p>
      <w:pPr>
        <w:spacing w:line="357" w:lineRule="auto" w:before="0"/>
        <w:ind w:left="152" w:right="9222" w:hanging="1"/>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r>
        <w:rPr>
          <w:rFonts w:ascii="宋体" w:hAnsi="宋体" w:cs="宋体" w:eastAsia="宋体" w:hint="default"/>
          <w:sz w:val="18"/>
          <w:szCs w:val="18"/>
        </w:rPr>
        <w:t> 其他说明：</w:t>
      </w:r>
    </w:p>
    <w:p>
      <w:pPr>
        <w:spacing w:line="240" w:lineRule="auto" w:before="6"/>
        <w:rPr>
          <w:rFonts w:ascii="宋体" w:hAnsi="宋体" w:cs="宋体" w:eastAsia="宋体" w:hint="default"/>
          <w:sz w:val="20"/>
          <w:szCs w:val="20"/>
        </w:rPr>
      </w:pPr>
    </w:p>
    <w:p>
      <w:pPr>
        <w:pStyle w:val="Heading4"/>
        <w:spacing w:line="240" w:lineRule="auto"/>
        <w:ind w:right="986"/>
        <w:jc w:val="left"/>
        <w:rPr>
          <w:b w:val="0"/>
          <w:bCs w:val="0"/>
        </w:rPr>
      </w:pPr>
      <w:bookmarkStart w:name="（3）其他应收款" w:id="267"/>
      <w:bookmarkEnd w:id="267"/>
      <w:r>
        <w:rPr>
          <w:b w:val="0"/>
          <w:bCs w:val="0"/>
        </w:rPr>
      </w:r>
      <w:r>
        <w:rPr/>
        <w:t>（</w:t>
      </w:r>
      <w:r>
        <w:rPr>
          <w:rFonts w:ascii="Times New Roman" w:hAnsi="Times New Roman" w:cs="Times New Roman" w:eastAsia="Times New Roman" w:hint="default"/>
        </w:rPr>
        <w:t>3</w:t>
      </w:r>
      <w:r>
        <w:rPr/>
        <w:t>）其他应收款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其他应收款按款项性质分类情况" w:id="268"/>
      <w:bookmarkEnd w:id="268"/>
      <w:r>
        <w:rPr>
          <w:b w:val="0"/>
          <w:bCs w:val="0"/>
        </w:rPr>
      </w:r>
      <w:r>
        <w:rPr>
          <w:rFonts w:ascii="Times New Roman" w:hAnsi="Times New Roman" w:cs="Times New Roman" w:eastAsia="Times New Roman" w:hint="default"/>
        </w:rPr>
        <w:t>1</w:t>
      </w:r>
      <w:r>
        <w:rPr/>
        <w:t>）其他应收款按款项性质分类情况</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0"/>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8,404,774.63</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3,907,769.60</w:t>
            </w:r>
            <w:r>
              <w:rPr>
                <w:rFonts w:ascii="Times New Roman"/>
                <w:sz w:val="18"/>
              </w:rPr>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保证金及押金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78,076,417.42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62,225,565.31</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10,585,936.40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19,045,362.67</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代收代垫款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4,879,022.94</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3,134,050.58</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应收增值税退税款</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2,089,466.21</w:t>
            </w:r>
            <w:r>
              <w:rPr>
                <w:rFonts w:ascii="Times New Roman"/>
                <w:sz w:val="18"/>
              </w:rPr>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032" w:right="0"/>
              <w:jc w:val="left"/>
              <w:rPr>
                <w:rFonts w:ascii="Times New Roman" w:hAnsi="Times New Roman" w:cs="Times New Roman" w:eastAsia="Times New Roman" w:hint="default"/>
                <w:sz w:val="18"/>
                <w:szCs w:val="18"/>
              </w:rPr>
            </w:pPr>
            <w:r>
              <w:rPr>
                <w:rFonts w:ascii="Times New Roman"/>
                <w:sz w:val="18"/>
              </w:rPr>
              <w:t>101,946,151.39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90,402,214.37</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2）坏账准备计提情况" w:id="269"/>
      <w:bookmarkEnd w:id="269"/>
      <w:r>
        <w:rPr>
          <w:b w:val="0"/>
          <w:bCs w:val="0"/>
        </w:rPr>
      </w:r>
      <w:r>
        <w:rPr>
          <w:rFonts w:ascii="Times New Roman" w:hAnsi="Times New Roman" w:cs="Times New Roman" w:eastAsia="Times New Roman" w:hint="default"/>
        </w:rPr>
        <w:t>2</w:t>
      </w:r>
      <w:r>
        <w:rPr/>
        <w:t>）坏账准备计提情况</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81"/>
        <w:gridCol w:w="1632"/>
        <w:gridCol w:w="1949"/>
        <w:gridCol w:w="2100"/>
        <w:gridCol w:w="1495"/>
      </w:tblGrid>
      <w:tr>
        <w:trPr>
          <w:trHeight w:val="403" w:hRule="exact"/>
        </w:trPr>
        <w:tc>
          <w:tcPr>
            <w:tcW w:w="2381" w:type="dxa"/>
            <w:tcBorders>
              <w:top w:val="single" w:sz="4" w:space="0" w:color="000000"/>
              <w:left w:val="single" w:sz="4" w:space="0" w:color="000000"/>
              <w:bottom w:val="nil" w:sz="6" w:space="0" w:color="auto"/>
              <w:right w:val="single" w:sz="4" w:space="0" w:color="000000"/>
            </w:tcBorders>
            <w:shd w:val="clear" w:color="auto" w:fill="D4D4D4"/>
          </w:tcPr>
          <w:p>
            <w:pPr/>
          </w:p>
        </w:tc>
        <w:tc>
          <w:tcPr>
            <w:tcW w:w="163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4" w:right="0"/>
              <w:jc w:val="center"/>
              <w:rPr>
                <w:rFonts w:ascii="宋体" w:hAnsi="宋体" w:cs="宋体" w:eastAsia="宋体" w:hint="default"/>
                <w:sz w:val="18"/>
                <w:szCs w:val="18"/>
              </w:rPr>
            </w:pPr>
            <w:r>
              <w:rPr>
                <w:rFonts w:ascii="宋体" w:hAnsi="宋体" w:cs="宋体" w:eastAsia="宋体" w:hint="default"/>
                <w:sz w:val="18"/>
                <w:szCs w:val="18"/>
              </w:rPr>
              <w:t>第一阶段</w:t>
            </w:r>
          </w:p>
        </w:tc>
        <w:tc>
          <w:tcPr>
            <w:tcW w:w="194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609" w:right="0"/>
              <w:jc w:val="left"/>
              <w:rPr>
                <w:rFonts w:ascii="宋体" w:hAnsi="宋体" w:cs="宋体" w:eastAsia="宋体" w:hint="default"/>
                <w:sz w:val="18"/>
                <w:szCs w:val="18"/>
              </w:rPr>
            </w:pPr>
            <w:r>
              <w:rPr>
                <w:rFonts w:ascii="宋体" w:hAnsi="宋体" w:cs="宋体" w:eastAsia="宋体" w:hint="default"/>
                <w:sz w:val="18"/>
                <w:szCs w:val="18"/>
              </w:rPr>
              <w:t>第二阶段</w:t>
            </w:r>
          </w:p>
        </w:tc>
        <w:tc>
          <w:tcPr>
            <w:tcW w:w="210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686" w:right="0"/>
              <w:jc w:val="left"/>
              <w:rPr>
                <w:rFonts w:ascii="宋体" w:hAnsi="宋体" w:cs="宋体" w:eastAsia="宋体" w:hint="default"/>
                <w:sz w:val="18"/>
                <w:szCs w:val="18"/>
              </w:rPr>
            </w:pPr>
            <w:r>
              <w:rPr>
                <w:rFonts w:ascii="宋体" w:hAnsi="宋体" w:cs="宋体" w:eastAsia="宋体" w:hint="default"/>
                <w:sz w:val="18"/>
                <w:szCs w:val="18"/>
              </w:rPr>
              <w:t>第三阶段</w:t>
            </w:r>
          </w:p>
        </w:tc>
        <w:tc>
          <w:tcPr>
            <w:tcW w:w="1495" w:type="dxa"/>
            <w:tcBorders>
              <w:top w:val="single" w:sz="4" w:space="0" w:color="000000"/>
              <w:left w:val="single" w:sz="4" w:space="0" w:color="000000"/>
              <w:bottom w:val="nil" w:sz="6" w:space="0" w:color="auto"/>
              <w:right w:val="single" w:sz="4" w:space="0" w:color="000000"/>
            </w:tcBorders>
            <w:shd w:val="clear" w:color="auto" w:fill="D4D4D4"/>
          </w:tcPr>
          <w:p>
            <w:pPr/>
          </w:p>
        </w:tc>
      </w:tr>
      <w:tr>
        <w:trPr>
          <w:trHeight w:val="353" w:hRule="exact"/>
        </w:trPr>
        <w:tc>
          <w:tcPr>
            <w:tcW w:w="238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1632" w:type="dxa"/>
            <w:vMerge w:val="restart"/>
            <w:tcBorders>
              <w:top w:val="single" w:sz="4" w:space="0" w:color="000000"/>
              <w:left w:val="single" w:sz="4" w:space="0" w:color="000000"/>
              <w:right w:val="single" w:sz="4" w:space="0" w:color="000000"/>
            </w:tcBorders>
            <w:shd w:val="clear" w:color="auto" w:fill="D4D4D4"/>
          </w:tcPr>
          <w:p>
            <w:pPr>
              <w:pStyle w:val="TableParagraph"/>
              <w:spacing w:line="300" w:lineRule="auto" w:before="49"/>
              <w:ind w:left="547" w:right="35" w:hanging="495"/>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个月预期信 用损失</w:t>
            </w:r>
          </w:p>
        </w:tc>
        <w:tc>
          <w:tcPr>
            <w:tcW w:w="1949"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189" w:right="67" w:hanging="120"/>
              <w:jc w:val="left"/>
              <w:rPr>
                <w:rFonts w:ascii="Times New Roman" w:hAnsi="Times New Roman" w:cs="Times New Roman" w:eastAsia="Times New Roman" w:hint="default"/>
                <w:sz w:val="18"/>
                <w:szCs w:val="18"/>
              </w:rPr>
            </w:pPr>
            <w:r>
              <w:rPr>
                <w:rFonts w:ascii="宋体" w:hAnsi="宋体" w:cs="宋体" w:eastAsia="宋体" w:hint="default"/>
                <w:sz w:val="18"/>
                <w:szCs w:val="18"/>
              </w:rPr>
              <w:t>整个存续期预期信用损 失</w:t>
            </w:r>
            <w:r>
              <w:rPr>
                <w:rFonts w:ascii="Times New Roman" w:hAnsi="Times New Roman" w:cs="Times New Roman" w:eastAsia="Times New Roman" w:hint="default"/>
                <w:sz w:val="18"/>
                <w:szCs w:val="18"/>
              </w:rPr>
              <w:t>(</w:t>
            </w:r>
            <w:r>
              <w:rPr>
                <w:rFonts w:ascii="宋体" w:hAnsi="宋体" w:cs="宋体" w:eastAsia="宋体" w:hint="default"/>
                <w:sz w:val="18"/>
                <w:szCs w:val="18"/>
              </w:rPr>
              <w:t>未发生信用减值</w:t>
            </w:r>
            <w:r>
              <w:rPr>
                <w:rFonts w:ascii="Times New Roman" w:hAnsi="Times New Roman" w:cs="Times New Roman" w:eastAsia="Times New Roman" w:hint="default"/>
                <w:sz w:val="18"/>
                <w:szCs w:val="18"/>
              </w:rPr>
              <w:t>)</w:t>
            </w:r>
          </w:p>
        </w:tc>
        <w:tc>
          <w:tcPr>
            <w:tcW w:w="2100"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整个存续期预期信用损失</w:t>
            </w:r>
          </w:p>
          <w:p>
            <w:pPr>
              <w:pStyle w:val="TableParagraph"/>
              <w:spacing w:line="240" w:lineRule="auto" w:before="76"/>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已发生信用减值</w:t>
            </w:r>
            <w:r>
              <w:rPr>
                <w:rFonts w:ascii="Times New Roman" w:hAnsi="Times New Roman" w:cs="Times New Roman" w:eastAsia="Times New Roman" w:hint="default"/>
                <w:sz w:val="18"/>
                <w:szCs w:val="18"/>
              </w:rPr>
              <w:t>)</w:t>
            </w:r>
          </w:p>
        </w:tc>
        <w:tc>
          <w:tcPr>
            <w:tcW w:w="1495"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360" w:hRule="exact"/>
        </w:trPr>
        <w:tc>
          <w:tcPr>
            <w:tcW w:w="2381" w:type="dxa"/>
            <w:tcBorders>
              <w:top w:val="nil" w:sz="6" w:space="0" w:color="auto"/>
              <w:left w:val="single" w:sz="4" w:space="0" w:color="000000"/>
              <w:bottom w:val="single" w:sz="4" w:space="0" w:color="000000"/>
              <w:right w:val="single" w:sz="4" w:space="0" w:color="000000"/>
            </w:tcBorders>
            <w:shd w:val="clear" w:color="auto" w:fill="D4D4D4"/>
          </w:tcPr>
          <w:p>
            <w:pPr/>
          </w:p>
        </w:tc>
        <w:tc>
          <w:tcPr>
            <w:tcW w:w="1632" w:type="dxa"/>
            <w:vMerge/>
            <w:tcBorders>
              <w:left w:val="single" w:sz="4" w:space="0" w:color="000000"/>
              <w:bottom w:val="single" w:sz="4" w:space="0" w:color="000000"/>
              <w:right w:val="single" w:sz="4" w:space="0" w:color="000000"/>
            </w:tcBorders>
            <w:shd w:val="clear" w:color="auto" w:fill="D4D4D4"/>
          </w:tcPr>
          <w:p>
            <w:pPr/>
          </w:p>
        </w:tc>
        <w:tc>
          <w:tcPr>
            <w:tcW w:w="1949" w:type="dxa"/>
            <w:vMerge/>
            <w:tcBorders>
              <w:left w:val="single" w:sz="4" w:space="0" w:color="000000"/>
              <w:bottom w:val="single" w:sz="4" w:space="0" w:color="000000"/>
              <w:right w:val="single" w:sz="4" w:space="0" w:color="000000"/>
            </w:tcBorders>
            <w:shd w:val="clear" w:color="auto" w:fill="D4D4D4"/>
          </w:tcPr>
          <w:p>
            <w:pPr/>
          </w:p>
        </w:tc>
        <w:tc>
          <w:tcPr>
            <w:tcW w:w="2100" w:type="dxa"/>
            <w:vMerge/>
            <w:tcBorders>
              <w:left w:val="single" w:sz="4" w:space="0" w:color="000000"/>
              <w:bottom w:val="single" w:sz="4" w:space="0" w:color="000000"/>
              <w:right w:val="single" w:sz="4" w:space="0" w:color="000000"/>
            </w:tcBorders>
            <w:shd w:val="clear" w:color="auto" w:fill="D4D4D4"/>
          </w:tcPr>
          <w:p>
            <w:pPr/>
          </w:p>
        </w:tc>
        <w:tc>
          <w:tcPr>
            <w:tcW w:w="1495" w:type="dxa"/>
            <w:tcBorders>
              <w:top w:val="nil" w:sz="6" w:space="0" w:color="auto"/>
              <w:left w:val="single" w:sz="4" w:space="0" w:color="000000"/>
              <w:bottom w:val="single" w:sz="4" w:space="0" w:color="000000"/>
              <w:right w:val="single" w:sz="4" w:space="0" w:color="000000"/>
            </w:tcBorders>
            <w:shd w:val="clear" w:color="auto" w:fill="D4D4D4"/>
          </w:tcPr>
          <w:p>
            <w:pPr/>
          </w:p>
        </w:tc>
      </w:tr>
      <w:tr>
        <w:trPr>
          <w:trHeight w:val="403" w:hRule="exact"/>
        </w:trPr>
        <w:tc>
          <w:tcPr>
            <w:tcW w:w="23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w:t>
            </w:r>
          </w:p>
        </w:tc>
        <w:tc>
          <w:tcPr>
            <w:tcW w:w="1632" w:type="dxa"/>
            <w:tcBorders>
              <w:top w:val="single" w:sz="4" w:space="0" w:color="000000"/>
              <w:left w:val="single" w:sz="13" w:space="0" w:color="D4D4D4"/>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20,435,639.99</w:t>
            </w:r>
          </w:p>
        </w:tc>
        <w:tc>
          <w:tcPr>
            <w:tcW w:w="2100"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20,435,639.99</w:t>
            </w:r>
          </w:p>
        </w:tc>
      </w:tr>
      <w:tr>
        <w:trPr>
          <w:trHeight w:val="401" w:hRule="exact"/>
        </w:trPr>
        <w:tc>
          <w:tcPr>
            <w:tcW w:w="23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日余额在本期</w:t>
            </w:r>
          </w:p>
        </w:tc>
        <w:tc>
          <w:tcPr>
            <w:tcW w:w="163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94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210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4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23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转入第三阶段</w:t>
            </w:r>
          </w:p>
        </w:tc>
        <w:tc>
          <w:tcPr>
            <w:tcW w:w="1632" w:type="dxa"/>
            <w:tcBorders>
              <w:top w:val="single" w:sz="4" w:space="0" w:color="000000"/>
              <w:left w:val="single" w:sz="13" w:space="0" w:color="D4D4D4"/>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w w:val="95"/>
                <w:sz w:val="18"/>
              </w:rPr>
              <w:t>-50,000.00</w:t>
            </w:r>
            <w:r>
              <w:rPr>
                <w:rFonts w:ascii="Times New Roman"/>
                <w:sz w:val="18"/>
              </w:rPr>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50,000.00</w:t>
            </w:r>
          </w:p>
        </w:tc>
        <w:tc>
          <w:tcPr>
            <w:tcW w:w="149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3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632" w:type="dxa"/>
            <w:tcBorders>
              <w:top w:val="single" w:sz="4" w:space="0" w:color="000000"/>
              <w:left w:val="single" w:sz="13" w:space="0" w:color="D4D4D4"/>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2,205,438.96</w:t>
            </w:r>
            <w:r>
              <w:rPr>
                <w:rFonts w:ascii="Times New Roman"/>
                <w:sz w:val="18"/>
              </w:rPr>
            </w:r>
          </w:p>
        </w:tc>
        <w:tc>
          <w:tcPr>
            <w:tcW w:w="2100"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2,205,438.96</w:t>
            </w:r>
            <w:r>
              <w:rPr>
                <w:rFonts w:ascii="Times New Roman"/>
                <w:sz w:val="18"/>
              </w:rPr>
            </w:r>
          </w:p>
        </w:tc>
      </w:tr>
      <w:tr>
        <w:trPr>
          <w:trHeight w:val="403" w:hRule="exact"/>
        </w:trPr>
        <w:tc>
          <w:tcPr>
            <w:tcW w:w="23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本期核销</w:t>
            </w:r>
          </w:p>
        </w:tc>
        <w:tc>
          <w:tcPr>
            <w:tcW w:w="1632" w:type="dxa"/>
            <w:tcBorders>
              <w:top w:val="single" w:sz="4" w:space="0" w:color="000000"/>
              <w:left w:val="single" w:sz="13" w:space="0" w:color="D4D4D4"/>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4" w:space="0" w:color="000000"/>
            </w:tcBorders>
          </w:tcPr>
          <w:p>
            <w:pP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50,000.00</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50,000.00</w:t>
            </w:r>
          </w:p>
        </w:tc>
      </w:tr>
      <w:tr>
        <w:trPr>
          <w:trHeight w:val="401" w:hRule="exact"/>
        </w:trPr>
        <w:tc>
          <w:tcPr>
            <w:tcW w:w="23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632" w:type="dxa"/>
            <w:tcBorders>
              <w:top w:val="single" w:sz="4" w:space="0" w:color="000000"/>
              <w:left w:val="single" w:sz="13" w:space="0" w:color="D4D4D4"/>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r>
              <w:rPr>
                <w:rFonts w:ascii="Times New Roman"/>
                <w:sz w:val="18"/>
              </w:rPr>
            </w:r>
          </w:p>
        </w:tc>
        <w:tc>
          <w:tcPr>
            <w:tcW w:w="2100"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100.00</w:t>
            </w:r>
            <w:r>
              <w:rPr>
                <w:rFonts w:ascii="Times New Roman"/>
                <w:sz w:val="18"/>
              </w:rPr>
            </w:r>
          </w:p>
        </w:tc>
      </w:tr>
      <w:tr>
        <w:trPr>
          <w:trHeight w:val="403" w:hRule="exact"/>
        </w:trPr>
        <w:tc>
          <w:tcPr>
            <w:tcW w:w="23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日余额</w:t>
            </w:r>
          </w:p>
        </w:tc>
        <w:tc>
          <w:tcPr>
            <w:tcW w:w="1632" w:type="dxa"/>
            <w:tcBorders>
              <w:top w:val="single" w:sz="4" w:space="0" w:color="000000"/>
              <w:left w:val="single" w:sz="13" w:space="0" w:color="D4D4D4"/>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22,591,178.95</w:t>
            </w:r>
          </w:p>
        </w:tc>
        <w:tc>
          <w:tcPr>
            <w:tcW w:w="2100"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22,591,178.95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before="49"/>
        <w:ind w:left="152" w:right="-20" w:firstLine="0"/>
        <w:jc w:val="left"/>
        <w:rPr>
          <w:rFonts w:ascii="宋体" w:hAnsi="宋体" w:cs="宋体" w:eastAsia="宋体" w:hint="default"/>
          <w:sz w:val="18"/>
          <w:szCs w:val="18"/>
        </w:rPr>
      </w:pPr>
      <w:r>
        <w:rPr>
          <w:rFonts w:ascii="宋体" w:hAnsi="宋体" w:cs="宋体" w:eastAsia="宋体" w:hint="default"/>
          <w:sz w:val="18"/>
          <w:szCs w:val="18"/>
        </w:rPr>
        <w:t>损失准备本期变动金额重大的账面余额变动情况</w:t>
      </w:r>
    </w:p>
    <w:p>
      <w:pPr>
        <w:spacing w:line="360" w:lineRule="auto" w:before="115"/>
        <w:ind w:left="152" w:right="2228" w:hanging="1"/>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r>
        <w:rPr>
          <w:rFonts w:ascii="宋体" w:hAnsi="宋体" w:cs="宋体" w:eastAsia="宋体" w:hint="default"/>
          <w:sz w:val="18"/>
          <w:szCs w:val="18"/>
        </w:rPr>
        <w:t> 按账龄披露</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2"/>
          <w:szCs w:val="12"/>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3933" w:space="4894"/>
            <w:col w:w="2103"/>
          </w:cols>
        </w:sectPr>
      </w:pP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760"/>
        <w:gridCol w:w="4796"/>
      </w:tblGrid>
      <w:tr>
        <w:trPr>
          <w:trHeight w:val="403"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52,189,514.58</w:t>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21,548,339.57</w:t>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10,429,292.88</w:t>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17,779,004.36</w:t>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3,957,978.51</w:t>
            </w:r>
            <w:r>
              <w:rPr>
                <w:rFonts w:ascii="Times New Roman"/>
                <w:sz w:val="18"/>
              </w:rPr>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1,809,151.15</w:t>
            </w:r>
            <w:r>
              <w:rPr>
                <w:rFonts w:ascii="Times New Roman"/>
                <w:sz w:val="18"/>
              </w:rPr>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12,011,874.70</w:t>
            </w:r>
            <w:r>
              <w:rPr>
                <w:rFonts w:ascii="Times New Roman"/>
                <w:sz w:val="18"/>
              </w:rPr>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101,946,151.39</w:t>
            </w:r>
            <w:r>
              <w:rPr>
                <w:rFonts w:ascii="Times New Roman"/>
                <w:sz w:val="18"/>
              </w:rPr>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3）本期计提、收回或转回的坏账准备情况" w:id="270"/>
      <w:bookmarkEnd w:id="270"/>
      <w:r>
        <w:rPr>
          <w:b w:val="0"/>
          <w:bCs w:val="0"/>
        </w:rPr>
      </w:r>
      <w:r>
        <w:rPr>
          <w:rFonts w:ascii="Times New Roman" w:hAnsi="Times New Roman" w:cs="Times New Roman" w:eastAsia="Times New Roman" w:hint="default"/>
        </w:rPr>
        <w:t>3</w:t>
      </w:r>
      <w:r>
        <w:rPr/>
        <w:t>）本期计提、收回或转回的坏账准备情况</w:t>
      </w:r>
      <w:r>
        <w:rPr>
          <w:b w:val="0"/>
          <w:bCs w:val="0"/>
        </w:rPr>
      </w:r>
    </w:p>
    <w:p>
      <w:pPr>
        <w:spacing w:line="240" w:lineRule="auto" w:before="12"/>
        <w:rPr>
          <w:rFonts w:ascii="宋体" w:hAnsi="宋体" w:cs="宋体" w:eastAsia="宋体" w:hint="default"/>
          <w:b/>
          <w:bCs/>
          <w:sz w:val="22"/>
          <w:szCs w:val="22"/>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本期计提坏账准备情况：</w:t>
      </w:r>
    </w:p>
    <w:p>
      <w:pPr>
        <w:spacing w:before="115"/>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720"/>
        <w:gridCol w:w="1342"/>
        <w:gridCol w:w="1457"/>
        <w:gridCol w:w="1594"/>
        <w:gridCol w:w="1334"/>
        <w:gridCol w:w="2122"/>
      </w:tblGrid>
      <w:tr>
        <w:trPr>
          <w:trHeight w:val="402" w:hRule="exact"/>
        </w:trPr>
        <w:tc>
          <w:tcPr>
            <w:tcW w:w="1720"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342"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0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385" w:type="dxa"/>
            <w:gridSpan w:val="3"/>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2122"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69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720" w:type="dxa"/>
            <w:vMerge/>
            <w:tcBorders>
              <w:left w:val="single" w:sz="4" w:space="0" w:color="000000"/>
              <w:bottom w:val="single" w:sz="4" w:space="0" w:color="000000"/>
              <w:right w:val="single" w:sz="4" w:space="0" w:color="000000"/>
            </w:tcBorders>
            <w:shd w:val="clear" w:color="auto" w:fill="D4D4D4"/>
          </w:tcPr>
          <w:p>
            <w:pPr/>
          </w:p>
        </w:tc>
        <w:tc>
          <w:tcPr>
            <w:tcW w:w="1342" w:type="dxa"/>
            <w:vMerge/>
            <w:tcBorders>
              <w:left w:val="single" w:sz="4" w:space="0" w:color="000000"/>
              <w:bottom w:val="single" w:sz="4" w:space="0" w:color="000000"/>
              <w:right w:val="single" w:sz="4" w:space="0" w:color="000000"/>
            </w:tcBorders>
            <w:shd w:val="clear" w:color="auto" w:fill="D4D4D4"/>
          </w:tcPr>
          <w:p>
            <w:pPr/>
          </w:p>
        </w:tc>
        <w:tc>
          <w:tcPr>
            <w:tcW w:w="145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544" w:right="0"/>
              <w:jc w:val="left"/>
              <w:rPr>
                <w:rFonts w:ascii="宋体" w:hAnsi="宋体" w:cs="宋体" w:eastAsia="宋体" w:hint="default"/>
                <w:sz w:val="18"/>
                <w:szCs w:val="18"/>
              </w:rPr>
            </w:pPr>
            <w:r>
              <w:rPr>
                <w:rFonts w:ascii="宋体" w:hAnsi="宋体" w:cs="宋体" w:eastAsia="宋体" w:hint="default"/>
                <w:sz w:val="18"/>
                <w:szCs w:val="18"/>
              </w:rPr>
              <w:t>计提</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340"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3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核销</w:t>
            </w:r>
          </w:p>
        </w:tc>
        <w:tc>
          <w:tcPr>
            <w:tcW w:w="2122" w:type="dxa"/>
            <w:vMerge/>
            <w:tcBorders>
              <w:left w:val="single" w:sz="4" w:space="0" w:color="000000"/>
              <w:bottom w:val="single" w:sz="4" w:space="0" w:color="000000"/>
              <w:right w:val="single" w:sz="4" w:space="0" w:color="000000"/>
            </w:tcBorders>
            <w:shd w:val="clear" w:color="auto" w:fill="D4D4D4"/>
          </w:tcPr>
          <w:p>
            <w:pPr/>
          </w:p>
        </w:tc>
      </w:tr>
      <w:tr>
        <w:trPr>
          <w:trHeight w:val="403" w:hRule="exact"/>
        </w:trPr>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5" w:right="0"/>
              <w:jc w:val="left"/>
              <w:rPr>
                <w:rFonts w:ascii="Times New Roman" w:hAnsi="Times New Roman" w:cs="Times New Roman" w:eastAsia="Times New Roman" w:hint="default"/>
                <w:sz w:val="18"/>
                <w:szCs w:val="18"/>
              </w:rPr>
            </w:pPr>
            <w:r>
              <w:rPr>
                <w:rFonts w:ascii="Times New Roman"/>
                <w:sz w:val="18"/>
              </w:rPr>
              <w:t>20,435,639.99</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80" w:right="0"/>
              <w:jc w:val="left"/>
              <w:rPr>
                <w:rFonts w:ascii="Times New Roman" w:hAnsi="Times New Roman" w:cs="Times New Roman" w:eastAsia="Times New Roman" w:hint="default"/>
                <w:sz w:val="18"/>
                <w:szCs w:val="18"/>
              </w:rPr>
            </w:pPr>
            <w:r>
              <w:rPr>
                <w:rFonts w:ascii="Times New Roman"/>
                <w:sz w:val="18"/>
              </w:rPr>
              <w:t>2,205,538.96</w:t>
            </w:r>
          </w:p>
        </w:tc>
        <w:tc>
          <w:tcPr>
            <w:tcW w:w="1594"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3" w:right="0"/>
              <w:jc w:val="left"/>
              <w:rPr>
                <w:rFonts w:ascii="Times New Roman" w:hAnsi="Times New Roman" w:cs="Times New Roman" w:eastAsia="Times New Roman" w:hint="default"/>
                <w:sz w:val="18"/>
                <w:szCs w:val="18"/>
              </w:rPr>
            </w:pPr>
            <w:r>
              <w:rPr>
                <w:rFonts w:ascii="Times New Roman"/>
                <w:sz w:val="18"/>
              </w:rPr>
              <w:t>50,000.00</w:t>
            </w:r>
          </w:p>
        </w:tc>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53" w:right="0"/>
              <w:jc w:val="left"/>
              <w:rPr>
                <w:rFonts w:ascii="Times New Roman" w:hAnsi="Times New Roman" w:cs="Times New Roman" w:eastAsia="Times New Roman" w:hint="default"/>
                <w:sz w:val="18"/>
                <w:szCs w:val="18"/>
              </w:rPr>
            </w:pPr>
            <w:r>
              <w:rPr>
                <w:rFonts w:ascii="Times New Roman"/>
                <w:sz w:val="18"/>
              </w:rPr>
              <w:t>22,591,178.95</w:t>
            </w:r>
          </w:p>
        </w:tc>
      </w:tr>
    </w:tbl>
    <w:p>
      <w:pPr>
        <w:spacing w:after="0" w:line="240" w:lineRule="auto"/>
        <w:jc w:val="left"/>
        <w:rPr>
          <w:rFonts w:ascii="Times New Roman" w:hAnsi="Times New Roman" w:cs="Times New Roman" w:eastAsia="Times New Roman" w:hint="default"/>
          <w:sz w:val="18"/>
          <w:szCs w:val="18"/>
        </w:rPr>
        <w:sectPr>
          <w:type w:val="continuous"/>
          <w:pgSz w:w="11910" w:h="16840"/>
          <w:pgMar w:top="1060" w:bottom="118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720"/>
        <w:gridCol w:w="1342"/>
        <w:gridCol w:w="1457"/>
        <w:gridCol w:w="1594"/>
        <w:gridCol w:w="1334"/>
        <w:gridCol w:w="2122"/>
      </w:tblGrid>
      <w:tr>
        <w:trPr>
          <w:trHeight w:val="403" w:hRule="exact"/>
        </w:trPr>
        <w:tc>
          <w:tcPr>
            <w:tcW w:w="172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5" w:right="0"/>
              <w:jc w:val="left"/>
              <w:rPr>
                <w:rFonts w:ascii="Times New Roman" w:hAnsi="Times New Roman" w:cs="Times New Roman" w:eastAsia="Times New Roman" w:hint="default"/>
                <w:sz w:val="18"/>
                <w:szCs w:val="18"/>
              </w:rPr>
            </w:pPr>
            <w:r>
              <w:rPr>
                <w:rFonts w:ascii="Times New Roman"/>
                <w:sz w:val="18"/>
              </w:rPr>
              <w:t>20,435,639.99</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80" w:right="0"/>
              <w:jc w:val="left"/>
              <w:rPr>
                <w:rFonts w:ascii="Times New Roman" w:hAnsi="Times New Roman" w:cs="Times New Roman" w:eastAsia="Times New Roman" w:hint="default"/>
                <w:sz w:val="18"/>
                <w:szCs w:val="18"/>
              </w:rPr>
            </w:pPr>
            <w:r>
              <w:rPr>
                <w:rFonts w:ascii="Times New Roman"/>
                <w:sz w:val="18"/>
              </w:rPr>
              <w:t>2,205,538.96</w:t>
            </w:r>
          </w:p>
        </w:tc>
        <w:tc>
          <w:tcPr>
            <w:tcW w:w="1594"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3" w:right="0"/>
              <w:jc w:val="left"/>
              <w:rPr>
                <w:rFonts w:ascii="Times New Roman" w:hAnsi="Times New Roman" w:cs="Times New Roman" w:eastAsia="Times New Roman" w:hint="default"/>
                <w:sz w:val="18"/>
                <w:szCs w:val="18"/>
              </w:rPr>
            </w:pPr>
            <w:r>
              <w:rPr>
                <w:rFonts w:ascii="Times New Roman"/>
                <w:sz w:val="18"/>
              </w:rPr>
              <w:t>50,000.00</w:t>
            </w:r>
          </w:p>
        </w:tc>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53" w:right="0"/>
              <w:jc w:val="left"/>
              <w:rPr>
                <w:rFonts w:ascii="Times New Roman" w:hAnsi="Times New Roman" w:cs="Times New Roman" w:eastAsia="Times New Roman" w:hint="default"/>
                <w:sz w:val="18"/>
                <w:szCs w:val="18"/>
              </w:rPr>
            </w:pPr>
            <w:r>
              <w:rPr>
                <w:rFonts w:ascii="Times New Roman"/>
                <w:sz w:val="18"/>
              </w:rPr>
              <w:t>22,591,178.95</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338" w:lineRule="auto" w:before="49"/>
        <w:ind w:left="152" w:right="-20" w:firstLine="0"/>
        <w:jc w:val="left"/>
        <w:rPr>
          <w:rFonts w:ascii="宋体" w:hAnsi="宋体" w:cs="宋体" w:eastAsia="宋体" w:hint="default"/>
          <w:sz w:val="18"/>
          <w:szCs w:val="18"/>
        </w:rPr>
      </w:pPr>
      <w:r>
        <w:rPr>
          <w:rFonts w:ascii="宋体" w:hAnsi="宋体" w:cs="宋体" w:eastAsia="宋体" w:hint="default"/>
          <w:sz w:val="18"/>
          <w:szCs w:val="18"/>
        </w:rPr>
        <w:t>注：本期计提含合并中检美亚</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 </w:t>
      </w:r>
      <w:r>
        <w:rPr>
          <w:rFonts w:ascii="宋体" w:hAnsi="宋体" w:cs="宋体" w:eastAsia="宋体" w:hint="default"/>
          <w:sz w:val="18"/>
          <w:szCs w:val="18"/>
        </w:rPr>
        <w:t>元 其中本期坏账准备转回或收回金额重要的：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3573" w:space="5254"/>
            <w:col w:w="2103"/>
          </w:cols>
        </w:sectPr>
      </w:pPr>
    </w:p>
    <w:p>
      <w:pPr>
        <w:spacing w:line="240" w:lineRule="auto" w:before="2"/>
        <w:rPr>
          <w:rFonts w:ascii="宋体" w:hAnsi="宋体" w:cs="宋体" w:eastAsia="宋体" w:hint="default"/>
          <w:sz w:val="8"/>
          <w:szCs w:val="8"/>
        </w:rPr>
      </w:pPr>
      <w:r>
        <w:rPr/>
        <w:pict>
          <v:group style="position:absolute;margin-left:375.720001pt;margin-top:573.479980pt;width:78.150pt;height:20.8pt;mso-position-horizontal-relative:page;mso-position-vertical-relative:page;z-index:-1348072" coordorigin="7514,11470" coordsize="1563,416">
            <v:group style="position:absolute;left:7526;top:11482;width:2;height:392" coordorigin="7526,11482" coordsize="2,392">
              <v:shape style="position:absolute;left:7526;top:11482;width:2;height:392" coordorigin="7526,11482" coordsize="0,392" path="m7526,11482l7526,11873e" filled="false" stroked="true" strokeweight="1.2pt" strokecolor="#ffffff">
                <v:path arrowok="t"/>
              </v:shape>
            </v:group>
            <v:group style="position:absolute;left:7538;top:11482;width:1539;height:392" coordorigin="7538,11482" coordsize="1539,392">
              <v:shape style="position:absolute;left:7538;top:11482;width:1539;height:392" coordorigin="7538,11482" coordsize="1539,392" path="m7538,11873l9077,11873,9077,11482,7538,11482,7538,11873xe" filled="true" fillcolor="#ffffff" stroked="false">
                <v:path arrowok="t"/>
                <v:fill type="solid"/>
              </v:shape>
            </v:group>
            <w10:wrap type="none"/>
          </v:group>
        </w:pict>
      </w:r>
    </w:p>
    <w:tbl>
      <w:tblPr>
        <w:tblW w:w="0" w:type="auto"/>
        <w:jc w:val="left"/>
        <w:tblInd w:w="149" w:type="dxa"/>
        <w:tblLayout w:type="fixed"/>
        <w:tblCellMar>
          <w:top w:w="0" w:type="dxa"/>
          <w:left w:w="0" w:type="dxa"/>
          <w:bottom w:w="0" w:type="dxa"/>
          <w:right w:w="0" w:type="dxa"/>
        </w:tblCellMar>
        <w:tblLook w:val="01E0"/>
      </w:tblPr>
      <w:tblGrid>
        <w:gridCol w:w="3186"/>
        <w:gridCol w:w="3192"/>
        <w:gridCol w:w="3190"/>
      </w:tblGrid>
      <w:tr>
        <w:trPr>
          <w:trHeight w:val="403" w:hRule="exact"/>
        </w:trPr>
        <w:tc>
          <w:tcPr>
            <w:tcW w:w="318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59" w:right="0"/>
              <w:jc w:val="left"/>
              <w:rPr>
                <w:rFonts w:ascii="宋体" w:hAnsi="宋体" w:cs="宋体" w:eastAsia="宋体" w:hint="default"/>
                <w:sz w:val="18"/>
                <w:szCs w:val="18"/>
              </w:rPr>
            </w:pPr>
            <w:r>
              <w:rPr>
                <w:rFonts w:ascii="宋体" w:hAnsi="宋体" w:cs="宋体" w:eastAsia="宋体" w:hint="default"/>
                <w:sz w:val="18"/>
                <w:szCs w:val="18"/>
              </w:rPr>
              <w:t>转回或收回金额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4）本期实际核销的其他应收款情况" w:id="271"/>
      <w:bookmarkEnd w:id="271"/>
      <w:r>
        <w:rPr>
          <w:b w:val="0"/>
          <w:bCs w:val="0"/>
        </w:rPr>
      </w:r>
      <w:r>
        <w:rPr>
          <w:rFonts w:ascii="Times New Roman" w:hAnsi="Times New Roman" w:cs="Times New Roman" w:eastAsia="Times New Roman" w:hint="default"/>
        </w:rPr>
        <w:t>4</w:t>
      </w:r>
      <w:r>
        <w:rPr/>
        <w:t>）本期实际核销的其他应收款情况</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781"/>
        <w:gridCol w:w="4788"/>
      </w:tblGrid>
      <w:tr>
        <w:trPr>
          <w:trHeight w:val="403" w:hRule="exact"/>
        </w:trPr>
        <w:tc>
          <w:tcPr>
            <w:tcW w:w="47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1" w:hRule="exact"/>
        </w:trPr>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北京聚宝网络科技有限公司</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50,000.00</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其中重要的其他应收款核销情况：</w:t>
      </w:r>
    </w:p>
    <w:p>
      <w:pPr>
        <w:spacing w:before="117"/>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45"/>
        <w:gridCol w:w="1440"/>
        <w:gridCol w:w="1183"/>
        <w:gridCol w:w="946"/>
        <w:gridCol w:w="1426"/>
        <w:gridCol w:w="2227"/>
      </w:tblGrid>
      <w:tr>
        <w:trPr>
          <w:trHeight w:val="402" w:hRule="exact"/>
        </w:trPr>
        <w:tc>
          <w:tcPr>
            <w:tcW w:w="234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44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86" w:right="0"/>
              <w:jc w:val="left"/>
              <w:rPr>
                <w:rFonts w:ascii="宋体" w:hAnsi="宋体" w:cs="宋体" w:eastAsia="宋体" w:hint="default"/>
                <w:sz w:val="18"/>
                <w:szCs w:val="18"/>
              </w:rPr>
            </w:pPr>
            <w:r>
              <w:rPr>
                <w:rFonts w:ascii="宋体" w:hAnsi="宋体" w:cs="宋体" w:eastAsia="宋体" w:hint="default"/>
                <w:sz w:val="18"/>
                <w:szCs w:val="18"/>
              </w:rPr>
              <w:t>其他应收款性质</w:t>
            </w:r>
          </w:p>
        </w:tc>
        <w:tc>
          <w:tcPr>
            <w:tcW w:w="11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27"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94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10"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4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76"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222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19" w:right="0"/>
              <w:jc w:val="left"/>
              <w:rPr>
                <w:rFonts w:ascii="宋体" w:hAnsi="宋体" w:cs="宋体" w:eastAsia="宋体" w:hint="default"/>
                <w:sz w:val="18"/>
                <w:szCs w:val="18"/>
              </w:rPr>
            </w:pPr>
            <w:r>
              <w:rPr>
                <w:rFonts w:ascii="宋体" w:hAnsi="宋体" w:cs="宋体" w:eastAsia="宋体" w:hint="default"/>
                <w:sz w:val="18"/>
                <w:szCs w:val="18"/>
              </w:rPr>
              <w:t>款项是否由关联交易产生</w:t>
            </w:r>
          </w:p>
        </w:tc>
      </w:tr>
      <w:tr>
        <w:trPr>
          <w:trHeight w:val="401" w:hRule="exact"/>
        </w:trPr>
        <w:tc>
          <w:tcPr>
            <w:tcW w:w="2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北京聚宝网络科技有限公司</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50,000.00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无法收回</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董事会审批</w:t>
            </w:r>
          </w:p>
        </w:tc>
        <w:tc>
          <w:tcPr>
            <w:tcW w:w="2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234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4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50,000.00</w:t>
            </w:r>
          </w:p>
        </w:tc>
        <w:tc>
          <w:tcPr>
            <w:tcW w:w="94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left="4" w:right="0"/>
              <w:jc w:val="center"/>
              <w:rPr>
                <w:rFonts w:ascii="Times New Roman" w:hAnsi="Times New Roman" w:cs="Times New Roman" w:eastAsia="Times New Roman" w:hint="default"/>
                <w:sz w:val="18"/>
                <w:szCs w:val="18"/>
              </w:rPr>
            </w:pPr>
            <w:r>
              <w:rPr>
                <w:rFonts w:ascii="Times New Roman"/>
                <w:sz w:val="18"/>
              </w:rPr>
              <w:t>--</w:t>
            </w:r>
          </w:p>
        </w:tc>
        <w:tc>
          <w:tcPr>
            <w:tcW w:w="14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222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其他应收款核销说明：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5）按欠款方归集的期末余额前五名的其他应收款情况" w:id="272"/>
      <w:bookmarkEnd w:id="272"/>
      <w:r>
        <w:rPr>
          <w:b w:val="0"/>
          <w:bCs w:val="0"/>
        </w:rPr>
      </w: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114"/>
        <w:gridCol w:w="1246"/>
        <w:gridCol w:w="1246"/>
        <w:gridCol w:w="2772"/>
        <w:gridCol w:w="1594"/>
        <w:gridCol w:w="1596"/>
      </w:tblGrid>
      <w:tr>
        <w:trPr>
          <w:trHeight w:val="713" w:hRule="exact"/>
        </w:trPr>
        <w:tc>
          <w:tcPr>
            <w:tcW w:w="111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24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7"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24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77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71" w:right="71"/>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5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72"/>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715" w:hRule="exact"/>
        </w:trPr>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6,574,998.90</w:t>
            </w:r>
            <w:r>
              <w:rPr>
                <w:rFonts w:ascii="Times New Roman"/>
                <w:sz w:val="18"/>
              </w:rPr>
            </w:r>
          </w:p>
        </w:tc>
        <w:tc>
          <w:tcPr>
            <w:tcW w:w="2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6,167,998.90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398,000.00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9000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6.45%</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745,199.89</w:t>
            </w:r>
          </w:p>
        </w:tc>
      </w:tr>
      <w:tr>
        <w:trPr>
          <w:trHeight w:val="713" w:hRule="exact"/>
        </w:trPr>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4,304,649.39</w:t>
            </w:r>
            <w:r>
              <w:rPr>
                <w:rFonts w:ascii="Times New Roman"/>
                <w:sz w:val="18"/>
              </w:rPr>
            </w:r>
          </w:p>
        </w:tc>
        <w:tc>
          <w:tcPr>
            <w:tcW w:w="2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2,660,760.88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1,643,888.51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4.22%</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297,426.90</w:t>
            </w:r>
          </w:p>
        </w:tc>
      </w:tr>
      <w:tr>
        <w:trPr>
          <w:trHeight w:val="1027" w:hRule="exact"/>
        </w:trPr>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4,023,600.00</w:t>
            </w:r>
            <w:r>
              <w:rPr>
                <w:rFonts w:ascii="Times New Roman"/>
                <w:sz w:val="18"/>
              </w:rPr>
            </w:r>
          </w:p>
        </w:tc>
        <w:tc>
          <w:tcPr>
            <w:tcW w:w="2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3,444,000.00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30</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00</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元</w:t>
            </w:r>
            <w:r>
              <w:rPr>
                <w:rFonts w:ascii="宋体" w:hAnsi="宋体" w:cs="宋体" w:eastAsia="宋体" w:hint="default"/>
                <w:spacing w:val="-92"/>
                <w:sz w:val="18"/>
                <w:szCs w:val="18"/>
              </w:rPr>
              <w:t>；</w:t>
            </w:r>
            <w:r>
              <w:rPr>
                <w:rFonts w:ascii="Times New Roman" w:hAnsi="Times New Roman" w:cs="Times New Roman" w:eastAsia="Times New Roman" w:hint="default"/>
                <w:spacing w:val="1"/>
                <w:sz w:val="18"/>
                <w:szCs w:val="18"/>
              </w:rPr>
              <w:t>3</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6</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元</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5 </w:t>
            </w:r>
            <w:r>
              <w:rPr>
                <w:rFonts w:ascii="宋体" w:hAnsi="宋体" w:cs="宋体" w:eastAsia="宋体" w:hint="default"/>
                <w:sz w:val="18"/>
                <w:szCs w:val="18"/>
              </w:rPr>
              <w:t>年以上</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159,000.00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tabs>
                <w:tab w:pos="1096" w:val="left" w:leader="none"/>
              </w:tabs>
              <w:spacing w:line="240" w:lineRule="auto" w:before="128"/>
              <w:ind w:left="-123" w:right="17"/>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z w:val="18"/>
                <w:szCs w:val="18"/>
              </w:rPr>
              <w:t>3.95%</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481,500.00</w:t>
            </w:r>
          </w:p>
        </w:tc>
      </w:tr>
      <w:tr>
        <w:trPr>
          <w:trHeight w:val="713" w:hRule="exact"/>
        </w:trPr>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3,462,624.76</w:t>
            </w:r>
            <w:r>
              <w:rPr>
                <w:rFonts w:ascii="Times New Roman"/>
                <w:sz w:val="18"/>
              </w:rPr>
            </w:r>
          </w:p>
        </w:tc>
        <w:tc>
          <w:tcPr>
            <w:tcW w:w="2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3,059,824.76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305,800.00 </w:t>
            </w:r>
            <w:r>
              <w:rPr>
                <w:rFonts w:ascii="宋体" w:hAnsi="宋体" w:cs="宋体" w:eastAsia="宋体" w:hint="default"/>
                <w:sz w:val="18"/>
                <w:szCs w:val="18"/>
              </w:rPr>
              <w:t>元；</w:t>
            </w:r>
            <w:r>
              <w:rPr>
                <w:rFonts w:ascii="Times New Roman" w:hAnsi="Times New Roman" w:cs="Times New Roman" w:eastAsia="Times New Roman" w:hint="default"/>
                <w:sz w:val="18"/>
                <w:szCs w:val="18"/>
              </w:rPr>
              <w:t>5 </w:t>
            </w:r>
            <w:r>
              <w:rPr>
                <w:rFonts w:ascii="宋体" w:hAnsi="宋体" w:cs="宋体" w:eastAsia="宋体" w:hint="default"/>
                <w:sz w:val="18"/>
                <w:szCs w:val="18"/>
              </w:rPr>
              <w:t>年以上</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97,000.00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3.40%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341,731.24</w:t>
            </w:r>
          </w:p>
        </w:tc>
      </w:tr>
      <w:tr>
        <w:trPr>
          <w:trHeight w:val="403" w:hRule="exact"/>
        </w:trPr>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3,400,000.00</w:t>
            </w:r>
            <w:r>
              <w:rPr>
                <w:rFonts w:ascii="Times New Roman"/>
                <w:sz w:val="18"/>
              </w:rPr>
            </w:r>
          </w:p>
        </w:tc>
        <w:tc>
          <w:tcPr>
            <w:tcW w:w="2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3.33%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1,020,000.00</w:t>
            </w:r>
            <w:r>
              <w:rPr>
                <w:rFonts w:ascii="Times New Roman"/>
                <w:sz w:val="18"/>
              </w:rPr>
            </w:r>
          </w:p>
        </w:tc>
      </w:tr>
      <w:tr>
        <w:trPr>
          <w:trHeight w:val="403" w:hRule="exact"/>
        </w:trPr>
        <w:tc>
          <w:tcPr>
            <w:tcW w:w="111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4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21,765,873.05</w:t>
            </w:r>
          </w:p>
        </w:tc>
        <w:tc>
          <w:tcPr>
            <w:tcW w:w="277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21.35%</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2,885,858.03</w:t>
            </w:r>
            <w:r>
              <w:rPr>
                <w:rFonts w:ascii="Times New Roman"/>
                <w:sz w:val="18"/>
              </w:rPr>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6）涉及政府补助的应收款项" w:id="273"/>
      <w:bookmarkEnd w:id="273"/>
      <w:r>
        <w:rPr>
          <w:b w:val="0"/>
          <w:bCs w:val="0"/>
        </w:rPr>
      </w:r>
      <w:r>
        <w:rPr>
          <w:rFonts w:ascii="Times New Roman" w:hAnsi="Times New Roman" w:cs="Times New Roman" w:eastAsia="Times New Roman" w:hint="default"/>
        </w:rPr>
        <w:t>6</w:t>
      </w:r>
      <w:r>
        <w:rPr/>
        <w:t>）涉及政府补助的应收款项</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after="0"/>
        <w:jc w:val="left"/>
        <w:rPr>
          <w:rFonts w:ascii="宋体" w:hAnsi="宋体" w:cs="宋体" w:eastAsia="宋体" w:hint="default"/>
          <w:sz w:val="18"/>
          <w:szCs w:val="18"/>
        </w:rPr>
        <w:sectPr>
          <w:type w:val="continuous"/>
          <w:pgSz w:w="11910" w:h="16840"/>
          <w:pgMar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left="212" w:right="1029"/>
        <w:jc w:val="left"/>
        <w:rPr>
          <w:b w:val="0"/>
          <w:bCs w:val="0"/>
        </w:rPr>
      </w:pPr>
      <w:bookmarkStart w:name="7）因金融资产转移而终止确认的其他应收款" w:id="274"/>
      <w:bookmarkEnd w:id="274"/>
      <w:r>
        <w:rPr>
          <w:b w:val="0"/>
          <w:bCs w:val="0"/>
        </w:rPr>
      </w:r>
      <w:r>
        <w:rPr>
          <w:rFonts w:ascii="Times New Roman" w:hAnsi="Times New Roman" w:cs="Times New Roman" w:eastAsia="Times New Roman" w:hint="default"/>
        </w:rPr>
        <w:t>7</w:t>
      </w:r>
      <w:r>
        <w:rPr/>
        <w:t>）因金融资产转移而终止确认的其他应收款</w:t>
      </w:r>
      <w:r>
        <w:rPr>
          <w:b w:val="0"/>
          <w:bCs w:val="0"/>
        </w:rPr>
      </w:r>
    </w:p>
    <w:p>
      <w:pPr>
        <w:spacing w:line="240" w:lineRule="auto" w:before="4"/>
        <w:rPr>
          <w:rFonts w:ascii="宋体" w:hAnsi="宋体" w:cs="宋体" w:eastAsia="宋体" w:hint="default"/>
          <w:b/>
          <w:bCs/>
          <w:sz w:val="26"/>
          <w:szCs w:val="26"/>
        </w:rPr>
      </w:pPr>
    </w:p>
    <w:p>
      <w:pPr>
        <w:spacing w:before="0"/>
        <w:ind w:left="212" w:right="1029"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18"/>
        <w:ind w:left="212" w:right="1029"/>
        <w:jc w:val="left"/>
        <w:rPr>
          <w:b w:val="0"/>
          <w:bCs w:val="0"/>
        </w:rPr>
      </w:pPr>
      <w:bookmarkStart w:name="8）转移其他应收款且继续涉入形成的资产、负债金额" w:id="275"/>
      <w:bookmarkEnd w:id="275"/>
      <w:r>
        <w:rPr>
          <w:b w:val="0"/>
          <w:bCs w:val="0"/>
        </w:rPr>
      </w:r>
      <w:r>
        <w:rPr>
          <w:rFonts w:ascii="Times New Roman" w:hAnsi="Times New Roman" w:cs="Times New Roman" w:eastAsia="Times New Roman" w:hint="default"/>
        </w:rPr>
        <w:t>8</w:t>
      </w:r>
      <w:r>
        <w:rPr/>
        <w:t>）转移其他应收款且继续涉入形成的资产、负债金额</w:t>
      </w:r>
      <w:r>
        <w:rPr>
          <w:b w:val="0"/>
          <w:bCs w:val="0"/>
        </w:rPr>
      </w:r>
    </w:p>
    <w:p>
      <w:pPr>
        <w:spacing w:line="240" w:lineRule="auto" w:before="4"/>
        <w:rPr>
          <w:rFonts w:ascii="宋体" w:hAnsi="宋体" w:cs="宋体" w:eastAsia="宋体" w:hint="default"/>
          <w:b/>
          <w:bCs/>
          <w:sz w:val="26"/>
          <w:szCs w:val="26"/>
        </w:rPr>
      </w:pPr>
    </w:p>
    <w:p>
      <w:pPr>
        <w:spacing w:line="360" w:lineRule="auto" w:before="0"/>
        <w:ind w:left="212" w:right="9854" w:firstLine="0"/>
        <w:jc w:val="left"/>
        <w:rPr>
          <w:rFonts w:ascii="宋体" w:hAnsi="宋体" w:cs="宋体" w:eastAsia="宋体" w:hint="default"/>
          <w:sz w:val="18"/>
          <w:szCs w:val="18"/>
        </w:rPr>
      </w:pPr>
      <w:r>
        <w:rPr>
          <w:rFonts w:ascii="宋体" w:hAnsi="宋体" w:cs="宋体" w:eastAsia="宋体" w:hint="default"/>
          <w:sz w:val="18"/>
          <w:szCs w:val="18"/>
        </w:rPr>
        <w:t>无 其他说明：</w:t>
      </w:r>
    </w:p>
    <w:p>
      <w:pPr>
        <w:spacing w:line="240" w:lineRule="auto" w:before="2"/>
        <w:rPr>
          <w:rFonts w:ascii="宋体" w:hAnsi="宋体" w:cs="宋体" w:eastAsia="宋体" w:hint="default"/>
          <w:sz w:val="20"/>
          <w:szCs w:val="20"/>
        </w:rPr>
      </w:pPr>
    </w:p>
    <w:p>
      <w:pPr>
        <w:pStyle w:val="Heading4"/>
        <w:spacing w:line="240" w:lineRule="auto"/>
        <w:ind w:left="212" w:right="1029"/>
        <w:jc w:val="left"/>
        <w:rPr>
          <w:b w:val="0"/>
          <w:bCs w:val="0"/>
        </w:rPr>
      </w:pPr>
      <w:bookmarkStart w:name="9、存货" w:id="276"/>
      <w:bookmarkEnd w:id="276"/>
      <w:r>
        <w:rPr>
          <w:b w:val="0"/>
          <w:bCs w:val="0"/>
        </w:rPr>
      </w:r>
      <w:r>
        <w:rPr>
          <w:rFonts w:ascii="Times New Roman" w:hAnsi="Times New Roman" w:cs="Times New Roman" w:eastAsia="Times New Roman" w:hint="default"/>
        </w:rPr>
        <w:t>9</w:t>
      </w:r>
      <w:r>
        <w:rPr/>
        <w:t>、存货</w:t>
      </w:r>
      <w:r>
        <w:rPr>
          <w:b w:val="0"/>
          <w:bCs w:val="0"/>
        </w:rPr>
      </w:r>
    </w:p>
    <w:p>
      <w:pPr>
        <w:spacing w:line="240" w:lineRule="auto" w:before="4"/>
        <w:rPr>
          <w:rFonts w:ascii="宋体" w:hAnsi="宋体" w:cs="宋体" w:eastAsia="宋体" w:hint="default"/>
          <w:b/>
          <w:bCs/>
          <w:sz w:val="26"/>
          <w:szCs w:val="26"/>
        </w:rPr>
      </w:pPr>
    </w:p>
    <w:p>
      <w:pPr>
        <w:spacing w:before="0"/>
        <w:ind w:left="212" w:right="1029" w:firstLine="0"/>
        <w:jc w:val="left"/>
        <w:rPr>
          <w:rFonts w:ascii="宋体" w:hAnsi="宋体" w:cs="宋体" w:eastAsia="宋体" w:hint="default"/>
          <w:sz w:val="18"/>
          <w:szCs w:val="18"/>
        </w:rPr>
      </w:pPr>
      <w:r>
        <w:rPr>
          <w:rFonts w:ascii="宋体" w:hAnsi="宋体" w:cs="宋体" w:eastAsia="宋体" w:hint="default"/>
          <w:sz w:val="18"/>
          <w:szCs w:val="18"/>
        </w:rPr>
        <w:t>是否已执行新收入准则</w:t>
      </w:r>
    </w:p>
    <w:p>
      <w:pPr>
        <w:spacing w:before="117"/>
        <w:ind w:left="212" w:right="1029" w:firstLine="0"/>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3"/>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18"/>
          <w:szCs w:val="18"/>
        </w:rPr>
      </w:pPr>
    </w:p>
    <w:p>
      <w:pPr>
        <w:pStyle w:val="Heading4"/>
        <w:spacing w:line="240" w:lineRule="auto" w:before="120"/>
        <w:ind w:left="212" w:right="1029"/>
        <w:jc w:val="left"/>
        <w:rPr>
          <w:b w:val="0"/>
          <w:bCs w:val="0"/>
        </w:rPr>
      </w:pPr>
      <w:bookmarkStart w:name="（1）存货分类" w:id="277"/>
      <w:bookmarkEnd w:id="277"/>
      <w:r>
        <w:rPr>
          <w:b w:val="0"/>
          <w:bCs w:val="0"/>
        </w:rPr>
      </w:r>
      <w:r>
        <w:rPr/>
        <w:t>（</w:t>
      </w:r>
      <w:r>
        <w:rPr>
          <w:rFonts w:ascii="Times New Roman" w:hAnsi="Times New Roman" w:cs="Times New Roman" w:eastAsia="Times New Roman" w:hint="default"/>
        </w:rPr>
        <w:t>1</w:t>
      </w:r>
      <w:r>
        <w:rPr/>
        <w:t>）存货分类</w:t>
      </w:r>
      <w:r>
        <w:rPr>
          <w:b w:val="0"/>
          <w:bCs w:val="0"/>
        </w:rPr>
      </w:r>
    </w:p>
    <w:p>
      <w:pPr>
        <w:spacing w:line="240" w:lineRule="auto" w:before="10"/>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82" w:top="1060" w:bottom="1180" w:left="920" w:right="0"/>
        </w:sectPr>
      </w:pPr>
    </w:p>
    <w:p>
      <w:pPr>
        <w:spacing w:line="340" w:lineRule="auto" w:before="44"/>
        <w:ind w:left="212" w:right="-17"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上市公司从事房地产业务》的披露要求 按性质分类：</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1"/>
          <w:szCs w:val="21"/>
        </w:rPr>
      </w:pPr>
    </w:p>
    <w:p>
      <w:pPr>
        <w:spacing w:before="0"/>
        <w:ind w:left="21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10" w:h="16840"/>
          <w:pgMar w:top="1060" w:bottom="1180" w:left="920" w:right="0"/>
          <w:cols w:num="2" w:equalWidth="0">
            <w:col w:w="7953" w:space="874"/>
            <w:col w:w="2163"/>
          </w:cols>
        </w:sectPr>
      </w:pPr>
    </w:p>
    <w:p>
      <w:pPr>
        <w:spacing w:line="240" w:lineRule="auto" w:before="2"/>
        <w:rPr>
          <w:rFonts w:ascii="宋体" w:hAnsi="宋体" w:cs="宋体" w:eastAsia="宋体" w:hint="default"/>
          <w:sz w:val="8"/>
          <w:szCs w:val="8"/>
        </w:rPr>
      </w:pPr>
    </w:p>
    <w:tbl>
      <w:tblPr>
        <w:tblW w:w="0" w:type="auto"/>
        <w:jc w:val="left"/>
        <w:tblInd w:w="207" w:type="dxa"/>
        <w:tblLayout w:type="fixed"/>
        <w:tblCellMar>
          <w:top w:w="0" w:type="dxa"/>
          <w:left w:w="0" w:type="dxa"/>
          <w:bottom w:w="0" w:type="dxa"/>
          <w:right w:w="0" w:type="dxa"/>
        </w:tblCellMar>
        <w:tblLook w:val="01E0"/>
      </w:tblPr>
      <w:tblGrid>
        <w:gridCol w:w="1368"/>
        <w:gridCol w:w="1368"/>
        <w:gridCol w:w="1368"/>
        <w:gridCol w:w="1366"/>
        <w:gridCol w:w="1368"/>
        <w:gridCol w:w="1366"/>
        <w:gridCol w:w="1368"/>
      </w:tblGrid>
      <w:tr>
        <w:trPr>
          <w:trHeight w:val="206" w:hRule="exact"/>
        </w:trPr>
        <w:tc>
          <w:tcPr>
            <w:tcW w:w="1368" w:type="dxa"/>
            <w:tcBorders>
              <w:top w:val="single" w:sz="4" w:space="0" w:color="000000"/>
              <w:left w:val="single" w:sz="4" w:space="0" w:color="000000"/>
              <w:bottom w:val="nil" w:sz="6" w:space="0" w:color="auto"/>
              <w:right w:val="single" w:sz="4" w:space="0" w:color="000000"/>
            </w:tcBorders>
            <w:shd w:val="clear" w:color="auto" w:fill="D4D4D4"/>
          </w:tcPr>
          <w:p>
            <w:pPr/>
          </w:p>
        </w:tc>
        <w:tc>
          <w:tcPr>
            <w:tcW w:w="4102" w:type="dxa"/>
            <w:gridSpan w:val="3"/>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1368"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vMerge/>
            <w:tcBorders>
              <w:left w:val="single" w:sz="4" w:space="0" w:color="000000"/>
              <w:bottom w:val="single" w:sz="4" w:space="0" w:color="000000"/>
              <w:right w:val="single" w:sz="4" w:space="0" w:color="000000"/>
            </w:tcBorders>
            <w:shd w:val="clear" w:color="auto" w:fill="D4D4D4"/>
          </w:tcPr>
          <w:p>
            <w:pPr/>
          </w:p>
        </w:tc>
        <w:tc>
          <w:tcPr>
            <w:tcW w:w="4102" w:type="dxa"/>
            <w:gridSpan w:val="3"/>
            <w:vMerge/>
            <w:tcBorders>
              <w:left w:val="single" w:sz="4" w:space="0" w:color="000000"/>
              <w:bottom w:val="single" w:sz="4" w:space="0" w:color="000000"/>
              <w:right w:val="single" w:sz="4" w:space="0" w:color="000000"/>
            </w:tcBorders>
            <w:shd w:val="clear" w:color="auto" w:fill="D4D4D4"/>
          </w:tcPr>
          <w:p>
            <w:pPr/>
          </w:p>
        </w:tc>
      </w:tr>
      <w:tr>
        <w:trPr>
          <w:trHeight w:val="202" w:hRule="exact"/>
        </w:trPr>
        <w:tc>
          <w:tcPr>
            <w:tcW w:w="1368" w:type="dxa"/>
            <w:vMerge/>
            <w:tcBorders>
              <w:left w:val="single" w:sz="4" w:space="0" w:color="000000"/>
              <w:bottom w:val="nil" w:sz="6" w:space="0" w:color="auto"/>
              <w:right w:val="single" w:sz="4" w:space="0" w:color="000000"/>
            </w:tcBorders>
            <w:shd w:val="clear" w:color="auto" w:fill="D4D4D4"/>
          </w:tcPr>
          <w:p>
            <w:pPr/>
          </w:p>
        </w:tc>
        <w:tc>
          <w:tcPr>
            <w:tcW w:w="1368"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8"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6"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6"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8"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4" w:hRule="exact"/>
        </w:trPr>
        <w:tc>
          <w:tcPr>
            <w:tcW w:w="1368" w:type="dxa"/>
            <w:tcBorders>
              <w:top w:val="nil" w:sz="6" w:space="0" w:color="auto"/>
              <w:left w:val="single" w:sz="4" w:space="0" w:color="000000"/>
              <w:bottom w:val="single" w:sz="4" w:space="0" w:color="000000"/>
              <w:right w:val="single" w:sz="4" w:space="0" w:color="000000"/>
            </w:tcBorders>
            <w:shd w:val="clear" w:color="auto" w:fill="D4D4D4"/>
          </w:tcPr>
          <w:p>
            <w:pPr/>
          </w:p>
        </w:tc>
        <w:tc>
          <w:tcPr>
            <w:tcW w:w="1368" w:type="dxa"/>
            <w:vMerge/>
            <w:tcBorders>
              <w:left w:val="single" w:sz="4" w:space="0" w:color="000000"/>
              <w:bottom w:val="single" w:sz="4" w:space="0" w:color="000000"/>
              <w:right w:val="single" w:sz="4" w:space="0" w:color="000000"/>
            </w:tcBorders>
            <w:shd w:val="clear" w:color="auto" w:fill="D4D4D4"/>
          </w:tcPr>
          <w:p>
            <w:pPr/>
          </w:p>
        </w:tc>
        <w:tc>
          <w:tcPr>
            <w:tcW w:w="1368" w:type="dxa"/>
            <w:vMerge/>
            <w:tcBorders>
              <w:left w:val="single" w:sz="4" w:space="0" w:color="000000"/>
              <w:bottom w:val="single" w:sz="4" w:space="0" w:color="000000"/>
              <w:right w:val="single" w:sz="4" w:space="0" w:color="000000"/>
            </w:tcBorders>
            <w:shd w:val="clear" w:color="auto" w:fill="D4D4D4"/>
          </w:tcPr>
          <w:p>
            <w:pPr/>
          </w:p>
        </w:tc>
        <w:tc>
          <w:tcPr>
            <w:tcW w:w="1366" w:type="dxa"/>
            <w:vMerge/>
            <w:tcBorders>
              <w:left w:val="single" w:sz="4" w:space="0" w:color="000000"/>
              <w:bottom w:val="single" w:sz="4" w:space="0" w:color="000000"/>
              <w:right w:val="single" w:sz="4" w:space="0" w:color="000000"/>
            </w:tcBorders>
            <w:shd w:val="clear" w:color="auto" w:fill="D4D4D4"/>
          </w:tcPr>
          <w:p>
            <w:pPr/>
          </w:p>
        </w:tc>
        <w:tc>
          <w:tcPr>
            <w:tcW w:w="1368" w:type="dxa"/>
            <w:vMerge/>
            <w:tcBorders>
              <w:left w:val="single" w:sz="4" w:space="0" w:color="000000"/>
              <w:bottom w:val="single" w:sz="4" w:space="0" w:color="000000"/>
              <w:right w:val="single" w:sz="4" w:space="0" w:color="000000"/>
            </w:tcBorders>
            <w:shd w:val="clear" w:color="auto" w:fill="D4D4D4"/>
          </w:tcPr>
          <w:p>
            <w:pPr/>
          </w:p>
        </w:tc>
        <w:tc>
          <w:tcPr>
            <w:tcW w:w="1366" w:type="dxa"/>
            <w:vMerge/>
            <w:tcBorders>
              <w:left w:val="single" w:sz="4" w:space="0" w:color="000000"/>
              <w:bottom w:val="single" w:sz="4" w:space="0" w:color="000000"/>
              <w:right w:val="single" w:sz="4" w:space="0" w:color="000000"/>
            </w:tcBorders>
            <w:shd w:val="clear" w:color="auto" w:fill="D4D4D4"/>
          </w:tcPr>
          <w:p>
            <w:pPr/>
          </w:p>
        </w:tc>
        <w:tc>
          <w:tcPr>
            <w:tcW w:w="1368" w:type="dxa"/>
            <w:vMerge/>
            <w:tcBorders>
              <w:left w:val="single" w:sz="4" w:space="0" w:color="000000"/>
              <w:bottom w:val="single" w:sz="4" w:space="0" w:color="000000"/>
              <w:right w:val="single" w:sz="4" w:space="0" w:color="000000"/>
            </w:tcBorders>
            <w:shd w:val="clear" w:color="auto" w:fill="D4D4D4"/>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80,367,331.80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2,061,417.43</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78,305,914.37</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54,672,891.63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2,007,572.72</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52,665,318.91</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68"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6,016,592.29</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19,823.66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5,996,768.63</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6,224,445.93</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85,663.50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6,138,782.43</w:t>
            </w:r>
            <w:r>
              <w:rPr>
                <w:rFonts w:ascii="Times New Roman"/>
                <w:sz w:val="18"/>
              </w:rPr>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113,610,236.49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3,693,150.28</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109,917,086.21</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99,650,828.52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832,964.64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98,817,863.88</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68"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252,019,839.87</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10,275,635.19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241,744,204.68</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211,658,281.51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9,445,455.44</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202,212,826.07</w:t>
            </w:r>
            <w:r>
              <w:rPr>
                <w:rFonts w:ascii="Times New Roman"/>
                <w:sz w:val="18"/>
              </w:rPr>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工程施工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712,458.50</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712,458.50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685,604.52</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685,604.52</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452,726,458.95</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16,050,026.56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436,676,432.39</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372,892,052.11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12,371,656.30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360,520,395.81</w:t>
            </w:r>
            <w:r>
              <w:rPr>
                <w:rFonts w:ascii="Times New Roman"/>
                <w:sz w:val="18"/>
              </w:rPr>
            </w:r>
          </w:p>
        </w:tc>
      </w:tr>
    </w:tbl>
    <w:p>
      <w:pPr>
        <w:spacing w:line="240" w:lineRule="auto" w:before="3"/>
        <w:rPr>
          <w:rFonts w:ascii="宋体" w:hAnsi="宋体" w:cs="宋体" w:eastAsia="宋体" w:hint="default"/>
          <w:sz w:val="19"/>
          <w:szCs w:val="19"/>
        </w:rPr>
      </w:pPr>
    </w:p>
    <w:p>
      <w:pPr>
        <w:pStyle w:val="Heading4"/>
        <w:spacing w:line="240" w:lineRule="auto" w:before="36"/>
        <w:ind w:left="212" w:right="1029"/>
        <w:jc w:val="left"/>
        <w:rPr>
          <w:b w:val="0"/>
          <w:bCs w:val="0"/>
        </w:rPr>
      </w:pPr>
      <w:bookmarkStart w:name="（2）存货跌价准备和合同履约成本减值准备" w:id="278"/>
      <w:bookmarkEnd w:id="278"/>
      <w:r>
        <w:rPr>
          <w:b w:val="0"/>
          <w:bCs w:val="0"/>
        </w:rPr>
      </w:r>
      <w:r>
        <w:rPr/>
        <w:t>（</w:t>
      </w:r>
      <w:r>
        <w:rPr>
          <w:rFonts w:ascii="Times New Roman" w:hAnsi="Times New Roman" w:cs="Times New Roman" w:eastAsia="Times New Roman" w:hint="default"/>
        </w:rPr>
        <w:t>2</w:t>
      </w:r>
      <w:r>
        <w:rPr/>
        <w:t>）存货跌价准备和合同履约成本减值准备</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00" w:type="dxa"/>
        <w:tblLayout w:type="fixed"/>
        <w:tblCellMar>
          <w:top w:w="0" w:type="dxa"/>
          <w:left w:w="0" w:type="dxa"/>
          <w:bottom w:w="0" w:type="dxa"/>
          <w:right w:w="0" w:type="dxa"/>
        </w:tblCellMar>
        <w:tblLook w:val="01E0"/>
      </w:tblPr>
      <w:tblGrid>
        <w:gridCol w:w="1368"/>
        <w:gridCol w:w="1368"/>
        <w:gridCol w:w="1368"/>
        <w:gridCol w:w="1366"/>
        <w:gridCol w:w="1368"/>
        <w:gridCol w:w="1366"/>
        <w:gridCol w:w="1368"/>
      </w:tblGrid>
      <w:tr>
        <w:trPr>
          <w:trHeight w:val="401" w:hRule="exact"/>
        </w:trPr>
        <w:tc>
          <w:tcPr>
            <w:tcW w:w="1368" w:type="dxa"/>
            <w:vMerge w:val="restart"/>
            <w:tcBorders>
              <w:top w:val="single" w:sz="4" w:space="0" w:color="000000"/>
              <w:left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vMerge w:val="restart"/>
            <w:tcBorders>
              <w:top w:val="single" w:sz="4" w:space="0" w:color="000000"/>
              <w:left w:val="single" w:sz="4" w:space="0" w:color="000000"/>
              <w:right w:val="single" w:sz="4" w:space="0" w:color="000000"/>
            </w:tcBorders>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20"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23"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8" w:type="dxa"/>
            <w:vMerge w:val="restart"/>
            <w:tcBorders>
              <w:top w:val="single" w:sz="4" w:space="0" w:color="000000"/>
              <w:left w:val="single" w:sz="4" w:space="0" w:color="000000"/>
              <w:right w:val="single" w:sz="4" w:space="0" w:color="000000"/>
            </w:tcBorders>
          </w:tcPr>
          <w:p>
            <w:pPr>
              <w:pStyle w:val="TableParagraph"/>
              <w:spacing w:line="240" w:lineRule="auto" w:before="49"/>
              <w:ind w:left="32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368" w:type="dxa"/>
            <w:vMerge/>
            <w:tcBorders>
              <w:left w:val="single" w:sz="4" w:space="0" w:color="000000"/>
              <w:bottom w:val="single" w:sz="4" w:space="0" w:color="000000"/>
              <w:right w:val="single" w:sz="4" w:space="0" w:color="000000"/>
            </w:tcBorders>
          </w:tcPr>
          <w:p>
            <w:pPr/>
          </w:p>
        </w:tc>
        <w:tc>
          <w:tcPr>
            <w:tcW w:w="1368" w:type="dxa"/>
            <w:vMerge/>
            <w:tcBorders>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0"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vMerge/>
            <w:tcBorders>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2,007,572.72</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988,462.32</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6"/>
              <w:jc w:val="right"/>
              <w:rPr>
                <w:rFonts w:ascii="Times New Roman" w:hAnsi="Times New Roman" w:cs="Times New Roman" w:eastAsia="Times New Roman" w:hint="default"/>
                <w:sz w:val="18"/>
                <w:szCs w:val="18"/>
              </w:rPr>
            </w:pPr>
            <w:r>
              <w:rPr>
                <w:rFonts w:ascii="Times New Roman"/>
                <w:sz w:val="18"/>
              </w:rPr>
              <w:t>934,617.61</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pacing w:val="-1"/>
                <w:sz w:val="18"/>
              </w:rPr>
              <w:t>2,061,417.43</w:t>
            </w:r>
            <w:r>
              <w:rPr>
                <w:rFonts w:ascii="Times New Roman"/>
                <w:sz w:val="18"/>
              </w:rPr>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85,663.50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19,823.66</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7"/>
              <w:jc w:val="right"/>
              <w:rPr>
                <w:rFonts w:ascii="Times New Roman" w:hAnsi="Times New Roman" w:cs="Times New Roman" w:eastAsia="Times New Roman" w:hint="default"/>
                <w:sz w:val="18"/>
                <w:szCs w:val="18"/>
              </w:rPr>
            </w:pPr>
            <w:r>
              <w:rPr>
                <w:rFonts w:ascii="Times New Roman"/>
                <w:spacing w:val="-1"/>
                <w:sz w:val="18"/>
              </w:rPr>
              <w:t>85,663.50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7"/>
              <w:jc w:val="right"/>
              <w:rPr>
                <w:rFonts w:ascii="Times New Roman" w:hAnsi="Times New Roman" w:cs="Times New Roman" w:eastAsia="Times New Roman" w:hint="default"/>
                <w:sz w:val="18"/>
                <w:szCs w:val="18"/>
              </w:rPr>
            </w:pPr>
            <w:r>
              <w:rPr>
                <w:rFonts w:ascii="Times New Roman"/>
                <w:spacing w:val="-1"/>
                <w:sz w:val="18"/>
              </w:rPr>
              <w:t>19,823.66</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832,964.64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3,576,097.39</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6"/>
              <w:jc w:val="right"/>
              <w:rPr>
                <w:rFonts w:ascii="Times New Roman" w:hAnsi="Times New Roman" w:cs="Times New Roman" w:eastAsia="Times New Roman" w:hint="default"/>
                <w:sz w:val="18"/>
                <w:szCs w:val="18"/>
              </w:rPr>
            </w:pPr>
            <w:r>
              <w:rPr>
                <w:rFonts w:ascii="Times New Roman"/>
                <w:spacing w:val="-1"/>
                <w:sz w:val="18"/>
              </w:rPr>
              <w:t>715,911.75</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pacing w:val="-1"/>
                <w:sz w:val="18"/>
              </w:rPr>
              <w:t>3,693,150.28</w:t>
            </w:r>
            <w:r>
              <w:rPr>
                <w:rFonts w:ascii="Times New Roman"/>
                <w:sz w:val="18"/>
              </w:rPr>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9,445,455.44</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7,782,951.00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5"/>
              <w:jc w:val="right"/>
              <w:rPr>
                <w:rFonts w:ascii="Times New Roman" w:hAnsi="Times New Roman" w:cs="Times New Roman" w:eastAsia="Times New Roman" w:hint="default"/>
                <w:sz w:val="18"/>
                <w:szCs w:val="18"/>
              </w:rPr>
            </w:pPr>
            <w:r>
              <w:rPr>
                <w:rFonts w:ascii="Times New Roman"/>
                <w:spacing w:val="-1"/>
                <w:sz w:val="18"/>
              </w:rPr>
              <w:t>6,952,771.25</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7"/>
              <w:jc w:val="right"/>
              <w:rPr>
                <w:rFonts w:ascii="Times New Roman" w:hAnsi="Times New Roman" w:cs="Times New Roman" w:eastAsia="Times New Roman" w:hint="default"/>
                <w:sz w:val="18"/>
                <w:szCs w:val="18"/>
              </w:rPr>
            </w:pPr>
            <w:r>
              <w:rPr>
                <w:rFonts w:ascii="Times New Roman"/>
                <w:spacing w:val="-1"/>
                <w:sz w:val="18"/>
              </w:rPr>
              <w:t>10,275,635.19</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12,371,656.30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12,367,334.37</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7"/>
              <w:jc w:val="right"/>
              <w:rPr>
                <w:rFonts w:ascii="Times New Roman" w:hAnsi="Times New Roman" w:cs="Times New Roman" w:eastAsia="Times New Roman" w:hint="default"/>
                <w:sz w:val="18"/>
                <w:szCs w:val="18"/>
              </w:rPr>
            </w:pPr>
            <w:r>
              <w:rPr>
                <w:rFonts w:ascii="Times New Roman"/>
                <w:spacing w:val="-1"/>
                <w:sz w:val="18"/>
              </w:rPr>
              <w:t>8,688,964.11</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7"/>
              <w:jc w:val="right"/>
              <w:rPr>
                <w:rFonts w:ascii="Times New Roman" w:hAnsi="Times New Roman" w:cs="Times New Roman" w:eastAsia="Times New Roman" w:hint="default"/>
                <w:sz w:val="18"/>
                <w:szCs w:val="18"/>
              </w:rPr>
            </w:pPr>
            <w:r>
              <w:rPr>
                <w:rFonts w:ascii="Times New Roman"/>
                <w:spacing w:val="-1"/>
                <w:sz w:val="18"/>
              </w:rPr>
              <w:t>16,050,026.56</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80" w:left="920" w:right="0"/>
        </w:sectPr>
      </w:pPr>
    </w:p>
    <w:p>
      <w:pPr>
        <w:spacing w:line="240" w:lineRule="auto" w:before="6"/>
        <w:rPr>
          <w:rFonts w:ascii="宋体" w:hAnsi="宋体" w:cs="宋体" w:eastAsia="宋体" w:hint="default"/>
          <w:sz w:val="28"/>
          <w:szCs w:val="28"/>
        </w:rPr>
      </w:pPr>
    </w:p>
    <w:tbl>
      <w:tblPr>
        <w:tblW w:w="0" w:type="auto"/>
        <w:jc w:val="left"/>
        <w:tblInd w:w="486" w:type="dxa"/>
        <w:tblLayout w:type="fixed"/>
        <w:tblCellMar>
          <w:top w:w="0" w:type="dxa"/>
          <w:left w:w="0" w:type="dxa"/>
          <w:bottom w:w="0" w:type="dxa"/>
          <w:right w:w="0" w:type="dxa"/>
        </w:tblCellMar>
        <w:tblLook w:val="01E0"/>
      </w:tblPr>
      <w:tblGrid>
        <w:gridCol w:w="1781"/>
        <w:gridCol w:w="3876"/>
        <w:gridCol w:w="3300"/>
      </w:tblGrid>
      <w:tr>
        <w:trPr>
          <w:trHeight w:val="348" w:hRule="exact"/>
        </w:trPr>
        <w:tc>
          <w:tcPr>
            <w:tcW w:w="1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54"/>
                <w:sz w:val="18"/>
                <w:szCs w:val="18"/>
              </w:rPr>
              <w:t> </w:t>
            </w:r>
            <w:r>
              <w:rPr>
                <w:rFonts w:ascii="宋体" w:hAnsi="宋体" w:cs="宋体" w:eastAsia="宋体" w:hint="default"/>
                <w:sz w:val="18"/>
                <w:szCs w:val="18"/>
              </w:rPr>
              <w:t>目</w:t>
            </w:r>
          </w:p>
        </w:tc>
        <w:tc>
          <w:tcPr>
            <w:tcW w:w="38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029" w:right="0"/>
              <w:jc w:val="left"/>
              <w:rPr>
                <w:rFonts w:ascii="宋体" w:hAnsi="宋体" w:cs="宋体" w:eastAsia="宋体" w:hint="default"/>
                <w:sz w:val="18"/>
                <w:szCs w:val="18"/>
              </w:rPr>
            </w:pPr>
            <w:r>
              <w:rPr>
                <w:rFonts w:ascii="宋体" w:hAnsi="宋体" w:cs="宋体" w:eastAsia="宋体" w:hint="default"/>
                <w:sz w:val="18"/>
                <w:szCs w:val="18"/>
              </w:rPr>
              <w:t>确定可变现净值的依据</w:t>
            </w:r>
          </w:p>
        </w:tc>
        <w:tc>
          <w:tcPr>
            <w:tcW w:w="33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04" w:right="0"/>
              <w:jc w:val="left"/>
              <w:rPr>
                <w:rFonts w:ascii="宋体" w:hAnsi="宋体" w:cs="宋体" w:eastAsia="宋体" w:hint="default"/>
                <w:sz w:val="18"/>
                <w:szCs w:val="18"/>
              </w:rPr>
            </w:pPr>
            <w:r>
              <w:rPr>
                <w:rFonts w:ascii="宋体" w:hAnsi="宋体" w:cs="宋体" w:eastAsia="宋体" w:hint="default"/>
                <w:sz w:val="18"/>
                <w:szCs w:val="18"/>
              </w:rPr>
              <w:t>本期转回或转销存货跌价准备的原因</w:t>
            </w:r>
          </w:p>
        </w:tc>
      </w:tr>
      <w:tr>
        <w:trPr>
          <w:trHeight w:val="658" w:hRule="exact"/>
        </w:trPr>
        <w:tc>
          <w:tcPr>
            <w:tcW w:w="1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387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7"/>
              <w:ind w:left="2" w:right="91"/>
              <w:jc w:val="left"/>
              <w:rPr>
                <w:rFonts w:ascii="宋体" w:hAnsi="宋体" w:cs="宋体" w:eastAsia="宋体" w:hint="default"/>
                <w:sz w:val="18"/>
                <w:szCs w:val="18"/>
              </w:rPr>
            </w:pPr>
            <w:r>
              <w:rPr>
                <w:rFonts w:ascii="宋体" w:hAnsi="宋体" w:cs="宋体" w:eastAsia="宋体" w:hint="default"/>
                <w:spacing w:val="-1"/>
                <w:sz w:val="18"/>
                <w:szCs w:val="18"/>
              </w:rPr>
              <w:t>估计售价减去至完工时估计将要发生的成本、估</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计的销售费用以及相关税费</w:t>
            </w:r>
          </w:p>
        </w:tc>
        <w:tc>
          <w:tcPr>
            <w:tcW w:w="33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计提跌价的原材料已领用</w:t>
            </w:r>
          </w:p>
        </w:tc>
      </w:tr>
      <w:tr>
        <w:trPr>
          <w:trHeight w:val="660" w:hRule="exact"/>
        </w:trPr>
        <w:tc>
          <w:tcPr>
            <w:tcW w:w="1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2"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387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2" w:right="91"/>
              <w:jc w:val="left"/>
              <w:rPr>
                <w:rFonts w:ascii="宋体" w:hAnsi="宋体" w:cs="宋体" w:eastAsia="宋体" w:hint="default"/>
                <w:sz w:val="18"/>
                <w:szCs w:val="18"/>
              </w:rPr>
            </w:pPr>
            <w:r>
              <w:rPr>
                <w:rFonts w:ascii="宋体" w:hAnsi="宋体" w:cs="宋体" w:eastAsia="宋体" w:hint="default"/>
                <w:spacing w:val="-1"/>
                <w:sz w:val="18"/>
                <w:szCs w:val="18"/>
              </w:rPr>
              <w:t>估计售价减去至完工时估计将要发生的成本、估</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计的销售费用以及相关税费</w:t>
            </w:r>
          </w:p>
        </w:tc>
        <w:tc>
          <w:tcPr>
            <w:tcW w:w="33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计提跌价的在产品已销售</w:t>
            </w:r>
          </w:p>
        </w:tc>
      </w:tr>
      <w:tr>
        <w:trPr>
          <w:trHeight w:val="346" w:hRule="exact"/>
        </w:trPr>
        <w:tc>
          <w:tcPr>
            <w:tcW w:w="1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38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估计售价减去估计的销售费用以及相关税费</w:t>
            </w:r>
          </w:p>
        </w:tc>
        <w:tc>
          <w:tcPr>
            <w:tcW w:w="33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计提跌价的库存商品已销售</w:t>
            </w:r>
          </w:p>
        </w:tc>
      </w:tr>
      <w:tr>
        <w:trPr>
          <w:trHeight w:val="348" w:hRule="exact"/>
        </w:trPr>
        <w:tc>
          <w:tcPr>
            <w:tcW w:w="1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38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估计售价减去估计的销售费用以及相关税费</w:t>
            </w:r>
          </w:p>
        </w:tc>
        <w:tc>
          <w:tcPr>
            <w:tcW w:w="33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计提跌价的发出商品已销售</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pStyle w:val="Heading4"/>
        <w:spacing w:line="240" w:lineRule="auto" w:before="36"/>
        <w:ind w:right="986"/>
        <w:jc w:val="left"/>
        <w:rPr>
          <w:b w:val="0"/>
          <w:bCs w:val="0"/>
        </w:rPr>
      </w:pPr>
      <w:bookmarkStart w:name="（3）存货期末余额含有借款费用资本化金额的说明" w:id="279"/>
      <w:bookmarkEnd w:id="279"/>
      <w:r>
        <w:rPr>
          <w:b w:val="0"/>
          <w:bCs w:val="0"/>
        </w:rPr>
      </w:r>
      <w:r>
        <w:rPr/>
        <w:t>（</w:t>
      </w:r>
      <w:r>
        <w:rPr>
          <w:rFonts w:ascii="Times New Roman" w:hAnsi="Times New Roman" w:cs="Times New Roman" w:eastAsia="Times New Roman" w:hint="default"/>
        </w:rPr>
        <w:t>3</w:t>
      </w:r>
      <w:r>
        <w:rPr/>
        <w:t>）存货期末余额含有借款费用资本化金额的说明</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4）期末建造合同形成的已完工未结算资产情况" w:id="280"/>
      <w:bookmarkEnd w:id="280"/>
      <w:r>
        <w:rPr>
          <w:b w:val="0"/>
          <w:bCs w:val="0"/>
        </w:rPr>
      </w:r>
      <w:r>
        <w:rPr/>
        <w:t>（</w:t>
      </w:r>
      <w:r>
        <w:rPr>
          <w:rFonts w:ascii="Times New Roman" w:hAnsi="Times New Roman" w:cs="Times New Roman" w:eastAsia="Times New Roman" w:hint="default"/>
        </w:rPr>
        <w:t>4</w:t>
      </w:r>
      <w:r>
        <w:rPr/>
        <w:t>）期末建造合同形成的已完工未结算资产情况</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10、合同资产" w:id="281"/>
      <w:bookmarkEnd w:id="281"/>
      <w:r>
        <w:rPr>
          <w:b w:val="0"/>
          <w:bCs w:val="0"/>
        </w:rPr>
      </w:r>
      <w:r>
        <w:rPr>
          <w:rFonts w:ascii="Times New Roman" w:hAnsi="Times New Roman" w:cs="Times New Roman" w:eastAsia="Times New Roman" w:hint="default"/>
        </w:rPr>
        <w:t>10</w:t>
      </w:r>
      <w:r>
        <w:rPr/>
        <w:t>、合同资产</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11、持有待售资产" w:id="282"/>
      <w:bookmarkEnd w:id="282"/>
      <w:r>
        <w:rPr>
          <w:b w:val="0"/>
          <w:bCs w:val="0"/>
        </w:rPr>
      </w:r>
      <w:r>
        <w:rPr>
          <w:rFonts w:ascii="Times New Roman" w:hAnsi="Times New Roman" w:cs="Times New Roman" w:eastAsia="Times New Roman" w:hint="default"/>
        </w:rPr>
        <w:t>11</w:t>
      </w:r>
      <w:r>
        <w:rPr/>
        <w:t>、持有待售资产</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12、一年内到期的非流动资产" w:id="283"/>
      <w:bookmarkEnd w:id="283"/>
      <w:r>
        <w:rPr>
          <w:b w:val="0"/>
          <w:bCs w:val="0"/>
        </w:rPr>
      </w:r>
      <w:r>
        <w:rPr>
          <w:rFonts w:ascii="Times New Roman" w:hAnsi="Times New Roman" w:cs="Times New Roman" w:eastAsia="Times New Roman" w:hint="default"/>
        </w:rPr>
        <w:t>12</w:t>
      </w:r>
      <w:r>
        <w:rPr/>
        <w:t>、一年内到期的非流动资产</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13、其他流动资产" w:id="284"/>
      <w:bookmarkEnd w:id="284"/>
      <w:r>
        <w:rPr>
          <w:b w:val="0"/>
          <w:bCs w:val="0"/>
        </w:rPr>
      </w:r>
      <w:r>
        <w:rPr>
          <w:rFonts w:ascii="Times New Roman" w:hAnsi="Times New Roman" w:cs="Times New Roman" w:eastAsia="Times New Roman" w:hint="default"/>
        </w:rPr>
        <w:t>13</w:t>
      </w:r>
      <w:r>
        <w:rPr/>
        <w:t>、其他流动资产</w:t>
      </w:r>
      <w:r>
        <w:rPr>
          <w:b w:val="0"/>
          <w:bCs w:val="0"/>
        </w:rPr>
      </w:r>
    </w:p>
    <w:p>
      <w:pPr>
        <w:spacing w:line="240" w:lineRule="auto" w:before="10"/>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82" w:top="1060" w:bottom="1180" w:left="980" w:right="0"/>
        </w:sectPr>
      </w:pPr>
    </w:p>
    <w:p>
      <w:pPr>
        <w:spacing w:before="44"/>
        <w:ind w:left="152" w:right="-20" w:firstLine="0"/>
        <w:jc w:val="left"/>
        <w:rPr>
          <w:rFonts w:ascii="宋体" w:hAnsi="宋体" w:cs="宋体" w:eastAsia="宋体" w:hint="default"/>
          <w:sz w:val="18"/>
          <w:szCs w:val="18"/>
        </w:rPr>
      </w:pPr>
      <w:r>
        <w:rPr>
          <w:rFonts w:ascii="宋体" w:hAnsi="宋体" w:cs="宋体" w:eastAsia="宋体" w:hint="default"/>
          <w:sz w:val="18"/>
          <w:szCs w:val="18"/>
        </w:rPr>
        <w:t>是否已执行新收入准则</w:t>
      </w:r>
    </w:p>
    <w:p>
      <w:pPr>
        <w:spacing w:before="117"/>
        <w:ind w:left="152"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1953" w:space="6874"/>
            <w:col w:w="2103"/>
          </w:cols>
        </w:sectPr>
      </w:pP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0"/>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预缴企业所得税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681,069.76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2,352,140.59</w:t>
            </w:r>
            <w:r>
              <w:rPr>
                <w:rFonts w:ascii="Times New Roman"/>
                <w:sz w:val="18"/>
              </w:rPr>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待认证、待抵扣增值税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46,914,934.65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23,104,235.50</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预缴的土地使用税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13,825.67</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47,609,830.08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25,456,376.09</w:t>
            </w:r>
            <w:r>
              <w:rPr>
                <w:rFonts w:ascii="Times New Roman"/>
                <w:sz w:val="18"/>
              </w:rPr>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type w:val="continuous"/>
          <w:pgSz w:w="11910" w:h="16840"/>
          <w:pgMar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14、债权投资" w:id="285"/>
      <w:bookmarkEnd w:id="285"/>
      <w:r>
        <w:rPr>
          <w:b w:val="0"/>
          <w:bCs w:val="0"/>
        </w:rPr>
      </w:r>
      <w:r>
        <w:rPr>
          <w:rFonts w:ascii="Times New Roman" w:hAnsi="Times New Roman" w:cs="Times New Roman" w:eastAsia="Times New Roman" w:hint="default"/>
        </w:rPr>
        <w:t>14</w:t>
      </w:r>
      <w:r>
        <w:rPr/>
        <w:t>、债权投资</w:t>
      </w:r>
      <w:r>
        <w:rPr>
          <w:b w:val="0"/>
          <w:bCs w:val="0"/>
        </w:rPr>
      </w:r>
    </w:p>
    <w:p>
      <w:pPr>
        <w:spacing w:line="240" w:lineRule="auto" w:before="4"/>
        <w:rPr>
          <w:rFonts w:ascii="宋体" w:hAnsi="宋体" w:cs="宋体" w:eastAsia="宋体" w:hint="default"/>
          <w:b/>
          <w:bCs/>
          <w:sz w:val="26"/>
          <w:szCs w:val="26"/>
        </w:rPr>
      </w:pPr>
    </w:p>
    <w:p>
      <w:pPr>
        <w:spacing w:line="357" w:lineRule="auto" w:before="0"/>
        <w:ind w:left="152" w:right="9854" w:firstLine="0"/>
        <w:jc w:val="left"/>
        <w:rPr>
          <w:rFonts w:ascii="宋体" w:hAnsi="宋体" w:cs="宋体" w:eastAsia="宋体" w:hint="default"/>
          <w:sz w:val="18"/>
          <w:szCs w:val="18"/>
        </w:rPr>
      </w:pPr>
      <w:r>
        <w:rPr>
          <w:rFonts w:ascii="宋体" w:hAnsi="宋体" w:cs="宋体" w:eastAsia="宋体" w:hint="default"/>
          <w:sz w:val="18"/>
          <w:szCs w:val="18"/>
        </w:rPr>
        <w:t>不适用 其他说明：</w:t>
      </w:r>
    </w:p>
    <w:p>
      <w:pPr>
        <w:spacing w:line="240" w:lineRule="auto" w:before="6"/>
        <w:rPr>
          <w:rFonts w:ascii="宋体" w:hAnsi="宋体" w:cs="宋体" w:eastAsia="宋体" w:hint="default"/>
          <w:sz w:val="20"/>
          <w:szCs w:val="20"/>
        </w:rPr>
      </w:pPr>
    </w:p>
    <w:p>
      <w:pPr>
        <w:pStyle w:val="Heading4"/>
        <w:spacing w:line="240" w:lineRule="auto"/>
        <w:ind w:right="986"/>
        <w:jc w:val="left"/>
        <w:rPr>
          <w:b w:val="0"/>
          <w:bCs w:val="0"/>
        </w:rPr>
      </w:pPr>
      <w:bookmarkStart w:name="15、其他债权投资" w:id="286"/>
      <w:bookmarkEnd w:id="286"/>
      <w:r>
        <w:rPr>
          <w:b w:val="0"/>
          <w:bCs w:val="0"/>
        </w:rPr>
      </w:r>
      <w:r>
        <w:rPr>
          <w:rFonts w:ascii="Times New Roman" w:hAnsi="Times New Roman" w:cs="Times New Roman" w:eastAsia="Times New Roman" w:hint="default"/>
        </w:rPr>
        <w:t>15</w:t>
      </w:r>
      <w:r>
        <w:rPr/>
        <w:t>、其他债权投资</w:t>
      </w:r>
      <w:r>
        <w:rPr>
          <w:b w:val="0"/>
          <w:bCs w:val="0"/>
        </w:rPr>
      </w:r>
    </w:p>
    <w:p>
      <w:pPr>
        <w:spacing w:line="240" w:lineRule="auto" w:before="4"/>
        <w:rPr>
          <w:rFonts w:ascii="宋体" w:hAnsi="宋体" w:cs="宋体" w:eastAsia="宋体" w:hint="default"/>
          <w:b/>
          <w:bCs/>
          <w:sz w:val="26"/>
          <w:szCs w:val="26"/>
        </w:rPr>
      </w:pPr>
    </w:p>
    <w:p>
      <w:pPr>
        <w:spacing w:line="357" w:lineRule="auto" w:before="0"/>
        <w:ind w:left="152" w:right="9854" w:firstLine="0"/>
        <w:jc w:val="left"/>
        <w:rPr>
          <w:rFonts w:ascii="宋体" w:hAnsi="宋体" w:cs="宋体" w:eastAsia="宋体" w:hint="default"/>
          <w:sz w:val="18"/>
          <w:szCs w:val="18"/>
        </w:rPr>
      </w:pPr>
      <w:r>
        <w:rPr>
          <w:rFonts w:ascii="宋体" w:hAnsi="宋体" w:cs="宋体" w:eastAsia="宋体" w:hint="default"/>
          <w:sz w:val="18"/>
          <w:szCs w:val="18"/>
        </w:rPr>
        <w:t>不适用 其他说明：</w:t>
      </w:r>
    </w:p>
    <w:p>
      <w:pPr>
        <w:spacing w:line="240" w:lineRule="auto" w:before="6"/>
        <w:rPr>
          <w:rFonts w:ascii="宋体" w:hAnsi="宋体" w:cs="宋体" w:eastAsia="宋体" w:hint="default"/>
          <w:sz w:val="20"/>
          <w:szCs w:val="20"/>
        </w:rPr>
      </w:pPr>
    </w:p>
    <w:p>
      <w:pPr>
        <w:pStyle w:val="Heading4"/>
        <w:spacing w:line="240" w:lineRule="auto"/>
        <w:ind w:right="986"/>
        <w:jc w:val="left"/>
        <w:rPr>
          <w:b w:val="0"/>
          <w:bCs w:val="0"/>
        </w:rPr>
      </w:pPr>
      <w:bookmarkStart w:name="16、长期应收款" w:id="287"/>
      <w:bookmarkEnd w:id="287"/>
      <w:r>
        <w:rPr>
          <w:b w:val="0"/>
          <w:bCs w:val="0"/>
        </w:rPr>
      </w:r>
      <w:r>
        <w:rPr>
          <w:rFonts w:ascii="Times New Roman" w:hAnsi="Times New Roman" w:cs="Times New Roman" w:eastAsia="Times New Roman" w:hint="default"/>
        </w:rPr>
        <w:t>16</w:t>
      </w:r>
      <w:r>
        <w:rPr/>
        <w:t>、长期应收款</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2）因金融资产转移而终止确认的长期应收款" w:id="288"/>
      <w:bookmarkEnd w:id="288"/>
      <w:r>
        <w:rPr>
          <w:b w:val="0"/>
          <w:bCs w:val="0"/>
        </w:rPr>
      </w:r>
      <w:r>
        <w:rPr/>
        <w:t>（</w:t>
      </w:r>
      <w:r>
        <w:rPr>
          <w:rFonts w:ascii="Times New Roman" w:hAnsi="Times New Roman" w:cs="Times New Roman" w:eastAsia="Times New Roman" w:hint="default"/>
        </w:rPr>
        <w:t>2</w:t>
      </w:r>
      <w:r>
        <w:rPr/>
        <w:t>）因金融资产转移而终止确认的长期应收款</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3）转移长期应收款且继续涉入形成的资产、负债金额" w:id="289"/>
      <w:bookmarkEnd w:id="289"/>
      <w:r>
        <w:rPr>
          <w:b w:val="0"/>
          <w:bCs w:val="0"/>
        </w:rPr>
      </w:r>
      <w:r>
        <w:rPr/>
        <w:t>（</w:t>
      </w:r>
      <w:r>
        <w:rPr>
          <w:rFonts w:ascii="Times New Roman" w:hAnsi="Times New Roman" w:cs="Times New Roman" w:eastAsia="Times New Roman" w:hint="default"/>
        </w:rPr>
        <w:t>3</w:t>
      </w:r>
      <w:r>
        <w:rPr/>
        <w:t>）转移长期应收款且继续涉入形成的资产、负债金额</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17、长期股权投资" w:id="290"/>
      <w:bookmarkEnd w:id="290"/>
      <w:r>
        <w:rPr>
          <w:b w:val="0"/>
          <w:bCs w:val="0"/>
        </w:rPr>
      </w:r>
      <w:r>
        <w:rPr>
          <w:rFonts w:ascii="Times New Roman" w:hAnsi="Times New Roman" w:cs="Times New Roman" w:eastAsia="Times New Roman" w:hint="default"/>
        </w:rPr>
        <w:t>17</w:t>
      </w:r>
      <w:r>
        <w:rPr/>
        <w:t>、长期股权投资</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279"/>
        <w:gridCol w:w="1066"/>
        <w:gridCol w:w="763"/>
        <w:gridCol w:w="526"/>
        <w:gridCol w:w="974"/>
        <w:gridCol w:w="557"/>
        <w:gridCol w:w="1094"/>
        <w:gridCol w:w="749"/>
        <w:gridCol w:w="586"/>
        <w:gridCol w:w="382"/>
        <w:gridCol w:w="1058"/>
        <w:gridCol w:w="538"/>
      </w:tblGrid>
      <w:tr>
        <w:trPr>
          <w:trHeight w:val="403" w:hRule="exact"/>
        </w:trPr>
        <w:tc>
          <w:tcPr>
            <w:tcW w:w="1279"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4"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066"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300" w:lineRule="auto"/>
              <w:ind w:left="227" w:right="47" w:hanging="180"/>
              <w:jc w:val="left"/>
              <w:rPr>
                <w:rFonts w:ascii="Times New Roman" w:hAnsi="Times New Roman" w:cs="Times New Roman" w:eastAsia="Times New Roman"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账 面价值</w:t>
            </w:r>
            <w:r>
              <w:rPr>
                <w:rFonts w:ascii="Times New Roman" w:hAnsi="Times New Roman" w:cs="Times New Roman" w:eastAsia="Times New Roman" w:hint="default"/>
                <w:sz w:val="18"/>
                <w:szCs w:val="18"/>
              </w:rPr>
              <w:t>)</w:t>
            </w:r>
          </w:p>
        </w:tc>
        <w:tc>
          <w:tcPr>
            <w:tcW w:w="5630" w:type="dxa"/>
            <w:gridSpan w:val="8"/>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1058"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300" w:lineRule="auto"/>
              <w:ind w:left="225" w:right="41" w:hanging="180"/>
              <w:jc w:val="left"/>
              <w:rPr>
                <w:rFonts w:ascii="Times New Roman" w:hAnsi="Times New Roman" w:cs="Times New Roman" w:eastAsia="Times New Roman"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账 面价值</w:t>
            </w:r>
            <w:r>
              <w:rPr>
                <w:rFonts w:ascii="Times New Roman" w:hAnsi="Times New Roman" w:cs="Times New Roman" w:eastAsia="Times New Roman" w:hint="default"/>
                <w:sz w:val="18"/>
                <w:szCs w:val="18"/>
              </w:rPr>
              <w:t>)</w:t>
            </w:r>
          </w:p>
        </w:tc>
        <w:tc>
          <w:tcPr>
            <w:tcW w:w="538"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83" w:right="83"/>
              <w:jc w:val="both"/>
              <w:rPr>
                <w:rFonts w:ascii="宋体" w:hAnsi="宋体" w:cs="宋体" w:eastAsia="宋体" w:hint="default"/>
                <w:sz w:val="18"/>
                <w:szCs w:val="18"/>
              </w:rPr>
            </w:pPr>
            <w:r>
              <w:rPr>
                <w:rFonts w:ascii="宋体" w:hAnsi="宋体" w:cs="宋体" w:eastAsia="宋体" w:hint="default"/>
                <w:sz w:val="18"/>
                <w:szCs w:val="18"/>
              </w:rPr>
              <w:t>减值 准备 期末 余额</w:t>
            </w:r>
          </w:p>
        </w:tc>
      </w:tr>
      <w:tr>
        <w:trPr>
          <w:trHeight w:val="1337" w:hRule="exact"/>
        </w:trPr>
        <w:tc>
          <w:tcPr>
            <w:tcW w:w="1279" w:type="dxa"/>
            <w:vMerge/>
            <w:tcBorders>
              <w:left w:val="single" w:sz="4" w:space="0" w:color="000000"/>
              <w:bottom w:val="single" w:sz="4" w:space="0" w:color="000000"/>
              <w:right w:val="single" w:sz="4" w:space="0" w:color="000000"/>
            </w:tcBorders>
            <w:shd w:val="clear" w:color="auto" w:fill="D4D4D4"/>
          </w:tcPr>
          <w:p>
            <w:pPr/>
          </w:p>
        </w:tc>
        <w:tc>
          <w:tcPr>
            <w:tcW w:w="1066" w:type="dxa"/>
            <w:vMerge/>
            <w:tcBorders>
              <w:left w:val="single" w:sz="4" w:space="0" w:color="000000"/>
              <w:bottom w:val="single" w:sz="4" w:space="0" w:color="000000"/>
              <w:right w:val="single" w:sz="4" w:space="0" w:color="000000"/>
            </w:tcBorders>
            <w:shd w:val="clear" w:color="auto" w:fill="D4D4D4"/>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87" w:right="103" w:hanging="180"/>
              <w:jc w:val="left"/>
              <w:rPr>
                <w:rFonts w:ascii="宋体" w:hAnsi="宋体" w:cs="宋体" w:eastAsia="宋体" w:hint="default"/>
                <w:sz w:val="18"/>
                <w:szCs w:val="18"/>
              </w:rPr>
            </w:pPr>
            <w:r>
              <w:rPr>
                <w:rFonts w:ascii="宋体" w:hAnsi="宋体" w:cs="宋体" w:eastAsia="宋体" w:hint="default"/>
                <w:sz w:val="18"/>
                <w:szCs w:val="18"/>
              </w:rPr>
              <w:t>追加投 资</w:t>
            </w:r>
          </w:p>
        </w:tc>
        <w:tc>
          <w:tcPr>
            <w:tcW w:w="5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79" w:right="74"/>
              <w:jc w:val="left"/>
              <w:rPr>
                <w:rFonts w:ascii="宋体" w:hAnsi="宋体" w:cs="宋体" w:eastAsia="宋体" w:hint="default"/>
                <w:sz w:val="18"/>
                <w:szCs w:val="18"/>
              </w:rPr>
            </w:pPr>
            <w:r>
              <w:rPr>
                <w:rFonts w:ascii="宋体" w:hAnsi="宋体" w:cs="宋体" w:eastAsia="宋体" w:hint="default"/>
                <w:sz w:val="18"/>
                <w:szCs w:val="18"/>
              </w:rPr>
              <w:t>减少 投资</w:t>
            </w:r>
          </w:p>
        </w:tc>
        <w:tc>
          <w:tcPr>
            <w:tcW w:w="97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3" w:right="29"/>
              <w:jc w:val="center"/>
              <w:rPr>
                <w:rFonts w:ascii="宋体" w:hAnsi="宋体" w:cs="宋体" w:eastAsia="宋体" w:hint="default"/>
                <w:sz w:val="18"/>
                <w:szCs w:val="18"/>
              </w:rPr>
            </w:pPr>
            <w:r>
              <w:rPr>
                <w:rFonts w:ascii="宋体" w:hAnsi="宋体" w:cs="宋体" w:eastAsia="宋体" w:hint="default"/>
                <w:sz w:val="18"/>
                <w:szCs w:val="18"/>
              </w:rPr>
              <w:t>权益法下确 认的投资损 益</w:t>
            </w:r>
          </w:p>
        </w:tc>
        <w:tc>
          <w:tcPr>
            <w:tcW w:w="55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95" w:right="89"/>
              <w:jc w:val="both"/>
              <w:rPr>
                <w:rFonts w:ascii="宋体" w:hAnsi="宋体" w:cs="宋体" w:eastAsia="宋体" w:hint="default"/>
                <w:sz w:val="18"/>
                <w:szCs w:val="18"/>
              </w:rPr>
            </w:pPr>
            <w:r>
              <w:rPr>
                <w:rFonts w:ascii="宋体" w:hAnsi="宋体" w:cs="宋体" w:eastAsia="宋体" w:hint="default"/>
                <w:sz w:val="18"/>
                <w:szCs w:val="18"/>
              </w:rPr>
              <w:t>其他 综合 收益 调整</w:t>
            </w:r>
          </w:p>
        </w:tc>
        <w:tc>
          <w:tcPr>
            <w:tcW w:w="10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453" w:right="89" w:hanging="360"/>
              <w:jc w:val="left"/>
              <w:rPr>
                <w:rFonts w:ascii="宋体" w:hAnsi="宋体" w:cs="宋体" w:eastAsia="宋体" w:hint="default"/>
                <w:sz w:val="18"/>
                <w:szCs w:val="18"/>
              </w:rPr>
            </w:pPr>
            <w:r>
              <w:rPr>
                <w:rFonts w:ascii="宋体" w:hAnsi="宋体" w:cs="宋体" w:eastAsia="宋体" w:hint="default"/>
                <w:sz w:val="18"/>
                <w:szCs w:val="18"/>
              </w:rPr>
              <w:t>其他权益变 动</w:t>
            </w:r>
          </w:p>
        </w:tc>
        <w:tc>
          <w:tcPr>
            <w:tcW w:w="74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00" w:right="96"/>
              <w:jc w:val="both"/>
              <w:rPr>
                <w:rFonts w:ascii="宋体" w:hAnsi="宋体" w:cs="宋体" w:eastAsia="宋体" w:hint="default"/>
                <w:sz w:val="18"/>
                <w:szCs w:val="18"/>
              </w:rPr>
            </w:pPr>
            <w:r>
              <w:rPr>
                <w:rFonts w:ascii="宋体" w:hAnsi="宋体" w:cs="宋体" w:eastAsia="宋体" w:hint="default"/>
                <w:sz w:val="18"/>
                <w:szCs w:val="18"/>
              </w:rPr>
              <w:t>宣告发 放现金 股利或 利润</w:t>
            </w:r>
          </w:p>
        </w:tc>
        <w:tc>
          <w:tcPr>
            <w:tcW w:w="58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10" w:right="103"/>
              <w:jc w:val="both"/>
              <w:rPr>
                <w:rFonts w:ascii="宋体" w:hAnsi="宋体" w:cs="宋体" w:eastAsia="宋体" w:hint="default"/>
                <w:sz w:val="18"/>
                <w:szCs w:val="18"/>
              </w:rPr>
            </w:pPr>
            <w:r>
              <w:rPr>
                <w:rFonts w:ascii="宋体" w:hAnsi="宋体" w:cs="宋体" w:eastAsia="宋体" w:hint="default"/>
                <w:sz w:val="18"/>
                <w:szCs w:val="18"/>
              </w:rPr>
              <w:t>计提 减值 准备</w:t>
            </w:r>
          </w:p>
        </w:tc>
        <w:tc>
          <w:tcPr>
            <w:tcW w:w="38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95" w:right="95"/>
              <w:jc w:val="left"/>
              <w:rPr>
                <w:rFonts w:ascii="宋体" w:hAnsi="宋体" w:cs="宋体" w:eastAsia="宋体" w:hint="default"/>
                <w:sz w:val="18"/>
                <w:szCs w:val="18"/>
              </w:rPr>
            </w:pPr>
            <w:r>
              <w:rPr>
                <w:rFonts w:ascii="宋体" w:hAnsi="宋体" w:cs="宋体" w:eastAsia="宋体" w:hint="default"/>
                <w:sz w:val="18"/>
                <w:szCs w:val="18"/>
              </w:rPr>
              <w:t>其 他</w:t>
            </w:r>
          </w:p>
        </w:tc>
        <w:tc>
          <w:tcPr>
            <w:tcW w:w="1058" w:type="dxa"/>
            <w:vMerge/>
            <w:tcBorders>
              <w:left w:val="single" w:sz="4" w:space="0" w:color="000000"/>
              <w:bottom w:val="single" w:sz="4" w:space="0" w:color="000000"/>
              <w:right w:val="single" w:sz="4" w:space="0" w:color="000000"/>
            </w:tcBorders>
            <w:shd w:val="clear" w:color="auto" w:fill="D4D4D4"/>
          </w:tcPr>
          <w:p>
            <w:pPr/>
          </w:p>
        </w:tc>
        <w:tc>
          <w:tcPr>
            <w:tcW w:w="538" w:type="dxa"/>
            <w:vMerge/>
            <w:tcBorders>
              <w:left w:val="single" w:sz="4" w:space="0" w:color="000000"/>
              <w:bottom w:val="single" w:sz="4" w:space="0" w:color="000000"/>
              <w:right w:val="single" w:sz="4" w:space="0" w:color="000000"/>
            </w:tcBorders>
            <w:shd w:val="clear" w:color="auto" w:fill="D4D4D4"/>
          </w:tcPr>
          <w:p>
            <w:pPr/>
          </w:p>
        </w:tc>
      </w:tr>
      <w:tr>
        <w:trPr>
          <w:trHeight w:val="403" w:hRule="exact"/>
        </w:trPr>
        <w:tc>
          <w:tcPr>
            <w:tcW w:w="9571" w:type="dxa"/>
            <w:gridSpan w:val="1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1" w:hRule="exact"/>
        </w:trPr>
        <w:tc>
          <w:tcPr>
            <w:tcW w:w="9571" w:type="dxa"/>
            <w:gridSpan w:val="1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715" w:hRule="exact"/>
        </w:trPr>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63"/>
              <w:jc w:val="left"/>
              <w:rPr>
                <w:rFonts w:ascii="宋体" w:hAnsi="宋体" w:cs="宋体" w:eastAsia="宋体" w:hint="default"/>
                <w:sz w:val="18"/>
                <w:szCs w:val="18"/>
              </w:rPr>
            </w:pPr>
            <w:r>
              <w:rPr>
                <w:rFonts w:ascii="宋体" w:hAnsi="宋体" w:cs="宋体" w:eastAsia="宋体" w:hint="default"/>
                <w:sz w:val="18"/>
                <w:szCs w:val="18"/>
              </w:rPr>
              <w:t>厦门服云信息 科技有限公司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9,422,855.85</w:t>
            </w:r>
            <w:r>
              <w:rPr>
                <w:rFonts w:ascii="Times New Roman"/>
                <w:sz w:val="18"/>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3" w:right="0"/>
              <w:jc w:val="center"/>
              <w:rPr>
                <w:rFonts w:ascii="Times New Roman" w:hAnsi="Times New Roman" w:cs="Times New Roman" w:eastAsia="Times New Roman" w:hint="default"/>
                <w:sz w:val="18"/>
                <w:szCs w:val="18"/>
              </w:rPr>
            </w:pPr>
            <w:r>
              <w:rPr>
                <w:rFonts w:ascii="Times New Roman"/>
                <w:sz w:val="18"/>
              </w:rPr>
              <w:t>191,300.36</w:t>
            </w:r>
          </w:p>
        </w:tc>
        <w:tc>
          <w:tcPr>
            <w:tcW w:w="557"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382" w:type="dxa"/>
            <w:tcBorders>
              <w:top w:val="single" w:sz="4" w:space="0" w:color="000000"/>
              <w:left w:val="single" w:sz="4" w:space="0" w:color="000000"/>
              <w:bottom w:val="single" w:sz="4" w:space="0" w:color="000000"/>
              <w:right w:val="single" w:sz="4" w:space="0" w:color="000000"/>
            </w:tcBorders>
          </w:tcPr>
          <w:p>
            <w:pP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9,614,156.21</w:t>
            </w:r>
            <w:r>
              <w:rPr>
                <w:rFonts w:ascii="Times New Roman"/>
                <w:sz w:val="18"/>
              </w:rPr>
            </w:r>
          </w:p>
        </w:tc>
        <w:tc>
          <w:tcPr>
            <w:tcW w:w="53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63"/>
              <w:jc w:val="both"/>
              <w:rPr>
                <w:rFonts w:ascii="宋体" w:hAnsi="宋体" w:cs="宋体" w:eastAsia="宋体" w:hint="default"/>
                <w:sz w:val="18"/>
                <w:szCs w:val="18"/>
              </w:rPr>
            </w:pPr>
            <w:r>
              <w:rPr>
                <w:rFonts w:ascii="宋体" w:hAnsi="宋体" w:cs="宋体" w:eastAsia="宋体" w:hint="default"/>
                <w:sz w:val="18"/>
                <w:szCs w:val="18"/>
              </w:rPr>
              <w:t>厦门正信世纪 信息科技有限 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1,760,007.37</w:t>
            </w:r>
            <w:r>
              <w:rPr>
                <w:rFonts w:ascii="Times New Roman"/>
                <w:sz w:val="18"/>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44" w:right="0"/>
              <w:jc w:val="center"/>
              <w:rPr>
                <w:rFonts w:ascii="Times New Roman" w:hAnsi="Times New Roman" w:cs="Times New Roman" w:eastAsia="Times New Roman" w:hint="default"/>
                <w:sz w:val="18"/>
                <w:szCs w:val="18"/>
              </w:rPr>
            </w:pPr>
            <w:r>
              <w:rPr>
                <w:rFonts w:ascii="Times New Roman"/>
                <w:sz w:val="18"/>
              </w:rPr>
              <w:t>-30,380.26</w:t>
            </w:r>
          </w:p>
        </w:tc>
        <w:tc>
          <w:tcPr>
            <w:tcW w:w="557"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382" w:type="dxa"/>
            <w:tcBorders>
              <w:top w:val="single" w:sz="4" w:space="0" w:color="000000"/>
              <w:left w:val="single" w:sz="4" w:space="0" w:color="000000"/>
              <w:bottom w:val="single" w:sz="4" w:space="0" w:color="000000"/>
              <w:right w:val="single" w:sz="4" w:space="0" w:color="000000"/>
            </w:tcBorders>
          </w:tcPr>
          <w:p>
            <w:pP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1,729,627.11</w:t>
            </w:r>
          </w:p>
        </w:tc>
        <w:tc>
          <w:tcPr>
            <w:tcW w:w="538"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9"/>
              <w:jc w:val="left"/>
              <w:rPr>
                <w:rFonts w:ascii="宋体" w:hAnsi="宋体" w:cs="宋体" w:eastAsia="宋体" w:hint="default"/>
                <w:sz w:val="18"/>
                <w:szCs w:val="18"/>
              </w:rPr>
            </w:pPr>
            <w:r>
              <w:rPr>
                <w:rFonts w:ascii="宋体" w:hAnsi="宋体" w:cs="宋体" w:eastAsia="宋体" w:hint="default"/>
                <w:sz w:val="18"/>
                <w:szCs w:val="18"/>
              </w:rPr>
              <w:t>中检美亚（北 </w:t>
            </w:r>
            <w:r>
              <w:rPr>
                <w:rFonts w:ascii="宋体" w:hAnsi="宋体" w:cs="宋体" w:eastAsia="宋体" w:hint="default"/>
                <w:spacing w:val="-6"/>
                <w:sz w:val="18"/>
                <w:szCs w:val="18"/>
              </w:rPr>
              <w:t>京）科技有限公</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1,756,322.15</w:t>
            </w:r>
            <w:r>
              <w:rPr>
                <w:rFonts w:ascii="Times New Roman"/>
                <w:sz w:val="18"/>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-439,173.17</w:t>
            </w:r>
          </w:p>
        </w:tc>
        <w:tc>
          <w:tcPr>
            <w:tcW w:w="557"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-1,317,148.98</w:t>
            </w:r>
          </w:p>
        </w:tc>
        <w:tc>
          <w:tcPr>
            <w:tcW w:w="749"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382" w:type="dxa"/>
            <w:tcBorders>
              <w:top w:val="single" w:sz="4" w:space="0" w:color="000000"/>
              <w:left w:val="single" w:sz="4" w:space="0" w:color="000000"/>
              <w:bottom w:val="single" w:sz="4" w:space="0" w:color="000000"/>
              <w:right w:val="single" w:sz="4" w:space="0" w:color="000000"/>
            </w:tcBorders>
          </w:tcPr>
          <w:p>
            <w:pPr/>
          </w:p>
        </w:tc>
        <w:tc>
          <w:tcPr>
            <w:tcW w:w="1058" w:type="dxa"/>
            <w:tcBorders>
              <w:top w:val="single" w:sz="4" w:space="0" w:color="000000"/>
              <w:left w:val="single" w:sz="4" w:space="0" w:color="000000"/>
              <w:bottom w:val="single" w:sz="4" w:space="0" w:color="000000"/>
              <w:right w:val="single" w:sz="4" w:space="0" w:color="000000"/>
            </w:tcBorders>
          </w:tcPr>
          <w:p>
            <w:pPr/>
          </w:p>
        </w:tc>
        <w:tc>
          <w:tcPr>
            <w:tcW w:w="53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279"/>
        <w:gridCol w:w="1066"/>
        <w:gridCol w:w="763"/>
        <w:gridCol w:w="526"/>
        <w:gridCol w:w="974"/>
        <w:gridCol w:w="557"/>
        <w:gridCol w:w="1094"/>
        <w:gridCol w:w="749"/>
        <w:gridCol w:w="586"/>
        <w:gridCol w:w="382"/>
        <w:gridCol w:w="1058"/>
        <w:gridCol w:w="538"/>
      </w:tblGrid>
      <w:tr>
        <w:trPr>
          <w:trHeight w:val="1025" w:hRule="exact"/>
        </w:trPr>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63"/>
              <w:jc w:val="both"/>
              <w:rPr>
                <w:rFonts w:ascii="宋体" w:hAnsi="宋体" w:cs="宋体" w:eastAsia="宋体" w:hint="default"/>
                <w:sz w:val="18"/>
                <w:szCs w:val="18"/>
              </w:rPr>
            </w:pPr>
            <w:r>
              <w:rPr>
                <w:rFonts w:ascii="宋体" w:hAnsi="宋体" w:cs="宋体" w:eastAsia="宋体" w:hint="default"/>
                <w:sz w:val="18"/>
                <w:szCs w:val="18"/>
              </w:rPr>
              <w:t>沈阳城市公共 安全科技有限 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873,745.13</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909,236.</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83</w:t>
            </w:r>
          </w:p>
        </w:tc>
        <w:tc>
          <w:tcPr>
            <w:tcW w:w="526" w:type="dxa"/>
            <w:tcBorders>
              <w:top w:val="single" w:sz="4" w:space="0" w:color="000000"/>
              <w:left w:val="single" w:sz="4" w:space="0" w:color="000000"/>
              <w:bottom w:val="single" w:sz="4" w:space="0" w:color="000000"/>
              <w:right w:val="single" w:sz="4" w:space="0" w:color="000000"/>
            </w:tcBorders>
          </w:tcPr>
          <w:p>
            <w:pP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-556,854.18</w:t>
            </w:r>
          </w:p>
        </w:tc>
        <w:tc>
          <w:tcPr>
            <w:tcW w:w="557"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382" w:type="dxa"/>
            <w:tcBorders>
              <w:top w:val="single" w:sz="4" w:space="0" w:color="000000"/>
              <w:left w:val="single" w:sz="4" w:space="0" w:color="000000"/>
              <w:bottom w:val="single" w:sz="4" w:space="0" w:color="000000"/>
              <w:right w:val="single" w:sz="4" w:space="0" w:color="000000"/>
            </w:tcBorders>
          </w:tcPr>
          <w:p>
            <w:pP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1,226,127.78</w:t>
            </w:r>
            <w:r>
              <w:rPr>
                <w:rFonts w:ascii="Times New Roman"/>
                <w:sz w:val="18"/>
              </w:rPr>
            </w:r>
          </w:p>
        </w:tc>
        <w:tc>
          <w:tcPr>
            <w:tcW w:w="538"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63"/>
              <w:jc w:val="both"/>
              <w:rPr>
                <w:rFonts w:ascii="宋体" w:hAnsi="宋体" w:cs="宋体" w:eastAsia="宋体" w:hint="default"/>
                <w:sz w:val="18"/>
                <w:szCs w:val="18"/>
              </w:rPr>
            </w:pPr>
            <w:r>
              <w:rPr>
                <w:rFonts w:ascii="宋体" w:hAnsi="宋体" w:cs="宋体" w:eastAsia="宋体" w:hint="default"/>
                <w:sz w:val="18"/>
                <w:szCs w:val="18"/>
              </w:rPr>
              <w:t>厦门市美亚梧 桐投资管理有 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946,461.68</w:t>
            </w:r>
          </w:p>
        </w:tc>
        <w:tc>
          <w:tcPr>
            <w:tcW w:w="763"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-229,758.70</w:t>
            </w:r>
          </w:p>
        </w:tc>
        <w:tc>
          <w:tcPr>
            <w:tcW w:w="557"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382" w:type="dxa"/>
            <w:tcBorders>
              <w:top w:val="single" w:sz="4" w:space="0" w:color="000000"/>
              <w:left w:val="single" w:sz="4" w:space="0" w:color="000000"/>
              <w:bottom w:val="single" w:sz="4" w:space="0" w:color="000000"/>
              <w:right w:val="single" w:sz="4" w:space="0" w:color="000000"/>
            </w:tcBorders>
          </w:tcPr>
          <w:p>
            <w:pP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716,702.98</w:t>
            </w:r>
          </w:p>
        </w:tc>
        <w:tc>
          <w:tcPr>
            <w:tcW w:w="538" w:type="dxa"/>
            <w:tcBorders>
              <w:top w:val="single" w:sz="4" w:space="0" w:color="000000"/>
              <w:left w:val="single" w:sz="4" w:space="0" w:color="000000"/>
              <w:bottom w:val="single" w:sz="4" w:space="0" w:color="000000"/>
              <w:right w:val="single" w:sz="4" w:space="0" w:color="000000"/>
            </w:tcBorders>
          </w:tcPr>
          <w:p>
            <w:pPr/>
          </w:p>
        </w:tc>
      </w:tr>
      <w:tr>
        <w:trPr>
          <w:trHeight w:val="1337" w:hRule="exact"/>
        </w:trPr>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49"/>
              <w:ind w:left="24" w:right="103"/>
              <w:jc w:val="both"/>
              <w:rPr>
                <w:rFonts w:ascii="Times New Roman" w:hAnsi="Times New Roman" w:cs="Times New Roman" w:eastAsia="Times New Roman" w:hint="default"/>
                <w:sz w:val="18"/>
                <w:szCs w:val="18"/>
              </w:rPr>
            </w:pPr>
            <w:r>
              <w:rPr>
                <w:rFonts w:ascii="宋体" w:hAnsi="宋体" w:cs="宋体" w:eastAsia="宋体" w:hint="default"/>
                <w:sz w:val="18"/>
                <w:szCs w:val="18"/>
              </w:rPr>
              <w:t>厦门市柏科晔 济投资管理合 伙企业</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 伙</w:t>
            </w:r>
            <w:r>
              <w:rPr>
                <w:rFonts w:ascii="Times New Roman" w:hAnsi="Times New Roman" w:cs="Times New Roman" w:eastAsia="Times New Roman" w:hint="default"/>
                <w:sz w:val="18"/>
                <w:szCs w:val="18"/>
              </w:rPr>
              <w:t>)</w:t>
            </w:r>
          </w:p>
        </w:tc>
        <w:tc>
          <w:tcPr>
            <w:tcW w:w="1066"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2,000,00</w:t>
            </w:r>
          </w:p>
          <w:p>
            <w:pPr>
              <w:pStyle w:val="TableParagraph"/>
              <w:spacing w:line="240" w:lineRule="auto" w:before="105"/>
              <w:ind w:left="417" w:right="0"/>
              <w:jc w:val="left"/>
              <w:rPr>
                <w:rFonts w:ascii="Times New Roman" w:hAnsi="Times New Roman" w:cs="Times New Roman" w:eastAsia="Times New Roman" w:hint="default"/>
                <w:sz w:val="18"/>
                <w:szCs w:val="18"/>
              </w:rPr>
            </w:pPr>
            <w:r>
              <w:rPr>
                <w:rFonts w:ascii="Times New Roman"/>
                <w:sz w:val="18"/>
              </w:rPr>
              <w:t>0.00</w:t>
            </w:r>
          </w:p>
        </w:tc>
        <w:tc>
          <w:tcPr>
            <w:tcW w:w="526" w:type="dxa"/>
            <w:tcBorders>
              <w:top w:val="single" w:sz="4" w:space="0" w:color="000000"/>
              <w:left w:val="single" w:sz="4" w:space="0" w:color="000000"/>
              <w:bottom w:val="single" w:sz="4" w:space="0" w:color="000000"/>
              <w:right w:val="single" w:sz="4" w:space="0" w:color="000000"/>
            </w:tcBorders>
          </w:tcPr>
          <w:p>
            <w:pPr/>
          </w:p>
        </w:tc>
        <w:tc>
          <w:tcPr>
            <w:tcW w:w="974" w:type="dxa"/>
            <w:tcBorders>
              <w:top w:val="single" w:sz="4" w:space="0" w:color="000000"/>
              <w:left w:val="single" w:sz="4" w:space="0" w:color="000000"/>
              <w:bottom w:val="single" w:sz="4" w:space="0" w:color="000000"/>
              <w:right w:val="single" w:sz="4" w:space="0" w:color="000000"/>
            </w:tcBorders>
          </w:tcPr>
          <w:p>
            <w:pPr/>
          </w:p>
        </w:tc>
        <w:tc>
          <w:tcPr>
            <w:tcW w:w="557"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382" w:type="dxa"/>
            <w:tcBorders>
              <w:top w:val="single" w:sz="4" w:space="0" w:color="000000"/>
              <w:left w:val="single" w:sz="4" w:space="0" w:color="000000"/>
              <w:bottom w:val="single" w:sz="4" w:space="0" w:color="000000"/>
              <w:right w:val="single" w:sz="4" w:space="0" w:color="000000"/>
            </w:tcBorders>
          </w:tcPr>
          <w:p>
            <w:pP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2,000,000.00</w:t>
            </w:r>
            <w:r>
              <w:rPr>
                <w:rFonts w:ascii="Times New Roman"/>
                <w:sz w:val="18"/>
              </w:rPr>
            </w:r>
          </w:p>
        </w:tc>
        <w:tc>
          <w:tcPr>
            <w:tcW w:w="53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63"/>
              <w:jc w:val="left"/>
              <w:rPr>
                <w:rFonts w:ascii="宋体" w:hAnsi="宋体" w:cs="宋体" w:eastAsia="宋体" w:hint="default"/>
                <w:sz w:val="18"/>
                <w:szCs w:val="18"/>
              </w:rPr>
            </w:pPr>
            <w:r>
              <w:rPr>
                <w:rFonts w:ascii="宋体" w:hAnsi="宋体" w:cs="宋体" w:eastAsia="宋体" w:hint="default"/>
                <w:sz w:val="18"/>
                <w:szCs w:val="18"/>
              </w:rPr>
              <w:t>厦门本思信息 服务有限公司</w:t>
            </w:r>
          </w:p>
        </w:tc>
        <w:tc>
          <w:tcPr>
            <w:tcW w:w="1066"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0" w:right="0"/>
              <w:jc w:val="left"/>
              <w:rPr>
                <w:rFonts w:ascii="Times New Roman" w:hAnsi="Times New Roman" w:cs="Times New Roman" w:eastAsia="Times New Roman" w:hint="default"/>
                <w:sz w:val="18"/>
                <w:szCs w:val="18"/>
              </w:rPr>
            </w:pPr>
            <w:r>
              <w:rPr>
                <w:rFonts w:ascii="Times New Roman"/>
                <w:sz w:val="18"/>
              </w:rPr>
              <w:t>1,225,00</w:t>
            </w:r>
          </w:p>
          <w:p>
            <w:pPr>
              <w:pStyle w:val="TableParagraph"/>
              <w:spacing w:line="240" w:lineRule="auto" w:before="102"/>
              <w:ind w:left="417" w:right="0"/>
              <w:jc w:val="left"/>
              <w:rPr>
                <w:rFonts w:ascii="Times New Roman" w:hAnsi="Times New Roman" w:cs="Times New Roman" w:eastAsia="Times New Roman" w:hint="default"/>
                <w:sz w:val="18"/>
                <w:szCs w:val="18"/>
              </w:rPr>
            </w:pPr>
            <w:r>
              <w:rPr>
                <w:rFonts w:ascii="Times New Roman"/>
                <w:sz w:val="18"/>
              </w:rPr>
              <w:t>0.00</w:t>
            </w:r>
          </w:p>
        </w:tc>
        <w:tc>
          <w:tcPr>
            <w:tcW w:w="526" w:type="dxa"/>
            <w:tcBorders>
              <w:top w:val="single" w:sz="4" w:space="0" w:color="000000"/>
              <w:left w:val="single" w:sz="4" w:space="0" w:color="000000"/>
              <w:bottom w:val="single" w:sz="4" w:space="0" w:color="000000"/>
              <w:right w:val="single" w:sz="4" w:space="0" w:color="000000"/>
            </w:tcBorders>
          </w:tcPr>
          <w:p>
            <w:pP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44" w:right="0"/>
              <w:jc w:val="center"/>
              <w:rPr>
                <w:rFonts w:ascii="Times New Roman" w:hAnsi="Times New Roman" w:cs="Times New Roman" w:eastAsia="Times New Roman" w:hint="default"/>
                <w:sz w:val="18"/>
                <w:szCs w:val="18"/>
              </w:rPr>
            </w:pPr>
            <w:r>
              <w:rPr>
                <w:rFonts w:ascii="Times New Roman"/>
                <w:sz w:val="18"/>
              </w:rPr>
              <w:t>-56,940.05</w:t>
            </w:r>
          </w:p>
        </w:tc>
        <w:tc>
          <w:tcPr>
            <w:tcW w:w="557"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382" w:type="dxa"/>
            <w:tcBorders>
              <w:top w:val="single" w:sz="4" w:space="0" w:color="000000"/>
              <w:left w:val="single" w:sz="4" w:space="0" w:color="000000"/>
              <w:bottom w:val="single" w:sz="4" w:space="0" w:color="000000"/>
              <w:right w:val="single" w:sz="4" w:space="0" w:color="000000"/>
            </w:tcBorders>
          </w:tcPr>
          <w:p>
            <w:pP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1,168,059.95</w:t>
            </w:r>
            <w:r>
              <w:rPr>
                <w:rFonts w:ascii="Times New Roman"/>
                <w:sz w:val="18"/>
              </w:rPr>
            </w:r>
          </w:p>
        </w:tc>
        <w:tc>
          <w:tcPr>
            <w:tcW w:w="538"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63"/>
              <w:jc w:val="left"/>
              <w:rPr>
                <w:rFonts w:ascii="宋体" w:hAnsi="宋体" w:cs="宋体" w:eastAsia="宋体" w:hint="default"/>
                <w:sz w:val="18"/>
                <w:szCs w:val="18"/>
              </w:rPr>
            </w:pPr>
            <w:r>
              <w:rPr>
                <w:rFonts w:ascii="宋体" w:hAnsi="宋体" w:cs="宋体" w:eastAsia="宋体" w:hint="default"/>
                <w:sz w:val="18"/>
                <w:szCs w:val="18"/>
              </w:rPr>
              <w:t>安徽华图信息 科技有限公司</w:t>
            </w:r>
          </w:p>
        </w:tc>
        <w:tc>
          <w:tcPr>
            <w:tcW w:w="1066"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left"/>
              <w:rPr>
                <w:rFonts w:ascii="Times New Roman" w:hAnsi="Times New Roman" w:cs="Times New Roman" w:eastAsia="Times New Roman" w:hint="default"/>
                <w:sz w:val="18"/>
                <w:szCs w:val="18"/>
              </w:rPr>
            </w:pPr>
            <w:r>
              <w:rPr>
                <w:rFonts w:ascii="Times New Roman"/>
                <w:sz w:val="18"/>
              </w:rPr>
              <w:t>4,000,00</w:t>
            </w:r>
          </w:p>
          <w:p>
            <w:pPr>
              <w:pStyle w:val="TableParagraph"/>
              <w:spacing w:line="240" w:lineRule="auto" w:before="105"/>
              <w:ind w:left="417" w:right="0"/>
              <w:jc w:val="left"/>
              <w:rPr>
                <w:rFonts w:ascii="Times New Roman" w:hAnsi="Times New Roman" w:cs="Times New Roman" w:eastAsia="Times New Roman" w:hint="default"/>
                <w:sz w:val="18"/>
                <w:szCs w:val="18"/>
              </w:rPr>
            </w:pPr>
            <w:r>
              <w:rPr>
                <w:rFonts w:ascii="Times New Roman"/>
                <w:sz w:val="18"/>
              </w:rPr>
              <w:t>0.00</w:t>
            </w:r>
          </w:p>
        </w:tc>
        <w:tc>
          <w:tcPr>
            <w:tcW w:w="526" w:type="dxa"/>
            <w:tcBorders>
              <w:top w:val="single" w:sz="4" w:space="0" w:color="000000"/>
              <w:left w:val="single" w:sz="4" w:space="0" w:color="000000"/>
              <w:bottom w:val="single" w:sz="4" w:space="0" w:color="000000"/>
              <w:right w:val="single" w:sz="4" w:space="0" w:color="000000"/>
            </w:tcBorders>
          </w:tcPr>
          <w:p>
            <w:pP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3" w:right="0"/>
              <w:jc w:val="center"/>
              <w:rPr>
                <w:rFonts w:ascii="Times New Roman" w:hAnsi="Times New Roman" w:cs="Times New Roman" w:eastAsia="Times New Roman" w:hint="default"/>
                <w:sz w:val="18"/>
                <w:szCs w:val="18"/>
              </w:rPr>
            </w:pPr>
            <w:r>
              <w:rPr>
                <w:rFonts w:ascii="Times New Roman"/>
                <w:sz w:val="18"/>
              </w:rPr>
              <w:t>206,766.36</w:t>
            </w:r>
          </w:p>
        </w:tc>
        <w:tc>
          <w:tcPr>
            <w:tcW w:w="557"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382" w:type="dxa"/>
            <w:tcBorders>
              <w:top w:val="single" w:sz="4" w:space="0" w:color="000000"/>
              <w:left w:val="single" w:sz="4" w:space="0" w:color="000000"/>
              <w:bottom w:val="single" w:sz="4" w:space="0" w:color="000000"/>
              <w:right w:val="single" w:sz="4" w:space="0" w:color="000000"/>
            </w:tcBorders>
          </w:tcPr>
          <w:p>
            <w:pP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4,206,766.36</w:t>
            </w:r>
            <w:r>
              <w:rPr>
                <w:rFonts w:ascii="Times New Roman"/>
                <w:sz w:val="18"/>
              </w:rPr>
            </w:r>
          </w:p>
        </w:tc>
        <w:tc>
          <w:tcPr>
            <w:tcW w:w="53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14,759,392.1</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8</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0" w:right="0"/>
              <w:jc w:val="left"/>
              <w:rPr>
                <w:rFonts w:ascii="Times New Roman" w:hAnsi="Times New Roman" w:cs="Times New Roman" w:eastAsia="Times New Roman" w:hint="default"/>
                <w:sz w:val="18"/>
                <w:szCs w:val="18"/>
              </w:rPr>
            </w:pPr>
            <w:r>
              <w:rPr>
                <w:rFonts w:ascii="Times New Roman"/>
                <w:sz w:val="18"/>
              </w:rPr>
              <w:t>8,134,23</w:t>
            </w:r>
          </w:p>
          <w:p>
            <w:pPr>
              <w:pStyle w:val="TableParagraph"/>
              <w:spacing w:line="240" w:lineRule="auto" w:before="102"/>
              <w:ind w:left="417" w:right="0"/>
              <w:jc w:val="left"/>
              <w:rPr>
                <w:rFonts w:ascii="Times New Roman" w:hAnsi="Times New Roman" w:cs="Times New Roman" w:eastAsia="Times New Roman" w:hint="default"/>
                <w:sz w:val="18"/>
                <w:szCs w:val="18"/>
              </w:rPr>
            </w:pPr>
            <w:r>
              <w:rPr>
                <w:rFonts w:ascii="Times New Roman"/>
                <w:sz w:val="18"/>
              </w:rPr>
              <w:t>6.83</w:t>
            </w:r>
          </w:p>
        </w:tc>
        <w:tc>
          <w:tcPr>
            <w:tcW w:w="526" w:type="dxa"/>
            <w:tcBorders>
              <w:top w:val="single" w:sz="4" w:space="0" w:color="000000"/>
              <w:left w:val="single" w:sz="4" w:space="0" w:color="000000"/>
              <w:bottom w:val="single" w:sz="4" w:space="0" w:color="000000"/>
              <w:right w:val="single" w:sz="4" w:space="0" w:color="000000"/>
            </w:tcBorders>
          </w:tcPr>
          <w:p>
            <w:pP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-915,039.64</w:t>
            </w:r>
          </w:p>
        </w:tc>
        <w:tc>
          <w:tcPr>
            <w:tcW w:w="557"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-1,317,148.98</w:t>
            </w:r>
            <w:r>
              <w:rPr>
                <w:rFonts w:ascii="Times New Roman"/>
                <w:sz w:val="18"/>
              </w:rPr>
            </w:r>
          </w:p>
        </w:tc>
        <w:tc>
          <w:tcPr>
            <w:tcW w:w="749"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382" w:type="dxa"/>
            <w:tcBorders>
              <w:top w:val="single" w:sz="4" w:space="0" w:color="000000"/>
              <w:left w:val="single" w:sz="4" w:space="0" w:color="000000"/>
              <w:bottom w:val="single" w:sz="4" w:space="0" w:color="000000"/>
              <w:right w:val="single" w:sz="4" w:space="0" w:color="000000"/>
            </w:tcBorders>
          </w:tcPr>
          <w:p>
            <w:pP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20,661,440.3</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9</w:t>
            </w:r>
          </w:p>
        </w:tc>
        <w:tc>
          <w:tcPr>
            <w:tcW w:w="53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14,759,392.1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left"/>
              <w:rPr>
                <w:rFonts w:ascii="Times New Roman" w:hAnsi="Times New Roman" w:cs="Times New Roman" w:eastAsia="Times New Roman" w:hint="default"/>
                <w:sz w:val="18"/>
                <w:szCs w:val="18"/>
              </w:rPr>
            </w:pPr>
            <w:r>
              <w:rPr>
                <w:rFonts w:ascii="Times New Roman"/>
                <w:sz w:val="18"/>
              </w:rPr>
              <w:t>8,134,23</w:t>
            </w:r>
          </w:p>
          <w:p>
            <w:pPr>
              <w:pStyle w:val="TableParagraph"/>
              <w:spacing w:line="240" w:lineRule="auto" w:before="105"/>
              <w:ind w:left="417" w:right="0"/>
              <w:jc w:val="left"/>
              <w:rPr>
                <w:rFonts w:ascii="Times New Roman" w:hAnsi="Times New Roman" w:cs="Times New Roman" w:eastAsia="Times New Roman" w:hint="default"/>
                <w:sz w:val="18"/>
                <w:szCs w:val="18"/>
              </w:rPr>
            </w:pPr>
            <w:r>
              <w:rPr>
                <w:rFonts w:ascii="Times New Roman"/>
                <w:sz w:val="18"/>
              </w:rPr>
              <w:t>6.83</w:t>
            </w:r>
          </w:p>
        </w:tc>
        <w:tc>
          <w:tcPr>
            <w:tcW w:w="526" w:type="dxa"/>
            <w:tcBorders>
              <w:top w:val="single" w:sz="4" w:space="0" w:color="000000"/>
              <w:left w:val="single" w:sz="4" w:space="0" w:color="000000"/>
              <w:bottom w:val="single" w:sz="4" w:space="0" w:color="000000"/>
              <w:right w:val="single" w:sz="4" w:space="0" w:color="000000"/>
            </w:tcBorders>
          </w:tcPr>
          <w:p>
            <w:pP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-915,039.64</w:t>
            </w:r>
          </w:p>
        </w:tc>
        <w:tc>
          <w:tcPr>
            <w:tcW w:w="557"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-1,317,148.98</w:t>
            </w:r>
            <w:r>
              <w:rPr>
                <w:rFonts w:ascii="Times New Roman"/>
                <w:sz w:val="18"/>
              </w:rPr>
            </w:r>
          </w:p>
        </w:tc>
        <w:tc>
          <w:tcPr>
            <w:tcW w:w="749"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382" w:type="dxa"/>
            <w:tcBorders>
              <w:top w:val="single" w:sz="4" w:space="0" w:color="000000"/>
              <w:left w:val="single" w:sz="4" w:space="0" w:color="000000"/>
              <w:bottom w:val="single" w:sz="4" w:space="0" w:color="000000"/>
              <w:right w:val="single" w:sz="4" w:space="0" w:color="000000"/>
            </w:tcBorders>
          </w:tcPr>
          <w:p>
            <w:pP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20,661,440.3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w:t>
            </w:r>
          </w:p>
        </w:tc>
        <w:tc>
          <w:tcPr>
            <w:tcW w:w="538" w:type="dxa"/>
            <w:tcBorders>
              <w:top w:val="single" w:sz="4" w:space="0" w:color="000000"/>
              <w:left w:val="single" w:sz="4" w:space="0" w:color="000000"/>
              <w:bottom w:val="single" w:sz="4" w:space="0" w:color="000000"/>
              <w:right w:val="single" w:sz="4" w:space="0" w:color="000000"/>
            </w:tcBorders>
          </w:tcPr>
          <w:p>
            <w:pP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18、其他权益工具投资" w:id="291"/>
      <w:bookmarkEnd w:id="291"/>
      <w:r>
        <w:rPr>
          <w:b w:val="0"/>
          <w:bCs w:val="0"/>
        </w:rPr>
      </w:r>
      <w:r>
        <w:rPr>
          <w:rFonts w:ascii="Times New Roman" w:hAnsi="Times New Roman" w:cs="Times New Roman" w:eastAsia="Times New Roman" w:hint="default"/>
        </w:rPr>
        <w:t>18</w:t>
      </w:r>
      <w:r>
        <w:rPr/>
        <w:t>、其他权益工具投资</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234"/>
        <w:gridCol w:w="2146"/>
        <w:gridCol w:w="3190"/>
      </w:tblGrid>
      <w:tr>
        <w:trPr>
          <w:trHeight w:val="401" w:hRule="exact"/>
        </w:trPr>
        <w:tc>
          <w:tcPr>
            <w:tcW w:w="42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14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0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北京华易智美城镇规划研究院（有限合伙）</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1,788,976.23</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1,775,262.04</w:t>
            </w:r>
            <w:r>
              <w:rPr>
                <w:rFonts w:ascii="Times New Roman"/>
                <w:sz w:val="18"/>
              </w:rPr>
            </w:r>
          </w:p>
        </w:tc>
      </w:tr>
      <w:tr>
        <w:trPr>
          <w:trHeight w:val="401"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杭州攀克网络科技有限公司</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1,462,647.40</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1,379,292.89</w:t>
            </w:r>
            <w:r>
              <w:rPr>
                <w:rFonts w:ascii="Times New Roman"/>
                <w:sz w:val="18"/>
              </w:rPr>
            </w:r>
          </w:p>
        </w:tc>
      </w:tr>
      <w:tr>
        <w:trPr>
          <w:trHeight w:val="403"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福建宏创科技信息有限公司</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5,749,180.19</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4,845,849.82</w:t>
            </w:r>
            <w:r>
              <w:rPr>
                <w:rFonts w:ascii="Times New Roman"/>
                <w:sz w:val="18"/>
              </w:rPr>
            </w:r>
          </w:p>
        </w:tc>
      </w:tr>
      <w:tr>
        <w:trPr>
          <w:trHeight w:val="401"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厦门市巨龙信息科技有限公司</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45,959,900.00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36,368,421.06</w:t>
            </w:r>
          </w:p>
        </w:tc>
      </w:tr>
      <w:tr>
        <w:trPr>
          <w:trHeight w:val="403"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厦门斯坦道科学仪器股份有限公司</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18,260,332.41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17,468,661.74</w:t>
            </w:r>
          </w:p>
        </w:tc>
      </w:tr>
      <w:tr>
        <w:trPr>
          <w:trHeight w:val="401"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海峡国家版权交易中心有限公司</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1,094,643.38</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3,404,781.07</w:t>
            </w:r>
            <w:r>
              <w:rPr>
                <w:rFonts w:ascii="Times New Roman"/>
                <w:sz w:val="18"/>
              </w:rPr>
            </w:r>
          </w:p>
        </w:tc>
      </w:tr>
      <w:tr>
        <w:trPr>
          <w:trHeight w:val="403"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厦门市美桐股权投资基金合伙企业（有限合伙）</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30,000,000.00</w:t>
            </w:r>
          </w:p>
        </w:tc>
      </w:tr>
      <w:tr>
        <w:trPr>
          <w:trHeight w:val="401"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深圳市中新赛克科技股份有限公司</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278,812,674.00</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179,369,486.94</w:t>
            </w:r>
            <w:r>
              <w:rPr>
                <w:rFonts w:ascii="Times New Roman"/>
                <w:sz w:val="18"/>
              </w:rPr>
            </w:r>
          </w:p>
        </w:tc>
      </w:tr>
      <w:tr>
        <w:trPr>
          <w:trHeight w:val="403"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中检邦迪（北京）智能科技有限公司</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2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383,528,353.61</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274,611,755.56</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分项披露本期非交易性权益工具投资</w:t>
      </w:r>
    </w:p>
    <w:p>
      <w:pPr>
        <w:spacing w:before="117"/>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right"/>
        <w:rPr>
          <w:rFonts w:ascii="宋体" w:hAnsi="宋体" w:cs="宋体" w:eastAsia="宋体"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985"/>
        <w:gridCol w:w="1169"/>
        <w:gridCol w:w="1094"/>
        <w:gridCol w:w="706"/>
        <w:gridCol w:w="1306"/>
        <w:gridCol w:w="1944"/>
        <w:gridCol w:w="1368"/>
      </w:tblGrid>
      <w:tr>
        <w:trPr>
          <w:trHeight w:val="1025" w:hRule="exact"/>
        </w:trPr>
        <w:tc>
          <w:tcPr>
            <w:tcW w:w="198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626"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1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489" w:right="36" w:hanging="449"/>
              <w:jc w:val="left"/>
              <w:rPr>
                <w:rFonts w:ascii="宋体" w:hAnsi="宋体" w:cs="宋体" w:eastAsia="宋体" w:hint="default"/>
                <w:sz w:val="18"/>
                <w:szCs w:val="18"/>
              </w:rPr>
            </w:pPr>
            <w:r>
              <w:rPr>
                <w:rFonts w:ascii="宋体" w:hAnsi="宋体" w:cs="宋体" w:eastAsia="宋体" w:hint="default"/>
                <w:sz w:val="18"/>
                <w:szCs w:val="18"/>
              </w:rPr>
              <w:t>确认的股利收 入</w:t>
            </w:r>
          </w:p>
        </w:tc>
        <w:tc>
          <w:tcPr>
            <w:tcW w:w="10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82" w:right="0"/>
              <w:jc w:val="left"/>
              <w:rPr>
                <w:rFonts w:ascii="宋体" w:hAnsi="宋体" w:cs="宋体" w:eastAsia="宋体" w:hint="default"/>
                <w:sz w:val="18"/>
                <w:szCs w:val="18"/>
              </w:rPr>
            </w:pPr>
            <w:r>
              <w:rPr>
                <w:rFonts w:ascii="宋体" w:hAnsi="宋体" w:cs="宋体" w:eastAsia="宋体" w:hint="default"/>
                <w:sz w:val="18"/>
                <w:szCs w:val="18"/>
              </w:rPr>
              <w:t>累计利得</w:t>
            </w:r>
          </w:p>
        </w:tc>
        <w:tc>
          <w:tcPr>
            <w:tcW w:w="70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59" w:right="74" w:hanging="180"/>
              <w:jc w:val="left"/>
              <w:rPr>
                <w:rFonts w:ascii="宋体" w:hAnsi="宋体" w:cs="宋体" w:eastAsia="宋体" w:hint="default"/>
                <w:sz w:val="18"/>
                <w:szCs w:val="18"/>
              </w:rPr>
            </w:pPr>
            <w:r>
              <w:rPr>
                <w:rFonts w:ascii="宋体" w:hAnsi="宋体" w:cs="宋体" w:eastAsia="宋体" w:hint="default"/>
                <w:sz w:val="18"/>
                <w:szCs w:val="18"/>
              </w:rPr>
              <w:t>累计损 失</w:t>
            </w:r>
          </w:p>
        </w:tc>
        <w:tc>
          <w:tcPr>
            <w:tcW w:w="130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07" w:right="107"/>
              <w:jc w:val="center"/>
              <w:rPr>
                <w:rFonts w:ascii="宋体" w:hAnsi="宋体" w:cs="宋体" w:eastAsia="宋体" w:hint="default"/>
                <w:sz w:val="18"/>
                <w:szCs w:val="18"/>
              </w:rPr>
            </w:pPr>
            <w:r>
              <w:rPr>
                <w:rFonts w:ascii="宋体" w:hAnsi="宋体" w:cs="宋体" w:eastAsia="宋体" w:hint="default"/>
                <w:sz w:val="18"/>
                <w:szCs w:val="18"/>
              </w:rPr>
              <w:t>其他综合收益 转入留存收益 的金额</w:t>
            </w:r>
          </w:p>
        </w:tc>
        <w:tc>
          <w:tcPr>
            <w:tcW w:w="19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67" w:right="65"/>
              <w:jc w:val="center"/>
              <w:rPr>
                <w:rFonts w:ascii="宋体" w:hAnsi="宋体" w:cs="宋体" w:eastAsia="宋体" w:hint="default"/>
                <w:sz w:val="18"/>
                <w:szCs w:val="18"/>
              </w:rPr>
            </w:pPr>
            <w:r>
              <w:rPr>
                <w:rFonts w:ascii="宋体" w:hAnsi="宋体" w:cs="宋体" w:eastAsia="宋体" w:hint="default"/>
                <w:sz w:val="18"/>
                <w:szCs w:val="18"/>
              </w:rPr>
              <w:t>指定为以公允价值计量 且其变动计入其他综合 收益的原因</w:t>
            </w:r>
          </w:p>
        </w:tc>
        <w:tc>
          <w:tcPr>
            <w:tcW w:w="13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48" w:right="48"/>
              <w:jc w:val="center"/>
              <w:rPr>
                <w:rFonts w:ascii="宋体" w:hAnsi="宋体" w:cs="宋体" w:eastAsia="宋体" w:hint="default"/>
                <w:sz w:val="18"/>
                <w:szCs w:val="18"/>
              </w:rPr>
            </w:pPr>
            <w:r>
              <w:rPr>
                <w:rFonts w:ascii="宋体" w:hAnsi="宋体" w:cs="宋体" w:eastAsia="宋体" w:hint="default"/>
                <w:sz w:val="18"/>
                <w:szCs w:val="18"/>
              </w:rPr>
              <w:t>其他综合收益转 入留存收益的原 因</w:t>
            </w:r>
          </w:p>
        </w:tc>
      </w:tr>
      <w:tr>
        <w:trPr>
          <w:trHeight w:val="715"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49"/>
              <w:jc w:val="left"/>
              <w:rPr>
                <w:rFonts w:ascii="宋体" w:hAnsi="宋体" w:cs="宋体" w:eastAsia="宋体" w:hint="default"/>
                <w:sz w:val="18"/>
                <w:szCs w:val="18"/>
              </w:rPr>
            </w:pPr>
            <w:r>
              <w:rPr>
                <w:rFonts w:ascii="宋体" w:hAnsi="宋体" w:cs="宋体" w:eastAsia="宋体" w:hint="default"/>
                <w:sz w:val="18"/>
                <w:szCs w:val="18"/>
              </w:rPr>
              <w:t>北京华易智美城镇规划 研究院（有限合伙）</w:t>
            </w:r>
          </w:p>
        </w:tc>
        <w:tc>
          <w:tcPr>
            <w:tcW w:w="1169"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130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108"/>
              <w:jc w:val="left"/>
              <w:rPr>
                <w:rFonts w:ascii="宋体" w:hAnsi="宋体" w:cs="宋体" w:eastAsia="宋体" w:hint="default"/>
                <w:sz w:val="18"/>
                <w:szCs w:val="18"/>
              </w:rPr>
            </w:pPr>
            <w:r>
              <w:rPr>
                <w:rFonts w:ascii="宋体" w:hAnsi="宋体" w:cs="宋体" w:eastAsia="宋体" w:hint="default"/>
                <w:sz w:val="18"/>
                <w:szCs w:val="18"/>
              </w:rPr>
              <w:t>为公司基于长期发展而 进行战略投资</w:t>
            </w:r>
          </w:p>
        </w:tc>
        <w:tc>
          <w:tcPr>
            <w:tcW w:w="1368"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49"/>
              <w:jc w:val="left"/>
              <w:rPr>
                <w:rFonts w:ascii="宋体" w:hAnsi="宋体" w:cs="宋体" w:eastAsia="宋体" w:hint="default"/>
                <w:sz w:val="18"/>
                <w:szCs w:val="18"/>
              </w:rPr>
            </w:pPr>
            <w:r>
              <w:rPr>
                <w:rFonts w:ascii="宋体" w:hAnsi="宋体" w:cs="宋体" w:eastAsia="宋体" w:hint="default"/>
                <w:sz w:val="18"/>
                <w:szCs w:val="18"/>
              </w:rPr>
              <w:t>杭州攀克网络科技有限 公司</w:t>
            </w:r>
          </w:p>
        </w:tc>
        <w:tc>
          <w:tcPr>
            <w:tcW w:w="1169"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130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08"/>
              <w:jc w:val="left"/>
              <w:rPr>
                <w:rFonts w:ascii="宋体" w:hAnsi="宋体" w:cs="宋体" w:eastAsia="宋体" w:hint="default"/>
                <w:sz w:val="18"/>
                <w:szCs w:val="18"/>
              </w:rPr>
            </w:pPr>
            <w:r>
              <w:rPr>
                <w:rFonts w:ascii="宋体" w:hAnsi="宋体" w:cs="宋体" w:eastAsia="宋体" w:hint="default"/>
                <w:sz w:val="18"/>
                <w:szCs w:val="18"/>
              </w:rPr>
              <w:t>为公司基于长期发展而 进行战略投资</w:t>
            </w:r>
          </w:p>
        </w:tc>
        <w:tc>
          <w:tcPr>
            <w:tcW w:w="136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49"/>
              <w:jc w:val="left"/>
              <w:rPr>
                <w:rFonts w:ascii="宋体" w:hAnsi="宋体" w:cs="宋体" w:eastAsia="宋体" w:hint="default"/>
                <w:sz w:val="18"/>
                <w:szCs w:val="18"/>
              </w:rPr>
            </w:pPr>
            <w:r>
              <w:rPr>
                <w:rFonts w:ascii="宋体" w:hAnsi="宋体" w:cs="宋体" w:eastAsia="宋体" w:hint="default"/>
                <w:sz w:val="18"/>
                <w:szCs w:val="18"/>
              </w:rPr>
              <w:t>福建宏创科技信息有限 公司</w:t>
            </w:r>
          </w:p>
        </w:tc>
        <w:tc>
          <w:tcPr>
            <w:tcW w:w="1169"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130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108"/>
              <w:jc w:val="left"/>
              <w:rPr>
                <w:rFonts w:ascii="宋体" w:hAnsi="宋体" w:cs="宋体" w:eastAsia="宋体" w:hint="default"/>
                <w:sz w:val="18"/>
                <w:szCs w:val="18"/>
              </w:rPr>
            </w:pPr>
            <w:r>
              <w:rPr>
                <w:rFonts w:ascii="宋体" w:hAnsi="宋体" w:cs="宋体" w:eastAsia="宋体" w:hint="default"/>
                <w:sz w:val="18"/>
                <w:szCs w:val="18"/>
              </w:rPr>
              <w:t>为公司基于长期发展而 进行战略投资</w:t>
            </w:r>
          </w:p>
        </w:tc>
        <w:tc>
          <w:tcPr>
            <w:tcW w:w="1368"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49"/>
              <w:jc w:val="left"/>
              <w:rPr>
                <w:rFonts w:ascii="宋体" w:hAnsi="宋体" w:cs="宋体" w:eastAsia="宋体" w:hint="default"/>
                <w:sz w:val="18"/>
                <w:szCs w:val="18"/>
              </w:rPr>
            </w:pPr>
            <w:r>
              <w:rPr>
                <w:rFonts w:ascii="宋体" w:hAnsi="宋体" w:cs="宋体" w:eastAsia="宋体" w:hint="default"/>
                <w:sz w:val="18"/>
                <w:szCs w:val="18"/>
              </w:rPr>
              <w:t>厦门市巨龙信息科技有 限公司</w:t>
            </w:r>
          </w:p>
        </w:tc>
        <w:tc>
          <w:tcPr>
            <w:tcW w:w="1169"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130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08"/>
              <w:jc w:val="left"/>
              <w:rPr>
                <w:rFonts w:ascii="宋体" w:hAnsi="宋体" w:cs="宋体" w:eastAsia="宋体" w:hint="default"/>
                <w:sz w:val="18"/>
                <w:szCs w:val="18"/>
              </w:rPr>
            </w:pPr>
            <w:r>
              <w:rPr>
                <w:rFonts w:ascii="宋体" w:hAnsi="宋体" w:cs="宋体" w:eastAsia="宋体" w:hint="default"/>
                <w:sz w:val="18"/>
                <w:szCs w:val="18"/>
              </w:rPr>
              <w:t>为公司基于长期发展而 进行战略投资</w:t>
            </w:r>
          </w:p>
        </w:tc>
        <w:tc>
          <w:tcPr>
            <w:tcW w:w="136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49"/>
              <w:jc w:val="left"/>
              <w:rPr>
                <w:rFonts w:ascii="宋体" w:hAnsi="宋体" w:cs="宋体" w:eastAsia="宋体" w:hint="default"/>
                <w:sz w:val="18"/>
                <w:szCs w:val="18"/>
              </w:rPr>
            </w:pPr>
            <w:r>
              <w:rPr>
                <w:rFonts w:ascii="宋体" w:hAnsi="宋体" w:cs="宋体" w:eastAsia="宋体" w:hint="default"/>
                <w:sz w:val="18"/>
                <w:szCs w:val="18"/>
              </w:rPr>
              <w:t>厦门斯坦道科学仪器股 份有限公司</w:t>
            </w:r>
          </w:p>
        </w:tc>
        <w:tc>
          <w:tcPr>
            <w:tcW w:w="1169"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130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108"/>
              <w:jc w:val="left"/>
              <w:rPr>
                <w:rFonts w:ascii="宋体" w:hAnsi="宋体" w:cs="宋体" w:eastAsia="宋体" w:hint="default"/>
                <w:sz w:val="18"/>
                <w:szCs w:val="18"/>
              </w:rPr>
            </w:pPr>
            <w:r>
              <w:rPr>
                <w:rFonts w:ascii="宋体" w:hAnsi="宋体" w:cs="宋体" w:eastAsia="宋体" w:hint="default"/>
                <w:sz w:val="18"/>
                <w:szCs w:val="18"/>
              </w:rPr>
              <w:t>为公司基于长期发展而 进行战略投资</w:t>
            </w:r>
          </w:p>
        </w:tc>
        <w:tc>
          <w:tcPr>
            <w:tcW w:w="1368"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49"/>
              <w:jc w:val="left"/>
              <w:rPr>
                <w:rFonts w:ascii="宋体" w:hAnsi="宋体" w:cs="宋体" w:eastAsia="宋体" w:hint="default"/>
                <w:sz w:val="18"/>
                <w:szCs w:val="18"/>
              </w:rPr>
            </w:pPr>
            <w:r>
              <w:rPr>
                <w:rFonts w:ascii="宋体" w:hAnsi="宋体" w:cs="宋体" w:eastAsia="宋体" w:hint="default"/>
                <w:sz w:val="18"/>
                <w:szCs w:val="18"/>
              </w:rPr>
              <w:t>海峡国家版权交易中心 有限公司</w:t>
            </w:r>
          </w:p>
        </w:tc>
        <w:tc>
          <w:tcPr>
            <w:tcW w:w="1169"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130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08"/>
              <w:jc w:val="left"/>
              <w:rPr>
                <w:rFonts w:ascii="宋体" w:hAnsi="宋体" w:cs="宋体" w:eastAsia="宋体" w:hint="default"/>
                <w:sz w:val="18"/>
                <w:szCs w:val="18"/>
              </w:rPr>
            </w:pPr>
            <w:r>
              <w:rPr>
                <w:rFonts w:ascii="宋体" w:hAnsi="宋体" w:cs="宋体" w:eastAsia="宋体" w:hint="default"/>
                <w:sz w:val="18"/>
                <w:szCs w:val="18"/>
              </w:rPr>
              <w:t>为公司基于长期发展而 进行战略投资</w:t>
            </w:r>
          </w:p>
        </w:tc>
        <w:tc>
          <w:tcPr>
            <w:tcW w:w="136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49"/>
              <w:jc w:val="left"/>
              <w:rPr>
                <w:rFonts w:ascii="宋体" w:hAnsi="宋体" w:cs="宋体" w:eastAsia="宋体" w:hint="default"/>
                <w:sz w:val="18"/>
                <w:szCs w:val="18"/>
              </w:rPr>
            </w:pPr>
            <w:r>
              <w:rPr>
                <w:rFonts w:ascii="宋体" w:hAnsi="宋体" w:cs="宋体" w:eastAsia="宋体" w:hint="default"/>
                <w:sz w:val="18"/>
                <w:szCs w:val="18"/>
              </w:rPr>
              <w:t>深圳市中新赛克科技股 份有限公司</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91" w:right="0"/>
              <w:jc w:val="left"/>
              <w:rPr>
                <w:rFonts w:ascii="Times New Roman" w:hAnsi="Times New Roman" w:cs="Times New Roman" w:eastAsia="Times New Roman" w:hint="default"/>
                <w:sz w:val="18"/>
                <w:szCs w:val="18"/>
              </w:rPr>
            </w:pPr>
            <w:r>
              <w:rPr>
                <w:rFonts w:ascii="Times New Roman"/>
                <w:sz w:val="18"/>
              </w:rPr>
              <w:t>1,438,319.35</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245,768,197.6</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9</w:t>
            </w:r>
          </w:p>
        </w:tc>
        <w:tc>
          <w:tcPr>
            <w:tcW w:w="706" w:type="dxa"/>
            <w:tcBorders>
              <w:top w:val="single" w:sz="4" w:space="0" w:color="000000"/>
              <w:left w:val="single" w:sz="4" w:space="0" w:color="000000"/>
              <w:bottom w:val="single" w:sz="4" w:space="0" w:color="000000"/>
              <w:right w:val="single" w:sz="4" w:space="0" w:color="000000"/>
            </w:tcBorders>
          </w:tcPr>
          <w:p>
            <w:pPr/>
          </w:p>
        </w:tc>
        <w:tc>
          <w:tcPr>
            <w:tcW w:w="130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108"/>
              <w:jc w:val="left"/>
              <w:rPr>
                <w:rFonts w:ascii="宋体" w:hAnsi="宋体" w:cs="宋体" w:eastAsia="宋体" w:hint="default"/>
                <w:sz w:val="18"/>
                <w:szCs w:val="18"/>
              </w:rPr>
            </w:pPr>
            <w:r>
              <w:rPr>
                <w:rFonts w:ascii="宋体" w:hAnsi="宋体" w:cs="宋体" w:eastAsia="宋体" w:hint="default"/>
                <w:sz w:val="18"/>
                <w:szCs w:val="18"/>
              </w:rPr>
              <w:t>为公司基于长期发展而 进行战略投资</w:t>
            </w:r>
          </w:p>
        </w:tc>
        <w:tc>
          <w:tcPr>
            <w:tcW w:w="136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3"/>
              <w:jc w:val="left"/>
              <w:rPr>
                <w:rFonts w:ascii="宋体" w:hAnsi="宋体" w:cs="宋体" w:eastAsia="宋体" w:hint="default"/>
                <w:sz w:val="18"/>
                <w:szCs w:val="18"/>
              </w:rPr>
            </w:pPr>
            <w:r>
              <w:rPr>
                <w:rFonts w:ascii="宋体" w:hAnsi="宋体" w:cs="宋体" w:eastAsia="宋体" w:hint="default"/>
                <w:spacing w:val="-5"/>
                <w:sz w:val="18"/>
                <w:szCs w:val="18"/>
              </w:rPr>
              <w:t>中检邦迪（北京）智能科</w:t>
            </w:r>
            <w:r>
              <w:rPr>
                <w:rFonts w:ascii="宋体" w:hAnsi="宋体" w:cs="宋体" w:eastAsia="宋体" w:hint="default"/>
                <w:sz w:val="18"/>
                <w:szCs w:val="18"/>
              </w:rPr>
              <w:t> 技有限公司</w:t>
            </w:r>
          </w:p>
        </w:tc>
        <w:tc>
          <w:tcPr>
            <w:tcW w:w="1169"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130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08"/>
              <w:jc w:val="left"/>
              <w:rPr>
                <w:rFonts w:ascii="宋体" w:hAnsi="宋体" w:cs="宋体" w:eastAsia="宋体" w:hint="default"/>
                <w:sz w:val="18"/>
                <w:szCs w:val="18"/>
              </w:rPr>
            </w:pPr>
            <w:r>
              <w:rPr>
                <w:rFonts w:ascii="宋体" w:hAnsi="宋体" w:cs="宋体" w:eastAsia="宋体" w:hint="default"/>
                <w:sz w:val="18"/>
                <w:szCs w:val="18"/>
              </w:rPr>
              <w:t>为公司基于长期发展而 进行战略投资</w:t>
            </w:r>
          </w:p>
        </w:tc>
        <w:tc>
          <w:tcPr>
            <w:tcW w:w="1368" w:type="dxa"/>
            <w:tcBorders>
              <w:top w:val="single" w:sz="4" w:space="0" w:color="000000"/>
              <w:left w:val="single" w:sz="4" w:space="0" w:color="000000"/>
              <w:bottom w:val="single" w:sz="4" w:space="0" w:color="000000"/>
              <w:right w:val="single" w:sz="4" w:space="0" w:color="000000"/>
            </w:tcBorders>
          </w:tcPr>
          <w:p>
            <w:pP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19、其他非流动金融资产" w:id="292"/>
      <w:bookmarkEnd w:id="292"/>
      <w:r>
        <w:rPr>
          <w:b w:val="0"/>
          <w:bCs w:val="0"/>
        </w:rPr>
      </w:r>
      <w:r>
        <w:rPr>
          <w:rFonts w:ascii="Times New Roman" w:hAnsi="Times New Roman" w:cs="Times New Roman" w:eastAsia="Times New Roman" w:hint="default"/>
        </w:rPr>
        <w:t>19</w:t>
      </w:r>
      <w:r>
        <w:rPr/>
        <w:t>、其他非流动金融资产</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20、投资性房地产" w:id="293"/>
      <w:bookmarkEnd w:id="293"/>
      <w:r>
        <w:rPr>
          <w:b w:val="0"/>
          <w:bCs w:val="0"/>
        </w:rPr>
      </w:r>
      <w:r>
        <w:rPr>
          <w:rFonts w:ascii="Times New Roman" w:hAnsi="Times New Roman" w:cs="Times New Roman" w:eastAsia="Times New Roman" w:hint="default"/>
        </w:rPr>
        <w:t>20</w:t>
      </w:r>
      <w:r>
        <w:rPr/>
        <w:t>、投资性房地产</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right="986"/>
        <w:jc w:val="left"/>
        <w:rPr>
          <w:b w:val="0"/>
          <w:bCs w:val="0"/>
        </w:rPr>
      </w:pPr>
      <w:bookmarkStart w:name="（1）采用成本计量模式的投资性房地产" w:id="294"/>
      <w:bookmarkEnd w:id="294"/>
      <w:r>
        <w:rPr>
          <w:b w:val="0"/>
          <w:bCs w:val="0"/>
        </w:rPr>
      </w:r>
      <w:r>
        <w:rPr/>
        <w:t>（</w:t>
      </w:r>
      <w:r>
        <w:rPr>
          <w:rFonts w:ascii="Times New Roman" w:hAnsi="Times New Roman" w:cs="Times New Roman" w:eastAsia="Times New Roman" w:hint="default"/>
        </w:rPr>
        <w:t>1</w:t>
      </w:r>
      <w:r>
        <w:rPr/>
        <w:t>）采用成本计量模式的投资性房地产</w:t>
      </w:r>
      <w:r>
        <w:rPr>
          <w:b w:val="0"/>
          <w:bCs w:val="0"/>
        </w:rPr>
      </w:r>
    </w:p>
    <w:p>
      <w:pPr>
        <w:spacing w:line="240" w:lineRule="auto" w:before="12"/>
        <w:rPr>
          <w:rFonts w:ascii="宋体" w:hAnsi="宋体" w:cs="宋体" w:eastAsia="宋体" w:hint="default"/>
          <w:b/>
          <w:bCs/>
          <w:sz w:val="22"/>
          <w:szCs w:val="22"/>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before="117"/>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56"/>
        <w:gridCol w:w="1960"/>
        <w:gridCol w:w="1366"/>
        <w:gridCol w:w="1726"/>
        <w:gridCol w:w="1152"/>
      </w:tblGrid>
      <w:tr>
        <w:trPr>
          <w:trHeight w:val="403" w:hRule="exact"/>
        </w:trPr>
        <w:tc>
          <w:tcPr>
            <w:tcW w:w="33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40"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3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30"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7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96"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1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1" w:hRule="exact"/>
        </w:trPr>
        <w:tc>
          <w:tcPr>
            <w:tcW w:w="33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960" w:type="dxa"/>
            <w:tcBorders>
              <w:top w:val="single" w:sz="4" w:space="0" w:color="000000"/>
              <w:left w:val="single" w:sz="12" w:space="0" w:color="D4D4D4"/>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6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left="1106" w:right="0"/>
              <w:jc w:val="left"/>
              <w:rPr>
                <w:rFonts w:ascii="Times New Roman" w:hAnsi="Times New Roman" w:cs="Times New Roman" w:eastAsia="Times New Roman" w:hint="default"/>
                <w:sz w:val="18"/>
                <w:szCs w:val="18"/>
              </w:rPr>
            </w:pPr>
            <w:r>
              <w:rPr>
                <w:rFonts w:ascii="Times New Roman"/>
                <w:sz w:val="18"/>
              </w:rPr>
              <w:t>458,508.56</w:t>
            </w: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07" w:right="0"/>
              <w:jc w:val="left"/>
              <w:rPr>
                <w:rFonts w:ascii="Times New Roman" w:hAnsi="Times New Roman" w:cs="Times New Roman" w:eastAsia="Times New Roman" w:hint="default"/>
                <w:sz w:val="18"/>
                <w:szCs w:val="18"/>
              </w:rPr>
            </w:pPr>
            <w:r>
              <w:rPr>
                <w:rFonts w:ascii="Times New Roman"/>
                <w:sz w:val="18"/>
              </w:rPr>
              <w:t>458,508.56</w:t>
            </w:r>
          </w:p>
        </w:tc>
      </w:tr>
      <w:tr>
        <w:trPr>
          <w:trHeight w:val="401" w:hRule="exact"/>
        </w:trPr>
        <w:tc>
          <w:tcPr>
            <w:tcW w:w="33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60" w:type="dxa"/>
            <w:tcBorders>
              <w:top w:val="single" w:sz="4" w:space="0" w:color="000000"/>
              <w:left w:val="single" w:sz="12" w:space="0" w:color="D4D4D4"/>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）外购</w:t>
            </w:r>
          </w:p>
        </w:tc>
        <w:tc>
          <w:tcPr>
            <w:tcW w:w="1960" w:type="dxa"/>
            <w:tcBorders>
              <w:top w:val="single" w:sz="4" w:space="0" w:color="000000"/>
              <w:left w:val="single" w:sz="12" w:space="0" w:color="D4D4D4"/>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）存货</w:t>
            </w:r>
            <w:r>
              <w:rPr>
                <w:rFonts w:ascii="Times New Roman" w:hAnsi="Times New Roman" w:cs="Times New Roman" w:eastAsia="Times New Roman" w:hint="default"/>
                <w:sz w:val="18"/>
                <w:szCs w:val="18"/>
              </w:rPr>
              <w:t>\</w:t>
            </w:r>
            <w:r>
              <w:rPr>
                <w:rFonts w:ascii="宋体" w:hAnsi="宋体" w:cs="宋体" w:eastAsia="宋体" w:hint="default"/>
                <w:sz w:val="18"/>
                <w:szCs w:val="18"/>
              </w:rPr>
              <w:t>固定资产</w:t>
            </w:r>
            <w:r>
              <w:rPr>
                <w:rFonts w:ascii="Times New Roman" w:hAnsi="Times New Roman" w:cs="Times New Roman" w:eastAsia="Times New Roman" w:hint="default"/>
                <w:sz w:val="18"/>
                <w:szCs w:val="18"/>
              </w:rPr>
              <w:t>\</w:t>
            </w:r>
            <w:r>
              <w:rPr>
                <w:rFonts w:ascii="宋体" w:hAnsi="宋体" w:cs="宋体" w:eastAsia="宋体" w:hint="default"/>
                <w:sz w:val="18"/>
                <w:szCs w:val="18"/>
              </w:rPr>
              <w:t>在建工程转入</w:t>
            </w:r>
          </w:p>
        </w:tc>
        <w:tc>
          <w:tcPr>
            <w:tcW w:w="1960" w:type="dxa"/>
            <w:tcBorders>
              <w:top w:val="single" w:sz="4" w:space="0" w:color="000000"/>
              <w:left w:val="single" w:sz="12" w:space="0" w:color="D4D4D4"/>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）企业合并增加</w:t>
            </w:r>
          </w:p>
        </w:tc>
        <w:tc>
          <w:tcPr>
            <w:tcW w:w="1960" w:type="dxa"/>
            <w:tcBorders>
              <w:top w:val="single" w:sz="4" w:space="0" w:color="000000"/>
              <w:left w:val="single" w:sz="12" w:space="0" w:color="D4D4D4"/>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56" w:type="dxa"/>
            <w:tcBorders>
              <w:top w:val="single" w:sz="4" w:space="0" w:color="000000"/>
              <w:left w:val="single" w:sz="4" w:space="0" w:color="000000"/>
              <w:bottom w:val="single" w:sz="4" w:space="0" w:color="000000"/>
              <w:right w:val="single" w:sz="4" w:space="0" w:color="000000"/>
            </w:tcBorders>
          </w:tcPr>
          <w:p>
            <w:pPr/>
          </w:p>
        </w:tc>
        <w:tc>
          <w:tcPr>
            <w:tcW w:w="1960"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379"/>
        <w:gridCol w:w="1949"/>
        <w:gridCol w:w="1366"/>
        <w:gridCol w:w="1726"/>
        <w:gridCol w:w="1152"/>
      </w:tblGrid>
      <w:tr>
        <w:trPr>
          <w:trHeight w:val="401"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4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4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4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79"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458,508.56</w:t>
            </w: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458,508.56</w:t>
            </w:r>
          </w:p>
        </w:tc>
      </w:tr>
      <w:tr>
        <w:trPr>
          <w:trHeight w:val="403"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二、累计折旧和累计摊销</w:t>
            </w:r>
          </w:p>
        </w:tc>
        <w:tc>
          <w:tcPr>
            <w:tcW w:w="194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163,218.39</w:t>
            </w: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163,218.39</w:t>
            </w:r>
          </w:p>
        </w:tc>
      </w:tr>
      <w:tr>
        <w:trPr>
          <w:trHeight w:val="403"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19,606.19</w:t>
            </w: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19,606.19</w:t>
            </w:r>
          </w:p>
        </w:tc>
      </w:tr>
      <w:tr>
        <w:trPr>
          <w:trHeight w:val="401"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）计提或摊销</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19,606.19</w:t>
            </w: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19,606.19</w:t>
            </w:r>
          </w:p>
        </w:tc>
      </w:tr>
      <w:tr>
        <w:trPr>
          <w:trHeight w:val="403" w:hRule="exact"/>
        </w:trPr>
        <w:tc>
          <w:tcPr>
            <w:tcW w:w="3379"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4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4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4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79"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182,824.58</w:t>
            </w: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182,824.58</w:t>
            </w:r>
          </w:p>
        </w:tc>
      </w:tr>
      <w:tr>
        <w:trPr>
          <w:trHeight w:val="403"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94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4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4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94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79"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4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4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4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79"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4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94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275,683.98</w:t>
            </w: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275,683.98</w:t>
            </w:r>
          </w:p>
        </w:tc>
      </w:tr>
      <w:tr>
        <w:trPr>
          <w:trHeight w:val="403" w:hRule="exact"/>
        </w:trPr>
        <w:tc>
          <w:tcPr>
            <w:tcW w:w="33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295,290.17</w:t>
            </w:r>
          </w:p>
        </w:tc>
        <w:tc>
          <w:tcPr>
            <w:tcW w:w="136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295,290.17</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2）采用公允价值计量模式的投资性房地产" w:id="295"/>
      <w:bookmarkEnd w:id="295"/>
      <w:r>
        <w:rPr>
          <w:b w:val="0"/>
          <w:bCs w:val="0"/>
        </w:rPr>
      </w:r>
      <w:r>
        <w:rPr/>
        <w:t>（</w:t>
      </w:r>
      <w:r>
        <w:rPr>
          <w:rFonts w:ascii="Times New Roman" w:hAnsi="Times New Roman" w:cs="Times New Roman" w:eastAsia="Times New Roman" w:hint="default"/>
        </w:rPr>
        <w:t>2</w:t>
      </w:r>
      <w:r>
        <w:rPr/>
        <w:t>）采用公允价值计量模式的投资性房地产</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3）未办妥产权证书的投资性房地产情况" w:id="296"/>
      <w:bookmarkEnd w:id="296"/>
      <w:r>
        <w:rPr>
          <w:b w:val="0"/>
          <w:bCs w:val="0"/>
        </w:rPr>
      </w:r>
      <w:r>
        <w:rPr/>
        <w:t>（</w:t>
      </w:r>
      <w:r>
        <w:rPr>
          <w:rFonts w:ascii="Times New Roman" w:hAnsi="Times New Roman" w:cs="Times New Roman" w:eastAsia="Times New Roman" w:hint="default"/>
        </w:rPr>
        <w:t>3</w:t>
      </w:r>
      <w:r>
        <w:rPr/>
        <w:t>）未办妥产权证书的投资性房地产情况</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right"/>
        <w:rPr>
          <w:rFonts w:ascii="宋体" w:hAnsi="宋体" w:cs="宋体" w:eastAsia="宋体"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未办妥产权证书原因</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东海火炬科技园</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楼</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458,508.56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尚在办理</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21、固定资产" w:id="297"/>
      <w:bookmarkEnd w:id="297"/>
      <w:r>
        <w:rPr>
          <w:b w:val="0"/>
          <w:bCs w:val="0"/>
        </w:rPr>
      </w:r>
      <w:r>
        <w:rPr>
          <w:rFonts w:ascii="Times New Roman" w:hAnsi="Times New Roman" w:cs="Times New Roman" w:eastAsia="Times New Roman" w:hint="default"/>
        </w:rPr>
        <w:t>21</w:t>
      </w:r>
      <w:r>
        <w:rPr/>
        <w:t>、固定资产</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7"/>
        <w:gridCol w:w="3200"/>
        <w:gridCol w:w="3190"/>
      </w:tblGrid>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2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387,910,370.69</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269,979,915.61</w:t>
            </w:r>
            <w:r>
              <w:rPr>
                <w:rFonts w:ascii="Times New Roman"/>
                <w:sz w:val="18"/>
              </w:rPr>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387,910,370.69</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269,979,915.61</w:t>
            </w:r>
            <w:r>
              <w:rPr>
                <w:rFonts w:ascii="Times New Roman"/>
                <w:sz w:val="18"/>
              </w:rPr>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1）固定资产情况" w:id="298"/>
      <w:bookmarkEnd w:id="298"/>
      <w:r>
        <w:rPr>
          <w:b w:val="0"/>
          <w:bCs w:val="0"/>
        </w:rPr>
      </w:r>
      <w:r>
        <w:rPr/>
        <w:t>（</w:t>
      </w:r>
      <w:r>
        <w:rPr>
          <w:rFonts w:ascii="Times New Roman" w:hAnsi="Times New Roman" w:cs="Times New Roman" w:eastAsia="Times New Roman" w:hint="default"/>
        </w:rPr>
        <w:t>1</w:t>
      </w:r>
      <w:r>
        <w:rPr/>
        <w:t>）固定资产情况</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605"/>
        <w:gridCol w:w="1436"/>
        <w:gridCol w:w="1154"/>
        <w:gridCol w:w="1169"/>
        <w:gridCol w:w="1594"/>
        <w:gridCol w:w="1594"/>
      </w:tblGrid>
      <w:tr>
        <w:trPr>
          <w:trHeight w:val="401" w:hRule="exact"/>
        </w:trPr>
        <w:tc>
          <w:tcPr>
            <w:tcW w:w="26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3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81"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15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13"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1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0"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63" w:right="0"/>
              <w:jc w:val="left"/>
              <w:rPr>
                <w:rFonts w:ascii="宋体" w:hAnsi="宋体" w:cs="宋体" w:eastAsia="宋体" w:hint="default"/>
                <w:sz w:val="18"/>
                <w:szCs w:val="18"/>
              </w:rPr>
            </w:pPr>
            <w:r>
              <w:rPr>
                <w:rFonts w:ascii="宋体" w:hAnsi="宋体" w:cs="宋体" w:eastAsia="宋体" w:hint="default"/>
                <w:sz w:val="18"/>
                <w:szCs w:val="18"/>
              </w:rPr>
              <w:t>电子及办公设备</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3" w:hRule="exact"/>
        </w:trPr>
        <w:tc>
          <w:tcPr>
            <w:tcW w:w="26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436" w:type="dxa"/>
            <w:tcBorders>
              <w:top w:val="single" w:sz="4" w:space="0" w:color="000000"/>
              <w:left w:val="single" w:sz="10" w:space="0" w:color="D4D4D4"/>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6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43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289,928,739.88</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13,378,297.89</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18,686,142.69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115,589,027.83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437,582,208.29</w:t>
            </w:r>
            <w:r>
              <w:rPr>
                <w:rFonts w:ascii="Times New Roman"/>
                <w:sz w:val="18"/>
              </w:rPr>
            </w:r>
          </w:p>
        </w:tc>
      </w:tr>
      <w:tr>
        <w:trPr>
          <w:trHeight w:val="403" w:hRule="exact"/>
        </w:trPr>
        <w:tc>
          <w:tcPr>
            <w:tcW w:w="26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43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128,800,563.72</w:t>
            </w:r>
            <w:r>
              <w:rPr>
                <w:rFonts w:ascii="Times New Roman"/>
                <w:sz w:val="18"/>
              </w:rPr>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3,992,337.09</w:t>
            </w:r>
            <w:r>
              <w:rPr>
                <w:rFonts w:ascii="Times New Roman"/>
                <w:sz w:val="18"/>
              </w:rPr>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510,478.35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26,272,270.34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159,575,649.50</w:t>
            </w:r>
            <w:r>
              <w:rPr>
                <w:rFonts w:ascii="Times New Roman"/>
                <w:sz w:val="18"/>
              </w:rPr>
            </w:r>
          </w:p>
        </w:tc>
      </w:tr>
      <w:tr>
        <w:trPr>
          <w:trHeight w:val="401" w:hRule="exact"/>
        </w:trPr>
        <w:tc>
          <w:tcPr>
            <w:tcW w:w="26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43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122,002,284.01</w:t>
            </w:r>
            <w:r>
              <w:rPr>
                <w:rFonts w:ascii="Times New Roman"/>
                <w:sz w:val="18"/>
              </w:rPr>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3,992,337.09</w:t>
            </w:r>
            <w:r>
              <w:rPr>
                <w:rFonts w:ascii="Times New Roman"/>
                <w:sz w:val="18"/>
              </w:rPr>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510,478.35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26,081,217.65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152,586,317.10</w:t>
            </w:r>
            <w:r>
              <w:rPr>
                <w:rFonts w:ascii="Times New Roman"/>
                <w:sz w:val="18"/>
              </w:rPr>
            </w:r>
          </w:p>
        </w:tc>
      </w:tr>
      <w:tr>
        <w:trPr>
          <w:trHeight w:val="403" w:hRule="exact"/>
        </w:trPr>
        <w:tc>
          <w:tcPr>
            <w:tcW w:w="26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690"/>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）在建工程转入</w:t>
            </w:r>
          </w:p>
        </w:tc>
        <w:tc>
          <w:tcPr>
            <w:tcW w:w="143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6,798,279.71</w:t>
            </w:r>
            <w:r>
              <w:rPr>
                <w:rFonts w:ascii="Times New Roman"/>
                <w:sz w:val="18"/>
              </w:rPr>
            </w:r>
          </w:p>
        </w:tc>
        <w:tc>
          <w:tcPr>
            <w:tcW w:w="1154"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6,798,279.71</w:t>
            </w:r>
          </w:p>
        </w:tc>
      </w:tr>
      <w:tr>
        <w:trPr>
          <w:trHeight w:val="401" w:hRule="exact"/>
        </w:trPr>
        <w:tc>
          <w:tcPr>
            <w:tcW w:w="26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690"/>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）企业合并增加</w:t>
            </w:r>
          </w:p>
        </w:tc>
        <w:tc>
          <w:tcPr>
            <w:tcW w:w="1436" w:type="dxa"/>
            <w:tcBorders>
              <w:top w:val="single" w:sz="4" w:space="0" w:color="000000"/>
              <w:left w:val="single" w:sz="10" w:space="0" w:color="D4D4D4"/>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188,632.00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188,632.00</w:t>
            </w:r>
          </w:p>
        </w:tc>
      </w:tr>
      <w:tr>
        <w:trPr>
          <w:trHeight w:val="403" w:hRule="exact"/>
        </w:trPr>
        <w:tc>
          <w:tcPr>
            <w:tcW w:w="26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3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36" w:type="dxa"/>
            <w:tcBorders>
              <w:top w:val="single" w:sz="4" w:space="0" w:color="000000"/>
              <w:left w:val="single" w:sz="10" w:space="0" w:color="D4D4D4"/>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2,420.69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2,420.69</w:t>
            </w:r>
          </w:p>
        </w:tc>
      </w:tr>
      <w:tr>
        <w:trPr>
          <w:trHeight w:val="401" w:hRule="exact"/>
        </w:trPr>
        <w:tc>
          <w:tcPr>
            <w:tcW w:w="26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436" w:type="dxa"/>
            <w:tcBorders>
              <w:top w:val="single" w:sz="4" w:space="0" w:color="000000"/>
              <w:left w:val="single" w:sz="10" w:space="0" w:color="D4D4D4"/>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822,019.42</w:t>
            </w:r>
          </w:p>
        </w:tc>
        <w:tc>
          <w:tcPr>
            <w:tcW w:w="116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14,669,836.76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15,491,856.18</w:t>
            </w:r>
          </w:p>
        </w:tc>
      </w:tr>
      <w:tr>
        <w:trPr>
          <w:trHeight w:val="403" w:hRule="exact"/>
        </w:trPr>
        <w:tc>
          <w:tcPr>
            <w:tcW w:w="26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）处置或报废</w:t>
            </w:r>
          </w:p>
        </w:tc>
        <w:tc>
          <w:tcPr>
            <w:tcW w:w="1436" w:type="dxa"/>
            <w:tcBorders>
              <w:top w:val="single" w:sz="4" w:space="0" w:color="000000"/>
              <w:left w:val="single" w:sz="10" w:space="0" w:color="D4D4D4"/>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819,598.73</w:t>
            </w:r>
          </w:p>
        </w:tc>
        <w:tc>
          <w:tcPr>
            <w:tcW w:w="116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14,660,009.18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15,479,607.91</w:t>
            </w:r>
          </w:p>
        </w:tc>
      </w:tr>
      <w:tr>
        <w:trPr>
          <w:trHeight w:val="401" w:hRule="exact"/>
        </w:trPr>
        <w:tc>
          <w:tcPr>
            <w:tcW w:w="26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5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）其他减少</w:t>
            </w:r>
          </w:p>
        </w:tc>
        <w:tc>
          <w:tcPr>
            <w:tcW w:w="1436" w:type="dxa"/>
            <w:tcBorders>
              <w:top w:val="single" w:sz="4" w:space="0" w:color="000000"/>
              <w:left w:val="single" w:sz="10" w:space="0" w:color="D4D4D4"/>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2,420.69</w:t>
            </w:r>
          </w:p>
        </w:tc>
        <w:tc>
          <w:tcPr>
            <w:tcW w:w="116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9,827.58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12,248.27</w:t>
            </w:r>
          </w:p>
        </w:tc>
      </w:tr>
      <w:tr>
        <w:trPr>
          <w:trHeight w:val="403" w:hRule="exact"/>
        </w:trPr>
        <w:tc>
          <w:tcPr>
            <w:tcW w:w="26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43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418,729,303.60</w:t>
            </w:r>
            <w:r>
              <w:rPr>
                <w:rFonts w:ascii="Times New Roman"/>
                <w:sz w:val="18"/>
              </w:rPr>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16,548,615.56</w:t>
            </w:r>
            <w:r>
              <w:rPr>
                <w:rFonts w:ascii="Times New Roman"/>
                <w:sz w:val="18"/>
              </w:rPr>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19,196,621.04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127,191,461.41</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581,666,001.61</w:t>
            </w:r>
            <w:r>
              <w:rPr>
                <w:rFonts w:ascii="Times New Roman"/>
                <w:sz w:val="18"/>
              </w:rPr>
            </w:r>
          </w:p>
        </w:tc>
      </w:tr>
      <w:tr>
        <w:trPr>
          <w:trHeight w:val="401" w:hRule="exact"/>
        </w:trPr>
        <w:tc>
          <w:tcPr>
            <w:tcW w:w="26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436" w:type="dxa"/>
            <w:tcBorders>
              <w:top w:val="single" w:sz="4" w:space="0" w:color="000000"/>
              <w:left w:val="single" w:sz="10" w:space="0" w:color="D4D4D4"/>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6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43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86,564,839.70</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4,904,415.24</w:t>
            </w:r>
            <w:r>
              <w:rPr>
                <w:rFonts w:ascii="Times New Roman"/>
                <w:sz w:val="18"/>
              </w:rPr>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13,068,219.82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63,064,817.92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167,602,292.68</w:t>
            </w:r>
            <w:r>
              <w:rPr>
                <w:rFonts w:ascii="Times New Roman"/>
                <w:sz w:val="18"/>
              </w:rPr>
            </w:r>
          </w:p>
        </w:tc>
      </w:tr>
      <w:tr>
        <w:trPr>
          <w:trHeight w:val="401" w:hRule="exact"/>
        </w:trPr>
        <w:tc>
          <w:tcPr>
            <w:tcW w:w="26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43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18,305,740.20</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2,536,000.02</w:t>
            </w:r>
            <w:r>
              <w:rPr>
                <w:rFonts w:ascii="Times New Roman"/>
                <w:sz w:val="18"/>
              </w:rPr>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1,600,558.00</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16,897,167.23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39,339,465.45</w:t>
            </w:r>
          </w:p>
        </w:tc>
      </w:tr>
      <w:tr>
        <w:trPr>
          <w:trHeight w:val="403" w:hRule="exact"/>
        </w:trPr>
        <w:tc>
          <w:tcPr>
            <w:tcW w:w="26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43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18,305,740.20</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2,536,000.02</w:t>
            </w:r>
            <w:r>
              <w:rPr>
                <w:rFonts w:ascii="Times New Roman"/>
                <w:sz w:val="18"/>
              </w:rPr>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1,600,558.00</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16,896,898.92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39,339,197.14</w:t>
            </w:r>
          </w:p>
        </w:tc>
      </w:tr>
      <w:tr>
        <w:trPr>
          <w:trHeight w:val="401" w:hRule="exact"/>
        </w:trPr>
        <w:tc>
          <w:tcPr>
            <w:tcW w:w="26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64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w:t>
            </w:r>
          </w:p>
        </w:tc>
        <w:tc>
          <w:tcPr>
            <w:tcW w:w="1436" w:type="dxa"/>
            <w:tcBorders>
              <w:top w:val="single" w:sz="4" w:space="0" w:color="000000"/>
              <w:left w:val="single" w:sz="10" w:space="0" w:color="D4D4D4"/>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268.31</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268.31</w:t>
            </w:r>
            <w:r>
              <w:rPr>
                <w:rFonts w:ascii="Times New Roman"/>
                <w:sz w:val="18"/>
              </w:rPr>
            </w:r>
          </w:p>
        </w:tc>
      </w:tr>
      <w:tr>
        <w:trPr>
          <w:trHeight w:val="403" w:hRule="exact"/>
        </w:trPr>
        <w:tc>
          <w:tcPr>
            <w:tcW w:w="26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436" w:type="dxa"/>
            <w:tcBorders>
              <w:top w:val="single" w:sz="4" w:space="0" w:color="000000"/>
              <w:left w:val="single" w:sz="10" w:space="0" w:color="D4D4D4"/>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356,501.96</w:t>
            </w:r>
          </w:p>
        </w:tc>
        <w:tc>
          <w:tcPr>
            <w:tcW w:w="116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12,829,625.25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13,186,127.21</w:t>
            </w:r>
          </w:p>
        </w:tc>
      </w:tr>
      <w:tr>
        <w:trPr>
          <w:trHeight w:val="401" w:hRule="exact"/>
        </w:trPr>
        <w:tc>
          <w:tcPr>
            <w:tcW w:w="26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）处置或报废</w:t>
            </w:r>
          </w:p>
        </w:tc>
        <w:tc>
          <w:tcPr>
            <w:tcW w:w="1436" w:type="dxa"/>
            <w:tcBorders>
              <w:top w:val="single" w:sz="4" w:space="0" w:color="000000"/>
              <w:left w:val="single" w:sz="10" w:space="0" w:color="D4D4D4"/>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356,233.65</w:t>
            </w:r>
          </w:p>
        </w:tc>
        <w:tc>
          <w:tcPr>
            <w:tcW w:w="116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12,828,691.65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13,184,925.30</w:t>
            </w:r>
          </w:p>
        </w:tc>
      </w:tr>
      <w:tr>
        <w:trPr>
          <w:trHeight w:val="403" w:hRule="exact"/>
        </w:trPr>
        <w:tc>
          <w:tcPr>
            <w:tcW w:w="26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64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w:t>
            </w:r>
          </w:p>
        </w:tc>
        <w:tc>
          <w:tcPr>
            <w:tcW w:w="1436" w:type="dxa"/>
            <w:tcBorders>
              <w:top w:val="single" w:sz="4" w:space="0" w:color="000000"/>
              <w:left w:val="single" w:sz="10" w:space="0" w:color="D4D4D4"/>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268.31</w:t>
            </w:r>
            <w:r>
              <w:rPr>
                <w:rFonts w:ascii="Times New Roman"/>
                <w:sz w:val="18"/>
              </w:rPr>
            </w:r>
          </w:p>
        </w:tc>
        <w:tc>
          <w:tcPr>
            <w:tcW w:w="116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933.60</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1,201.91</w:t>
            </w:r>
          </w:p>
        </w:tc>
      </w:tr>
      <w:tr>
        <w:trPr>
          <w:trHeight w:val="401" w:hRule="exact"/>
        </w:trPr>
        <w:tc>
          <w:tcPr>
            <w:tcW w:w="26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43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104,870,579.90</w:t>
            </w:r>
            <w:r>
              <w:rPr>
                <w:rFonts w:ascii="Times New Roman"/>
                <w:sz w:val="18"/>
              </w:rPr>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7,083,913.30</w:t>
            </w:r>
            <w:r>
              <w:rPr>
                <w:rFonts w:ascii="Times New Roman"/>
                <w:sz w:val="18"/>
              </w:rPr>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14,668,777.82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67,132,359.90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193,755,630.92</w:t>
            </w:r>
            <w:r>
              <w:rPr>
                <w:rFonts w:ascii="Times New Roman"/>
                <w:sz w:val="18"/>
              </w:rPr>
            </w:r>
          </w:p>
        </w:tc>
      </w:tr>
      <w:tr>
        <w:trPr>
          <w:trHeight w:val="403" w:hRule="exact"/>
        </w:trPr>
        <w:tc>
          <w:tcPr>
            <w:tcW w:w="26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436" w:type="dxa"/>
            <w:tcBorders>
              <w:top w:val="single" w:sz="4" w:space="0" w:color="000000"/>
              <w:left w:val="single" w:sz="10" w:space="0" w:color="D4D4D4"/>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627"/>
        <w:gridCol w:w="1426"/>
        <w:gridCol w:w="1154"/>
        <w:gridCol w:w="1169"/>
        <w:gridCol w:w="1594"/>
        <w:gridCol w:w="1594"/>
      </w:tblGrid>
      <w:tr>
        <w:trPr>
          <w:trHeight w:val="401" w:hRule="exact"/>
        </w:trPr>
        <w:tc>
          <w:tcPr>
            <w:tcW w:w="262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42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62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42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62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42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627"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62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42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62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）处置或报废</w:t>
            </w:r>
          </w:p>
        </w:tc>
        <w:tc>
          <w:tcPr>
            <w:tcW w:w="142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627"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62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42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62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42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62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313,858,723.70</w:t>
            </w:r>
            <w:r>
              <w:rPr>
                <w:rFonts w:ascii="Times New Roman"/>
                <w:sz w:val="18"/>
              </w:rPr>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9,464,702.26</w:t>
            </w:r>
            <w:r>
              <w:rPr>
                <w:rFonts w:ascii="Times New Roman"/>
                <w:sz w:val="18"/>
              </w:rPr>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4,527,843.22</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60,059,101.51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387,910,370.69</w:t>
            </w:r>
            <w:r>
              <w:rPr>
                <w:rFonts w:ascii="Times New Roman"/>
                <w:sz w:val="18"/>
              </w:rPr>
            </w:r>
          </w:p>
        </w:tc>
      </w:tr>
      <w:tr>
        <w:trPr>
          <w:trHeight w:val="403" w:hRule="exact"/>
        </w:trPr>
        <w:tc>
          <w:tcPr>
            <w:tcW w:w="262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203,363,900.18</w:t>
            </w:r>
            <w:r>
              <w:rPr>
                <w:rFonts w:ascii="Times New Roman"/>
                <w:sz w:val="18"/>
              </w:rPr>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8,473,882.65</w:t>
            </w:r>
            <w:r>
              <w:rPr>
                <w:rFonts w:ascii="Times New Roman"/>
                <w:sz w:val="18"/>
              </w:rPr>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5,617,922.87</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52,524,209.91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269,979,915.61</w:t>
            </w:r>
            <w:r>
              <w:rPr>
                <w:rFonts w:ascii="Times New Roman"/>
                <w:sz w:val="18"/>
              </w:rPr>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2）暂时闲置的固定资产情况" w:id="299"/>
      <w:bookmarkEnd w:id="299"/>
      <w:r>
        <w:rPr>
          <w:b w:val="0"/>
          <w:bCs w:val="0"/>
        </w:rPr>
      </w:r>
      <w:r>
        <w:rPr/>
        <w:t>（</w:t>
      </w:r>
      <w:r>
        <w:rPr>
          <w:rFonts w:ascii="Times New Roman" w:hAnsi="Times New Roman" w:cs="Times New Roman" w:eastAsia="Times New Roman" w:hint="default"/>
        </w:rPr>
        <w:t>2</w:t>
      </w:r>
      <w:r>
        <w:rPr/>
        <w:t>）暂时闲置的固定资产情况</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3）通过融资租赁租入的固定资产情况" w:id="300"/>
      <w:bookmarkEnd w:id="300"/>
      <w:r>
        <w:rPr>
          <w:b w:val="0"/>
          <w:bCs w:val="0"/>
        </w:rPr>
      </w:r>
      <w:r>
        <w:rPr/>
        <w:t>（</w:t>
      </w:r>
      <w:r>
        <w:rPr>
          <w:rFonts w:ascii="Times New Roman" w:hAnsi="Times New Roman" w:cs="Times New Roman" w:eastAsia="Times New Roman" w:hint="default"/>
        </w:rPr>
        <w:t>3</w:t>
      </w:r>
      <w:r>
        <w:rPr/>
        <w:t>）通过融资租赁租入的固定资产情况</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4）通过经营租赁租出的固定资产" w:id="301"/>
      <w:bookmarkEnd w:id="301"/>
      <w:r>
        <w:rPr>
          <w:b w:val="0"/>
          <w:bCs w:val="0"/>
        </w:rPr>
      </w:r>
      <w:r>
        <w:rPr/>
        <w:t>（</w:t>
      </w:r>
      <w:r>
        <w:rPr>
          <w:rFonts w:ascii="Times New Roman" w:hAnsi="Times New Roman" w:cs="Times New Roman" w:eastAsia="Times New Roman" w:hint="default"/>
        </w:rPr>
        <w:t>4</w:t>
      </w:r>
      <w:r>
        <w:rPr/>
        <w:t>）通过经营租赁租出的固定资产</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5）未办妥产权证书的固定资产情况" w:id="302"/>
      <w:bookmarkEnd w:id="302"/>
      <w:r>
        <w:rPr>
          <w:b w:val="0"/>
          <w:bCs w:val="0"/>
        </w:rPr>
      </w:r>
      <w:r>
        <w:rPr/>
        <w:t>（</w:t>
      </w:r>
      <w:r>
        <w:rPr>
          <w:rFonts w:ascii="Times New Roman" w:hAnsi="Times New Roman" w:cs="Times New Roman" w:eastAsia="Times New Roman" w:hint="default"/>
        </w:rPr>
        <w:t>5</w:t>
      </w:r>
      <w:r>
        <w:rPr/>
        <w:t>）未办妥产权证书的固定资产情况</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0"/>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688"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东海火炬科技园</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楼</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150,430,814.56</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尚在办理</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莲花国际</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套住宅</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73,901,463.00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尚在办理</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6）固定资产清理" w:id="303"/>
      <w:bookmarkEnd w:id="303"/>
      <w:r>
        <w:rPr>
          <w:b w:val="0"/>
          <w:bCs w:val="0"/>
        </w:rPr>
      </w:r>
      <w:r>
        <w:rPr/>
        <w:t>（</w:t>
      </w:r>
      <w:r>
        <w:rPr>
          <w:rFonts w:ascii="Times New Roman" w:hAnsi="Times New Roman" w:cs="Times New Roman" w:eastAsia="Times New Roman" w:hint="default"/>
        </w:rPr>
        <w:t>6</w:t>
      </w:r>
      <w:r>
        <w:rPr/>
        <w:t>）固定资产清理</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22、在建工程" w:id="304"/>
      <w:bookmarkEnd w:id="304"/>
      <w:r>
        <w:rPr>
          <w:b w:val="0"/>
          <w:bCs w:val="0"/>
        </w:rPr>
      </w:r>
      <w:r>
        <w:rPr>
          <w:rFonts w:ascii="Times New Roman" w:hAnsi="Times New Roman" w:cs="Times New Roman" w:eastAsia="Times New Roman" w:hint="default"/>
        </w:rPr>
        <w:t>22</w:t>
      </w:r>
      <w:r>
        <w:rPr/>
        <w:t>、在建工程</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0"/>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8"/>
        <w:gridCol w:w="3190"/>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2,473,291.71</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1,415,526.94</w:t>
            </w:r>
            <w:r>
              <w:rPr>
                <w:rFonts w:ascii="Times New Roman"/>
                <w:sz w:val="18"/>
              </w:rPr>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2,473,291.71</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1,415,526.94</w:t>
            </w:r>
            <w:r>
              <w:rPr>
                <w:rFonts w:ascii="Times New Roman"/>
                <w:sz w:val="18"/>
              </w:rPr>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1）在建工程情况" w:id="305"/>
      <w:bookmarkEnd w:id="305"/>
      <w:r>
        <w:rPr>
          <w:b w:val="0"/>
          <w:bCs w:val="0"/>
        </w:rPr>
      </w:r>
      <w:r>
        <w:rPr/>
        <w:t>（</w:t>
      </w:r>
      <w:r>
        <w:rPr>
          <w:rFonts w:ascii="Times New Roman" w:hAnsi="Times New Roman" w:cs="Times New Roman" w:eastAsia="Times New Roman" w:hint="default"/>
        </w:rPr>
        <w:t>1</w:t>
      </w:r>
      <w:r>
        <w:rPr/>
        <w:t>）在建工程情况</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674"/>
        <w:gridCol w:w="1214"/>
        <w:gridCol w:w="960"/>
        <w:gridCol w:w="1260"/>
        <w:gridCol w:w="1157"/>
        <w:gridCol w:w="938"/>
        <w:gridCol w:w="1368"/>
      </w:tblGrid>
      <w:tr>
        <w:trPr>
          <w:trHeight w:val="402" w:hRule="exact"/>
        </w:trPr>
        <w:tc>
          <w:tcPr>
            <w:tcW w:w="2674"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434" w:type="dxa"/>
            <w:gridSpan w:val="3"/>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463" w:type="dxa"/>
            <w:gridSpan w:val="3"/>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2674" w:type="dxa"/>
            <w:vMerge/>
            <w:tcBorders>
              <w:left w:val="single" w:sz="4" w:space="0" w:color="000000"/>
              <w:bottom w:val="single" w:sz="4" w:space="0" w:color="000000"/>
              <w:right w:val="single" w:sz="4" w:space="0" w:color="000000"/>
            </w:tcBorders>
            <w:shd w:val="clear" w:color="auto" w:fill="D4D4D4"/>
          </w:tcPr>
          <w:p>
            <w:pPr/>
          </w:p>
        </w:tc>
        <w:tc>
          <w:tcPr>
            <w:tcW w:w="121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1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2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6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5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1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3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715" w:hRule="exact"/>
        </w:trPr>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1"/>
              <w:ind w:left="24" w:right="19"/>
              <w:jc w:val="left"/>
              <w:rPr>
                <w:rFonts w:ascii="宋体" w:hAnsi="宋体" w:cs="宋体" w:eastAsia="宋体" w:hint="default"/>
                <w:sz w:val="18"/>
                <w:szCs w:val="18"/>
              </w:rPr>
            </w:pPr>
            <w:r>
              <w:rPr>
                <w:rFonts w:ascii="宋体" w:hAnsi="宋体" w:cs="宋体" w:eastAsia="宋体" w:hint="default"/>
                <w:sz w:val="18"/>
                <w:szCs w:val="18"/>
              </w:rPr>
              <w:t>东海火炬科技园</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楼</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层及</w:t>
            </w:r>
            <w:r>
              <w:rPr>
                <w:rFonts w:ascii="宋体" w:hAnsi="宋体" w:cs="宋体" w:eastAsia="宋体" w:hint="default"/>
                <w:spacing w:val="-52"/>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层 装修工程</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969,706.37</w:t>
            </w:r>
          </w:p>
        </w:tc>
        <w:tc>
          <w:tcPr>
            <w:tcW w:w="9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969,706.37</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79" w:right="0"/>
              <w:jc w:val="left"/>
              <w:rPr>
                <w:rFonts w:ascii="Times New Roman" w:hAnsi="Times New Roman" w:cs="Times New Roman" w:eastAsia="Times New Roman" w:hint="default"/>
                <w:sz w:val="18"/>
                <w:szCs w:val="18"/>
              </w:rPr>
            </w:pPr>
            <w:r>
              <w:rPr>
                <w:rFonts w:ascii="Times New Roman"/>
                <w:sz w:val="18"/>
              </w:rPr>
              <w:t>1,415,526.94</w:t>
            </w:r>
          </w:p>
        </w:tc>
        <w:tc>
          <w:tcPr>
            <w:tcW w:w="93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1,415,526.94</w:t>
            </w:r>
            <w:r>
              <w:rPr>
                <w:rFonts w:ascii="Times New Roman"/>
                <w:sz w:val="18"/>
              </w:rPr>
            </w:r>
          </w:p>
        </w:tc>
      </w:tr>
      <w:tr>
        <w:trPr>
          <w:trHeight w:val="401" w:hRule="exact"/>
        </w:trPr>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信用大数据实验室装修一期工程</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483,125.87</w:t>
            </w:r>
          </w:p>
        </w:tc>
        <w:tc>
          <w:tcPr>
            <w:tcW w:w="9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483,125.87</w:t>
            </w:r>
          </w:p>
        </w:tc>
        <w:tc>
          <w:tcPr>
            <w:tcW w:w="1157" w:type="dxa"/>
            <w:tcBorders>
              <w:top w:val="single" w:sz="4" w:space="0" w:color="000000"/>
              <w:left w:val="single" w:sz="4" w:space="0" w:color="000000"/>
              <w:bottom w:val="single" w:sz="4" w:space="0" w:color="000000"/>
              <w:right w:val="single" w:sz="4" w:space="0" w:color="000000"/>
            </w:tcBorders>
          </w:tcPr>
          <w:p>
            <w:pPr/>
          </w:p>
        </w:tc>
        <w:tc>
          <w:tcPr>
            <w:tcW w:w="93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无锡天鹅座</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层装修工程</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246,882.08</w:t>
            </w:r>
          </w:p>
        </w:tc>
        <w:tc>
          <w:tcPr>
            <w:tcW w:w="9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246,882.08</w:t>
            </w:r>
          </w:p>
        </w:tc>
        <w:tc>
          <w:tcPr>
            <w:tcW w:w="1157" w:type="dxa"/>
            <w:tcBorders>
              <w:top w:val="single" w:sz="4" w:space="0" w:color="000000"/>
              <w:left w:val="single" w:sz="4" w:space="0" w:color="000000"/>
              <w:bottom w:val="single" w:sz="4" w:space="0" w:color="000000"/>
              <w:right w:val="single" w:sz="4" w:space="0" w:color="000000"/>
            </w:tcBorders>
          </w:tcPr>
          <w:p>
            <w:pPr/>
          </w:p>
        </w:tc>
        <w:tc>
          <w:tcPr>
            <w:tcW w:w="93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21"/>
              <w:jc w:val="left"/>
              <w:rPr>
                <w:rFonts w:ascii="宋体" w:hAnsi="宋体" w:cs="宋体" w:eastAsia="宋体" w:hint="default"/>
                <w:sz w:val="18"/>
                <w:szCs w:val="18"/>
              </w:rPr>
            </w:pPr>
            <w:r>
              <w:rPr>
                <w:rFonts w:ascii="宋体" w:hAnsi="宋体" w:cs="宋体" w:eastAsia="宋体" w:hint="default"/>
                <w:sz w:val="18"/>
                <w:szCs w:val="18"/>
              </w:rPr>
              <w:t>福州软件园</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F</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区</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号楼</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层装修</w:t>
            </w:r>
            <w:r>
              <w:rPr>
                <w:rFonts w:ascii="宋体" w:hAnsi="宋体" w:cs="宋体" w:eastAsia="宋体" w:hint="default"/>
                <w:spacing w:val="-3"/>
                <w:sz w:val="18"/>
                <w:szCs w:val="18"/>
              </w:rPr>
              <w:t> </w:t>
            </w:r>
            <w:r>
              <w:rPr>
                <w:rFonts w:ascii="宋体" w:hAnsi="宋体" w:cs="宋体" w:eastAsia="宋体" w:hint="default"/>
                <w:sz w:val="18"/>
                <w:szCs w:val="18"/>
              </w:rPr>
              <w:t>工程</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773,577.39</w:t>
            </w:r>
          </w:p>
        </w:tc>
        <w:tc>
          <w:tcPr>
            <w:tcW w:w="9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773,577.39</w:t>
            </w:r>
          </w:p>
        </w:tc>
        <w:tc>
          <w:tcPr>
            <w:tcW w:w="1157" w:type="dxa"/>
            <w:tcBorders>
              <w:top w:val="single" w:sz="4" w:space="0" w:color="000000"/>
              <w:left w:val="single" w:sz="4" w:space="0" w:color="000000"/>
              <w:bottom w:val="single" w:sz="4" w:space="0" w:color="000000"/>
              <w:right w:val="single" w:sz="4" w:space="0" w:color="000000"/>
            </w:tcBorders>
          </w:tcPr>
          <w:p>
            <w:pPr/>
          </w:p>
        </w:tc>
        <w:tc>
          <w:tcPr>
            <w:tcW w:w="93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67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2,473,291.71</w:t>
            </w:r>
            <w:r>
              <w:rPr>
                <w:rFonts w:ascii="Times New Roman"/>
                <w:sz w:val="18"/>
              </w:rPr>
            </w:r>
          </w:p>
        </w:tc>
        <w:tc>
          <w:tcPr>
            <w:tcW w:w="9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pacing w:val="-1"/>
                <w:sz w:val="18"/>
              </w:rPr>
              <w:t>2,473,291.71</w:t>
            </w:r>
            <w:r>
              <w:rPr>
                <w:rFonts w:ascii="Times New Roman"/>
                <w:sz w:val="18"/>
              </w:rPr>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79" w:right="0"/>
              <w:jc w:val="left"/>
              <w:rPr>
                <w:rFonts w:ascii="Times New Roman" w:hAnsi="Times New Roman" w:cs="Times New Roman" w:eastAsia="Times New Roman" w:hint="default"/>
                <w:sz w:val="18"/>
                <w:szCs w:val="18"/>
              </w:rPr>
            </w:pPr>
            <w:r>
              <w:rPr>
                <w:rFonts w:ascii="Times New Roman"/>
                <w:sz w:val="18"/>
              </w:rPr>
              <w:t>1,415,526.94</w:t>
            </w:r>
          </w:p>
        </w:tc>
        <w:tc>
          <w:tcPr>
            <w:tcW w:w="93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1,415,526.94</w:t>
            </w:r>
            <w:r>
              <w:rPr>
                <w:rFonts w:ascii="Times New Roman"/>
                <w:sz w:val="18"/>
              </w:rPr>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2）重要在建工程项目本期变动情况" w:id="306"/>
      <w:bookmarkEnd w:id="306"/>
      <w:r>
        <w:rPr>
          <w:b w:val="0"/>
          <w:bCs w:val="0"/>
        </w:rPr>
      </w:r>
      <w:r>
        <w:rPr/>
        <w:t>（</w:t>
      </w:r>
      <w:r>
        <w:rPr>
          <w:rFonts w:ascii="Times New Roman" w:hAnsi="Times New Roman" w:cs="Times New Roman" w:eastAsia="Times New Roman" w:hint="default"/>
        </w:rPr>
        <w:t>2</w:t>
      </w:r>
      <w:r>
        <w:rPr/>
        <w:t>）重要在建工程项目本期变动情况</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32"/>
        <w:gridCol w:w="737"/>
        <w:gridCol w:w="734"/>
        <w:gridCol w:w="737"/>
        <w:gridCol w:w="737"/>
        <w:gridCol w:w="734"/>
        <w:gridCol w:w="737"/>
        <w:gridCol w:w="737"/>
        <w:gridCol w:w="734"/>
        <w:gridCol w:w="737"/>
        <w:gridCol w:w="737"/>
        <w:gridCol w:w="734"/>
        <w:gridCol w:w="737"/>
      </w:tblGrid>
      <w:tr>
        <w:trPr>
          <w:trHeight w:val="1339" w:hRule="exact"/>
        </w:trPr>
        <w:tc>
          <w:tcPr>
            <w:tcW w:w="73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71" w:right="89" w:hanging="180"/>
              <w:jc w:val="left"/>
              <w:rPr>
                <w:rFonts w:ascii="宋体" w:hAnsi="宋体" w:cs="宋体" w:eastAsia="宋体" w:hint="default"/>
                <w:sz w:val="18"/>
                <w:szCs w:val="18"/>
              </w:rPr>
            </w:pPr>
            <w:r>
              <w:rPr>
                <w:rFonts w:ascii="宋体" w:hAnsi="宋体" w:cs="宋体" w:eastAsia="宋体" w:hint="default"/>
                <w:sz w:val="18"/>
                <w:szCs w:val="18"/>
              </w:rPr>
              <w:t>项目名 称</w:t>
            </w:r>
          </w:p>
        </w:tc>
        <w:tc>
          <w:tcPr>
            <w:tcW w:w="7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预算数</w:t>
            </w:r>
          </w:p>
        </w:tc>
        <w:tc>
          <w:tcPr>
            <w:tcW w:w="7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73" w:right="89"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7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93" w:right="91"/>
              <w:jc w:val="left"/>
              <w:rPr>
                <w:rFonts w:ascii="宋体" w:hAnsi="宋体" w:cs="宋体" w:eastAsia="宋体" w:hint="default"/>
                <w:sz w:val="18"/>
                <w:szCs w:val="18"/>
              </w:rPr>
            </w:pPr>
            <w:r>
              <w:rPr>
                <w:rFonts w:ascii="宋体" w:hAnsi="宋体" w:cs="宋体" w:eastAsia="宋体" w:hint="default"/>
                <w:sz w:val="18"/>
                <w:szCs w:val="18"/>
              </w:rPr>
              <w:t>本期增 加金额</w:t>
            </w:r>
          </w:p>
        </w:tc>
        <w:tc>
          <w:tcPr>
            <w:tcW w:w="7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93" w:right="91"/>
              <w:jc w:val="center"/>
              <w:rPr>
                <w:rFonts w:ascii="宋体" w:hAnsi="宋体" w:cs="宋体" w:eastAsia="宋体" w:hint="default"/>
                <w:sz w:val="18"/>
                <w:szCs w:val="18"/>
              </w:rPr>
            </w:pPr>
            <w:r>
              <w:rPr>
                <w:rFonts w:ascii="宋体" w:hAnsi="宋体" w:cs="宋体" w:eastAsia="宋体" w:hint="default"/>
                <w:sz w:val="18"/>
                <w:szCs w:val="18"/>
              </w:rPr>
              <w:t>本期转 入固定 资产金 额</w:t>
            </w:r>
          </w:p>
        </w:tc>
        <w:tc>
          <w:tcPr>
            <w:tcW w:w="7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93" w:right="89"/>
              <w:jc w:val="both"/>
              <w:rPr>
                <w:rFonts w:ascii="宋体" w:hAnsi="宋体" w:cs="宋体" w:eastAsia="宋体" w:hint="default"/>
                <w:sz w:val="18"/>
                <w:szCs w:val="18"/>
              </w:rPr>
            </w:pPr>
            <w:r>
              <w:rPr>
                <w:rFonts w:ascii="宋体" w:hAnsi="宋体" w:cs="宋体" w:eastAsia="宋体" w:hint="default"/>
                <w:sz w:val="18"/>
                <w:szCs w:val="18"/>
              </w:rPr>
              <w:t>本期其 他减少 金额</w:t>
            </w:r>
          </w:p>
        </w:tc>
        <w:tc>
          <w:tcPr>
            <w:tcW w:w="7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73" w:right="91" w:hanging="180"/>
              <w:jc w:val="left"/>
              <w:rPr>
                <w:rFonts w:ascii="宋体" w:hAnsi="宋体" w:cs="宋体" w:eastAsia="宋体" w:hint="default"/>
                <w:sz w:val="18"/>
                <w:szCs w:val="18"/>
              </w:rPr>
            </w:pPr>
            <w:r>
              <w:rPr>
                <w:rFonts w:ascii="宋体" w:hAnsi="宋体" w:cs="宋体" w:eastAsia="宋体" w:hint="default"/>
                <w:sz w:val="18"/>
                <w:szCs w:val="18"/>
              </w:rPr>
              <w:t>期末余 额</w:t>
            </w:r>
          </w:p>
        </w:tc>
        <w:tc>
          <w:tcPr>
            <w:tcW w:w="7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93" w:right="91"/>
              <w:jc w:val="both"/>
              <w:rPr>
                <w:rFonts w:ascii="宋体" w:hAnsi="宋体" w:cs="宋体" w:eastAsia="宋体" w:hint="default"/>
                <w:sz w:val="18"/>
                <w:szCs w:val="18"/>
              </w:rPr>
            </w:pPr>
            <w:r>
              <w:rPr>
                <w:rFonts w:ascii="宋体" w:hAnsi="宋体" w:cs="宋体" w:eastAsia="宋体" w:hint="default"/>
                <w:sz w:val="18"/>
                <w:szCs w:val="18"/>
              </w:rPr>
              <w:t>工程累 计投入 占预算 比例</w:t>
            </w:r>
          </w:p>
        </w:tc>
        <w:tc>
          <w:tcPr>
            <w:tcW w:w="7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73" w:right="89" w:hanging="180"/>
              <w:jc w:val="left"/>
              <w:rPr>
                <w:rFonts w:ascii="宋体" w:hAnsi="宋体" w:cs="宋体" w:eastAsia="宋体" w:hint="default"/>
                <w:sz w:val="18"/>
                <w:szCs w:val="18"/>
              </w:rPr>
            </w:pPr>
            <w:r>
              <w:rPr>
                <w:rFonts w:ascii="宋体" w:hAnsi="宋体" w:cs="宋体" w:eastAsia="宋体" w:hint="default"/>
                <w:sz w:val="18"/>
                <w:szCs w:val="18"/>
              </w:rPr>
              <w:t>工程进 度</w:t>
            </w:r>
          </w:p>
        </w:tc>
        <w:tc>
          <w:tcPr>
            <w:tcW w:w="7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93" w:right="91"/>
              <w:jc w:val="both"/>
              <w:rPr>
                <w:rFonts w:ascii="宋体" w:hAnsi="宋体" w:cs="宋体" w:eastAsia="宋体" w:hint="default"/>
                <w:sz w:val="18"/>
                <w:szCs w:val="18"/>
              </w:rPr>
            </w:pPr>
            <w:r>
              <w:rPr>
                <w:rFonts w:ascii="宋体" w:hAnsi="宋体" w:cs="宋体" w:eastAsia="宋体" w:hint="default"/>
                <w:sz w:val="18"/>
                <w:szCs w:val="18"/>
              </w:rPr>
              <w:t>利息资 本化累 计金额</w:t>
            </w:r>
          </w:p>
        </w:tc>
        <w:tc>
          <w:tcPr>
            <w:tcW w:w="7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3" w:right="22"/>
              <w:jc w:val="center"/>
              <w:rPr>
                <w:rFonts w:ascii="宋体" w:hAnsi="宋体" w:cs="宋体" w:eastAsia="宋体" w:hint="default"/>
                <w:sz w:val="18"/>
                <w:szCs w:val="18"/>
              </w:rPr>
            </w:pPr>
            <w:r>
              <w:rPr>
                <w:rFonts w:ascii="宋体" w:hAnsi="宋体" w:cs="宋体" w:eastAsia="宋体" w:hint="default"/>
                <w:spacing w:val="-11"/>
                <w:sz w:val="18"/>
                <w:szCs w:val="18"/>
              </w:rPr>
              <w:t>其中：本</w:t>
            </w:r>
            <w:r>
              <w:rPr>
                <w:rFonts w:ascii="宋体" w:hAnsi="宋体" w:cs="宋体" w:eastAsia="宋体" w:hint="default"/>
                <w:sz w:val="18"/>
                <w:szCs w:val="18"/>
              </w:rPr>
              <w:t> 期利息 资本化 金额</w:t>
            </w:r>
          </w:p>
        </w:tc>
        <w:tc>
          <w:tcPr>
            <w:tcW w:w="7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93" w:right="89"/>
              <w:jc w:val="both"/>
              <w:rPr>
                <w:rFonts w:ascii="宋体" w:hAnsi="宋体" w:cs="宋体" w:eastAsia="宋体" w:hint="default"/>
                <w:sz w:val="18"/>
                <w:szCs w:val="18"/>
              </w:rPr>
            </w:pPr>
            <w:r>
              <w:rPr>
                <w:rFonts w:ascii="宋体" w:hAnsi="宋体" w:cs="宋体" w:eastAsia="宋体" w:hint="default"/>
                <w:sz w:val="18"/>
                <w:szCs w:val="18"/>
              </w:rPr>
              <w:t>本期利 息资本 化率</w:t>
            </w:r>
          </w:p>
        </w:tc>
        <w:tc>
          <w:tcPr>
            <w:tcW w:w="7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73" w:right="91" w:hanging="180"/>
              <w:jc w:val="left"/>
              <w:rPr>
                <w:rFonts w:ascii="宋体" w:hAnsi="宋体" w:cs="宋体" w:eastAsia="宋体" w:hint="default"/>
                <w:sz w:val="18"/>
                <w:szCs w:val="18"/>
              </w:rPr>
            </w:pPr>
            <w:r>
              <w:rPr>
                <w:rFonts w:ascii="宋体" w:hAnsi="宋体" w:cs="宋体" w:eastAsia="宋体" w:hint="default"/>
                <w:sz w:val="18"/>
                <w:szCs w:val="18"/>
              </w:rPr>
              <w:t>资金来 源</w:t>
            </w:r>
          </w:p>
        </w:tc>
      </w:tr>
      <w:tr>
        <w:trPr>
          <w:trHeight w:val="1961" w:hRule="exact"/>
        </w:trPr>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8"/>
              <w:jc w:val="left"/>
              <w:rPr>
                <w:rFonts w:ascii="Times New Roman" w:hAnsi="Times New Roman" w:cs="Times New Roman" w:eastAsia="Times New Roman" w:hint="default"/>
                <w:sz w:val="18"/>
                <w:szCs w:val="18"/>
              </w:rPr>
            </w:pPr>
            <w:r>
              <w:rPr>
                <w:rFonts w:ascii="宋体" w:hAnsi="宋体" w:cs="宋体" w:eastAsia="宋体" w:hint="default"/>
                <w:sz w:val="18"/>
                <w:szCs w:val="18"/>
              </w:rPr>
              <w:t>东海火 炬科技 园</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楼</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9</w:t>
            </w:r>
          </w:p>
          <w:p>
            <w:pPr>
              <w:pStyle w:val="TableParagraph"/>
              <w:spacing w:line="309" w:lineRule="auto"/>
              <w:ind w:left="24" w:right="122"/>
              <w:jc w:val="both"/>
              <w:rPr>
                <w:rFonts w:ascii="宋体" w:hAnsi="宋体" w:cs="宋体" w:eastAsia="宋体" w:hint="default"/>
                <w:sz w:val="18"/>
                <w:szCs w:val="18"/>
              </w:rPr>
            </w:pPr>
            <w:r>
              <w:rPr>
                <w:rFonts w:ascii="宋体" w:hAnsi="宋体" w:cs="宋体" w:eastAsia="宋体" w:hint="default"/>
                <w:sz w:val="18"/>
                <w:szCs w:val="18"/>
              </w:rPr>
              <w:t>层及</w:t>
            </w:r>
            <w:r>
              <w:rPr>
                <w:rFonts w:ascii="宋体" w:hAnsi="宋体" w:cs="宋体" w:eastAsia="宋体" w:hint="default"/>
                <w:spacing w:val="-45"/>
                <w:sz w:val="18"/>
                <w:szCs w:val="18"/>
              </w:rPr>
              <w:t> </w:t>
            </w:r>
            <w:r>
              <w:rPr>
                <w:rFonts w:ascii="Times New Roman" w:hAnsi="Times New Roman" w:cs="Times New Roman" w:eastAsia="Times New Roman" w:hint="default"/>
                <w:spacing w:val="-6"/>
                <w:sz w:val="18"/>
                <w:szCs w:val="18"/>
              </w:rPr>
              <w:t>11 </w:t>
            </w:r>
            <w:r>
              <w:rPr>
                <w:rFonts w:ascii="宋体" w:hAnsi="宋体" w:cs="宋体" w:eastAsia="宋体" w:hint="default"/>
                <w:sz w:val="18"/>
                <w:szCs w:val="18"/>
              </w:rPr>
              <w:t>层装修 工程</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7,740,89</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9.85</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1,415,52</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6.94</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4,692,65</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9.88</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5,138,48</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0.45</w:t>
            </w: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969,706.</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37</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78.91%</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78.91%</w:t>
            </w:r>
          </w:p>
        </w:tc>
        <w:tc>
          <w:tcPr>
            <w:tcW w:w="737"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316" w:lineRule="auto"/>
              <w:ind w:left="23" w:right="161"/>
              <w:jc w:val="left"/>
              <w:rPr>
                <w:rFonts w:ascii="宋体" w:hAnsi="宋体" w:cs="宋体" w:eastAsia="宋体" w:hint="default"/>
                <w:sz w:val="18"/>
                <w:szCs w:val="18"/>
              </w:rPr>
            </w:pPr>
            <w:r>
              <w:rPr>
                <w:rFonts w:ascii="宋体" w:hAnsi="宋体" w:cs="宋体" w:eastAsia="宋体" w:hint="default"/>
                <w:sz w:val="18"/>
                <w:szCs w:val="18"/>
              </w:rPr>
              <w:t>自有资 金</w:t>
            </w:r>
          </w:p>
        </w:tc>
      </w:tr>
      <w:tr>
        <w:trPr>
          <w:trHeight w:val="1027" w:hRule="exact"/>
        </w:trPr>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6"/>
              <w:jc w:val="both"/>
              <w:rPr>
                <w:rFonts w:ascii="宋体" w:hAnsi="宋体" w:cs="宋体" w:eastAsia="宋体" w:hint="default"/>
                <w:sz w:val="18"/>
                <w:szCs w:val="18"/>
              </w:rPr>
            </w:pPr>
            <w:r>
              <w:rPr>
                <w:rFonts w:ascii="宋体" w:hAnsi="宋体" w:cs="宋体" w:eastAsia="宋体" w:hint="default"/>
                <w:sz w:val="18"/>
                <w:szCs w:val="18"/>
              </w:rPr>
              <w:t>北京办 公室改 造工程</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1,738,62</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5.42</w:t>
            </w: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1,738,62</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5.42</w:t>
            </w:r>
          </w:p>
        </w:tc>
        <w:tc>
          <w:tcPr>
            <w:tcW w:w="737"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1,738,62</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5.42</w:t>
            </w:r>
          </w:p>
        </w:tc>
        <w:tc>
          <w:tcPr>
            <w:tcW w:w="737"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100.00%</w:t>
            </w:r>
          </w:p>
        </w:tc>
        <w:tc>
          <w:tcPr>
            <w:tcW w:w="737"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161"/>
              <w:jc w:val="left"/>
              <w:rPr>
                <w:rFonts w:ascii="宋体" w:hAnsi="宋体" w:cs="宋体" w:eastAsia="宋体" w:hint="default"/>
                <w:sz w:val="18"/>
                <w:szCs w:val="18"/>
              </w:rPr>
            </w:pPr>
            <w:r>
              <w:rPr>
                <w:rFonts w:ascii="宋体" w:hAnsi="宋体" w:cs="宋体" w:eastAsia="宋体" w:hint="default"/>
                <w:sz w:val="18"/>
                <w:szCs w:val="18"/>
              </w:rPr>
              <w:t>自有资 金</w:t>
            </w:r>
          </w:p>
        </w:tc>
      </w:tr>
      <w:tr>
        <w:trPr>
          <w:trHeight w:val="1337" w:hRule="exact"/>
        </w:trPr>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6"/>
              <w:jc w:val="both"/>
              <w:rPr>
                <w:rFonts w:ascii="宋体" w:hAnsi="宋体" w:cs="宋体" w:eastAsia="宋体" w:hint="default"/>
                <w:sz w:val="18"/>
                <w:szCs w:val="18"/>
              </w:rPr>
            </w:pPr>
            <w:r>
              <w:rPr>
                <w:rFonts w:ascii="宋体" w:hAnsi="宋体" w:cs="宋体" w:eastAsia="宋体" w:hint="default"/>
                <w:sz w:val="18"/>
                <w:szCs w:val="18"/>
              </w:rPr>
              <w:t>美亚柏 科总部 装修改 造工程</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1,384,56</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9.90</w:t>
            </w: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1,384,56</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9.90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1,384,56</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9.90</w:t>
            </w: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100.00%</w:t>
            </w:r>
          </w:p>
        </w:tc>
        <w:tc>
          <w:tcPr>
            <w:tcW w:w="737"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161"/>
              <w:jc w:val="left"/>
              <w:rPr>
                <w:rFonts w:ascii="宋体" w:hAnsi="宋体" w:cs="宋体" w:eastAsia="宋体" w:hint="default"/>
                <w:sz w:val="18"/>
                <w:szCs w:val="18"/>
              </w:rPr>
            </w:pPr>
            <w:r>
              <w:rPr>
                <w:rFonts w:ascii="宋体" w:hAnsi="宋体" w:cs="宋体" w:eastAsia="宋体" w:hint="default"/>
                <w:sz w:val="18"/>
                <w:szCs w:val="18"/>
              </w:rPr>
              <w:t>自有资 金</w:t>
            </w:r>
          </w:p>
        </w:tc>
      </w:tr>
      <w:tr>
        <w:trPr>
          <w:trHeight w:val="1339" w:hRule="exact"/>
        </w:trPr>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6"/>
              <w:jc w:val="both"/>
              <w:rPr>
                <w:rFonts w:ascii="宋体" w:hAnsi="宋体" w:cs="宋体" w:eastAsia="宋体" w:hint="default"/>
                <w:sz w:val="18"/>
                <w:szCs w:val="18"/>
              </w:rPr>
            </w:pPr>
            <w:r>
              <w:rPr>
                <w:rFonts w:ascii="宋体" w:hAnsi="宋体" w:cs="宋体" w:eastAsia="宋体" w:hint="default"/>
                <w:sz w:val="18"/>
                <w:szCs w:val="18"/>
              </w:rPr>
              <w:t>信用大 数据装 修二期 工程</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275,229.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36</w:t>
            </w: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275,229.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36</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275,229.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36</w:t>
            </w: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100.00%</w:t>
            </w:r>
          </w:p>
        </w:tc>
        <w:tc>
          <w:tcPr>
            <w:tcW w:w="737"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161"/>
              <w:jc w:val="left"/>
              <w:rPr>
                <w:rFonts w:ascii="宋体" w:hAnsi="宋体" w:cs="宋体" w:eastAsia="宋体" w:hint="default"/>
                <w:sz w:val="18"/>
                <w:szCs w:val="18"/>
              </w:rPr>
            </w:pPr>
            <w:r>
              <w:rPr>
                <w:rFonts w:ascii="宋体" w:hAnsi="宋体" w:cs="宋体" w:eastAsia="宋体" w:hint="default"/>
                <w:sz w:val="18"/>
                <w:szCs w:val="18"/>
              </w:rPr>
              <w:t>自有资 金</w:t>
            </w:r>
          </w:p>
        </w:tc>
      </w:tr>
    </w:tbl>
    <w:p>
      <w:pPr>
        <w:spacing w:after="0" w:line="316"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732"/>
        <w:gridCol w:w="737"/>
        <w:gridCol w:w="734"/>
        <w:gridCol w:w="737"/>
        <w:gridCol w:w="737"/>
        <w:gridCol w:w="734"/>
        <w:gridCol w:w="737"/>
        <w:gridCol w:w="737"/>
        <w:gridCol w:w="734"/>
        <w:gridCol w:w="737"/>
        <w:gridCol w:w="737"/>
        <w:gridCol w:w="734"/>
        <w:gridCol w:w="737"/>
      </w:tblGrid>
      <w:tr>
        <w:trPr>
          <w:trHeight w:val="1337" w:hRule="exact"/>
        </w:trPr>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6"/>
              <w:jc w:val="both"/>
              <w:rPr>
                <w:rFonts w:ascii="宋体" w:hAnsi="宋体" w:cs="宋体" w:eastAsia="宋体" w:hint="default"/>
                <w:sz w:val="18"/>
                <w:szCs w:val="18"/>
              </w:rPr>
            </w:pPr>
            <w:r>
              <w:rPr>
                <w:rFonts w:ascii="宋体" w:hAnsi="宋体" w:cs="宋体" w:eastAsia="宋体" w:hint="default"/>
                <w:sz w:val="18"/>
                <w:szCs w:val="18"/>
              </w:rPr>
              <w:t>信用大 数据装 修一期 工程</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820,685.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483,125.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87</w:t>
            </w:r>
          </w:p>
        </w:tc>
        <w:tc>
          <w:tcPr>
            <w:tcW w:w="737"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483,125.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87</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58.87%</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58.87%</w:t>
            </w:r>
          </w:p>
        </w:tc>
        <w:tc>
          <w:tcPr>
            <w:tcW w:w="737"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161"/>
              <w:jc w:val="left"/>
              <w:rPr>
                <w:rFonts w:ascii="宋体" w:hAnsi="宋体" w:cs="宋体" w:eastAsia="宋体" w:hint="default"/>
                <w:sz w:val="18"/>
                <w:szCs w:val="18"/>
              </w:rPr>
            </w:pPr>
            <w:r>
              <w:rPr>
                <w:rFonts w:ascii="宋体" w:hAnsi="宋体" w:cs="宋体" w:eastAsia="宋体" w:hint="default"/>
                <w:sz w:val="18"/>
                <w:szCs w:val="18"/>
              </w:rPr>
              <w:t>自有资 金</w:t>
            </w:r>
          </w:p>
        </w:tc>
      </w:tr>
      <w:tr>
        <w:trPr>
          <w:trHeight w:val="1651" w:hRule="exact"/>
        </w:trPr>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4" w:right="17"/>
              <w:jc w:val="left"/>
              <w:rPr>
                <w:rFonts w:ascii="宋体" w:hAnsi="宋体" w:cs="宋体" w:eastAsia="宋体" w:hint="default"/>
                <w:sz w:val="18"/>
                <w:szCs w:val="18"/>
              </w:rPr>
            </w:pPr>
            <w:r>
              <w:rPr>
                <w:rFonts w:ascii="宋体" w:hAnsi="宋体" w:cs="宋体" w:eastAsia="宋体" w:hint="default"/>
                <w:sz w:val="18"/>
                <w:szCs w:val="18"/>
              </w:rPr>
              <w:t>无锡天 鹅座</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幢</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层 装修工 程</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7,946,88</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2.08</w:t>
            </w: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246,882.</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08</w:t>
            </w:r>
          </w:p>
        </w:tc>
        <w:tc>
          <w:tcPr>
            <w:tcW w:w="737"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246,882.</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08</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2"/>
                <w:sz w:val="18"/>
              </w:rPr>
              <w:t>3.11%</w:t>
            </w:r>
            <w:r>
              <w:rPr>
                <w:rFonts w:ascii="Times New Roman"/>
                <w:sz w:val="18"/>
              </w:rPr>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3.11%</w:t>
            </w:r>
          </w:p>
        </w:tc>
        <w:tc>
          <w:tcPr>
            <w:tcW w:w="737"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4" w:lineRule="auto"/>
              <w:ind w:left="23" w:right="161"/>
              <w:jc w:val="left"/>
              <w:rPr>
                <w:rFonts w:ascii="宋体" w:hAnsi="宋体" w:cs="宋体" w:eastAsia="宋体" w:hint="default"/>
                <w:sz w:val="18"/>
                <w:szCs w:val="18"/>
              </w:rPr>
            </w:pPr>
            <w:r>
              <w:rPr>
                <w:rFonts w:ascii="宋体" w:hAnsi="宋体" w:cs="宋体" w:eastAsia="宋体" w:hint="default"/>
                <w:sz w:val="18"/>
                <w:szCs w:val="18"/>
              </w:rPr>
              <w:t>自有资 金</w:t>
            </w:r>
          </w:p>
        </w:tc>
      </w:tr>
      <w:tr>
        <w:trPr>
          <w:trHeight w:val="1649" w:hRule="exact"/>
        </w:trPr>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4" w:right="17"/>
              <w:jc w:val="left"/>
              <w:rPr>
                <w:rFonts w:ascii="宋体" w:hAnsi="宋体" w:cs="宋体" w:eastAsia="宋体" w:hint="default"/>
                <w:sz w:val="18"/>
                <w:szCs w:val="18"/>
              </w:rPr>
            </w:pPr>
            <w:r>
              <w:rPr>
                <w:rFonts w:ascii="宋体" w:hAnsi="宋体" w:cs="宋体" w:eastAsia="宋体" w:hint="default"/>
                <w:sz w:val="18"/>
                <w:szCs w:val="18"/>
              </w:rPr>
              <w:t>福州软 件园</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F</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区</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号楼</w:t>
            </w:r>
          </w:p>
          <w:p>
            <w:pPr>
              <w:pStyle w:val="TableParagraph"/>
              <w:spacing w:line="300" w:lineRule="auto" w:before="5"/>
              <w:ind w:left="24" w:right="108"/>
              <w:jc w:val="left"/>
              <w:rPr>
                <w:rFonts w:ascii="宋体" w:hAnsi="宋体" w:cs="宋体" w:eastAsia="宋体" w:hint="default"/>
                <w:sz w:val="18"/>
                <w:szCs w:val="18"/>
              </w:rPr>
            </w:pP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层装 修工程</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1,051,87</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6.42</w:t>
            </w: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773,577.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39</w:t>
            </w:r>
          </w:p>
        </w:tc>
        <w:tc>
          <w:tcPr>
            <w:tcW w:w="737"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773,577.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39</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73.54%</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73.54%</w:t>
            </w:r>
          </w:p>
        </w:tc>
        <w:tc>
          <w:tcPr>
            <w:tcW w:w="737"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3" w:right="161"/>
              <w:jc w:val="left"/>
              <w:rPr>
                <w:rFonts w:ascii="宋体" w:hAnsi="宋体" w:cs="宋体" w:eastAsia="宋体" w:hint="default"/>
                <w:sz w:val="18"/>
                <w:szCs w:val="18"/>
              </w:rPr>
            </w:pPr>
            <w:r>
              <w:rPr>
                <w:rFonts w:ascii="宋体" w:hAnsi="宋体" w:cs="宋体" w:eastAsia="宋体" w:hint="default"/>
                <w:sz w:val="18"/>
                <w:szCs w:val="18"/>
              </w:rPr>
              <w:t>自有资 金</w:t>
            </w:r>
          </w:p>
        </w:tc>
      </w:tr>
      <w:tr>
        <w:trPr>
          <w:trHeight w:val="715" w:hRule="exact"/>
        </w:trPr>
        <w:tc>
          <w:tcPr>
            <w:tcW w:w="73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20,958,7</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68.03</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1,415,52</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6.94</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9,594,66</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9.90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6,798,27</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9.71</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1,738,62</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5.42</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2,473,29</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1.71</w:t>
            </w:r>
          </w:p>
        </w:tc>
        <w:tc>
          <w:tcPr>
            <w:tcW w:w="7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37"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3）本期计提在建工程减值准备情况" w:id="307"/>
      <w:bookmarkEnd w:id="307"/>
      <w:r>
        <w:rPr>
          <w:b w:val="0"/>
          <w:bCs w:val="0"/>
        </w:rPr>
      </w:r>
      <w:r>
        <w:rPr/>
        <w:t>（</w:t>
      </w:r>
      <w:r>
        <w:rPr>
          <w:rFonts w:ascii="Times New Roman" w:hAnsi="Times New Roman" w:cs="Times New Roman" w:eastAsia="Times New Roman" w:hint="default"/>
        </w:rPr>
        <w:t>3</w:t>
      </w:r>
      <w:r>
        <w:rPr/>
        <w:t>）本期计提在建工程减值准备情况</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4）工程物资" w:id="308"/>
      <w:bookmarkEnd w:id="308"/>
      <w:r>
        <w:rPr>
          <w:b w:val="0"/>
          <w:bCs w:val="0"/>
        </w:rPr>
      </w:r>
      <w:r>
        <w:rPr/>
        <w:t>（</w:t>
      </w:r>
      <w:r>
        <w:rPr>
          <w:rFonts w:ascii="Times New Roman" w:hAnsi="Times New Roman" w:cs="Times New Roman" w:eastAsia="Times New Roman" w:hint="default"/>
        </w:rPr>
        <w:t>4</w:t>
      </w:r>
      <w:r>
        <w:rPr/>
        <w:t>）工程物资</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23、生产性生物资产" w:id="309"/>
      <w:bookmarkEnd w:id="309"/>
      <w:r>
        <w:rPr>
          <w:b w:val="0"/>
          <w:bCs w:val="0"/>
        </w:rPr>
      </w:r>
      <w:r>
        <w:rPr>
          <w:rFonts w:ascii="Times New Roman" w:hAnsi="Times New Roman" w:cs="Times New Roman" w:eastAsia="Times New Roman" w:hint="default"/>
        </w:rPr>
        <w:t>23</w:t>
      </w:r>
      <w:r>
        <w:rPr/>
        <w:t>、生产性生物资产</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24、油气资产" w:id="310"/>
      <w:bookmarkEnd w:id="310"/>
      <w:r>
        <w:rPr>
          <w:b w:val="0"/>
          <w:bCs w:val="0"/>
        </w:rPr>
      </w:r>
      <w:r>
        <w:rPr>
          <w:rFonts w:ascii="Times New Roman" w:hAnsi="Times New Roman" w:cs="Times New Roman" w:eastAsia="Times New Roman" w:hint="default"/>
        </w:rPr>
        <w:t>24</w:t>
      </w:r>
      <w:r>
        <w:rPr/>
        <w:t>、油气资产</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25、使用权资产" w:id="311"/>
      <w:bookmarkEnd w:id="311"/>
      <w:r>
        <w:rPr>
          <w:b w:val="0"/>
          <w:bCs w:val="0"/>
        </w:rPr>
      </w:r>
      <w:r>
        <w:rPr>
          <w:rFonts w:ascii="Times New Roman" w:hAnsi="Times New Roman" w:cs="Times New Roman" w:eastAsia="Times New Roman" w:hint="default"/>
        </w:rPr>
        <w:t>25</w:t>
      </w:r>
      <w:r>
        <w:rPr/>
        <w:t>、使用权资产</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26、无形资产" w:id="312"/>
      <w:bookmarkEnd w:id="312"/>
      <w:r>
        <w:rPr>
          <w:b w:val="0"/>
          <w:bCs w:val="0"/>
        </w:rPr>
      </w:r>
      <w:r>
        <w:rPr>
          <w:rFonts w:ascii="Times New Roman" w:hAnsi="Times New Roman" w:cs="Times New Roman" w:eastAsia="Times New Roman" w:hint="default"/>
        </w:rPr>
        <w:t>26</w:t>
      </w:r>
      <w:r>
        <w:rPr/>
        <w:t>、无形资产</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right="986"/>
        <w:jc w:val="left"/>
        <w:rPr>
          <w:b w:val="0"/>
          <w:bCs w:val="0"/>
        </w:rPr>
      </w:pPr>
      <w:bookmarkStart w:name="（1）无形资产情况" w:id="313"/>
      <w:bookmarkEnd w:id="313"/>
      <w:r>
        <w:rPr>
          <w:b w:val="0"/>
          <w:bCs w:val="0"/>
        </w:rPr>
      </w:r>
      <w:r>
        <w:rPr/>
        <w:t>（</w:t>
      </w:r>
      <w:r>
        <w:rPr>
          <w:rFonts w:ascii="Times New Roman" w:hAnsi="Times New Roman" w:cs="Times New Roman" w:eastAsia="Times New Roman" w:hint="default"/>
        </w:rPr>
        <w:t>1</w:t>
      </w:r>
      <w:r>
        <w:rPr/>
        <w:t>）无形资产情况</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right"/>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1841"/>
        <w:gridCol w:w="715"/>
        <w:gridCol w:w="631"/>
        <w:gridCol w:w="629"/>
        <w:gridCol w:w="958"/>
        <w:gridCol w:w="958"/>
        <w:gridCol w:w="955"/>
        <w:gridCol w:w="958"/>
        <w:gridCol w:w="958"/>
        <w:gridCol w:w="958"/>
      </w:tblGrid>
      <w:tr>
        <w:trPr>
          <w:trHeight w:val="161" w:hRule="exact"/>
        </w:trPr>
        <w:tc>
          <w:tcPr>
            <w:tcW w:w="1841" w:type="dxa"/>
            <w:vMerge w:val="restart"/>
            <w:tcBorders>
              <w:top w:val="single" w:sz="4" w:space="0" w:color="000000"/>
              <w:left w:val="single" w:sz="4" w:space="0" w:color="000000"/>
              <w:right w:val="single" w:sz="4" w:space="0" w:color="000000"/>
            </w:tcBorders>
            <w:shd w:val="clear" w:color="auto" w:fill="D4D4D4"/>
          </w:tcPr>
          <w:p>
            <w:pPr/>
          </w:p>
        </w:tc>
        <w:tc>
          <w:tcPr>
            <w:tcW w:w="715" w:type="dxa"/>
            <w:tcBorders>
              <w:top w:val="single" w:sz="4" w:space="0" w:color="000000"/>
              <w:left w:val="single" w:sz="4" w:space="0" w:color="000000"/>
              <w:bottom w:val="nil" w:sz="6" w:space="0" w:color="auto"/>
              <w:right w:val="single" w:sz="4" w:space="0" w:color="000000"/>
            </w:tcBorders>
            <w:shd w:val="clear" w:color="auto" w:fill="D4D4D4"/>
          </w:tcPr>
          <w:p>
            <w:pPr/>
          </w:p>
        </w:tc>
        <w:tc>
          <w:tcPr>
            <w:tcW w:w="631" w:type="dxa"/>
            <w:vMerge w:val="restart"/>
            <w:tcBorders>
              <w:top w:val="single" w:sz="4" w:space="0" w:color="000000"/>
              <w:left w:val="single" w:sz="4" w:space="0" w:color="000000"/>
              <w:right w:val="single" w:sz="4" w:space="0" w:color="000000"/>
            </w:tcBorders>
            <w:shd w:val="clear" w:color="auto" w:fill="D4D4D4"/>
          </w:tcPr>
          <w:p>
            <w:pPr/>
          </w:p>
        </w:tc>
        <w:tc>
          <w:tcPr>
            <w:tcW w:w="629" w:type="dxa"/>
            <w:tcBorders>
              <w:top w:val="single" w:sz="4" w:space="0" w:color="000000"/>
              <w:left w:val="single" w:sz="4" w:space="0" w:color="000000"/>
              <w:bottom w:val="nil" w:sz="6" w:space="0" w:color="auto"/>
              <w:right w:val="single" w:sz="4" w:space="0" w:color="000000"/>
            </w:tcBorders>
            <w:shd w:val="clear" w:color="auto" w:fill="D4D4D4"/>
          </w:tcPr>
          <w:p>
            <w:pPr/>
          </w:p>
        </w:tc>
        <w:tc>
          <w:tcPr>
            <w:tcW w:w="958" w:type="dxa"/>
            <w:vMerge w:val="restart"/>
            <w:tcBorders>
              <w:top w:val="single" w:sz="4" w:space="0" w:color="000000"/>
              <w:left w:val="single" w:sz="4" w:space="0" w:color="000000"/>
              <w:right w:val="single" w:sz="4" w:space="0" w:color="000000"/>
            </w:tcBorders>
            <w:shd w:val="clear" w:color="auto" w:fill="D4D4D4"/>
          </w:tcPr>
          <w:p>
            <w:pPr/>
          </w:p>
        </w:tc>
        <w:tc>
          <w:tcPr>
            <w:tcW w:w="958" w:type="dxa"/>
            <w:vMerge w:val="restart"/>
            <w:tcBorders>
              <w:top w:val="single" w:sz="4" w:space="0" w:color="000000"/>
              <w:left w:val="single" w:sz="4" w:space="0" w:color="000000"/>
              <w:right w:val="single" w:sz="4" w:space="0" w:color="000000"/>
            </w:tcBorders>
            <w:shd w:val="clear" w:color="auto" w:fill="D4D4D4"/>
          </w:tcPr>
          <w:p>
            <w:pPr/>
          </w:p>
        </w:tc>
        <w:tc>
          <w:tcPr>
            <w:tcW w:w="955"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23" w:right="19"/>
              <w:jc w:val="both"/>
              <w:rPr>
                <w:rFonts w:ascii="宋体" w:hAnsi="宋体" w:cs="宋体" w:eastAsia="宋体" w:hint="default"/>
                <w:sz w:val="18"/>
                <w:szCs w:val="18"/>
              </w:rPr>
            </w:pPr>
            <w:r>
              <w:rPr>
                <w:rFonts w:ascii="宋体" w:hAnsi="宋体" w:cs="宋体" w:eastAsia="宋体" w:hint="default"/>
                <w:sz w:val="18"/>
                <w:szCs w:val="18"/>
              </w:rPr>
              <w:t>合并武汉大 千无形资产 评估增值</w:t>
            </w:r>
          </w:p>
        </w:tc>
        <w:tc>
          <w:tcPr>
            <w:tcW w:w="958" w:type="dxa"/>
            <w:vMerge w:val="restart"/>
            <w:tcBorders>
              <w:top w:val="single" w:sz="4" w:space="0" w:color="000000"/>
              <w:left w:val="single" w:sz="4" w:space="0" w:color="000000"/>
              <w:right w:val="single" w:sz="4" w:space="0" w:color="000000"/>
            </w:tcBorders>
            <w:shd w:val="clear" w:color="auto" w:fill="D4D4D4"/>
          </w:tcPr>
          <w:p>
            <w:pPr/>
          </w:p>
        </w:tc>
        <w:tc>
          <w:tcPr>
            <w:tcW w:w="958"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23" w:right="23"/>
              <w:jc w:val="both"/>
              <w:rPr>
                <w:rFonts w:ascii="宋体" w:hAnsi="宋体" w:cs="宋体" w:eastAsia="宋体" w:hint="default"/>
                <w:sz w:val="18"/>
                <w:szCs w:val="18"/>
              </w:rPr>
            </w:pPr>
            <w:r>
              <w:rPr>
                <w:rFonts w:ascii="宋体" w:hAnsi="宋体" w:cs="宋体" w:eastAsia="宋体" w:hint="default"/>
                <w:sz w:val="18"/>
                <w:szCs w:val="18"/>
              </w:rPr>
              <w:t>合并中检美 亚无形资产 评估增值</w:t>
            </w:r>
          </w:p>
        </w:tc>
        <w:tc>
          <w:tcPr>
            <w:tcW w:w="958" w:type="dxa"/>
            <w:vMerge w:val="restart"/>
            <w:tcBorders>
              <w:top w:val="single" w:sz="4" w:space="0" w:color="000000"/>
              <w:left w:val="single" w:sz="4" w:space="0" w:color="000000"/>
              <w:right w:val="single" w:sz="4" w:space="0" w:color="000000"/>
            </w:tcBorders>
            <w:shd w:val="clear" w:color="auto" w:fill="D4D4D4"/>
          </w:tcPr>
          <w:p>
            <w:pPr/>
          </w:p>
        </w:tc>
      </w:tr>
      <w:tr>
        <w:trPr>
          <w:trHeight w:val="156" w:hRule="exact"/>
        </w:trPr>
        <w:tc>
          <w:tcPr>
            <w:tcW w:w="1841" w:type="dxa"/>
            <w:vMerge/>
            <w:tcBorders>
              <w:left w:val="single" w:sz="4" w:space="0" w:color="000000"/>
              <w:bottom w:val="nil" w:sz="6" w:space="0" w:color="auto"/>
              <w:right w:val="single" w:sz="4" w:space="0" w:color="000000"/>
            </w:tcBorders>
            <w:shd w:val="clear" w:color="auto" w:fill="D4D4D4"/>
          </w:tcPr>
          <w:p>
            <w:pPr/>
          </w:p>
        </w:tc>
        <w:tc>
          <w:tcPr>
            <w:tcW w:w="715"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49"/>
              <w:ind w:left="180" w:right="74" w:hanging="92"/>
              <w:jc w:val="left"/>
              <w:rPr>
                <w:rFonts w:ascii="宋体" w:hAnsi="宋体" w:cs="宋体" w:eastAsia="宋体" w:hint="default"/>
                <w:sz w:val="18"/>
                <w:szCs w:val="18"/>
              </w:rPr>
            </w:pPr>
            <w:r>
              <w:rPr>
                <w:rFonts w:ascii="宋体" w:hAnsi="宋体" w:cs="宋体" w:eastAsia="宋体" w:hint="default"/>
                <w:sz w:val="18"/>
                <w:szCs w:val="18"/>
              </w:rPr>
              <w:t>土地使 用权</w:t>
            </w:r>
          </w:p>
        </w:tc>
        <w:tc>
          <w:tcPr>
            <w:tcW w:w="631" w:type="dxa"/>
            <w:vMerge/>
            <w:tcBorders>
              <w:left w:val="single" w:sz="4" w:space="0" w:color="000000"/>
              <w:bottom w:val="nil" w:sz="6" w:space="0" w:color="auto"/>
              <w:right w:val="single" w:sz="4" w:space="0" w:color="000000"/>
            </w:tcBorders>
            <w:shd w:val="clear" w:color="auto" w:fill="D4D4D4"/>
          </w:tcPr>
          <w:p>
            <w:pPr/>
          </w:p>
        </w:tc>
        <w:tc>
          <w:tcPr>
            <w:tcW w:w="629"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49"/>
              <w:ind w:left="129" w:right="36" w:hanging="89"/>
              <w:jc w:val="left"/>
              <w:rPr>
                <w:rFonts w:ascii="宋体" w:hAnsi="宋体" w:cs="宋体" w:eastAsia="宋体" w:hint="default"/>
                <w:sz w:val="18"/>
                <w:szCs w:val="18"/>
              </w:rPr>
            </w:pPr>
            <w:r>
              <w:rPr>
                <w:rFonts w:ascii="宋体" w:hAnsi="宋体" w:cs="宋体" w:eastAsia="宋体" w:hint="default"/>
                <w:sz w:val="18"/>
                <w:szCs w:val="18"/>
              </w:rPr>
              <w:t>非专利 技术</w:t>
            </w:r>
          </w:p>
        </w:tc>
        <w:tc>
          <w:tcPr>
            <w:tcW w:w="958" w:type="dxa"/>
            <w:vMerge/>
            <w:tcBorders>
              <w:left w:val="single" w:sz="4" w:space="0" w:color="000000"/>
              <w:bottom w:val="nil" w:sz="6" w:space="0" w:color="auto"/>
              <w:right w:val="single" w:sz="4" w:space="0" w:color="000000"/>
            </w:tcBorders>
            <w:shd w:val="clear" w:color="auto" w:fill="D4D4D4"/>
          </w:tcPr>
          <w:p>
            <w:pPr/>
          </w:p>
        </w:tc>
        <w:tc>
          <w:tcPr>
            <w:tcW w:w="958" w:type="dxa"/>
            <w:vMerge/>
            <w:tcBorders>
              <w:left w:val="single" w:sz="4" w:space="0" w:color="000000"/>
              <w:bottom w:val="nil" w:sz="6" w:space="0" w:color="auto"/>
              <w:right w:val="single" w:sz="4" w:space="0" w:color="000000"/>
            </w:tcBorders>
            <w:shd w:val="clear" w:color="auto" w:fill="D4D4D4"/>
          </w:tcPr>
          <w:p>
            <w:pPr/>
          </w:p>
        </w:tc>
        <w:tc>
          <w:tcPr>
            <w:tcW w:w="955" w:type="dxa"/>
            <w:vMerge/>
            <w:tcBorders>
              <w:left w:val="single" w:sz="4" w:space="0" w:color="000000"/>
              <w:right w:val="single" w:sz="4" w:space="0" w:color="000000"/>
            </w:tcBorders>
            <w:shd w:val="clear" w:color="auto" w:fill="D4D4D4"/>
          </w:tcPr>
          <w:p>
            <w:pPr/>
          </w:p>
        </w:tc>
        <w:tc>
          <w:tcPr>
            <w:tcW w:w="958" w:type="dxa"/>
            <w:vMerge/>
            <w:tcBorders>
              <w:left w:val="single" w:sz="4" w:space="0" w:color="000000"/>
              <w:bottom w:val="nil" w:sz="6" w:space="0" w:color="auto"/>
              <w:right w:val="single" w:sz="4" w:space="0" w:color="000000"/>
            </w:tcBorders>
            <w:shd w:val="clear" w:color="auto" w:fill="D4D4D4"/>
          </w:tcPr>
          <w:p>
            <w:pPr/>
          </w:p>
        </w:tc>
        <w:tc>
          <w:tcPr>
            <w:tcW w:w="958" w:type="dxa"/>
            <w:vMerge/>
            <w:tcBorders>
              <w:left w:val="single" w:sz="4" w:space="0" w:color="000000"/>
              <w:right w:val="single" w:sz="4" w:space="0" w:color="000000"/>
            </w:tcBorders>
            <w:shd w:val="clear" w:color="auto" w:fill="D4D4D4"/>
          </w:tcPr>
          <w:p>
            <w:pPr/>
          </w:p>
        </w:tc>
        <w:tc>
          <w:tcPr>
            <w:tcW w:w="958" w:type="dxa"/>
            <w:vMerge/>
            <w:tcBorders>
              <w:left w:val="single" w:sz="4" w:space="0" w:color="000000"/>
              <w:bottom w:val="nil" w:sz="6" w:space="0" w:color="auto"/>
              <w:right w:val="single" w:sz="4" w:space="0" w:color="000000"/>
            </w:tcBorders>
            <w:shd w:val="clear" w:color="auto" w:fill="D4D4D4"/>
          </w:tcPr>
          <w:p>
            <w:pPr/>
          </w:p>
        </w:tc>
      </w:tr>
      <w:tr>
        <w:trPr>
          <w:trHeight w:val="391" w:hRule="exact"/>
        </w:trPr>
        <w:tc>
          <w:tcPr>
            <w:tcW w:w="184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715" w:type="dxa"/>
            <w:vMerge/>
            <w:tcBorders>
              <w:left w:val="single" w:sz="4" w:space="0" w:color="000000"/>
              <w:right w:val="single" w:sz="4" w:space="0" w:color="000000"/>
            </w:tcBorders>
            <w:shd w:val="clear" w:color="auto" w:fill="D4D4D4"/>
          </w:tcPr>
          <w:p>
            <w:pPr/>
          </w:p>
        </w:tc>
        <w:tc>
          <w:tcPr>
            <w:tcW w:w="63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43"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629" w:type="dxa"/>
            <w:vMerge/>
            <w:tcBorders>
              <w:left w:val="single" w:sz="4" w:space="0" w:color="000000"/>
              <w:right w:val="single" w:sz="4" w:space="0" w:color="000000"/>
            </w:tcBorders>
            <w:shd w:val="clear" w:color="auto" w:fill="D4D4D4"/>
          </w:tcPr>
          <w:p>
            <w:pPr/>
          </w:p>
        </w:tc>
        <w:tc>
          <w:tcPr>
            <w:tcW w:w="958"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right="23"/>
              <w:jc w:val="right"/>
              <w:rPr>
                <w:rFonts w:ascii="宋体" w:hAnsi="宋体" w:cs="宋体" w:eastAsia="宋体" w:hint="default"/>
                <w:sz w:val="18"/>
                <w:szCs w:val="18"/>
              </w:rPr>
            </w:pPr>
            <w:r>
              <w:rPr>
                <w:rFonts w:ascii="宋体" w:hAnsi="宋体" w:cs="宋体" w:eastAsia="宋体" w:hint="default"/>
                <w:sz w:val="18"/>
                <w:szCs w:val="18"/>
              </w:rPr>
              <w:t>计算机软件</w:t>
            </w:r>
          </w:p>
        </w:tc>
        <w:tc>
          <w:tcPr>
            <w:tcW w:w="958"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203" w:right="0"/>
              <w:jc w:val="left"/>
              <w:rPr>
                <w:rFonts w:ascii="宋体" w:hAnsi="宋体" w:cs="宋体" w:eastAsia="宋体" w:hint="default"/>
                <w:sz w:val="18"/>
                <w:szCs w:val="18"/>
              </w:rPr>
            </w:pPr>
            <w:r>
              <w:rPr>
                <w:rFonts w:ascii="宋体" w:hAnsi="宋体" w:cs="宋体" w:eastAsia="宋体" w:hint="default"/>
                <w:sz w:val="18"/>
                <w:szCs w:val="18"/>
              </w:rPr>
              <w:t>商标权</w:t>
            </w:r>
          </w:p>
        </w:tc>
        <w:tc>
          <w:tcPr>
            <w:tcW w:w="955" w:type="dxa"/>
            <w:vMerge/>
            <w:tcBorders>
              <w:left w:val="single" w:sz="4" w:space="0" w:color="000000"/>
              <w:right w:val="single" w:sz="4" w:space="0" w:color="000000"/>
            </w:tcBorders>
            <w:shd w:val="clear" w:color="auto" w:fill="D4D4D4"/>
          </w:tcPr>
          <w:p>
            <w:pPr/>
          </w:p>
        </w:tc>
        <w:tc>
          <w:tcPr>
            <w:tcW w:w="958"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11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958" w:type="dxa"/>
            <w:vMerge/>
            <w:tcBorders>
              <w:left w:val="single" w:sz="4" w:space="0" w:color="000000"/>
              <w:right w:val="single" w:sz="4" w:space="0" w:color="000000"/>
            </w:tcBorders>
            <w:shd w:val="clear" w:color="auto" w:fill="D4D4D4"/>
          </w:tcPr>
          <w:p>
            <w:pPr/>
          </w:p>
        </w:tc>
        <w:tc>
          <w:tcPr>
            <w:tcW w:w="958"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156" w:hRule="exact"/>
        </w:trPr>
        <w:tc>
          <w:tcPr>
            <w:tcW w:w="1841" w:type="dxa"/>
            <w:vMerge w:val="restart"/>
            <w:tcBorders>
              <w:top w:val="nil" w:sz="6" w:space="0" w:color="auto"/>
              <w:left w:val="single" w:sz="4" w:space="0" w:color="000000"/>
              <w:right w:val="single" w:sz="4" w:space="0" w:color="000000"/>
            </w:tcBorders>
            <w:shd w:val="clear" w:color="auto" w:fill="D4D4D4"/>
          </w:tcPr>
          <w:p>
            <w:pPr/>
          </w:p>
        </w:tc>
        <w:tc>
          <w:tcPr>
            <w:tcW w:w="715" w:type="dxa"/>
            <w:vMerge/>
            <w:tcBorders>
              <w:left w:val="single" w:sz="4" w:space="0" w:color="000000"/>
              <w:bottom w:val="nil" w:sz="6" w:space="0" w:color="auto"/>
              <w:right w:val="single" w:sz="4" w:space="0" w:color="000000"/>
            </w:tcBorders>
            <w:shd w:val="clear" w:color="auto" w:fill="D4D4D4"/>
          </w:tcPr>
          <w:p>
            <w:pPr/>
          </w:p>
        </w:tc>
        <w:tc>
          <w:tcPr>
            <w:tcW w:w="631" w:type="dxa"/>
            <w:vMerge w:val="restart"/>
            <w:tcBorders>
              <w:top w:val="nil" w:sz="6" w:space="0" w:color="auto"/>
              <w:left w:val="single" w:sz="4" w:space="0" w:color="000000"/>
              <w:right w:val="single" w:sz="4" w:space="0" w:color="000000"/>
            </w:tcBorders>
            <w:shd w:val="clear" w:color="auto" w:fill="D4D4D4"/>
          </w:tcPr>
          <w:p>
            <w:pPr/>
          </w:p>
        </w:tc>
        <w:tc>
          <w:tcPr>
            <w:tcW w:w="629" w:type="dxa"/>
            <w:vMerge/>
            <w:tcBorders>
              <w:left w:val="single" w:sz="4" w:space="0" w:color="000000"/>
              <w:bottom w:val="nil" w:sz="6" w:space="0" w:color="auto"/>
              <w:right w:val="single" w:sz="4" w:space="0" w:color="000000"/>
            </w:tcBorders>
            <w:shd w:val="clear" w:color="auto" w:fill="D4D4D4"/>
          </w:tcPr>
          <w:p>
            <w:pPr/>
          </w:p>
        </w:tc>
        <w:tc>
          <w:tcPr>
            <w:tcW w:w="958" w:type="dxa"/>
            <w:vMerge w:val="restart"/>
            <w:tcBorders>
              <w:top w:val="nil" w:sz="6" w:space="0" w:color="auto"/>
              <w:left w:val="single" w:sz="4" w:space="0" w:color="000000"/>
              <w:right w:val="single" w:sz="4" w:space="0" w:color="000000"/>
            </w:tcBorders>
            <w:shd w:val="clear" w:color="auto" w:fill="D4D4D4"/>
          </w:tcPr>
          <w:p>
            <w:pPr/>
          </w:p>
        </w:tc>
        <w:tc>
          <w:tcPr>
            <w:tcW w:w="958" w:type="dxa"/>
            <w:vMerge w:val="restart"/>
            <w:tcBorders>
              <w:top w:val="nil" w:sz="6" w:space="0" w:color="auto"/>
              <w:left w:val="single" w:sz="4" w:space="0" w:color="000000"/>
              <w:right w:val="single" w:sz="4" w:space="0" w:color="000000"/>
            </w:tcBorders>
            <w:shd w:val="clear" w:color="auto" w:fill="D4D4D4"/>
          </w:tcPr>
          <w:p>
            <w:pPr/>
          </w:p>
        </w:tc>
        <w:tc>
          <w:tcPr>
            <w:tcW w:w="955" w:type="dxa"/>
            <w:vMerge/>
            <w:tcBorders>
              <w:left w:val="single" w:sz="4" w:space="0" w:color="000000"/>
              <w:right w:val="single" w:sz="4" w:space="0" w:color="000000"/>
            </w:tcBorders>
            <w:shd w:val="clear" w:color="auto" w:fill="D4D4D4"/>
          </w:tcPr>
          <w:p>
            <w:pPr/>
          </w:p>
        </w:tc>
        <w:tc>
          <w:tcPr>
            <w:tcW w:w="958" w:type="dxa"/>
            <w:vMerge w:val="restart"/>
            <w:tcBorders>
              <w:top w:val="nil" w:sz="6" w:space="0" w:color="auto"/>
              <w:left w:val="single" w:sz="4" w:space="0" w:color="000000"/>
              <w:right w:val="single" w:sz="4" w:space="0" w:color="000000"/>
            </w:tcBorders>
            <w:shd w:val="clear" w:color="auto" w:fill="D4D4D4"/>
          </w:tcPr>
          <w:p>
            <w:pPr/>
          </w:p>
        </w:tc>
        <w:tc>
          <w:tcPr>
            <w:tcW w:w="958" w:type="dxa"/>
            <w:vMerge/>
            <w:tcBorders>
              <w:left w:val="single" w:sz="4" w:space="0" w:color="000000"/>
              <w:right w:val="single" w:sz="4" w:space="0" w:color="000000"/>
            </w:tcBorders>
            <w:shd w:val="clear" w:color="auto" w:fill="D4D4D4"/>
          </w:tcPr>
          <w:p>
            <w:pPr/>
          </w:p>
        </w:tc>
        <w:tc>
          <w:tcPr>
            <w:tcW w:w="958" w:type="dxa"/>
            <w:vMerge w:val="restart"/>
            <w:tcBorders>
              <w:top w:val="nil" w:sz="6" w:space="0" w:color="auto"/>
              <w:left w:val="single" w:sz="4" w:space="0" w:color="000000"/>
              <w:right w:val="single" w:sz="4" w:space="0" w:color="000000"/>
            </w:tcBorders>
            <w:shd w:val="clear" w:color="auto" w:fill="D4D4D4"/>
          </w:tcPr>
          <w:p>
            <w:pPr/>
          </w:p>
        </w:tc>
      </w:tr>
      <w:tr>
        <w:trPr>
          <w:trHeight w:val="161" w:hRule="exact"/>
        </w:trPr>
        <w:tc>
          <w:tcPr>
            <w:tcW w:w="1841" w:type="dxa"/>
            <w:vMerge/>
            <w:tcBorders>
              <w:left w:val="single" w:sz="4" w:space="0" w:color="000000"/>
              <w:bottom w:val="single" w:sz="4" w:space="0" w:color="000000"/>
              <w:right w:val="single" w:sz="4" w:space="0" w:color="000000"/>
            </w:tcBorders>
            <w:shd w:val="clear" w:color="auto" w:fill="D4D4D4"/>
          </w:tcPr>
          <w:p>
            <w:pPr/>
          </w:p>
        </w:tc>
        <w:tc>
          <w:tcPr>
            <w:tcW w:w="715" w:type="dxa"/>
            <w:tcBorders>
              <w:top w:val="nil" w:sz="6" w:space="0" w:color="auto"/>
              <w:left w:val="single" w:sz="4" w:space="0" w:color="000000"/>
              <w:bottom w:val="single" w:sz="4" w:space="0" w:color="000000"/>
              <w:right w:val="single" w:sz="4" w:space="0" w:color="000000"/>
            </w:tcBorders>
            <w:shd w:val="clear" w:color="auto" w:fill="D4D4D4"/>
          </w:tcPr>
          <w:p>
            <w:pPr/>
          </w:p>
        </w:tc>
        <w:tc>
          <w:tcPr>
            <w:tcW w:w="631" w:type="dxa"/>
            <w:vMerge/>
            <w:tcBorders>
              <w:left w:val="single" w:sz="4" w:space="0" w:color="000000"/>
              <w:bottom w:val="single" w:sz="4" w:space="0" w:color="000000"/>
              <w:right w:val="single" w:sz="4" w:space="0" w:color="000000"/>
            </w:tcBorders>
            <w:shd w:val="clear" w:color="auto" w:fill="D4D4D4"/>
          </w:tcPr>
          <w:p>
            <w:pPr/>
          </w:p>
        </w:tc>
        <w:tc>
          <w:tcPr>
            <w:tcW w:w="629" w:type="dxa"/>
            <w:tcBorders>
              <w:top w:val="nil" w:sz="6" w:space="0" w:color="auto"/>
              <w:left w:val="single" w:sz="4" w:space="0" w:color="000000"/>
              <w:bottom w:val="single" w:sz="4" w:space="0" w:color="000000"/>
              <w:right w:val="single" w:sz="4" w:space="0" w:color="000000"/>
            </w:tcBorders>
            <w:shd w:val="clear" w:color="auto" w:fill="D4D4D4"/>
          </w:tcPr>
          <w:p>
            <w:pPr/>
          </w:p>
        </w:tc>
        <w:tc>
          <w:tcPr>
            <w:tcW w:w="958" w:type="dxa"/>
            <w:vMerge/>
            <w:tcBorders>
              <w:left w:val="single" w:sz="4" w:space="0" w:color="000000"/>
              <w:bottom w:val="single" w:sz="4" w:space="0" w:color="000000"/>
              <w:right w:val="single" w:sz="4" w:space="0" w:color="000000"/>
            </w:tcBorders>
            <w:shd w:val="clear" w:color="auto" w:fill="D4D4D4"/>
          </w:tcPr>
          <w:p>
            <w:pPr/>
          </w:p>
        </w:tc>
        <w:tc>
          <w:tcPr>
            <w:tcW w:w="958" w:type="dxa"/>
            <w:vMerge/>
            <w:tcBorders>
              <w:left w:val="single" w:sz="4" w:space="0" w:color="000000"/>
              <w:bottom w:val="single" w:sz="4" w:space="0" w:color="000000"/>
              <w:right w:val="single" w:sz="4" w:space="0" w:color="000000"/>
            </w:tcBorders>
            <w:shd w:val="clear" w:color="auto" w:fill="D4D4D4"/>
          </w:tcPr>
          <w:p>
            <w:pPr/>
          </w:p>
        </w:tc>
        <w:tc>
          <w:tcPr>
            <w:tcW w:w="955" w:type="dxa"/>
            <w:vMerge/>
            <w:tcBorders>
              <w:left w:val="single" w:sz="4" w:space="0" w:color="000000"/>
              <w:bottom w:val="single" w:sz="4" w:space="0" w:color="000000"/>
              <w:right w:val="single" w:sz="4" w:space="0" w:color="000000"/>
            </w:tcBorders>
            <w:shd w:val="clear" w:color="auto" w:fill="D4D4D4"/>
          </w:tcPr>
          <w:p>
            <w:pPr/>
          </w:p>
        </w:tc>
        <w:tc>
          <w:tcPr>
            <w:tcW w:w="958" w:type="dxa"/>
            <w:vMerge/>
            <w:tcBorders>
              <w:left w:val="single" w:sz="4" w:space="0" w:color="000000"/>
              <w:bottom w:val="single" w:sz="4" w:space="0" w:color="000000"/>
              <w:right w:val="single" w:sz="4" w:space="0" w:color="000000"/>
            </w:tcBorders>
            <w:shd w:val="clear" w:color="auto" w:fill="D4D4D4"/>
          </w:tcPr>
          <w:p>
            <w:pPr/>
          </w:p>
        </w:tc>
        <w:tc>
          <w:tcPr>
            <w:tcW w:w="958" w:type="dxa"/>
            <w:vMerge/>
            <w:tcBorders>
              <w:left w:val="single" w:sz="4" w:space="0" w:color="000000"/>
              <w:bottom w:val="single" w:sz="4" w:space="0" w:color="000000"/>
              <w:right w:val="single" w:sz="4" w:space="0" w:color="000000"/>
            </w:tcBorders>
            <w:shd w:val="clear" w:color="auto" w:fill="D4D4D4"/>
          </w:tcPr>
          <w:p>
            <w:pPr/>
          </w:p>
        </w:tc>
        <w:tc>
          <w:tcPr>
            <w:tcW w:w="958" w:type="dxa"/>
            <w:vMerge/>
            <w:tcBorders>
              <w:left w:val="single" w:sz="4" w:space="0" w:color="000000"/>
              <w:bottom w:val="single" w:sz="4" w:space="0" w:color="000000"/>
              <w:right w:val="single" w:sz="4" w:space="0" w:color="000000"/>
            </w:tcBorders>
            <w:shd w:val="clear" w:color="auto" w:fill="D4D4D4"/>
          </w:tcPr>
          <w:p>
            <w:pPr/>
          </w:p>
        </w:tc>
      </w:tr>
      <w:tr>
        <w:trPr>
          <w:trHeight w:val="403" w:hRule="exact"/>
        </w:trPr>
        <w:tc>
          <w:tcPr>
            <w:tcW w:w="184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715" w:type="dxa"/>
            <w:tcBorders>
              <w:top w:val="single" w:sz="4" w:space="0" w:color="000000"/>
              <w:left w:val="single" w:sz="13" w:space="0" w:color="D4D4D4"/>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841" w:type="dxa"/>
            <w:tcBorders>
              <w:top w:val="single" w:sz="4" w:space="0" w:color="000000"/>
              <w:left w:val="single" w:sz="4" w:space="0" w:color="000000"/>
              <w:bottom w:val="nil" w:sz="6" w:space="0" w:color="auto"/>
              <w:right w:val="single" w:sz="4" w:space="0" w:color="000000"/>
            </w:tcBorders>
            <w:shd w:val="clear" w:color="auto" w:fill="D4D4D4"/>
          </w:tcPr>
          <w:p>
            <w:pPr/>
          </w:p>
        </w:tc>
        <w:tc>
          <w:tcPr>
            <w:tcW w:w="715" w:type="dxa"/>
            <w:vMerge w:val="restart"/>
            <w:tcBorders>
              <w:top w:val="single" w:sz="4" w:space="0" w:color="000000"/>
              <w:left w:val="single" w:sz="10" w:space="0" w:color="D4D4D4"/>
              <w:right w:val="single" w:sz="4" w:space="0" w:color="000000"/>
            </w:tcBorders>
          </w:tcPr>
          <w:p>
            <w:pPr/>
          </w:p>
        </w:tc>
        <w:tc>
          <w:tcPr>
            <w:tcW w:w="631" w:type="dxa"/>
            <w:vMerge w:val="restart"/>
            <w:tcBorders>
              <w:top w:val="single" w:sz="4" w:space="0" w:color="000000"/>
              <w:left w:val="single" w:sz="4" w:space="0" w:color="000000"/>
              <w:right w:val="single" w:sz="4" w:space="0" w:color="000000"/>
            </w:tcBorders>
          </w:tcPr>
          <w:p>
            <w:pPr/>
          </w:p>
        </w:tc>
        <w:tc>
          <w:tcPr>
            <w:tcW w:w="629"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14,635,065.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97</w:t>
            </w: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279,774.76</w:t>
            </w:r>
          </w:p>
        </w:tc>
        <w:tc>
          <w:tcPr>
            <w:tcW w:w="955"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7,260,900.0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152,864,162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.39</w:t>
            </w:r>
          </w:p>
        </w:tc>
        <w:tc>
          <w:tcPr>
            <w:tcW w:w="958"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175,039,903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.12</w:t>
            </w:r>
          </w:p>
        </w:tc>
      </w:tr>
      <w:tr>
        <w:trPr>
          <w:trHeight w:val="391" w:hRule="exact"/>
        </w:trPr>
        <w:tc>
          <w:tcPr>
            <w:tcW w:w="184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715" w:type="dxa"/>
            <w:vMerge/>
            <w:tcBorders>
              <w:left w:val="single" w:sz="10" w:space="0" w:color="D4D4D4"/>
              <w:right w:val="single" w:sz="4" w:space="0" w:color="000000"/>
            </w:tcBorders>
          </w:tcPr>
          <w:p>
            <w:pPr/>
          </w:p>
        </w:tc>
        <w:tc>
          <w:tcPr>
            <w:tcW w:w="631" w:type="dxa"/>
            <w:vMerge/>
            <w:tcBorders>
              <w:left w:val="single" w:sz="4" w:space="0" w:color="000000"/>
              <w:right w:val="single" w:sz="4" w:space="0" w:color="000000"/>
            </w:tcBorders>
          </w:tcPr>
          <w:p>
            <w:pPr/>
          </w:p>
        </w:tc>
        <w:tc>
          <w:tcPr>
            <w:tcW w:w="629"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5"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r>
      <w:tr>
        <w:trPr>
          <w:trHeight w:val="161" w:hRule="exact"/>
        </w:trPr>
        <w:tc>
          <w:tcPr>
            <w:tcW w:w="1841" w:type="dxa"/>
            <w:tcBorders>
              <w:top w:val="nil" w:sz="6" w:space="0" w:color="auto"/>
              <w:left w:val="single" w:sz="4" w:space="0" w:color="000000"/>
              <w:bottom w:val="single" w:sz="4" w:space="0" w:color="000000"/>
              <w:right w:val="single" w:sz="4" w:space="0" w:color="000000"/>
            </w:tcBorders>
            <w:shd w:val="clear" w:color="auto" w:fill="D4D4D4"/>
          </w:tcPr>
          <w:p>
            <w:pPr/>
          </w:p>
        </w:tc>
        <w:tc>
          <w:tcPr>
            <w:tcW w:w="715" w:type="dxa"/>
            <w:vMerge/>
            <w:tcBorders>
              <w:left w:val="single" w:sz="10" w:space="0" w:color="D4D4D4"/>
              <w:bottom w:val="single" w:sz="4" w:space="0" w:color="000000"/>
              <w:right w:val="single" w:sz="4" w:space="0" w:color="000000"/>
            </w:tcBorders>
          </w:tcPr>
          <w:p>
            <w:pPr/>
          </w:p>
        </w:tc>
        <w:tc>
          <w:tcPr>
            <w:tcW w:w="631" w:type="dxa"/>
            <w:vMerge/>
            <w:tcBorders>
              <w:left w:val="single" w:sz="4" w:space="0" w:color="000000"/>
              <w:bottom w:val="single" w:sz="4" w:space="0" w:color="000000"/>
              <w:right w:val="single" w:sz="4" w:space="0" w:color="000000"/>
            </w:tcBorders>
          </w:tcPr>
          <w:p>
            <w:pPr/>
          </w:p>
        </w:tc>
        <w:tc>
          <w:tcPr>
            <w:tcW w:w="629"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5"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r>
      <w:tr>
        <w:trPr>
          <w:trHeight w:val="163" w:hRule="exact"/>
        </w:trPr>
        <w:tc>
          <w:tcPr>
            <w:tcW w:w="1841" w:type="dxa"/>
            <w:tcBorders>
              <w:top w:val="single" w:sz="4" w:space="0" w:color="000000"/>
              <w:left w:val="single" w:sz="4" w:space="0" w:color="000000"/>
              <w:bottom w:val="nil" w:sz="6" w:space="0" w:color="auto"/>
              <w:right w:val="single" w:sz="4" w:space="0" w:color="000000"/>
            </w:tcBorders>
            <w:shd w:val="clear" w:color="auto" w:fill="D4D4D4"/>
          </w:tcPr>
          <w:p>
            <w:pPr/>
          </w:p>
        </w:tc>
        <w:tc>
          <w:tcPr>
            <w:tcW w:w="715" w:type="dxa"/>
            <w:vMerge w:val="restart"/>
            <w:tcBorders>
              <w:top w:val="single" w:sz="4" w:space="0" w:color="000000"/>
              <w:left w:val="single" w:sz="10" w:space="0" w:color="D4D4D4"/>
              <w:right w:val="single" w:sz="4" w:space="0" w:color="000000"/>
            </w:tcBorders>
          </w:tcPr>
          <w:p>
            <w:pPr/>
          </w:p>
        </w:tc>
        <w:tc>
          <w:tcPr>
            <w:tcW w:w="631" w:type="dxa"/>
            <w:vMerge w:val="restart"/>
            <w:tcBorders>
              <w:top w:val="single" w:sz="4" w:space="0" w:color="000000"/>
              <w:left w:val="single" w:sz="4" w:space="0" w:color="000000"/>
              <w:right w:val="single" w:sz="4" w:space="0" w:color="000000"/>
            </w:tcBorders>
          </w:tcPr>
          <w:p>
            <w:pPr/>
          </w:p>
        </w:tc>
        <w:tc>
          <w:tcPr>
            <w:tcW w:w="629"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2,302,312.7</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9</w:t>
            </w:r>
          </w:p>
        </w:tc>
        <w:tc>
          <w:tcPr>
            <w:tcW w:w="958" w:type="dxa"/>
            <w:vMerge w:val="restart"/>
            <w:tcBorders>
              <w:top w:val="single" w:sz="4" w:space="0" w:color="000000"/>
              <w:left w:val="single" w:sz="4" w:space="0" w:color="000000"/>
              <w:right w:val="single" w:sz="4" w:space="0" w:color="000000"/>
            </w:tcBorders>
          </w:tcPr>
          <w:p>
            <w:pPr/>
          </w:p>
        </w:tc>
        <w:tc>
          <w:tcPr>
            <w:tcW w:w="955"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31,865,513.</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49</w:t>
            </w: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5,781,813.6</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5</w:t>
            </w: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39,949,639.</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93</w:t>
            </w:r>
          </w:p>
        </w:tc>
      </w:tr>
      <w:tr>
        <w:trPr>
          <w:trHeight w:val="391" w:hRule="exact"/>
        </w:trPr>
        <w:tc>
          <w:tcPr>
            <w:tcW w:w="184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715" w:type="dxa"/>
            <w:vMerge/>
            <w:tcBorders>
              <w:left w:val="single" w:sz="10" w:space="0" w:color="D4D4D4"/>
              <w:right w:val="single" w:sz="4" w:space="0" w:color="000000"/>
            </w:tcBorders>
          </w:tcPr>
          <w:p>
            <w:pPr/>
          </w:p>
        </w:tc>
        <w:tc>
          <w:tcPr>
            <w:tcW w:w="631" w:type="dxa"/>
            <w:vMerge/>
            <w:tcBorders>
              <w:left w:val="single" w:sz="4" w:space="0" w:color="000000"/>
              <w:right w:val="single" w:sz="4" w:space="0" w:color="000000"/>
            </w:tcBorders>
          </w:tcPr>
          <w:p>
            <w:pPr/>
          </w:p>
        </w:tc>
        <w:tc>
          <w:tcPr>
            <w:tcW w:w="629"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5"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r>
      <w:tr>
        <w:trPr>
          <w:trHeight w:val="161" w:hRule="exact"/>
        </w:trPr>
        <w:tc>
          <w:tcPr>
            <w:tcW w:w="1841" w:type="dxa"/>
            <w:tcBorders>
              <w:top w:val="nil" w:sz="6" w:space="0" w:color="auto"/>
              <w:left w:val="single" w:sz="4" w:space="0" w:color="000000"/>
              <w:bottom w:val="single" w:sz="4" w:space="0" w:color="000000"/>
              <w:right w:val="single" w:sz="4" w:space="0" w:color="000000"/>
            </w:tcBorders>
            <w:shd w:val="clear" w:color="auto" w:fill="D4D4D4"/>
          </w:tcPr>
          <w:p>
            <w:pPr/>
          </w:p>
        </w:tc>
        <w:tc>
          <w:tcPr>
            <w:tcW w:w="715" w:type="dxa"/>
            <w:vMerge/>
            <w:tcBorders>
              <w:left w:val="single" w:sz="10" w:space="0" w:color="D4D4D4"/>
              <w:bottom w:val="single" w:sz="4" w:space="0" w:color="000000"/>
              <w:right w:val="single" w:sz="4" w:space="0" w:color="000000"/>
            </w:tcBorders>
          </w:tcPr>
          <w:p>
            <w:pPr/>
          </w:p>
        </w:tc>
        <w:tc>
          <w:tcPr>
            <w:tcW w:w="631" w:type="dxa"/>
            <w:vMerge/>
            <w:tcBorders>
              <w:left w:val="single" w:sz="4" w:space="0" w:color="000000"/>
              <w:bottom w:val="single" w:sz="4" w:space="0" w:color="000000"/>
              <w:right w:val="single" w:sz="4" w:space="0" w:color="000000"/>
            </w:tcBorders>
          </w:tcPr>
          <w:p>
            <w:pPr/>
          </w:p>
        </w:tc>
        <w:tc>
          <w:tcPr>
            <w:tcW w:w="629"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5"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r>
      <w:tr>
        <w:trPr>
          <w:trHeight w:val="161" w:hRule="exact"/>
        </w:trPr>
        <w:tc>
          <w:tcPr>
            <w:tcW w:w="1841" w:type="dxa"/>
            <w:tcBorders>
              <w:top w:val="single" w:sz="4" w:space="0" w:color="000000"/>
              <w:left w:val="single" w:sz="4" w:space="0" w:color="000000"/>
              <w:bottom w:val="nil" w:sz="6" w:space="0" w:color="auto"/>
              <w:right w:val="single" w:sz="4" w:space="0" w:color="000000"/>
            </w:tcBorders>
            <w:shd w:val="clear" w:color="auto" w:fill="D4D4D4"/>
          </w:tcPr>
          <w:p>
            <w:pPr/>
          </w:p>
        </w:tc>
        <w:tc>
          <w:tcPr>
            <w:tcW w:w="715" w:type="dxa"/>
            <w:vMerge w:val="restart"/>
            <w:tcBorders>
              <w:top w:val="single" w:sz="4" w:space="0" w:color="000000"/>
              <w:left w:val="single" w:sz="10" w:space="0" w:color="D4D4D4"/>
              <w:right w:val="single" w:sz="4" w:space="0" w:color="000000"/>
            </w:tcBorders>
          </w:tcPr>
          <w:p>
            <w:pPr/>
          </w:p>
        </w:tc>
        <w:tc>
          <w:tcPr>
            <w:tcW w:w="631" w:type="dxa"/>
            <w:vMerge w:val="restart"/>
            <w:tcBorders>
              <w:top w:val="single" w:sz="4" w:space="0" w:color="000000"/>
              <w:left w:val="single" w:sz="4" w:space="0" w:color="000000"/>
              <w:right w:val="single" w:sz="4" w:space="0" w:color="000000"/>
            </w:tcBorders>
          </w:tcPr>
          <w:p>
            <w:pPr/>
          </w:p>
        </w:tc>
        <w:tc>
          <w:tcPr>
            <w:tcW w:w="629"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2,158,800.1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958" w:type="dxa"/>
            <w:vMerge w:val="restart"/>
            <w:tcBorders>
              <w:top w:val="single" w:sz="4" w:space="0" w:color="000000"/>
              <w:left w:val="single" w:sz="4" w:space="0" w:color="000000"/>
              <w:right w:val="single" w:sz="4" w:space="0" w:color="000000"/>
            </w:tcBorders>
          </w:tcPr>
          <w:p>
            <w:pPr/>
          </w:p>
        </w:tc>
        <w:tc>
          <w:tcPr>
            <w:tcW w:w="955"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2,158,800.1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r>
      <w:tr>
        <w:trPr>
          <w:trHeight w:val="391" w:hRule="exact"/>
        </w:trPr>
        <w:tc>
          <w:tcPr>
            <w:tcW w:w="184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715" w:type="dxa"/>
            <w:vMerge/>
            <w:tcBorders>
              <w:left w:val="single" w:sz="10" w:space="0" w:color="D4D4D4"/>
              <w:right w:val="single" w:sz="4" w:space="0" w:color="000000"/>
            </w:tcBorders>
          </w:tcPr>
          <w:p>
            <w:pPr/>
          </w:p>
        </w:tc>
        <w:tc>
          <w:tcPr>
            <w:tcW w:w="631" w:type="dxa"/>
            <w:vMerge/>
            <w:tcBorders>
              <w:left w:val="single" w:sz="4" w:space="0" w:color="000000"/>
              <w:right w:val="single" w:sz="4" w:space="0" w:color="000000"/>
            </w:tcBorders>
          </w:tcPr>
          <w:p>
            <w:pPr/>
          </w:p>
        </w:tc>
        <w:tc>
          <w:tcPr>
            <w:tcW w:w="629"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5"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r>
      <w:tr>
        <w:trPr>
          <w:trHeight w:val="161" w:hRule="exact"/>
        </w:trPr>
        <w:tc>
          <w:tcPr>
            <w:tcW w:w="1841" w:type="dxa"/>
            <w:tcBorders>
              <w:top w:val="nil" w:sz="6" w:space="0" w:color="auto"/>
              <w:left w:val="single" w:sz="4" w:space="0" w:color="000000"/>
              <w:bottom w:val="single" w:sz="4" w:space="0" w:color="000000"/>
              <w:right w:val="single" w:sz="4" w:space="0" w:color="000000"/>
            </w:tcBorders>
            <w:shd w:val="clear" w:color="auto" w:fill="D4D4D4"/>
          </w:tcPr>
          <w:p>
            <w:pPr/>
          </w:p>
        </w:tc>
        <w:tc>
          <w:tcPr>
            <w:tcW w:w="715" w:type="dxa"/>
            <w:vMerge/>
            <w:tcBorders>
              <w:left w:val="single" w:sz="10" w:space="0" w:color="D4D4D4"/>
              <w:bottom w:val="single" w:sz="4" w:space="0" w:color="000000"/>
              <w:right w:val="single" w:sz="4" w:space="0" w:color="000000"/>
            </w:tcBorders>
          </w:tcPr>
          <w:p>
            <w:pPr/>
          </w:p>
        </w:tc>
        <w:tc>
          <w:tcPr>
            <w:tcW w:w="631" w:type="dxa"/>
            <w:vMerge/>
            <w:tcBorders>
              <w:left w:val="single" w:sz="4" w:space="0" w:color="000000"/>
              <w:bottom w:val="single" w:sz="4" w:space="0" w:color="000000"/>
              <w:right w:val="single" w:sz="4" w:space="0" w:color="000000"/>
            </w:tcBorders>
          </w:tcPr>
          <w:p>
            <w:pPr/>
          </w:p>
        </w:tc>
        <w:tc>
          <w:tcPr>
            <w:tcW w:w="629"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5"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r>
      <w:tr>
        <w:trPr>
          <w:trHeight w:val="163" w:hRule="exact"/>
        </w:trPr>
        <w:tc>
          <w:tcPr>
            <w:tcW w:w="1841" w:type="dxa"/>
            <w:tcBorders>
              <w:top w:val="single" w:sz="4" w:space="0" w:color="000000"/>
              <w:left w:val="single" w:sz="4" w:space="0" w:color="000000"/>
              <w:bottom w:val="nil" w:sz="6" w:space="0" w:color="auto"/>
              <w:right w:val="single" w:sz="4" w:space="0" w:color="000000"/>
            </w:tcBorders>
            <w:shd w:val="clear" w:color="auto" w:fill="D4D4D4"/>
          </w:tcPr>
          <w:p>
            <w:pPr/>
          </w:p>
        </w:tc>
        <w:tc>
          <w:tcPr>
            <w:tcW w:w="715" w:type="dxa"/>
            <w:vMerge w:val="restart"/>
            <w:tcBorders>
              <w:top w:val="single" w:sz="4" w:space="0" w:color="000000"/>
              <w:left w:val="single" w:sz="10" w:space="0" w:color="D4D4D4"/>
              <w:right w:val="single" w:sz="4" w:space="0" w:color="000000"/>
            </w:tcBorders>
          </w:tcPr>
          <w:p>
            <w:pPr/>
          </w:p>
        </w:tc>
        <w:tc>
          <w:tcPr>
            <w:tcW w:w="631" w:type="dxa"/>
            <w:vMerge w:val="restart"/>
            <w:tcBorders>
              <w:top w:val="single" w:sz="4" w:space="0" w:color="000000"/>
              <w:left w:val="single" w:sz="4" w:space="0" w:color="000000"/>
              <w:right w:val="single" w:sz="4" w:space="0" w:color="000000"/>
            </w:tcBorders>
          </w:tcPr>
          <w:p>
            <w:pPr/>
          </w:p>
        </w:tc>
        <w:tc>
          <w:tcPr>
            <w:tcW w:w="629"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
        </w:tc>
        <w:tc>
          <w:tcPr>
            <w:tcW w:w="955"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31,865,513.</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49</w:t>
            </w:r>
          </w:p>
        </w:tc>
        <w:tc>
          <w:tcPr>
            <w:tcW w:w="958"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31,865,513.</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49</w:t>
            </w:r>
          </w:p>
        </w:tc>
      </w:tr>
      <w:tr>
        <w:trPr>
          <w:trHeight w:val="391" w:hRule="exact"/>
        </w:trPr>
        <w:tc>
          <w:tcPr>
            <w:tcW w:w="184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）内部研发</w:t>
            </w:r>
          </w:p>
        </w:tc>
        <w:tc>
          <w:tcPr>
            <w:tcW w:w="715" w:type="dxa"/>
            <w:vMerge/>
            <w:tcBorders>
              <w:left w:val="single" w:sz="10" w:space="0" w:color="D4D4D4"/>
              <w:right w:val="single" w:sz="4" w:space="0" w:color="000000"/>
            </w:tcBorders>
          </w:tcPr>
          <w:p>
            <w:pPr/>
          </w:p>
        </w:tc>
        <w:tc>
          <w:tcPr>
            <w:tcW w:w="631" w:type="dxa"/>
            <w:vMerge/>
            <w:tcBorders>
              <w:left w:val="single" w:sz="4" w:space="0" w:color="000000"/>
              <w:right w:val="single" w:sz="4" w:space="0" w:color="000000"/>
            </w:tcBorders>
          </w:tcPr>
          <w:p>
            <w:pPr/>
          </w:p>
        </w:tc>
        <w:tc>
          <w:tcPr>
            <w:tcW w:w="629"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5"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r>
      <w:tr>
        <w:trPr>
          <w:trHeight w:val="161" w:hRule="exact"/>
        </w:trPr>
        <w:tc>
          <w:tcPr>
            <w:tcW w:w="1841" w:type="dxa"/>
            <w:tcBorders>
              <w:top w:val="nil" w:sz="6" w:space="0" w:color="auto"/>
              <w:left w:val="single" w:sz="4" w:space="0" w:color="000000"/>
              <w:bottom w:val="single" w:sz="4" w:space="0" w:color="000000"/>
              <w:right w:val="single" w:sz="4" w:space="0" w:color="000000"/>
            </w:tcBorders>
            <w:shd w:val="clear" w:color="auto" w:fill="D4D4D4"/>
          </w:tcPr>
          <w:p>
            <w:pPr/>
          </w:p>
        </w:tc>
        <w:tc>
          <w:tcPr>
            <w:tcW w:w="715" w:type="dxa"/>
            <w:vMerge/>
            <w:tcBorders>
              <w:left w:val="single" w:sz="10" w:space="0" w:color="D4D4D4"/>
              <w:bottom w:val="single" w:sz="4" w:space="0" w:color="000000"/>
              <w:right w:val="single" w:sz="4" w:space="0" w:color="000000"/>
            </w:tcBorders>
          </w:tcPr>
          <w:p>
            <w:pPr/>
          </w:p>
        </w:tc>
        <w:tc>
          <w:tcPr>
            <w:tcW w:w="631" w:type="dxa"/>
            <w:vMerge/>
            <w:tcBorders>
              <w:left w:val="single" w:sz="4" w:space="0" w:color="000000"/>
              <w:bottom w:val="single" w:sz="4" w:space="0" w:color="000000"/>
              <w:right w:val="single" w:sz="4" w:space="0" w:color="000000"/>
            </w:tcBorders>
          </w:tcPr>
          <w:p>
            <w:pPr/>
          </w:p>
        </w:tc>
        <w:tc>
          <w:tcPr>
            <w:tcW w:w="629"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5"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r>
      <w:tr>
        <w:trPr>
          <w:trHeight w:val="713" w:hRule="exact"/>
        </w:trPr>
        <w:tc>
          <w:tcPr>
            <w:tcW w:w="184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11" w:right="0"/>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3</w:t>
            </w:r>
            <w:r>
              <w:rPr>
                <w:rFonts w:ascii="宋体" w:hAnsi="宋体" w:cs="宋体" w:eastAsia="宋体" w:hint="default"/>
                <w:spacing w:val="-5"/>
                <w:sz w:val="18"/>
                <w:szCs w:val="18"/>
              </w:rPr>
              <w:t>）企业合并增</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加</w:t>
            </w:r>
          </w:p>
        </w:tc>
        <w:tc>
          <w:tcPr>
            <w:tcW w:w="715" w:type="dxa"/>
            <w:tcBorders>
              <w:top w:val="single" w:sz="4" w:space="0" w:color="000000"/>
              <w:left w:val="single" w:sz="13" w:space="0" w:color="D4D4D4"/>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15,212.64</w:t>
            </w: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5,781,813.6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5,797,026.2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r>
      <w:tr>
        <w:trPr>
          <w:trHeight w:val="403" w:hRule="exact"/>
        </w:trPr>
        <w:tc>
          <w:tcPr>
            <w:tcW w:w="184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715" w:type="dxa"/>
            <w:tcBorders>
              <w:top w:val="single" w:sz="4" w:space="0" w:color="000000"/>
              <w:left w:val="single" w:sz="13" w:space="0" w:color="D4D4D4"/>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128,300.00</w:t>
            </w: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1" w:right="0"/>
              <w:jc w:val="center"/>
              <w:rPr>
                <w:rFonts w:ascii="Times New Roman" w:hAnsi="Times New Roman" w:cs="Times New Roman" w:eastAsia="Times New Roman" w:hint="default"/>
                <w:sz w:val="18"/>
                <w:szCs w:val="18"/>
              </w:rPr>
            </w:pPr>
            <w:r>
              <w:rPr>
                <w:rFonts w:ascii="Times New Roman"/>
                <w:sz w:val="18"/>
              </w:rPr>
              <w:t>128,300.00</w:t>
            </w:r>
          </w:p>
        </w:tc>
      </w:tr>
      <w:tr>
        <w:trPr>
          <w:trHeight w:val="401" w:hRule="exact"/>
        </w:trPr>
        <w:tc>
          <w:tcPr>
            <w:tcW w:w="184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715" w:type="dxa"/>
            <w:tcBorders>
              <w:top w:val="single" w:sz="4" w:space="0" w:color="000000"/>
              <w:left w:val="single" w:sz="13" w:space="0" w:color="D4D4D4"/>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278,179.47</w:t>
            </w: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128,300.00</w:t>
            </w: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center"/>
              <w:rPr>
                <w:rFonts w:ascii="Times New Roman" w:hAnsi="Times New Roman" w:cs="Times New Roman" w:eastAsia="Times New Roman" w:hint="default"/>
                <w:sz w:val="18"/>
                <w:szCs w:val="18"/>
              </w:rPr>
            </w:pPr>
            <w:r>
              <w:rPr>
                <w:rFonts w:ascii="Times New Roman"/>
                <w:sz w:val="18"/>
              </w:rPr>
              <w:t>406,479.47</w:t>
            </w:r>
          </w:p>
        </w:tc>
      </w:tr>
      <w:tr>
        <w:trPr>
          <w:trHeight w:val="403" w:hRule="exact"/>
        </w:trPr>
        <w:tc>
          <w:tcPr>
            <w:tcW w:w="184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55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715" w:type="dxa"/>
            <w:tcBorders>
              <w:top w:val="single" w:sz="4" w:space="0" w:color="000000"/>
              <w:left w:val="single" w:sz="13" w:space="0" w:color="D4D4D4"/>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278,179.47</w:t>
            </w: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0" w:right="0"/>
              <w:jc w:val="center"/>
              <w:rPr>
                <w:rFonts w:ascii="Times New Roman" w:hAnsi="Times New Roman" w:cs="Times New Roman" w:eastAsia="Times New Roman" w:hint="default"/>
                <w:sz w:val="18"/>
                <w:szCs w:val="18"/>
              </w:rPr>
            </w:pPr>
            <w:r>
              <w:rPr>
                <w:rFonts w:ascii="Times New Roman"/>
                <w:sz w:val="18"/>
              </w:rPr>
              <w:t>278,179.47</w:t>
            </w:r>
          </w:p>
        </w:tc>
      </w:tr>
      <w:tr>
        <w:trPr>
          <w:trHeight w:val="401" w:hRule="exact"/>
        </w:trPr>
        <w:tc>
          <w:tcPr>
            <w:tcW w:w="184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715" w:type="dxa"/>
            <w:tcBorders>
              <w:top w:val="single" w:sz="4" w:space="0" w:color="000000"/>
              <w:left w:val="single" w:sz="13" w:space="0" w:color="D4D4D4"/>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128,300.00</w:t>
            </w: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center"/>
              <w:rPr>
                <w:rFonts w:ascii="Times New Roman" w:hAnsi="Times New Roman" w:cs="Times New Roman" w:eastAsia="Times New Roman" w:hint="default"/>
                <w:sz w:val="18"/>
                <w:szCs w:val="18"/>
              </w:rPr>
            </w:pPr>
            <w:r>
              <w:rPr>
                <w:rFonts w:ascii="Times New Roman"/>
                <w:sz w:val="18"/>
              </w:rPr>
              <w:t>128,300.00</w:t>
            </w:r>
          </w:p>
        </w:tc>
      </w:tr>
      <w:tr>
        <w:trPr>
          <w:trHeight w:val="163" w:hRule="exact"/>
        </w:trPr>
        <w:tc>
          <w:tcPr>
            <w:tcW w:w="1841" w:type="dxa"/>
            <w:tcBorders>
              <w:top w:val="single" w:sz="4" w:space="0" w:color="000000"/>
              <w:left w:val="single" w:sz="4" w:space="0" w:color="000000"/>
              <w:bottom w:val="nil" w:sz="6" w:space="0" w:color="auto"/>
              <w:right w:val="single" w:sz="4" w:space="0" w:color="000000"/>
            </w:tcBorders>
            <w:shd w:val="clear" w:color="auto" w:fill="D4D4D4"/>
          </w:tcPr>
          <w:p>
            <w:pPr/>
          </w:p>
        </w:tc>
        <w:tc>
          <w:tcPr>
            <w:tcW w:w="715" w:type="dxa"/>
            <w:vMerge w:val="restart"/>
            <w:tcBorders>
              <w:top w:val="single" w:sz="4" w:space="0" w:color="000000"/>
              <w:left w:val="single" w:sz="10" w:space="0" w:color="D4D4D4"/>
              <w:right w:val="single" w:sz="4" w:space="0" w:color="000000"/>
            </w:tcBorders>
          </w:tcPr>
          <w:p>
            <w:pPr/>
          </w:p>
        </w:tc>
        <w:tc>
          <w:tcPr>
            <w:tcW w:w="631" w:type="dxa"/>
            <w:vMerge w:val="restart"/>
            <w:tcBorders>
              <w:top w:val="single" w:sz="4" w:space="0" w:color="000000"/>
              <w:left w:val="single" w:sz="4" w:space="0" w:color="000000"/>
              <w:right w:val="single" w:sz="4" w:space="0" w:color="000000"/>
            </w:tcBorders>
          </w:tcPr>
          <w:p>
            <w:pPr/>
          </w:p>
        </w:tc>
        <w:tc>
          <w:tcPr>
            <w:tcW w:w="629"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16,659,199.</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29</w:t>
            </w: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279,774.76</w:t>
            </w:r>
          </w:p>
        </w:tc>
        <w:tc>
          <w:tcPr>
            <w:tcW w:w="955" w:type="dxa"/>
            <w:vMerge w:val="restart"/>
            <w:tcBorders>
              <w:top w:val="single" w:sz="4" w:space="0" w:color="000000"/>
              <w:left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7,260,900.0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184,601,375</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.88</w:t>
            </w: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5,781,813.6</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5</w:t>
            </w: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214,583,063</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.58</w:t>
            </w:r>
          </w:p>
        </w:tc>
      </w:tr>
      <w:tr>
        <w:trPr>
          <w:trHeight w:val="391" w:hRule="exact"/>
        </w:trPr>
        <w:tc>
          <w:tcPr>
            <w:tcW w:w="184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715" w:type="dxa"/>
            <w:vMerge/>
            <w:tcBorders>
              <w:left w:val="single" w:sz="10" w:space="0" w:color="D4D4D4"/>
              <w:right w:val="single" w:sz="4" w:space="0" w:color="000000"/>
            </w:tcBorders>
          </w:tcPr>
          <w:p>
            <w:pPr/>
          </w:p>
        </w:tc>
        <w:tc>
          <w:tcPr>
            <w:tcW w:w="631" w:type="dxa"/>
            <w:vMerge/>
            <w:tcBorders>
              <w:left w:val="single" w:sz="4" w:space="0" w:color="000000"/>
              <w:right w:val="single" w:sz="4" w:space="0" w:color="000000"/>
            </w:tcBorders>
          </w:tcPr>
          <w:p>
            <w:pPr/>
          </w:p>
        </w:tc>
        <w:tc>
          <w:tcPr>
            <w:tcW w:w="629"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5"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r>
      <w:tr>
        <w:trPr>
          <w:trHeight w:val="161" w:hRule="exact"/>
        </w:trPr>
        <w:tc>
          <w:tcPr>
            <w:tcW w:w="1841" w:type="dxa"/>
            <w:tcBorders>
              <w:top w:val="nil" w:sz="6" w:space="0" w:color="auto"/>
              <w:left w:val="single" w:sz="4" w:space="0" w:color="000000"/>
              <w:bottom w:val="single" w:sz="4" w:space="0" w:color="000000"/>
              <w:right w:val="single" w:sz="4" w:space="0" w:color="000000"/>
            </w:tcBorders>
            <w:shd w:val="clear" w:color="auto" w:fill="D4D4D4"/>
          </w:tcPr>
          <w:p>
            <w:pPr/>
          </w:p>
        </w:tc>
        <w:tc>
          <w:tcPr>
            <w:tcW w:w="715" w:type="dxa"/>
            <w:vMerge/>
            <w:tcBorders>
              <w:left w:val="single" w:sz="10" w:space="0" w:color="D4D4D4"/>
              <w:bottom w:val="single" w:sz="4" w:space="0" w:color="000000"/>
              <w:right w:val="single" w:sz="4" w:space="0" w:color="000000"/>
            </w:tcBorders>
          </w:tcPr>
          <w:p>
            <w:pPr/>
          </w:p>
        </w:tc>
        <w:tc>
          <w:tcPr>
            <w:tcW w:w="631" w:type="dxa"/>
            <w:vMerge/>
            <w:tcBorders>
              <w:left w:val="single" w:sz="4" w:space="0" w:color="000000"/>
              <w:bottom w:val="single" w:sz="4" w:space="0" w:color="000000"/>
              <w:right w:val="single" w:sz="4" w:space="0" w:color="000000"/>
            </w:tcBorders>
          </w:tcPr>
          <w:p>
            <w:pPr/>
          </w:p>
        </w:tc>
        <w:tc>
          <w:tcPr>
            <w:tcW w:w="629"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5"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r>
      <w:tr>
        <w:trPr>
          <w:trHeight w:val="401" w:hRule="exact"/>
        </w:trPr>
        <w:tc>
          <w:tcPr>
            <w:tcW w:w="184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715" w:type="dxa"/>
            <w:tcBorders>
              <w:top w:val="single" w:sz="4" w:space="0" w:color="000000"/>
              <w:left w:val="single" w:sz="13" w:space="0" w:color="D4D4D4"/>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r>
      <w:tr>
        <w:trPr>
          <w:trHeight w:val="163" w:hRule="exact"/>
        </w:trPr>
        <w:tc>
          <w:tcPr>
            <w:tcW w:w="1841" w:type="dxa"/>
            <w:tcBorders>
              <w:top w:val="single" w:sz="4" w:space="0" w:color="000000"/>
              <w:left w:val="single" w:sz="4" w:space="0" w:color="000000"/>
              <w:bottom w:val="nil" w:sz="6" w:space="0" w:color="auto"/>
              <w:right w:val="single" w:sz="4" w:space="0" w:color="000000"/>
            </w:tcBorders>
            <w:shd w:val="clear" w:color="auto" w:fill="D4D4D4"/>
          </w:tcPr>
          <w:p>
            <w:pPr/>
          </w:p>
        </w:tc>
        <w:tc>
          <w:tcPr>
            <w:tcW w:w="715" w:type="dxa"/>
            <w:vMerge w:val="restart"/>
            <w:tcBorders>
              <w:top w:val="single" w:sz="4" w:space="0" w:color="000000"/>
              <w:left w:val="single" w:sz="10" w:space="0" w:color="D4D4D4"/>
              <w:right w:val="single" w:sz="4" w:space="0" w:color="000000"/>
            </w:tcBorders>
          </w:tcPr>
          <w:p>
            <w:pPr/>
          </w:p>
        </w:tc>
        <w:tc>
          <w:tcPr>
            <w:tcW w:w="631" w:type="dxa"/>
            <w:vMerge w:val="restart"/>
            <w:tcBorders>
              <w:top w:val="single" w:sz="4" w:space="0" w:color="000000"/>
              <w:left w:val="single" w:sz="4" w:space="0" w:color="000000"/>
              <w:right w:val="single" w:sz="4" w:space="0" w:color="000000"/>
            </w:tcBorders>
          </w:tcPr>
          <w:p>
            <w:pPr/>
          </w:p>
        </w:tc>
        <w:tc>
          <w:tcPr>
            <w:tcW w:w="629"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6,936,225.7</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6</w:t>
            </w: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198,578.19</w:t>
            </w:r>
          </w:p>
        </w:tc>
        <w:tc>
          <w:tcPr>
            <w:tcW w:w="955" w:type="dxa"/>
            <w:vMerge w:val="restart"/>
            <w:tcBorders>
              <w:top w:val="single" w:sz="4" w:space="0" w:color="000000"/>
              <w:left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5,808,720.0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83,725,903.</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58</w:t>
            </w:r>
          </w:p>
        </w:tc>
        <w:tc>
          <w:tcPr>
            <w:tcW w:w="958"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96,669,427.</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53</w:t>
            </w:r>
          </w:p>
        </w:tc>
      </w:tr>
      <w:tr>
        <w:trPr>
          <w:trHeight w:val="391" w:hRule="exact"/>
        </w:trPr>
        <w:tc>
          <w:tcPr>
            <w:tcW w:w="184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715" w:type="dxa"/>
            <w:vMerge/>
            <w:tcBorders>
              <w:left w:val="single" w:sz="10" w:space="0" w:color="D4D4D4"/>
              <w:right w:val="single" w:sz="4" w:space="0" w:color="000000"/>
            </w:tcBorders>
          </w:tcPr>
          <w:p>
            <w:pPr/>
          </w:p>
        </w:tc>
        <w:tc>
          <w:tcPr>
            <w:tcW w:w="631" w:type="dxa"/>
            <w:vMerge/>
            <w:tcBorders>
              <w:left w:val="single" w:sz="4" w:space="0" w:color="000000"/>
              <w:right w:val="single" w:sz="4" w:space="0" w:color="000000"/>
            </w:tcBorders>
          </w:tcPr>
          <w:p>
            <w:pPr/>
          </w:p>
        </w:tc>
        <w:tc>
          <w:tcPr>
            <w:tcW w:w="629"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5"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r>
      <w:tr>
        <w:trPr>
          <w:trHeight w:val="161" w:hRule="exact"/>
        </w:trPr>
        <w:tc>
          <w:tcPr>
            <w:tcW w:w="1841" w:type="dxa"/>
            <w:tcBorders>
              <w:top w:val="nil" w:sz="6" w:space="0" w:color="auto"/>
              <w:left w:val="single" w:sz="4" w:space="0" w:color="000000"/>
              <w:bottom w:val="single" w:sz="4" w:space="0" w:color="000000"/>
              <w:right w:val="single" w:sz="4" w:space="0" w:color="000000"/>
            </w:tcBorders>
            <w:shd w:val="clear" w:color="auto" w:fill="D4D4D4"/>
          </w:tcPr>
          <w:p>
            <w:pPr/>
          </w:p>
        </w:tc>
        <w:tc>
          <w:tcPr>
            <w:tcW w:w="715" w:type="dxa"/>
            <w:vMerge/>
            <w:tcBorders>
              <w:left w:val="single" w:sz="10" w:space="0" w:color="D4D4D4"/>
              <w:bottom w:val="single" w:sz="4" w:space="0" w:color="000000"/>
              <w:right w:val="single" w:sz="4" w:space="0" w:color="000000"/>
            </w:tcBorders>
          </w:tcPr>
          <w:p>
            <w:pPr/>
          </w:p>
        </w:tc>
        <w:tc>
          <w:tcPr>
            <w:tcW w:w="631" w:type="dxa"/>
            <w:vMerge/>
            <w:tcBorders>
              <w:left w:val="single" w:sz="4" w:space="0" w:color="000000"/>
              <w:bottom w:val="single" w:sz="4" w:space="0" w:color="000000"/>
              <w:right w:val="single" w:sz="4" w:space="0" w:color="000000"/>
            </w:tcBorders>
          </w:tcPr>
          <w:p>
            <w:pPr/>
          </w:p>
        </w:tc>
        <w:tc>
          <w:tcPr>
            <w:tcW w:w="629"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5"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r>
      <w:tr>
        <w:trPr>
          <w:trHeight w:val="161" w:hRule="exact"/>
        </w:trPr>
        <w:tc>
          <w:tcPr>
            <w:tcW w:w="1841" w:type="dxa"/>
            <w:tcBorders>
              <w:top w:val="single" w:sz="4" w:space="0" w:color="000000"/>
              <w:left w:val="single" w:sz="4" w:space="0" w:color="000000"/>
              <w:bottom w:val="nil" w:sz="6" w:space="0" w:color="auto"/>
              <w:right w:val="single" w:sz="4" w:space="0" w:color="000000"/>
            </w:tcBorders>
            <w:shd w:val="clear" w:color="auto" w:fill="D4D4D4"/>
          </w:tcPr>
          <w:p>
            <w:pPr/>
          </w:p>
        </w:tc>
        <w:tc>
          <w:tcPr>
            <w:tcW w:w="715" w:type="dxa"/>
            <w:vMerge w:val="restart"/>
            <w:tcBorders>
              <w:top w:val="single" w:sz="4" w:space="0" w:color="000000"/>
              <w:left w:val="single" w:sz="10" w:space="0" w:color="D4D4D4"/>
              <w:right w:val="single" w:sz="4" w:space="0" w:color="000000"/>
            </w:tcBorders>
          </w:tcPr>
          <w:p>
            <w:pPr/>
          </w:p>
        </w:tc>
        <w:tc>
          <w:tcPr>
            <w:tcW w:w="631" w:type="dxa"/>
            <w:vMerge w:val="restart"/>
            <w:tcBorders>
              <w:top w:val="single" w:sz="4" w:space="0" w:color="000000"/>
              <w:left w:val="single" w:sz="4" w:space="0" w:color="000000"/>
              <w:right w:val="single" w:sz="4" w:space="0" w:color="000000"/>
            </w:tcBorders>
          </w:tcPr>
          <w:p>
            <w:pPr/>
          </w:p>
        </w:tc>
        <w:tc>
          <w:tcPr>
            <w:tcW w:w="629"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2,531,161.8</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03" w:right="0"/>
              <w:jc w:val="left"/>
              <w:rPr>
                <w:rFonts w:ascii="Times New Roman" w:hAnsi="Times New Roman" w:cs="Times New Roman" w:eastAsia="Times New Roman" w:hint="default"/>
                <w:sz w:val="18"/>
                <w:szCs w:val="18"/>
              </w:rPr>
            </w:pPr>
            <w:r>
              <w:rPr>
                <w:rFonts w:ascii="Times New Roman"/>
                <w:sz w:val="18"/>
              </w:rPr>
              <w:t>27,977.52</w:t>
            </w:r>
          </w:p>
        </w:tc>
        <w:tc>
          <w:tcPr>
            <w:tcW w:w="955"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1,452,180.0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22,505,410.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59</w:t>
            </w:r>
          </w:p>
        </w:tc>
        <w:tc>
          <w:tcPr>
            <w:tcW w:w="958"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26,516,729.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99</w:t>
            </w:r>
          </w:p>
        </w:tc>
      </w:tr>
      <w:tr>
        <w:trPr>
          <w:trHeight w:val="391" w:hRule="exact"/>
        </w:trPr>
        <w:tc>
          <w:tcPr>
            <w:tcW w:w="184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715" w:type="dxa"/>
            <w:vMerge/>
            <w:tcBorders>
              <w:left w:val="single" w:sz="10" w:space="0" w:color="D4D4D4"/>
              <w:right w:val="single" w:sz="4" w:space="0" w:color="000000"/>
            </w:tcBorders>
          </w:tcPr>
          <w:p>
            <w:pPr/>
          </w:p>
        </w:tc>
        <w:tc>
          <w:tcPr>
            <w:tcW w:w="631" w:type="dxa"/>
            <w:vMerge/>
            <w:tcBorders>
              <w:left w:val="single" w:sz="4" w:space="0" w:color="000000"/>
              <w:right w:val="single" w:sz="4" w:space="0" w:color="000000"/>
            </w:tcBorders>
          </w:tcPr>
          <w:p>
            <w:pPr/>
          </w:p>
        </w:tc>
        <w:tc>
          <w:tcPr>
            <w:tcW w:w="629"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5"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r>
      <w:tr>
        <w:trPr>
          <w:trHeight w:val="161" w:hRule="exact"/>
        </w:trPr>
        <w:tc>
          <w:tcPr>
            <w:tcW w:w="1841" w:type="dxa"/>
            <w:tcBorders>
              <w:top w:val="nil" w:sz="6" w:space="0" w:color="auto"/>
              <w:left w:val="single" w:sz="4" w:space="0" w:color="000000"/>
              <w:bottom w:val="single" w:sz="4" w:space="0" w:color="000000"/>
              <w:right w:val="single" w:sz="4" w:space="0" w:color="000000"/>
            </w:tcBorders>
            <w:shd w:val="clear" w:color="auto" w:fill="D4D4D4"/>
          </w:tcPr>
          <w:p>
            <w:pPr/>
          </w:p>
        </w:tc>
        <w:tc>
          <w:tcPr>
            <w:tcW w:w="715" w:type="dxa"/>
            <w:vMerge/>
            <w:tcBorders>
              <w:left w:val="single" w:sz="10" w:space="0" w:color="D4D4D4"/>
              <w:bottom w:val="single" w:sz="4" w:space="0" w:color="000000"/>
              <w:right w:val="single" w:sz="4" w:space="0" w:color="000000"/>
            </w:tcBorders>
          </w:tcPr>
          <w:p>
            <w:pPr/>
          </w:p>
        </w:tc>
        <w:tc>
          <w:tcPr>
            <w:tcW w:w="631" w:type="dxa"/>
            <w:vMerge/>
            <w:tcBorders>
              <w:left w:val="single" w:sz="4" w:space="0" w:color="000000"/>
              <w:bottom w:val="single" w:sz="4" w:space="0" w:color="000000"/>
              <w:right w:val="single" w:sz="4" w:space="0" w:color="000000"/>
            </w:tcBorders>
          </w:tcPr>
          <w:p>
            <w:pPr/>
          </w:p>
        </w:tc>
        <w:tc>
          <w:tcPr>
            <w:tcW w:w="629"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5"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r>
      <w:tr>
        <w:trPr>
          <w:trHeight w:val="163" w:hRule="exact"/>
        </w:trPr>
        <w:tc>
          <w:tcPr>
            <w:tcW w:w="1841" w:type="dxa"/>
            <w:tcBorders>
              <w:top w:val="single" w:sz="4" w:space="0" w:color="000000"/>
              <w:left w:val="single" w:sz="4" w:space="0" w:color="000000"/>
              <w:bottom w:val="nil" w:sz="6" w:space="0" w:color="auto"/>
              <w:right w:val="single" w:sz="4" w:space="0" w:color="000000"/>
            </w:tcBorders>
            <w:shd w:val="clear" w:color="auto" w:fill="D4D4D4"/>
          </w:tcPr>
          <w:p>
            <w:pPr/>
          </w:p>
        </w:tc>
        <w:tc>
          <w:tcPr>
            <w:tcW w:w="715" w:type="dxa"/>
            <w:vMerge w:val="restart"/>
            <w:tcBorders>
              <w:top w:val="single" w:sz="4" w:space="0" w:color="000000"/>
              <w:left w:val="single" w:sz="10" w:space="0" w:color="D4D4D4"/>
              <w:right w:val="single" w:sz="4" w:space="0" w:color="000000"/>
            </w:tcBorders>
          </w:tcPr>
          <w:p>
            <w:pPr/>
          </w:p>
        </w:tc>
        <w:tc>
          <w:tcPr>
            <w:tcW w:w="631" w:type="dxa"/>
            <w:vMerge w:val="restart"/>
            <w:tcBorders>
              <w:top w:val="single" w:sz="4" w:space="0" w:color="000000"/>
              <w:left w:val="single" w:sz="4" w:space="0" w:color="000000"/>
              <w:right w:val="single" w:sz="4" w:space="0" w:color="000000"/>
            </w:tcBorders>
          </w:tcPr>
          <w:p>
            <w:pPr/>
          </w:p>
        </w:tc>
        <w:tc>
          <w:tcPr>
            <w:tcW w:w="629"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2,467,553.8</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9</w:t>
            </w: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203" w:right="0"/>
              <w:jc w:val="left"/>
              <w:rPr>
                <w:rFonts w:ascii="Times New Roman" w:hAnsi="Times New Roman" w:cs="Times New Roman" w:eastAsia="Times New Roman" w:hint="default"/>
                <w:sz w:val="18"/>
                <w:szCs w:val="18"/>
              </w:rPr>
            </w:pPr>
            <w:r>
              <w:rPr>
                <w:rFonts w:ascii="Times New Roman"/>
                <w:sz w:val="18"/>
              </w:rPr>
              <w:t>27,977.52</w:t>
            </w:r>
          </w:p>
        </w:tc>
        <w:tc>
          <w:tcPr>
            <w:tcW w:w="955" w:type="dxa"/>
            <w:vMerge w:val="restart"/>
            <w:tcBorders>
              <w:top w:val="single" w:sz="4" w:space="0" w:color="000000"/>
              <w:left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1,452,180.0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22,505,410.</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59</w:t>
            </w:r>
          </w:p>
        </w:tc>
        <w:tc>
          <w:tcPr>
            <w:tcW w:w="958"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26,453,122.</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00</w:t>
            </w:r>
          </w:p>
        </w:tc>
      </w:tr>
      <w:tr>
        <w:trPr>
          <w:trHeight w:val="391" w:hRule="exact"/>
        </w:trPr>
        <w:tc>
          <w:tcPr>
            <w:tcW w:w="184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715" w:type="dxa"/>
            <w:vMerge/>
            <w:tcBorders>
              <w:left w:val="single" w:sz="10" w:space="0" w:color="D4D4D4"/>
              <w:right w:val="single" w:sz="4" w:space="0" w:color="000000"/>
            </w:tcBorders>
          </w:tcPr>
          <w:p>
            <w:pPr/>
          </w:p>
        </w:tc>
        <w:tc>
          <w:tcPr>
            <w:tcW w:w="631" w:type="dxa"/>
            <w:vMerge/>
            <w:tcBorders>
              <w:left w:val="single" w:sz="4" w:space="0" w:color="000000"/>
              <w:right w:val="single" w:sz="4" w:space="0" w:color="000000"/>
            </w:tcBorders>
          </w:tcPr>
          <w:p>
            <w:pPr/>
          </w:p>
        </w:tc>
        <w:tc>
          <w:tcPr>
            <w:tcW w:w="629"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5"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r>
      <w:tr>
        <w:trPr>
          <w:trHeight w:val="161" w:hRule="exact"/>
        </w:trPr>
        <w:tc>
          <w:tcPr>
            <w:tcW w:w="1841" w:type="dxa"/>
            <w:tcBorders>
              <w:top w:val="nil" w:sz="6" w:space="0" w:color="auto"/>
              <w:left w:val="single" w:sz="4" w:space="0" w:color="000000"/>
              <w:bottom w:val="single" w:sz="4" w:space="0" w:color="000000"/>
              <w:right w:val="single" w:sz="4" w:space="0" w:color="000000"/>
            </w:tcBorders>
            <w:shd w:val="clear" w:color="auto" w:fill="D4D4D4"/>
          </w:tcPr>
          <w:p>
            <w:pPr/>
          </w:p>
        </w:tc>
        <w:tc>
          <w:tcPr>
            <w:tcW w:w="715" w:type="dxa"/>
            <w:vMerge/>
            <w:tcBorders>
              <w:left w:val="single" w:sz="10" w:space="0" w:color="D4D4D4"/>
              <w:bottom w:val="single" w:sz="4" w:space="0" w:color="000000"/>
              <w:right w:val="single" w:sz="4" w:space="0" w:color="000000"/>
            </w:tcBorders>
          </w:tcPr>
          <w:p>
            <w:pPr/>
          </w:p>
        </w:tc>
        <w:tc>
          <w:tcPr>
            <w:tcW w:w="631" w:type="dxa"/>
            <w:vMerge/>
            <w:tcBorders>
              <w:left w:val="single" w:sz="4" w:space="0" w:color="000000"/>
              <w:bottom w:val="single" w:sz="4" w:space="0" w:color="000000"/>
              <w:right w:val="single" w:sz="4" w:space="0" w:color="000000"/>
            </w:tcBorders>
          </w:tcPr>
          <w:p>
            <w:pPr/>
          </w:p>
        </w:tc>
        <w:tc>
          <w:tcPr>
            <w:tcW w:w="629"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5"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r>
      <w:tr>
        <w:trPr>
          <w:trHeight w:val="401" w:hRule="exact"/>
        </w:trPr>
        <w:tc>
          <w:tcPr>
            <w:tcW w:w="184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w:t>
            </w:r>
          </w:p>
        </w:tc>
        <w:tc>
          <w:tcPr>
            <w:tcW w:w="715" w:type="dxa"/>
            <w:tcBorders>
              <w:top w:val="single" w:sz="4" w:space="0" w:color="000000"/>
              <w:left w:val="single" w:sz="13" w:space="0" w:color="D4D4D4"/>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63,607.99</w:t>
            </w: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1" w:right="0"/>
              <w:jc w:val="center"/>
              <w:rPr>
                <w:rFonts w:ascii="Times New Roman" w:hAnsi="Times New Roman" w:cs="Times New Roman" w:eastAsia="Times New Roman" w:hint="default"/>
                <w:sz w:val="18"/>
                <w:szCs w:val="18"/>
              </w:rPr>
            </w:pPr>
            <w:r>
              <w:rPr>
                <w:rFonts w:ascii="Times New Roman"/>
                <w:sz w:val="18"/>
              </w:rPr>
              <w:t>63,607.99</w:t>
            </w:r>
          </w:p>
        </w:tc>
      </w:tr>
      <w:tr>
        <w:trPr>
          <w:trHeight w:val="403" w:hRule="exact"/>
        </w:trPr>
        <w:tc>
          <w:tcPr>
            <w:tcW w:w="184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715" w:type="dxa"/>
            <w:tcBorders>
              <w:top w:val="single" w:sz="4" w:space="0" w:color="000000"/>
              <w:left w:val="single" w:sz="13" w:space="0" w:color="D4D4D4"/>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227,573.89</w:t>
            </w: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63,607.99</w:t>
            </w: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1" w:right="0"/>
              <w:jc w:val="center"/>
              <w:rPr>
                <w:rFonts w:ascii="Times New Roman" w:hAnsi="Times New Roman" w:cs="Times New Roman" w:eastAsia="Times New Roman" w:hint="default"/>
                <w:sz w:val="18"/>
                <w:szCs w:val="18"/>
              </w:rPr>
            </w:pPr>
            <w:r>
              <w:rPr>
                <w:rFonts w:ascii="Times New Roman"/>
                <w:sz w:val="18"/>
              </w:rPr>
              <w:t>291,181.88</w:t>
            </w:r>
          </w:p>
        </w:tc>
      </w:tr>
      <w:tr>
        <w:trPr>
          <w:trHeight w:val="401" w:hRule="exact"/>
        </w:trPr>
        <w:tc>
          <w:tcPr>
            <w:tcW w:w="184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715" w:type="dxa"/>
            <w:tcBorders>
              <w:top w:val="single" w:sz="4" w:space="0" w:color="000000"/>
              <w:left w:val="single" w:sz="13" w:space="0" w:color="D4D4D4"/>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227,573.89</w:t>
            </w: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center"/>
              <w:rPr>
                <w:rFonts w:ascii="Times New Roman" w:hAnsi="Times New Roman" w:cs="Times New Roman" w:eastAsia="Times New Roman" w:hint="default"/>
                <w:sz w:val="18"/>
                <w:szCs w:val="18"/>
              </w:rPr>
            </w:pPr>
            <w:r>
              <w:rPr>
                <w:rFonts w:ascii="Times New Roman"/>
                <w:sz w:val="18"/>
              </w:rPr>
              <w:t>227,573.89</w:t>
            </w:r>
          </w:p>
        </w:tc>
      </w:tr>
      <w:tr>
        <w:trPr>
          <w:trHeight w:val="403" w:hRule="exact"/>
        </w:trPr>
        <w:tc>
          <w:tcPr>
            <w:tcW w:w="184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715" w:type="dxa"/>
            <w:tcBorders>
              <w:top w:val="single" w:sz="4" w:space="0" w:color="000000"/>
              <w:left w:val="single" w:sz="13" w:space="0" w:color="D4D4D4"/>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63,607.99</w:t>
            </w: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81" w:right="0"/>
              <w:jc w:val="center"/>
              <w:rPr>
                <w:rFonts w:ascii="Times New Roman" w:hAnsi="Times New Roman" w:cs="Times New Roman" w:eastAsia="Times New Roman" w:hint="default"/>
                <w:sz w:val="18"/>
                <w:szCs w:val="18"/>
              </w:rPr>
            </w:pPr>
            <w:r>
              <w:rPr>
                <w:rFonts w:ascii="Times New Roman"/>
                <w:sz w:val="18"/>
              </w:rPr>
              <w:t>63,607.99</w:t>
            </w:r>
          </w:p>
        </w:tc>
      </w:tr>
      <w:tr>
        <w:trPr>
          <w:trHeight w:val="161" w:hRule="exact"/>
        </w:trPr>
        <w:tc>
          <w:tcPr>
            <w:tcW w:w="1841" w:type="dxa"/>
            <w:tcBorders>
              <w:top w:val="single" w:sz="4" w:space="0" w:color="000000"/>
              <w:left w:val="single" w:sz="4" w:space="0" w:color="000000"/>
              <w:bottom w:val="nil" w:sz="6" w:space="0" w:color="auto"/>
              <w:right w:val="single" w:sz="4" w:space="0" w:color="000000"/>
            </w:tcBorders>
            <w:shd w:val="clear" w:color="auto" w:fill="D4D4D4"/>
          </w:tcPr>
          <w:p>
            <w:pPr/>
          </w:p>
        </w:tc>
        <w:tc>
          <w:tcPr>
            <w:tcW w:w="715" w:type="dxa"/>
            <w:vMerge w:val="restart"/>
            <w:tcBorders>
              <w:top w:val="single" w:sz="4" w:space="0" w:color="000000"/>
              <w:left w:val="single" w:sz="10" w:space="0" w:color="D4D4D4"/>
              <w:right w:val="single" w:sz="4" w:space="0" w:color="000000"/>
            </w:tcBorders>
          </w:tcPr>
          <w:p>
            <w:pPr/>
          </w:p>
        </w:tc>
        <w:tc>
          <w:tcPr>
            <w:tcW w:w="631" w:type="dxa"/>
            <w:vMerge w:val="restart"/>
            <w:tcBorders>
              <w:top w:val="single" w:sz="4" w:space="0" w:color="000000"/>
              <w:left w:val="single" w:sz="4" w:space="0" w:color="000000"/>
              <w:right w:val="single" w:sz="4" w:space="0" w:color="000000"/>
            </w:tcBorders>
          </w:tcPr>
          <w:p>
            <w:pPr/>
          </w:p>
        </w:tc>
        <w:tc>
          <w:tcPr>
            <w:tcW w:w="629"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9,239,813.7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226,555.71</w:t>
            </w:r>
          </w:p>
        </w:tc>
        <w:tc>
          <w:tcPr>
            <w:tcW w:w="955"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7,260,900.0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106,167,706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.18</w:t>
            </w:r>
          </w:p>
        </w:tc>
        <w:tc>
          <w:tcPr>
            <w:tcW w:w="958"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122,894,975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.64</w:t>
            </w:r>
          </w:p>
        </w:tc>
      </w:tr>
      <w:tr>
        <w:trPr>
          <w:trHeight w:val="391" w:hRule="exact"/>
        </w:trPr>
        <w:tc>
          <w:tcPr>
            <w:tcW w:w="184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715" w:type="dxa"/>
            <w:vMerge/>
            <w:tcBorders>
              <w:left w:val="single" w:sz="10" w:space="0" w:color="D4D4D4"/>
              <w:right w:val="single" w:sz="4" w:space="0" w:color="000000"/>
            </w:tcBorders>
          </w:tcPr>
          <w:p>
            <w:pPr/>
          </w:p>
        </w:tc>
        <w:tc>
          <w:tcPr>
            <w:tcW w:w="631" w:type="dxa"/>
            <w:vMerge/>
            <w:tcBorders>
              <w:left w:val="single" w:sz="4" w:space="0" w:color="000000"/>
              <w:right w:val="single" w:sz="4" w:space="0" w:color="000000"/>
            </w:tcBorders>
          </w:tcPr>
          <w:p>
            <w:pPr/>
          </w:p>
        </w:tc>
        <w:tc>
          <w:tcPr>
            <w:tcW w:w="629"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5"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r>
      <w:tr>
        <w:trPr>
          <w:trHeight w:val="161" w:hRule="exact"/>
        </w:trPr>
        <w:tc>
          <w:tcPr>
            <w:tcW w:w="1841" w:type="dxa"/>
            <w:tcBorders>
              <w:top w:val="nil" w:sz="6" w:space="0" w:color="auto"/>
              <w:left w:val="single" w:sz="4" w:space="0" w:color="000000"/>
              <w:bottom w:val="single" w:sz="4" w:space="0" w:color="000000"/>
              <w:right w:val="single" w:sz="4" w:space="0" w:color="000000"/>
            </w:tcBorders>
            <w:shd w:val="clear" w:color="auto" w:fill="D4D4D4"/>
          </w:tcPr>
          <w:p>
            <w:pPr/>
          </w:p>
        </w:tc>
        <w:tc>
          <w:tcPr>
            <w:tcW w:w="715" w:type="dxa"/>
            <w:vMerge/>
            <w:tcBorders>
              <w:left w:val="single" w:sz="10" w:space="0" w:color="D4D4D4"/>
              <w:bottom w:val="single" w:sz="4" w:space="0" w:color="000000"/>
              <w:right w:val="single" w:sz="4" w:space="0" w:color="000000"/>
            </w:tcBorders>
          </w:tcPr>
          <w:p>
            <w:pPr/>
          </w:p>
        </w:tc>
        <w:tc>
          <w:tcPr>
            <w:tcW w:w="631" w:type="dxa"/>
            <w:vMerge/>
            <w:tcBorders>
              <w:left w:val="single" w:sz="4" w:space="0" w:color="000000"/>
              <w:bottom w:val="single" w:sz="4" w:space="0" w:color="000000"/>
              <w:right w:val="single" w:sz="4" w:space="0" w:color="000000"/>
            </w:tcBorders>
          </w:tcPr>
          <w:p>
            <w:pPr/>
          </w:p>
        </w:tc>
        <w:tc>
          <w:tcPr>
            <w:tcW w:w="629"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5"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r>
      <w:tr>
        <w:trPr>
          <w:trHeight w:val="403" w:hRule="exact"/>
        </w:trPr>
        <w:tc>
          <w:tcPr>
            <w:tcW w:w="184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715" w:type="dxa"/>
            <w:tcBorders>
              <w:top w:val="single" w:sz="4" w:space="0" w:color="000000"/>
              <w:left w:val="single" w:sz="13" w:space="0" w:color="D4D4D4"/>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841" w:type="dxa"/>
            <w:tcBorders>
              <w:top w:val="single" w:sz="4" w:space="0" w:color="000000"/>
              <w:left w:val="single" w:sz="4" w:space="0" w:color="000000"/>
              <w:bottom w:val="nil" w:sz="6" w:space="0" w:color="auto"/>
              <w:right w:val="single" w:sz="4" w:space="0" w:color="000000"/>
            </w:tcBorders>
            <w:shd w:val="clear" w:color="auto" w:fill="D4D4D4"/>
          </w:tcPr>
          <w:p>
            <w:pPr/>
          </w:p>
        </w:tc>
        <w:tc>
          <w:tcPr>
            <w:tcW w:w="715" w:type="dxa"/>
            <w:vMerge w:val="restart"/>
            <w:tcBorders>
              <w:top w:val="single" w:sz="4" w:space="0" w:color="000000"/>
              <w:left w:val="single" w:sz="10" w:space="0" w:color="D4D4D4"/>
              <w:right w:val="single" w:sz="4" w:space="0" w:color="000000"/>
            </w:tcBorders>
          </w:tcPr>
          <w:p>
            <w:pPr/>
          </w:p>
        </w:tc>
        <w:tc>
          <w:tcPr>
            <w:tcW w:w="631" w:type="dxa"/>
            <w:vMerge w:val="restart"/>
            <w:tcBorders>
              <w:top w:val="single" w:sz="4" w:space="0" w:color="000000"/>
              <w:left w:val="single" w:sz="4" w:space="0" w:color="000000"/>
              <w:right w:val="single" w:sz="4" w:space="0" w:color="000000"/>
            </w:tcBorders>
          </w:tcPr>
          <w:p>
            <w:pPr/>
          </w:p>
        </w:tc>
        <w:tc>
          <w:tcPr>
            <w:tcW w:w="629"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
        </w:tc>
        <w:tc>
          <w:tcPr>
            <w:tcW w:w="955"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24,412,230.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62</w:t>
            </w:r>
          </w:p>
        </w:tc>
        <w:tc>
          <w:tcPr>
            <w:tcW w:w="958" w:type="dxa"/>
            <w:vMerge w:val="restart"/>
            <w:tcBorders>
              <w:top w:val="single" w:sz="4" w:space="0" w:color="000000"/>
              <w:left w:val="single" w:sz="4" w:space="0" w:color="000000"/>
              <w:right w:val="single" w:sz="4" w:space="0" w:color="000000"/>
            </w:tcBorders>
          </w:tcPr>
          <w:p>
            <w:pP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24,412,230.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62</w:t>
            </w:r>
          </w:p>
        </w:tc>
      </w:tr>
      <w:tr>
        <w:trPr>
          <w:trHeight w:val="391" w:hRule="exact"/>
        </w:trPr>
        <w:tc>
          <w:tcPr>
            <w:tcW w:w="184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715" w:type="dxa"/>
            <w:vMerge/>
            <w:tcBorders>
              <w:left w:val="single" w:sz="10" w:space="0" w:color="D4D4D4"/>
              <w:right w:val="single" w:sz="4" w:space="0" w:color="000000"/>
            </w:tcBorders>
          </w:tcPr>
          <w:p>
            <w:pPr/>
          </w:p>
        </w:tc>
        <w:tc>
          <w:tcPr>
            <w:tcW w:w="631" w:type="dxa"/>
            <w:vMerge/>
            <w:tcBorders>
              <w:left w:val="single" w:sz="4" w:space="0" w:color="000000"/>
              <w:right w:val="single" w:sz="4" w:space="0" w:color="000000"/>
            </w:tcBorders>
          </w:tcPr>
          <w:p>
            <w:pPr/>
          </w:p>
        </w:tc>
        <w:tc>
          <w:tcPr>
            <w:tcW w:w="629"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5"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r>
      <w:tr>
        <w:trPr>
          <w:trHeight w:val="163" w:hRule="exact"/>
        </w:trPr>
        <w:tc>
          <w:tcPr>
            <w:tcW w:w="1841" w:type="dxa"/>
            <w:tcBorders>
              <w:top w:val="nil" w:sz="6" w:space="0" w:color="auto"/>
              <w:left w:val="single" w:sz="4" w:space="0" w:color="000000"/>
              <w:bottom w:val="single" w:sz="4" w:space="0" w:color="000000"/>
              <w:right w:val="single" w:sz="4" w:space="0" w:color="000000"/>
            </w:tcBorders>
            <w:shd w:val="clear" w:color="auto" w:fill="D4D4D4"/>
          </w:tcPr>
          <w:p>
            <w:pPr/>
          </w:p>
        </w:tc>
        <w:tc>
          <w:tcPr>
            <w:tcW w:w="715" w:type="dxa"/>
            <w:vMerge/>
            <w:tcBorders>
              <w:left w:val="single" w:sz="10" w:space="0" w:color="D4D4D4"/>
              <w:bottom w:val="single" w:sz="4" w:space="0" w:color="000000"/>
              <w:right w:val="single" w:sz="4" w:space="0" w:color="000000"/>
            </w:tcBorders>
          </w:tcPr>
          <w:p>
            <w:pPr/>
          </w:p>
        </w:tc>
        <w:tc>
          <w:tcPr>
            <w:tcW w:w="631" w:type="dxa"/>
            <w:vMerge/>
            <w:tcBorders>
              <w:left w:val="single" w:sz="4" w:space="0" w:color="000000"/>
              <w:bottom w:val="single" w:sz="4" w:space="0" w:color="000000"/>
              <w:right w:val="single" w:sz="4" w:space="0" w:color="000000"/>
            </w:tcBorders>
          </w:tcPr>
          <w:p>
            <w:pPr/>
          </w:p>
        </w:tc>
        <w:tc>
          <w:tcPr>
            <w:tcW w:w="629"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5"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864"/>
        <w:gridCol w:w="703"/>
        <w:gridCol w:w="631"/>
        <w:gridCol w:w="629"/>
        <w:gridCol w:w="958"/>
        <w:gridCol w:w="958"/>
        <w:gridCol w:w="955"/>
        <w:gridCol w:w="958"/>
        <w:gridCol w:w="958"/>
        <w:gridCol w:w="958"/>
      </w:tblGrid>
      <w:tr>
        <w:trPr>
          <w:trHeight w:val="713" w:hRule="exact"/>
        </w:trPr>
        <w:tc>
          <w:tcPr>
            <w:tcW w:w="18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252"/>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703"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4,201,167.7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4,201,167.7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r>
      <w:tr>
        <w:trPr>
          <w:trHeight w:val="715" w:hRule="exact"/>
        </w:trPr>
        <w:tc>
          <w:tcPr>
            <w:tcW w:w="18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5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703"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4,201,167.7</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0</w:t>
            </w: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4,201,167.7</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1864"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03"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252"/>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703"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8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703"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64"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03"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8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703"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28,613,398.</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32</w:t>
            </w: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28,613,398.</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32</w:t>
            </w:r>
          </w:p>
        </w:tc>
      </w:tr>
      <w:tr>
        <w:trPr>
          <w:trHeight w:val="403" w:hRule="exact"/>
        </w:trPr>
        <w:tc>
          <w:tcPr>
            <w:tcW w:w="18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703"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8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252"/>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703"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7,419,385.5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53,219.05</w:t>
            </w: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49,820,271.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38</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5,781,813.6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63,074,689.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62</w:t>
            </w:r>
          </w:p>
        </w:tc>
      </w:tr>
      <w:tr>
        <w:trPr>
          <w:trHeight w:val="715" w:hRule="exact"/>
        </w:trPr>
        <w:tc>
          <w:tcPr>
            <w:tcW w:w="18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52"/>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703"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62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7,698,840.2</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1</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81,196.57</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1,452,180.0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44,726,028.</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19</w:t>
            </w: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53,958,244.</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97</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本期末通过公司内部研发形成的无形资产占无形资产余额的比例</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78.99%</w:t>
      </w:r>
      <w:r>
        <w:rPr>
          <w:rFonts w:ascii="宋体" w:hAnsi="宋体" w:cs="宋体" w:eastAsia="宋体" w:hint="default"/>
          <w:sz w:val="18"/>
          <w:szCs w:val="18"/>
        </w:rPr>
        <w:t>。</w:t>
      </w:r>
    </w:p>
    <w:p>
      <w:pPr>
        <w:spacing w:line="240" w:lineRule="auto" w:before="3"/>
        <w:rPr>
          <w:rFonts w:ascii="宋体" w:hAnsi="宋体" w:cs="宋体" w:eastAsia="宋体" w:hint="default"/>
          <w:sz w:val="18"/>
          <w:szCs w:val="18"/>
        </w:rPr>
      </w:pPr>
    </w:p>
    <w:p>
      <w:pPr>
        <w:pStyle w:val="BodyText"/>
        <w:spacing w:line="386" w:lineRule="auto" w:before="0"/>
        <w:ind w:right="986" w:firstLine="420"/>
        <w:jc w:val="left"/>
      </w:pPr>
      <w:r>
        <w:rPr/>
        <w:t>注：</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25</w:t>
      </w:r>
      <w:r>
        <w:rPr/>
        <w:t>日，厦门大学资产评估土地房地产估价有限责任公司出具了</w:t>
      </w:r>
      <w:r>
        <w:rPr>
          <w:rFonts w:ascii="Times New Roman" w:hAnsi="Times New Roman" w:cs="Times New Roman" w:eastAsia="Times New Roman" w:hint="default"/>
        </w:rPr>
        <w:t>“</w:t>
      </w:r>
      <w:r>
        <w:rPr/>
        <w:t>大学评估评报字</w:t>
      </w:r>
      <w:r>
        <w:rPr>
          <w:w w:val="100"/>
        </w:rPr>
        <w:t> </w:t>
      </w:r>
      <w:r>
        <w:rPr>
          <w:rFonts w:ascii="Times New Roman" w:hAnsi="Times New Roman" w:cs="Times New Roman" w:eastAsia="Times New Roman" w:hint="default"/>
          <w:spacing w:val="-4"/>
        </w:rPr>
        <w:t>[2020]840007</w:t>
      </w:r>
      <w:r>
        <w:rPr>
          <w:spacing w:val="-4"/>
        </w:rPr>
        <w:t>号</w:t>
      </w:r>
      <w:r>
        <w:rPr>
          <w:rFonts w:ascii="Times New Roman" w:hAnsi="Times New Roman" w:cs="Times New Roman" w:eastAsia="Times New Roman" w:hint="default"/>
          <w:spacing w:val="-4"/>
        </w:rPr>
        <w:t>”</w:t>
      </w:r>
      <w:r>
        <w:rPr>
          <w:spacing w:val="-4"/>
        </w:rPr>
        <w:t>《厦门市美亚柏科信息股份有限公司拟进行资产减值测试涉及的无形资产资产评估报告》，</w:t>
      </w:r>
      <w:r>
        <w:rPr>
          <w:spacing w:val="-46"/>
        </w:rPr>
        <w:t> </w:t>
      </w:r>
      <w:r>
        <w:rPr>
          <w:spacing w:val="-46"/>
        </w:rPr>
      </w:r>
      <w:r>
        <w:rPr>
          <w:spacing w:val="-2"/>
        </w:rPr>
        <w:t>对本集团截止评估基准日</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日开发支出形成的无形资产进行了评估，本集团根据评估结果相应</w:t>
      </w:r>
      <w:r>
        <w:rPr>
          <w:spacing w:val="-46"/>
        </w:rPr>
        <w:t> </w:t>
      </w:r>
      <w:r>
        <w:rPr>
          <w:spacing w:val="-46"/>
        </w:rPr>
      </w:r>
      <w:r>
        <w:rPr/>
        <w:t>计提无形资产减值准备</w:t>
      </w:r>
      <w:r>
        <w:rPr>
          <w:rFonts w:ascii="Times New Roman" w:hAnsi="Times New Roman" w:cs="Times New Roman" w:eastAsia="Times New Roman" w:hint="default"/>
        </w:rPr>
        <w:t>4,201,167.70</w:t>
      </w:r>
      <w:r>
        <w:rPr/>
        <w:t>元，累计计提无形资产减值准备</w:t>
      </w:r>
      <w:r>
        <w:rPr>
          <w:rFonts w:ascii="Times New Roman" w:hAnsi="Times New Roman" w:cs="Times New Roman" w:eastAsia="Times New Roman" w:hint="default"/>
        </w:rPr>
        <w:t>28,613,398.32</w:t>
      </w:r>
      <w:r>
        <w:rPr/>
        <w:t>元。</w:t>
      </w:r>
    </w:p>
    <w:p>
      <w:pPr>
        <w:spacing w:line="240" w:lineRule="auto" w:before="10"/>
        <w:rPr>
          <w:rFonts w:ascii="宋体" w:hAnsi="宋体" w:cs="宋体" w:eastAsia="宋体" w:hint="default"/>
          <w:sz w:val="19"/>
          <w:szCs w:val="19"/>
        </w:rPr>
      </w:pPr>
    </w:p>
    <w:p>
      <w:pPr>
        <w:pStyle w:val="Heading4"/>
        <w:spacing w:line="240" w:lineRule="auto"/>
        <w:ind w:right="986"/>
        <w:jc w:val="left"/>
        <w:rPr>
          <w:b w:val="0"/>
          <w:bCs w:val="0"/>
        </w:rPr>
      </w:pPr>
      <w:bookmarkStart w:name="（2）未办妥产权证书的土地使用权情况" w:id="314"/>
      <w:bookmarkEnd w:id="314"/>
      <w:r>
        <w:rPr>
          <w:b w:val="0"/>
          <w:bCs w:val="0"/>
        </w:rPr>
      </w:r>
      <w:r>
        <w:rPr/>
        <w:t>（</w:t>
      </w:r>
      <w:r>
        <w:rPr>
          <w:rFonts w:ascii="Times New Roman" w:hAnsi="Times New Roman" w:cs="Times New Roman" w:eastAsia="Times New Roman" w:hint="default"/>
        </w:rPr>
        <w:t>2</w:t>
      </w:r>
      <w:r>
        <w:rPr/>
        <w:t>）未办妥产权证书的土地使用权情况</w:t>
      </w:r>
      <w:r>
        <w:rPr>
          <w:b w:val="0"/>
          <w:bCs w:val="0"/>
        </w:rPr>
      </w:r>
    </w:p>
    <w:p>
      <w:pPr>
        <w:spacing w:line="240" w:lineRule="auto" w:before="2"/>
        <w:rPr>
          <w:rFonts w:ascii="宋体" w:hAnsi="宋体" w:cs="宋体" w:eastAsia="宋体" w:hint="default"/>
          <w:b/>
          <w:bCs/>
          <w:sz w:val="32"/>
          <w:szCs w:val="32"/>
        </w:rPr>
      </w:pPr>
    </w:p>
    <w:p>
      <w:pPr>
        <w:spacing w:before="0"/>
        <w:ind w:left="57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5"/>
          <w:szCs w:val="15"/>
        </w:rPr>
      </w:pPr>
    </w:p>
    <w:p>
      <w:pPr>
        <w:pStyle w:val="Heading4"/>
        <w:spacing w:line="240" w:lineRule="auto"/>
        <w:ind w:right="986"/>
        <w:jc w:val="left"/>
        <w:rPr>
          <w:b w:val="0"/>
          <w:bCs w:val="0"/>
        </w:rPr>
      </w:pPr>
      <w:bookmarkStart w:name="27、开发支出" w:id="315"/>
      <w:bookmarkEnd w:id="315"/>
      <w:r>
        <w:rPr>
          <w:b w:val="0"/>
          <w:bCs w:val="0"/>
        </w:rPr>
      </w:r>
      <w:r>
        <w:rPr>
          <w:rFonts w:ascii="Times New Roman" w:hAnsi="Times New Roman" w:cs="Times New Roman" w:eastAsia="Times New Roman" w:hint="default"/>
        </w:rPr>
        <w:t>27</w:t>
      </w:r>
      <w:r>
        <w:rPr/>
        <w:t>、开发支出</w:t>
      </w:r>
      <w:r>
        <w:rPr>
          <w:b w:val="0"/>
          <w:bCs w:val="0"/>
        </w:rPr>
      </w:r>
    </w:p>
    <w:p>
      <w:pPr>
        <w:spacing w:line="240" w:lineRule="auto" w:before="4"/>
        <w:rPr>
          <w:rFonts w:ascii="宋体" w:hAnsi="宋体" w:cs="宋体" w:eastAsia="宋体" w:hint="default"/>
          <w:b/>
          <w:bCs/>
          <w:sz w:val="26"/>
          <w:szCs w:val="26"/>
        </w:rPr>
      </w:pPr>
    </w:p>
    <w:p>
      <w:pPr>
        <w:spacing w:before="0"/>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488"/>
        <w:gridCol w:w="1097"/>
        <w:gridCol w:w="1200"/>
        <w:gridCol w:w="929"/>
        <w:gridCol w:w="854"/>
        <w:gridCol w:w="1157"/>
        <w:gridCol w:w="1154"/>
        <w:gridCol w:w="466"/>
        <w:gridCol w:w="1222"/>
      </w:tblGrid>
      <w:tr>
        <w:trPr>
          <w:trHeight w:val="401" w:hRule="exact"/>
        </w:trPr>
        <w:tc>
          <w:tcPr>
            <w:tcW w:w="1488" w:type="dxa"/>
            <w:tcBorders>
              <w:top w:val="single" w:sz="4" w:space="0" w:color="000000"/>
              <w:left w:val="single" w:sz="4" w:space="0" w:color="000000"/>
              <w:bottom w:val="nil" w:sz="6" w:space="0" w:color="auto"/>
              <w:right w:val="single" w:sz="4" w:space="0" w:color="000000"/>
            </w:tcBorders>
            <w:shd w:val="clear" w:color="auto" w:fill="D4D4D4"/>
          </w:tcPr>
          <w:p>
            <w:pPr/>
          </w:p>
        </w:tc>
        <w:tc>
          <w:tcPr>
            <w:tcW w:w="1097" w:type="dxa"/>
            <w:tcBorders>
              <w:top w:val="single" w:sz="4" w:space="0" w:color="000000"/>
              <w:left w:val="single" w:sz="4" w:space="0" w:color="000000"/>
              <w:bottom w:val="nil" w:sz="6" w:space="0" w:color="auto"/>
              <w:right w:val="single" w:sz="4" w:space="0" w:color="000000"/>
            </w:tcBorders>
            <w:shd w:val="clear" w:color="auto" w:fill="D4D4D4"/>
          </w:tcPr>
          <w:p>
            <w:pPr/>
          </w:p>
        </w:tc>
        <w:tc>
          <w:tcPr>
            <w:tcW w:w="2983" w:type="dxa"/>
            <w:gridSpan w:val="3"/>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48"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77" w:type="dxa"/>
            <w:gridSpan w:val="3"/>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844"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222" w:type="dxa"/>
            <w:tcBorders>
              <w:top w:val="single" w:sz="4" w:space="0" w:color="000000"/>
              <w:left w:val="single" w:sz="4" w:space="0" w:color="000000"/>
              <w:bottom w:val="nil" w:sz="6" w:space="0" w:color="auto"/>
              <w:right w:val="single" w:sz="4" w:space="0" w:color="000000"/>
            </w:tcBorders>
            <w:shd w:val="clear" w:color="auto" w:fill="D4D4D4"/>
          </w:tcPr>
          <w:p>
            <w:pPr/>
          </w:p>
        </w:tc>
      </w:tr>
      <w:tr>
        <w:trPr>
          <w:trHeight w:val="161" w:hRule="exact"/>
        </w:trPr>
        <w:tc>
          <w:tcPr>
            <w:tcW w:w="1488"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097"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8"/>
              <w:ind w:left="18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200" w:type="dxa"/>
            <w:tcBorders>
              <w:top w:val="single" w:sz="4" w:space="0" w:color="000000"/>
              <w:left w:val="single" w:sz="4" w:space="0" w:color="000000"/>
              <w:bottom w:val="nil" w:sz="6" w:space="0" w:color="auto"/>
              <w:right w:val="single" w:sz="4" w:space="0" w:color="000000"/>
            </w:tcBorders>
            <w:shd w:val="clear" w:color="auto" w:fill="D4D4D4"/>
          </w:tcPr>
          <w:p>
            <w:pPr/>
          </w:p>
        </w:tc>
        <w:tc>
          <w:tcPr>
            <w:tcW w:w="929" w:type="dxa"/>
            <w:tcBorders>
              <w:top w:val="single" w:sz="4" w:space="0" w:color="000000"/>
              <w:left w:val="single" w:sz="4" w:space="0" w:color="000000"/>
              <w:bottom w:val="nil" w:sz="6" w:space="0" w:color="auto"/>
              <w:right w:val="single" w:sz="4" w:space="0" w:color="000000"/>
            </w:tcBorders>
            <w:shd w:val="clear" w:color="auto" w:fill="D4D4D4"/>
          </w:tcPr>
          <w:p>
            <w:pPr/>
          </w:p>
        </w:tc>
        <w:tc>
          <w:tcPr>
            <w:tcW w:w="854" w:type="dxa"/>
            <w:tcBorders>
              <w:top w:val="single" w:sz="4" w:space="0" w:color="000000"/>
              <w:left w:val="single" w:sz="4" w:space="0" w:color="000000"/>
              <w:bottom w:val="nil" w:sz="6" w:space="0" w:color="auto"/>
              <w:right w:val="single" w:sz="4" w:space="0" w:color="000000"/>
            </w:tcBorders>
            <w:shd w:val="clear" w:color="auto" w:fill="D4D4D4"/>
          </w:tcPr>
          <w:p>
            <w:pPr/>
          </w:p>
        </w:tc>
        <w:tc>
          <w:tcPr>
            <w:tcW w:w="1157"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484" w:right="29" w:hanging="449"/>
              <w:jc w:val="left"/>
              <w:rPr>
                <w:rFonts w:ascii="宋体" w:hAnsi="宋体" w:cs="宋体" w:eastAsia="宋体" w:hint="default"/>
                <w:sz w:val="18"/>
                <w:szCs w:val="18"/>
              </w:rPr>
            </w:pPr>
            <w:r>
              <w:rPr>
                <w:rFonts w:ascii="宋体" w:hAnsi="宋体" w:cs="宋体" w:eastAsia="宋体" w:hint="default"/>
                <w:sz w:val="18"/>
                <w:szCs w:val="18"/>
              </w:rPr>
              <w:t>确认为无形资 产</w:t>
            </w:r>
          </w:p>
        </w:tc>
        <w:tc>
          <w:tcPr>
            <w:tcW w:w="1154" w:type="dxa"/>
            <w:tcBorders>
              <w:top w:val="single" w:sz="4" w:space="0" w:color="000000"/>
              <w:left w:val="single" w:sz="4" w:space="0" w:color="000000"/>
              <w:bottom w:val="nil" w:sz="6" w:space="0" w:color="auto"/>
              <w:right w:val="single" w:sz="4" w:space="0" w:color="000000"/>
            </w:tcBorders>
            <w:shd w:val="clear" w:color="auto" w:fill="D4D4D4"/>
          </w:tcPr>
          <w:p>
            <w:pPr/>
          </w:p>
        </w:tc>
        <w:tc>
          <w:tcPr>
            <w:tcW w:w="466" w:type="dxa"/>
            <w:tcBorders>
              <w:top w:val="single" w:sz="4" w:space="0" w:color="000000"/>
              <w:left w:val="single" w:sz="4" w:space="0" w:color="000000"/>
              <w:bottom w:val="nil" w:sz="6" w:space="0" w:color="auto"/>
              <w:right w:val="single" w:sz="4" w:space="0" w:color="000000"/>
            </w:tcBorders>
            <w:shd w:val="clear" w:color="auto" w:fill="D4D4D4"/>
          </w:tcPr>
          <w:p>
            <w:pPr/>
          </w:p>
        </w:tc>
        <w:tc>
          <w:tcPr>
            <w:tcW w:w="1222"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8"/>
              <w:ind w:left="24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2" w:hRule="exact"/>
        </w:trPr>
        <w:tc>
          <w:tcPr>
            <w:tcW w:w="1488" w:type="dxa"/>
            <w:vMerge/>
            <w:tcBorders>
              <w:left w:val="single" w:sz="4" w:space="0" w:color="000000"/>
              <w:bottom w:val="nil" w:sz="6" w:space="0" w:color="auto"/>
              <w:right w:val="single" w:sz="4" w:space="0" w:color="000000"/>
            </w:tcBorders>
            <w:shd w:val="clear" w:color="auto" w:fill="D4D4D4"/>
          </w:tcPr>
          <w:p>
            <w:pPr/>
          </w:p>
        </w:tc>
        <w:tc>
          <w:tcPr>
            <w:tcW w:w="1097" w:type="dxa"/>
            <w:vMerge/>
            <w:tcBorders>
              <w:left w:val="single" w:sz="4" w:space="0" w:color="000000"/>
              <w:bottom w:val="nil" w:sz="6" w:space="0" w:color="auto"/>
              <w:right w:val="single" w:sz="4" w:space="0" w:color="000000"/>
            </w:tcBorders>
            <w:shd w:val="clear" w:color="auto" w:fill="D4D4D4"/>
          </w:tcPr>
          <w:p>
            <w:pPr/>
          </w:p>
        </w:tc>
        <w:tc>
          <w:tcPr>
            <w:tcW w:w="1200"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55" w:right="0"/>
              <w:jc w:val="left"/>
              <w:rPr>
                <w:rFonts w:ascii="宋体" w:hAnsi="宋体" w:cs="宋体" w:eastAsia="宋体" w:hint="default"/>
                <w:sz w:val="18"/>
                <w:szCs w:val="18"/>
              </w:rPr>
            </w:pPr>
            <w:r>
              <w:rPr>
                <w:rFonts w:ascii="宋体" w:hAnsi="宋体" w:cs="宋体" w:eastAsia="宋体" w:hint="default"/>
                <w:sz w:val="18"/>
                <w:szCs w:val="18"/>
              </w:rPr>
              <w:t>内部开发支出</w:t>
            </w:r>
          </w:p>
        </w:tc>
        <w:tc>
          <w:tcPr>
            <w:tcW w:w="929"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28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54" w:type="dxa"/>
            <w:vMerge w:val="restart"/>
            <w:tcBorders>
              <w:top w:val="nil" w:sz="6" w:space="0" w:color="auto"/>
              <w:left w:val="single" w:sz="4" w:space="0" w:color="000000"/>
              <w:right w:val="single" w:sz="4" w:space="0" w:color="000000"/>
            </w:tcBorders>
            <w:shd w:val="clear" w:color="auto" w:fill="D4D4D4"/>
          </w:tcPr>
          <w:p>
            <w:pPr/>
          </w:p>
        </w:tc>
        <w:tc>
          <w:tcPr>
            <w:tcW w:w="1157" w:type="dxa"/>
            <w:vMerge/>
            <w:tcBorders>
              <w:left w:val="single" w:sz="4" w:space="0" w:color="000000"/>
              <w:right w:val="single" w:sz="4" w:space="0" w:color="000000"/>
            </w:tcBorders>
            <w:shd w:val="clear" w:color="auto" w:fill="D4D4D4"/>
          </w:tcPr>
          <w:p>
            <w:pPr/>
          </w:p>
        </w:tc>
        <w:tc>
          <w:tcPr>
            <w:tcW w:w="1154"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转入当期损益</w:t>
            </w:r>
          </w:p>
        </w:tc>
        <w:tc>
          <w:tcPr>
            <w:tcW w:w="466" w:type="dxa"/>
            <w:vMerge w:val="restart"/>
            <w:tcBorders>
              <w:top w:val="nil" w:sz="6" w:space="0" w:color="auto"/>
              <w:left w:val="single" w:sz="4" w:space="0" w:color="000000"/>
              <w:right w:val="single" w:sz="4" w:space="0" w:color="000000"/>
            </w:tcBorders>
            <w:shd w:val="clear" w:color="auto" w:fill="D4D4D4"/>
          </w:tcPr>
          <w:p>
            <w:pPr/>
          </w:p>
        </w:tc>
        <w:tc>
          <w:tcPr>
            <w:tcW w:w="1222" w:type="dxa"/>
            <w:vMerge/>
            <w:tcBorders>
              <w:left w:val="single" w:sz="4" w:space="0" w:color="000000"/>
              <w:bottom w:val="nil" w:sz="6" w:space="0" w:color="auto"/>
              <w:right w:val="single" w:sz="4" w:space="0" w:color="000000"/>
            </w:tcBorders>
            <w:shd w:val="clear" w:color="auto" w:fill="D4D4D4"/>
          </w:tcPr>
          <w:p>
            <w:pPr/>
          </w:p>
        </w:tc>
      </w:tr>
      <w:tr>
        <w:trPr>
          <w:trHeight w:val="202" w:hRule="exact"/>
        </w:trPr>
        <w:tc>
          <w:tcPr>
            <w:tcW w:w="1488" w:type="dxa"/>
            <w:vMerge w:val="restart"/>
            <w:tcBorders>
              <w:top w:val="nil" w:sz="6" w:space="0" w:color="auto"/>
              <w:left w:val="single" w:sz="4" w:space="0" w:color="000000"/>
              <w:right w:val="single" w:sz="4" w:space="0" w:color="000000"/>
            </w:tcBorders>
            <w:shd w:val="clear" w:color="auto" w:fill="D4D4D4"/>
          </w:tcPr>
          <w:p>
            <w:pPr/>
          </w:p>
        </w:tc>
        <w:tc>
          <w:tcPr>
            <w:tcW w:w="1097" w:type="dxa"/>
            <w:vMerge w:val="restart"/>
            <w:tcBorders>
              <w:top w:val="nil" w:sz="6" w:space="0" w:color="auto"/>
              <w:left w:val="single" w:sz="4" w:space="0" w:color="000000"/>
              <w:right w:val="single" w:sz="4" w:space="0" w:color="000000"/>
            </w:tcBorders>
            <w:shd w:val="clear" w:color="auto" w:fill="D4D4D4"/>
          </w:tcPr>
          <w:p>
            <w:pPr/>
          </w:p>
        </w:tc>
        <w:tc>
          <w:tcPr>
            <w:tcW w:w="1200" w:type="dxa"/>
            <w:vMerge/>
            <w:tcBorders>
              <w:left w:val="single" w:sz="4" w:space="0" w:color="000000"/>
              <w:bottom w:val="nil" w:sz="6" w:space="0" w:color="auto"/>
              <w:right w:val="single" w:sz="4" w:space="0" w:color="000000"/>
            </w:tcBorders>
            <w:shd w:val="clear" w:color="auto" w:fill="D4D4D4"/>
          </w:tcPr>
          <w:p>
            <w:pPr/>
          </w:p>
        </w:tc>
        <w:tc>
          <w:tcPr>
            <w:tcW w:w="929" w:type="dxa"/>
            <w:vMerge/>
            <w:tcBorders>
              <w:left w:val="single" w:sz="4" w:space="0" w:color="000000"/>
              <w:bottom w:val="nil" w:sz="6" w:space="0" w:color="auto"/>
              <w:right w:val="single" w:sz="4" w:space="0" w:color="000000"/>
            </w:tcBorders>
            <w:shd w:val="clear" w:color="auto" w:fill="D4D4D4"/>
          </w:tcPr>
          <w:p>
            <w:pPr/>
          </w:p>
        </w:tc>
        <w:tc>
          <w:tcPr>
            <w:tcW w:w="854" w:type="dxa"/>
            <w:vMerge/>
            <w:tcBorders>
              <w:left w:val="single" w:sz="4" w:space="0" w:color="000000"/>
              <w:bottom w:val="nil" w:sz="6" w:space="0" w:color="auto"/>
              <w:right w:val="single" w:sz="4" w:space="0" w:color="000000"/>
            </w:tcBorders>
            <w:shd w:val="clear" w:color="auto" w:fill="D4D4D4"/>
          </w:tcPr>
          <w:p>
            <w:pPr/>
          </w:p>
        </w:tc>
        <w:tc>
          <w:tcPr>
            <w:tcW w:w="1157" w:type="dxa"/>
            <w:vMerge/>
            <w:tcBorders>
              <w:left w:val="single" w:sz="4" w:space="0" w:color="000000"/>
              <w:right w:val="single" w:sz="4" w:space="0" w:color="000000"/>
            </w:tcBorders>
            <w:shd w:val="clear" w:color="auto" w:fill="D4D4D4"/>
          </w:tcPr>
          <w:p>
            <w:pPr/>
          </w:p>
        </w:tc>
        <w:tc>
          <w:tcPr>
            <w:tcW w:w="1154" w:type="dxa"/>
            <w:vMerge/>
            <w:tcBorders>
              <w:left w:val="single" w:sz="4" w:space="0" w:color="000000"/>
              <w:bottom w:val="nil" w:sz="6" w:space="0" w:color="auto"/>
              <w:right w:val="single" w:sz="4" w:space="0" w:color="000000"/>
            </w:tcBorders>
            <w:shd w:val="clear" w:color="auto" w:fill="D4D4D4"/>
          </w:tcPr>
          <w:p>
            <w:pPr/>
          </w:p>
        </w:tc>
        <w:tc>
          <w:tcPr>
            <w:tcW w:w="466" w:type="dxa"/>
            <w:vMerge/>
            <w:tcBorders>
              <w:left w:val="single" w:sz="4" w:space="0" w:color="000000"/>
              <w:bottom w:val="nil" w:sz="6" w:space="0" w:color="auto"/>
              <w:right w:val="single" w:sz="4" w:space="0" w:color="000000"/>
            </w:tcBorders>
            <w:shd w:val="clear" w:color="auto" w:fill="D4D4D4"/>
          </w:tcPr>
          <w:p>
            <w:pPr/>
          </w:p>
        </w:tc>
        <w:tc>
          <w:tcPr>
            <w:tcW w:w="1222" w:type="dxa"/>
            <w:vMerge w:val="restart"/>
            <w:tcBorders>
              <w:top w:val="nil" w:sz="6" w:space="0" w:color="auto"/>
              <w:left w:val="single" w:sz="4" w:space="0" w:color="000000"/>
              <w:right w:val="single" w:sz="4" w:space="0" w:color="000000"/>
            </w:tcBorders>
            <w:shd w:val="clear" w:color="auto" w:fill="D4D4D4"/>
          </w:tcPr>
          <w:p>
            <w:pPr/>
          </w:p>
        </w:tc>
      </w:tr>
      <w:tr>
        <w:trPr>
          <w:trHeight w:val="161" w:hRule="exact"/>
        </w:trPr>
        <w:tc>
          <w:tcPr>
            <w:tcW w:w="1488" w:type="dxa"/>
            <w:vMerge/>
            <w:tcBorders>
              <w:left w:val="single" w:sz="4" w:space="0" w:color="000000"/>
              <w:bottom w:val="single" w:sz="4" w:space="0" w:color="000000"/>
              <w:right w:val="single" w:sz="4" w:space="0" w:color="000000"/>
            </w:tcBorders>
            <w:shd w:val="clear" w:color="auto" w:fill="D4D4D4"/>
          </w:tcPr>
          <w:p>
            <w:pPr/>
          </w:p>
        </w:tc>
        <w:tc>
          <w:tcPr>
            <w:tcW w:w="1097" w:type="dxa"/>
            <w:vMerge/>
            <w:tcBorders>
              <w:left w:val="single" w:sz="4" w:space="0" w:color="000000"/>
              <w:bottom w:val="single" w:sz="4" w:space="0" w:color="000000"/>
              <w:right w:val="single" w:sz="4" w:space="0" w:color="000000"/>
            </w:tcBorders>
            <w:shd w:val="clear" w:color="auto" w:fill="D4D4D4"/>
          </w:tcPr>
          <w:p>
            <w:pPr/>
          </w:p>
        </w:tc>
        <w:tc>
          <w:tcPr>
            <w:tcW w:w="1200" w:type="dxa"/>
            <w:tcBorders>
              <w:top w:val="nil" w:sz="6" w:space="0" w:color="auto"/>
              <w:left w:val="single" w:sz="4" w:space="0" w:color="000000"/>
              <w:bottom w:val="single" w:sz="4" w:space="0" w:color="000000"/>
              <w:right w:val="single" w:sz="4" w:space="0" w:color="000000"/>
            </w:tcBorders>
            <w:shd w:val="clear" w:color="auto" w:fill="D4D4D4"/>
          </w:tcPr>
          <w:p>
            <w:pPr/>
          </w:p>
        </w:tc>
        <w:tc>
          <w:tcPr>
            <w:tcW w:w="929" w:type="dxa"/>
            <w:tcBorders>
              <w:top w:val="nil" w:sz="6" w:space="0" w:color="auto"/>
              <w:left w:val="single" w:sz="4" w:space="0" w:color="000000"/>
              <w:bottom w:val="single" w:sz="4" w:space="0" w:color="000000"/>
              <w:right w:val="single" w:sz="4" w:space="0" w:color="000000"/>
            </w:tcBorders>
            <w:shd w:val="clear" w:color="auto" w:fill="D4D4D4"/>
          </w:tcPr>
          <w:p>
            <w:pPr/>
          </w:p>
        </w:tc>
        <w:tc>
          <w:tcPr>
            <w:tcW w:w="854" w:type="dxa"/>
            <w:tcBorders>
              <w:top w:val="nil" w:sz="6" w:space="0" w:color="auto"/>
              <w:left w:val="single" w:sz="4" w:space="0" w:color="000000"/>
              <w:bottom w:val="single" w:sz="4" w:space="0" w:color="000000"/>
              <w:right w:val="single" w:sz="4" w:space="0" w:color="000000"/>
            </w:tcBorders>
            <w:shd w:val="clear" w:color="auto" w:fill="D4D4D4"/>
          </w:tcPr>
          <w:p>
            <w:pPr/>
          </w:p>
        </w:tc>
        <w:tc>
          <w:tcPr>
            <w:tcW w:w="1157" w:type="dxa"/>
            <w:vMerge/>
            <w:tcBorders>
              <w:left w:val="single" w:sz="4" w:space="0" w:color="000000"/>
              <w:bottom w:val="single" w:sz="4" w:space="0" w:color="000000"/>
              <w:right w:val="single" w:sz="4" w:space="0" w:color="000000"/>
            </w:tcBorders>
            <w:shd w:val="clear" w:color="auto" w:fill="D4D4D4"/>
          </w:tcPr>
          <w:p>
            <w:pPr/>
          </w:p>
        </w:tc>
        <w:tc>
          <w:tcPr>
            <w:tcW w:w="1154" w:type="dxa"/>
            <w:tcBorders>
              <w:top w:val="nil" w:sz="6" w:space="0" w:color="auto"/>
              <w:left w:val="single" w:sz="4" w:space="0" w:color="000000"/>
              <w:bottom w:val="single" w:sz="4" w:space="0" w:color="000000"/>
              <w:right w:val="single" w:sz="4" w:space="0" w:color="000000"/>
            </w:tcBorders>
            <w:shd w:val="clear" w:color="auto" w:fill="D4D4D4"/>
          </w:tcPr>
          <w:p>
            <w:pPr/>
          </w:p>
        </w:tc>
        <w:tc>
          <w:tcPr>
            <w:tcW w:w="466" w:type="dxa"/>
            <w:tcBorders>
              <w:top w:val="nil" w:sz="6" w:space="0" w:color="auto"/>
              <w:left w:val="single" w:sz="4" w:space="0" w:color="000000"/>
              <w:bottom w:val="single" w:sz="4" w:space="0" w:color="000000"/>
              <w:right w:val="single" w:sz="4" w:space="0" w:color="000000"/>
            </w:tcBorders>
            <w:shd w:val="clear" w:color="auto" w:fill="D4D4D4"/>
          </w:tcPr>
          <w:p>
            <w:pPr/>
          </w:p>
        </w:tc>
        <w:tc>
          <w:tcPr>
            <w:tcW w:w="1222" w:type="dxa"/>
            <w:vMerge/>
            <w:tcBorders>
              <w:left w:val="single" w:sz="4" w:space="0" w:color="000000"/>
              <w:bottom w:val="single" w:sz="4" w:space="0" w:color="000000"/>
              <w:right w:val="single" w:sz="4" w:space="0" w:color="000000"/>
            </w:tcBorders>
            <w:shd w:val="clear" w:color="auto" w:fill="D4D4D4"/>
          </w:tcPr>
          <w:p>
            <w:pPr/>
          </w:p>
        </w:tc>
      </w:tr>
      <w:tr>
        <w:trPr>
          <w:trHeight w:val="713" w:hRule="exact"/>
        </w:trPr>
        <w:tc>
          <w:tcPr>
            <w:tcW w:w="14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汽车取证大师</w:t>
            </w:r>
          </w:p>
          <w:p>
            <w:pPr>
              <w:pStyle w:val="TableParagraph"/>
              <w:spacing w:line="240" w:lineRule="auto" w:before="116"/>
              <w:ind w:left="24" w:right="0"/>
              <w:jc w:val="left"/>
              <w:rPr>
                <w:rFonts w:ascii="Times New Roman" w:hAnsi="Times New Roman" w:cs="Times New Roman" w:eastAsia="Times New Roman" w:hint="default"/>
                <w:sz w:val="18"/>
                <w:szCs w:val="18"/>
              </w:rPr>
            </w:pPr>
            <w:r>
              <w:rPr>
                <w:rFonts w:ascii="Times New Roman"/>
                <w:sz w:val="18"/>
              </w:rPr>
              <w:t>V1.0</w:t>
            </w:r>
          </w:p>
        </w:tc>
        <w:tc>
          <w:tcPr>
            <w:tcW w:w="1097"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4,529,563.82</w:t>
            </w:r>
            <w:r>
              <w:rPr>
                <w:rFonts w:ascii="Times New Roman"/>
                <w:sz w:val="18"/>
              </w:rPr>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1,368,579.29</w:t>
            </w:r>
            <w:r>
              <w:rPr>
                <w:rFonts w:ascii="Times New Roman"/>
                <w:sz w:val="18"/>
              </w:rPr>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5,017,288.09</w:t>
            </w:r>
            <w:r>
              <w:rPr>
                <w:rFonts w:ascii="Times New Roman"/>
                <w:sz w:val="18"/>
              </w:rPr>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880,855.02</w:t>
            </w: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4" w:right="192"/>
              <w:jc w:val="left"/>
              <w:rPr>
                <w:rFonts w:ascii="Times New Roman" w:hAnsi="Times New Roman" w:cs="Times New Roman" w:eastAsia="Times New Roman" w:hint="default"/>
                <w:sz w:val="18"/>
                <w:szCs w:val="18"/>
              </w:rPr>
            </w:pPr>
            <w:r>
              <w:rPr>
                <w:rFonts w:ascii="宋体" w:hAnsi="宋体" w:cs="宋体" w:eastAsia="宋体" w:hint="default"/>
                <w:sz w:val="18"/>
                <w:szCs w:val="18"/>
              </w:rPr>
              <w:t>警队政工大数据 平台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V1.0</w:t>
            </w:r>
          </w:p>
        </w:tc>
        <w:tc>
          <w:tcPr>
            <w:tcW w:w="1097"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1,077,375.65</w:t>
            </w:r>
            <w:r>
              <w:rPr>
                <w:rFonts w:ascii="Times New Roman"/>
                <w:sz w:val="18"/>
              </w:rPr>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3,276,864.64</w:t>
            </w:r>
            <w:r>
              <w:rPr>
                <w:rFonts w:ascii="Times New Roman"/>
                <w:sz w:val="18"/>
              </w:rPr>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3,897,977.27</w:t>
            </w:r>
            <w:r>
              <w:rPr>
                <w:rFonts w:ascii="Times New Roman"/>
                <w:sz w:val="18"/>
              </w:rPr>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456,263.02</w:t>
            </w: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87"/>
        <w:gridCol w:w="1097"/>
        <w:gridCol w:w="1200"/>
        <w:gridCol w:w="929"/>
        <w:gridCol w:w="854"/>
        <w:gridCol w:w="1157"/>
        <w:gridCol w:w="1154"/>
        <w:gridCol w:w="466"/>
        <w:gridCol w:w="1222"/>
      </w:tblGrid>
      <w:tr>
        <w:trPr>
          <w:trHeight w:val="1025"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38" w:lineRule="auto" w:before="49"/>
              <w:ind w:left="22" w:right="192"/>
              <w:jc w:val="left"/>
              <w:rPr>
                <w:rFonts w:ascii="Times New Roman" w:hAnsi="Times New Roman" w:cs="Times New Roman" w:eastAsia="Times New Roman" w:hint="default"/>
                <w:sz w:val="18"/>
                <w:szCs w:val="18"/>
              </w:rPr>
            </w:pPr>
            <w:r>
              <w:rPr>
                <w:rFonts w:ascii="宋体" w:hAnsi="宋体" w:cs="宋体" w:eastAsia="宋体" w:hint="default"/>
                <w:sz w:val="18"/>
                <w:szCs w:val="18"/>
              </w:rPr>
              <w:t>分析大师可视化 智能分析系统 </w:t>
            </w:r>
            <w:r>
              <w:rPr>
                <w:rFonts w:ascii="Times New Roman" w:hAnsi="Times New Roman" w:cs="Times New Roman" w:eastAsia="Times New Roman" w:hint="default"/>
                <w:sz w:val="18"/>
                <w:szCs w:val="18"/>
              </w:rPr>
              <w:t>V1.0</w:t>
            </w:r>
          </w:p>
        </w:tc>
        <w:tc>
          <w:tcPr>
            <w:tcW w:w="1097"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3,794,517.24</w:t>
            </w:r>
            <w:r>
              <w:rPr>
                <w:rFonts w:ascii="Times New Roman"/>
                <w:sz w:val="18"/>
              </w:rPr>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1,367,958.95</w:t>
            </w:r>
            <w:r>
              <w:rPr>
                <w:rFonts w:ascii="Times New Roman"/>
                <w:sz w:val="18"/>
              </w:rPr>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2,426,558.29</w:t>
            </w:r>
            <w:r>
              <w:rPr>
                <w:rFonts w:ascii="Times New Roman"/>
                <w:sz w:val="18"/>
              </w:rPr>
            </w: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1"/>
              <w:ind w:left="22" w:right="192"/>
              <w:jc w:val="left"/>
              <w:rPr>
                <w:rFonts w:ascii="Times New Roman" w:hAnsi="Times New Roman" w:cs="Times New Roman" w:eastAsia="Times New Roman" w:hint="default"/>
                <w:sz w:val="18"/>
                <w:szCs w:val="18"/>
              </w:rPr>
            </w:pPr>
            <w:r>
              <w:rPr>
                <w:rFonts w:ascii="宋体" w:hAnsi="宋体" w:cs="宋体" w:eastAsia="宋体" w:hint="default"/>
                <w:sz w:val="18"/>
                <w:szCs w:val="18"/>
              </w:rPr>
              <w:t>智慧监察大数据 平台</w:t>
            </w:r>
            <w:r>
              <w:rPr>
                <w:rFonts w:ascii="Times New Roman" w:hAnsi="Times New Roman" w:cs="Times New Roman" w:eastAsia="Times New Roman" w:hint="default"/>
                <w:sz w:val="18"/>
                <w:szCs w:val="18"/>
              </w:rPr>
              <w:t>.V1.0</w:t>
            </w:r>
          </w:p>
        </w:tc>
        <w:tc>
          <w:tcPr>
            <w:tcW w:w="1097"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20,668,908.27</w:t>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20,668,908.27</w:t>
            </w:r>
          </w:p>
        </w:tc>
      </w:tr>
      <w:tr>
        <w:trPr>
          <w:trHeight w:val="713"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2" w:right="192"/>
              <w:jc w:val="left"/>
              <w:rPr>
                <w:rFonts w:ascii="Times New Roman" w:hAnsi="Times New Roman" w:cs="Times New Roman" w:eastAsia="Times New Roman" w:hint="default"/>
                <w:sz w:val="18"/>
                <w:szCs w:val="18"/>
              </w:rPr>
            </w:pPr>
            <w:r>
              <w:rPr>
                <w:rFonts w:ascii="宋体" w:hAnsi="宋体" w:cs="宋体" w:eastAsia="宋体" w:hint="default"/>
                <w:sz w:val="18"/>
                <w:szCs w:val="18"/>
              </w:rPr>
              <w:t>移动设备查缉终 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V2.1</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8,082,716.61</w:t>
            </w:r>
            <w:r>
              <w:rPr>
                <w:rFonts w:ascii="Times New Roman"/>
                <w:sz w:val="18"/>
              </w:rPr>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6,700,863.42</w:t>
            </w:r>
            <w:r>
              <w:rPr>
                <w:rFonts w:ascii="Times New Roman"/>
                <w:sz w:val="18"/>
              </w:rPr>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14,783,580.03</w:t>
            </w:r>
          </w:p>
        </w:tc>
      </w:tr>
      <w:tr>
        <w:trPr>
          <w:trHeight w:val="715"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1"/>
              <w:ind w:left="22" w:right="192"/>
              <w:jc w:val="left"/>
              <w:rPr>
                <w:rFonts w:ascii="Times New Roman" w:hAnsi="Times New Roman" w:cs="Times New Roman" w:eastAsia="Times New Roman" w:hint="default"/>
                <w:sz w:val="18"/>
                <w:szCs w:val="18"/>
              </w:rPr>
            </w:pPr>
            <w:r>
              <w:rPr>
                <w:rFonts w:ascii="宋体" w:hAnsi="宋体" w:cs="宋体" w:eastAsia="宋体" w:hint="default"/>
                <w:sz w:val="18"/>
                <w:szCs w:val="18"/>
              </w:rPr>
              <w:t>税采先锋数据采 集系统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V1.1</w:t>
            </w:r>
          </w:p>
        </w:tc>
        <w:tc>
          <w:tcPr>
            <w:tcW w:w="1097"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368,210.35</w:t>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350,207.96</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18,002.39</w:t>
            </w: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2" w:right="192"/>
              <w:jc w:val="left"/>
              <w:rPr>
                <w:rFonts w:ascii="Times New Roman" w:hAnsi="Times New Roman" w:cs="Times New Roman" w:eastAsia="Times New Roman" w:hint="default"/>
                <w:sz w:val="18"/>
                <w:szCs w:val="18"/>
              </w:rPr>
            </w:pPr>
            <w:r>
              <w:rPr>
                <w:rFonts w:ascii="宋体" w:hAnsi="宋体" w:cs="宋体" w:eastAsia="宋体" w:hint="default"/>
                <w:sz w:val="18"/>
                <w:szCs w:val="18"/>
              </w:rPr>
              <w:t>手机云勘大师系 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V2.2</w:t>
            </w:r>
          </w:p>
        </w:tc>
        <w:tc>
          <w:tcPr>
            <w:tcW w:w="1097"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4,838,378.67</w:t>
            </w:r>
            <w:r>
              <w:rPr>
                <w:rFonts w:ascii="Times New Roman"/>
                <w:sz w:val="18"/>
              </w:rPr>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849,955.36</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3,988,423.31</w:t>
            </w:r>
            <w:r>
              <w:rPr>
                <w:rFonts w:ascii="Times New Roman"/>
                <w:sz w:val="18"/>
              </w:rPr>
            </w: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汽车取证大师</w:t>
            </w:r>
          </w:p>
          <w:p>
            <w:pPr>
              <w:pStyle w:val="TableParagraph"/>
              <w:spacing w:line="240" w:lineRule="auto" w:before="116"/>
              <w:ind w:left="22" w:right="0"/>
              <w:jc w:val="left"/>
              <w:rPr>
                <w:rFonts w:ascii="Times New Roman" w:hAnsi="Times New Roman" w:cs="Times New Roman" w:eastAsia="Times New Roman" w:hint="default"/>
                <w:sz w:val="18"/>
                <w:szCs w:val="18"/>
              </w:rPr>
            </w:pPr>
            <w:r>
              <w:rPr>
                <w:rFonts w:ascii="Times New Roman"/>
                <w:sz w:val="18"/>
              </w:rPr>
              <w:t>V2.0</w:t>
            </w:r>
          </w:p>
        </w:tc>
        <w:tc>
          <w:tcPr>
            <w:tcW w:w="1097"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1,450,948.25</w:t>
            </w:r>
            <w:r>
              <w:rPr>
                <w:rFonts w:ascii="Times New Roman"/>
                <w:sz w:val="18"/>
              </w:rPr>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1,329,112.85</w:t>
            </w:r>
            <w:r>
              <w:rPr>
                <w:rFonts w:ascii="Times New Roman"/>
                <w:sz w:val="18"/>
              </w:rPr>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121,835.40</w:t>
            </w: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2" w:right="192"/>
              <w:jc w:val="left"/>
              <w:rPr>
                <w:rFonts w:ascii="Times New Roman" w:hAnsi="Times New Roman" w:cs="Times New Roman" w:eastAsia="Times New Roman" w:hint="default"/>
                <w:sz w:val="18"/>
                <w:szCs w:val="18"/>
              </w:rPr>
            </w:pPr>
            <w:r>
              <w:rPr>
                <w:rFonts w:ascii="宋体" w:hAnsi="宋体" w:cs="宋体" w:eastAsia="宋体" w:hint="default"/>
                <w:sz w:val="18"/>
                <w:szCs w:val="18"/>
              </w:rPr>
              <w:t>电子物证快速勘 查系统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V1.0</w:t>
            </w:r>
          </w:p>
        </w:tc>
        <w:tc>
          <w:tcPr>
            <w:tcW w:w="1097"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761,511.65</w:t>
            </w:r>
            <w:r>
              <w:rPr>
                <w:rFonts w:ascii="Times New Roman"/>
                <w:sz w:val="18"/>
              </w:rPr>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761,511.65</w:t>
            </w:r>
            <w:r>
              <w:rPr>
                <w:rFonts w:ascii="Times New Roman"/>
                <w:sz w:val="18"/>
              </w:rPr>
            </w:r>
          </w:p>
        </w:tc>
        <w:tc>
          <w:tcPr>
            <w:tcW w:w="115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1"/>
              <w:ind w:left="22" w:right="192"/>
              <w:jc w:val="left"/>
              <w:rPr>
                <w:rFonts w:ascii="Times New Roman" w:hAnsi="Times New Roman" w:cs="Times New Roman" w:eastAsia="Times New Roman" w:hint="default"/>
                <w:sz w:val="18"/>
                <w:szCs w:val="18"/>
              </w:rPr>
            </w:pPr>
            <w:r>
              <w:rPr>
                <w:rFonts w:ascii="宋体" w:hAnsi="宋体" w:cs="宋体" w:eastAsia="宋体" w:hint="default"/>
                <w:sz w:val="18"/>
                <w:szCs w:val="18"/>
              </w:rPr>
              <w:t>社交媒体网评系 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V1.0</w:t>
            </w:r>
          </w:p>
        </w:tc>
        <w:tc>
          <w:tcPr>
            <w:tcW w:w="1097"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1,769,800.80</w:t>
            </w:r>
            <w:r>
              <w:rPr>
                <w:rFonts w:ascii="Times New Roman"/>
                <w:sz w:val="18"/>
              </w:rPr>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1,021,421.52</w:t>
            </w:r>
            <w:r>
              <w:rPr>
                <w:rFonts w:ascii="Times New Roman"/>
                <w:sz w:val="18"/>
              </w:rPr>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748,379.28</w:t>
            </w: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大数据应用平台</w:t>
            </w:r>
          </w:p>
          <w:p>
            <w:pPr>
              <w:pStyle w:val="TableParagraph"/>
              <w:spacing w:line="240" w:lineRule="auto" w:before="118"/>
              <w:ind w:left="22" w:right="0"/>
              <w:jc w:val="left"/>
              <w:rPr>
                <w:rFonts w:ascii="Times New Roman" w:hAnsi="Times New Roman" w:cs="Times New Roman" w:eastAsia="Times New Roman" w:hint="default"/>
                <w:sz w:val="18"/>
                <w:szCs w:val="18"/>
              </w:rPr>
            </w:pPr>
            <w:r>
              <w:rPr>
                <w:rFonts w:ascii="Times New Roman"/>
                <w:sz w:val="18"/>
              </w:rPr>
              <w:t>V5.0</w:t>
            </w:r>
          </w:p>
        </w:tc>
        <w:tc>
          <w:tcPr>
            <w:tcW w:w="1097"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20,343,047.91</w:t>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13,426,585.12</w:t>
            </w: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6,916,462.79</w:t>
            </w:r>
            <w:r>
              <w:rPr>
                <w:rFonts w:ascii="Times New Roman"/>
                <w:sz w:val="18"/>
              </w:rPr>
            </w:r>
          </w:p>
        </w:tc>
      </w:tr>
      <w:tr>
        <w:trPr>
          <w:trHeight w:val="715"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大数据治理平台</w:t>
            </w:r>
          </w:p>
          <w:p>
            <w:pPr>
              <w:pStyle w:val="TableParagraph"/>
              <w:spacing w:line="240" w:lineRule="auto" w:before="116"/>
              <w:ind w:left="22" w:right="0"/>
              <w:jc w:val="left"/>
              <w:rPr>
                <w:rFonts w:ascii="Times New Roman" w:hAnsi="Times New Roman" w:cs="Times New Roman" w:eastAsia="Times New Roman" w:hint="default"/>
                <w:sz w:val="18"/>
                <w:szCs w:val="18"/>
              </w:rPr>
            </w:pPr>
            <w:r>
              <w:rPr>
                <w:rFonts w:ascii="Times New Roman"/>
                <w:sz w:val="18"/>
              </w:rPr>
              <w:t>V1.0</w:t>
            </w:r>
          </w:p>
        </w:tc>
        <w:tc>
          <w:tcPr>
            <w:tcW w:w="1097"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12,707,405.66</w:t>
            </w:r>
            <w:r>
              <w:rPr>
                <w:rFonts w:ascii="Times New Roman"/>
                <w:sz w:val="18"/>
              </w:rPr>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12,707,405.66</w:t>
            </w:r>
          </w:p>
        </w:tc>
      </w:tr>
      <w:tr>
        <w:trPr>
          <w:trHeight w:val="713"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2" w:right="192"/>
              <w:jc w:val="left"/>
              <w:rPr>
                <w:rFonts w:ascii="Times New Roman" w:hAnsi="Times New Roman" w:cs="Times New Roman" w:eastAsia="Times New Roman" w:hint="default"/>
                <w:sz w:val="18"/>
                <w:szCs w:val="18"/>
              </w:rPr>
            </w:pPr>
            <w:r>
              <w:rPr>
                <w:rFonts w:ascii="宋体" w:hAnsi="宋体" w:cs="宋体" w:eastAsia="宋体" w:hint="default"/>
                <w:sz w:val="18"/>
                <w:szCs w:val="18"/>
              </w:rPr>
              <w:t>互联网信息应急 指挥系统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V3.0</w:t>
            </w:r>
          </w:p>
        </w:tc>
        <w:tc>
          <w:tcPr>
            <w:tcW w:w="1097"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1,403,798.19</w:t>
            </w:r>
            <w:r>
              <w:rPr>
                <w:rFonts w:ascii="Times New Roman"/>
                <w:sz w:val="18"/>
              </w:rPr>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275,287.17</w:t>
            </w: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1,128,511.02</w:t>
            </w:r>
            <w:r>
              <w:rPr>
                <w:rFonts w:ascii="Times New Roman"/>
                <w:sz w:val="18"/>
              </w:rPr>
            </w:r>
          </w:p>
        </w:tc>
      </w:tr>
      <w:tr>
        <w:trPr>
          <w:trHeight w:val="715"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手机取证大师</w:t>
            </w:r>
          </w:p>
          <w:p>
            <w:pPr>
              <w:pStyle w:val="TableParagraph"/>
              <w:spacing w:line="240" w:lineRule="auto" w:before="116"/>
              <w:ind w:left="22" w:right="0"/>
              <w:jc w:val="left"/>
              <w:rPr>
                <w:rFonts w:ascii="Times New Roman" w:hAnsi="Times New Roman" w:cs="Times New Roman" w:eastAsia="Times New Roman" w:hint="default"/>
                <w:sz w:val="18"/>
                <w:szCs w:val="18"/>
              </w:rPr>
            </w:pPr>
            <w:r>
              <w:rPr>
                <w:rFonts w:ascii="Times New Roman"/>
                <w:sz w:val="18"/>
              </w:rPr>
              <w:t>V3.0</w:t>
            </w:r>
          </w:p>
        </w:tc>
        <w:tc>
          <w:tcPr>
            <w:tcW w:w="1097"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8,692,125.92</w:t>
            </w:r>
            <w:r>
              <w:rPr>
                <w:rFonts w:ascii="Times New Roman"/>
                <w:sz w:val="18"/>
              </w:rPr>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74,539.15</w:t>
            </w: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8,617,586.77</w:t>
            </w:r>
            <w:r>
              <w:rPr>
                <w:rFonts w:ascii="Times New Roman"/>
                <w:sz w:val="18"/>
              </w:rPr>
            </w:r>
          </w:p>
        </w:tc>
      </w:tr>
      <w:tr>
        <w:trPr>
          <w:trHeight w:val="713"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2" w:right="192"/>
              <w:jc w:val="left"/>
              <w:rPr>
                <w:rFonts w:ascii="Times New Roman" w:hAnsi="Times New Roman" w:cs="Times New Roman" w:eastAsia="Times New Roman" w:hint="default"/>
                <w:sz w:val="18"/>
                <w:szCs w:val="18"/>
              </w:rPr>
            </w:pPr>
            <w:r>
              <w:rPr>
                <w:rFonts w:ascii="宋体" w:hAnsi="宋体" w:cs="宋体" w:eastAsia="宋体" w:hint="default"/>
                <w:sz w:val="18"/>
                <w:szCs w:val="18"/>
              </w:rPr>
              <w:t>信息分析实战管 理平台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V2.0</w:t>
            </w:r>
          </w:p>
        </w:tc>
        <w:tc>
          <w:tcPr>
            <w:tcW w:w="1097"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946,924.80</w:t>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22,797.71</w:t>
            </w: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924,127.09</w:t>
            </w:r>
          </w:p>
        </w:tc>
      </w:tr>
      <w:tr>
        <w:trPr>
          <w:trHeight w:val="715"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智能机器人系统</w:t>
            </w:r>
          </w:p>
          <w:p>
            <w:pPr>
              <w:pStyle w:val="TableParagraph"/>
              <w:spacing w:line="240" w:lineRule="auto" w:before="116"/>
              <w:ind w:left="22" w:right="0"/>
              <w:jc w:val="left"/>
              <w:rPr>
                <w:rFonts w:ascii="Times New Roman" w:hAnsi="Times New Roman" w:cs="Times New Roman" w:eastAsia="Times New Roman" w:hint="default"/>
                <w:sz w:val="18"/>
                <w:szCs w:val="18"/>
              </w:rPr>
            </w:pPr>
            <w:r>
              <w:rPr>
                <w:rFonts w:ascii="Times New Roman"/>
                <w:sz w:val="18"/>
              </w:rPr>
              <w:t>V2.0</w:t>
            </w:r>
          </w:p>
        </w:tc>
        <w:tc>
          <w:tcPr>
            <w:tcW w:w="1097"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1,672,757.61</w:t>
            </w:r>
            <w:r>
              <w:rPr>
                <w:rFonts w:ascii="Times New Roman"/>
                <w:sz w:val="18"/>
              </w:rPr>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81,351.08</w:t>
            </w: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1,591,406.53</w:t>
            </w:r>
            <w:r>
              <w:rPr>
                <w:rFonts w:ascii="Times New Roman"/>
                <w:sz w:val="18"/>
              </w:rPr>
            </w:r>
          </w:p>
        </w:tc>
      </w:tr>
      <w:tr>
        <w:trPr>
          <w:trHeight w:val="713"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电子数据存证云</w:t>
            </w:r>
          </w:p>
          <w:p>
            <w:pPr>
              <w:pStyle w:val="TableParagraph"/>
              <w:spacing w:line="240" w:lineRule="auto" w:before="118"/>
              <w:ind w:left="22" w:right="0"/>
              <w:jc w:val="left"/>
              <w:rPr>
                <w:rFonts w:ascii="Times New Roman" w:hAnsi="Times New Roman" w:cs="Times New Roman" w:eastAsia="Times New Roman" w:hint="default"/>
                <w:sz w:val="18"/>
                <w:szCs w:val="18"/>
              </w:rPr>
            </w:pPr>
            <w:r>
              <w:rPr>
                <w:rFonts w:ascii="Times New Roman"/>
                <w:sz w:val="18"/>
              </w:rPr>
              <w:t>V5.0</w:t>
            </w:r>
          </w:p>
        </w:tc>
        <w:tc>
          <w:tcPr>
            <w:tcW w:w="1097"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3,207,375.94</w:t>
            </w:r>
            <w:r>
              <w:rPr>
                <w:rFonts w:ascii="Times New Roman"/>
                <w:sz w:val="18"/>
              </w:rPr>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169,545.51</w:t>
            </w: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3,037,830.43</w:t>
            </w:r>
            <w:r>
              <w:rPr>
                <w:rFonts w:ascii="Times New Roman"/>
                <w:sz w:val="18"/>
              </w:rPr>
            </w:r>
          </w:p>
        </w:tc>
      </w:tr>
      <w:tr>
        <w:trPr>
          <w:trHeight w:val="715"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信息传输系统</w:t>
            </w:r>
          </w:p>
          <w:p>
            <w:pPr>
              <w:pStyle w:val="TableParagraph"/>
              <w:spacing w:line="240" w:lineRule="auto" w:before="116"/>
              <w:ind w:left="22" w:right="0"/>
              <w:jc w:val="left"/>
              <w:rPr>
                <w:rFonts w:ascii="Times New Roman" w:hAnsi="Times New Roman" w:cs="Times New Roman" w:eastAsia="Times New Roman" w:hint="default"/>
                <w:sz w:val="18"/>
                <w:szCs w:val="18"/>
              </w:rPr>
            </w:pPr>
            <w:r>
              <w:rPr>
                <w:rFonts w:ascii="Times New Roman"/>
                <w:sz w:val="18"/>
              </w:rPr>
              <w:t>V6.0</w:t>
            </w:r>
          </w:p>
        </w:tc>
        <w:tc>
          <w:tcPr>
            <w:tcW w:w="1097"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502,687.56</w:t>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w w:val="95"/>
                <w:sz w:val="18"/>
              </w:rPr>
              <w:t>64,117.20</w:t>
            </w: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438,570.36</w:t>
            </w:r>
          </w:p>
        </w:tc>
      </w:tr>
      <w:tr>
        <w:trPr>
          <w:trHeight w:val="713"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2" w:right="192"/>
              <w:jc w:val="left"/>
              <w:rPr>
                <w:rFonts w:ascii="Times New Roman" w:hAnsi="Times New Roman" w:cs="Times New Roman" w:eastAsia="Times New Roman" w:hint="default"/>
                <w:sz w:val="18"/>
                <w:szCs w:val="18"/>
              </w:rPr>
            </w:pPr>
            <w:r>
              <w:rPr>
                <w:rFonts w:ascii="宋体" w:hAnsi="宋体" w:cs="宋体" w:eastAsia="宋体" w:hint="default"/>
                <w:sz w:val="18"/>
                <w:szCs w:val="18"/>
              </w:rPr>
              <w:t>手机取证航母系 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V1.0</w:t>
            </w:r>
          </w:p>
        </w:tc>
        <w:tc>
          <w:tcPr>
            <w:tcW w:w="1097"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3,769,385.93</w:t>
            </w:r>
            <w:r>
              <w:rPr>
                <w:rFonts w:ascii="Times New Roman"/>
                <w:sz w:val="18"/>
              </w:rPr>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160,219.38</w:t>
            </w: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3,609,166.55</w:t>
            </w:r>
            <w:r>
              <w:rPr>
                <w:rFonts w:ascii="Times New Roman"/>
                <w:sz w:val="18"/>
              </w:rPr>
            </w:r>
          </w:p>
        </w:tc>
      </w:tr>
      <w:tr>
        <w:trPr>
          <w:trHeight w:val="715"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1"/>
              <w:ind w:left="22" w:right="192"/>
              <w:jc w:val="left"/>
              <w:rPr>
                <w:rFonts w:ascii="Times New Roman" w:hAnsi="Times New Roman" w:cs="Times New Roman" w:eastAsia="Times New Roman" w:hint="default"/>
                <w:sz w:val="18"/>
                <w:szCs w:val="18"/>
              </w:rPr>
            </w:pPr>
            <w:r>
              <w:rPr>
                <w:rFonts w:ascii="宋体" w:hAnsi="宋体" w:cs="宋体" w:eastAsia="宋体" w:hint="default"/>
                <w:sz w:val="18"/>
                <w:szCs w:val="18"/>
              </w:rPr>
              <w:t>远望综合信息分 析系统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V1.1</w:t>
            </w:r>
          </w:p>
        </w:tc>
        <w:tc>
          <w:tcPr>
            <w:tcW w:w="1097"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4,070,678.24</w:t>
            </w:r>
            <w:r>
              <w:rPr>
                <w:rFonts w:ascii="Times New Roman"/>
                <w:sz w:val="18"/>
              </w:rPr>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35,621.68</w:t>
            </w: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4,035,056.56</w:t>
            </w:r>
            <w:r>
              <w:rPr>
                <w:rFonts w:ascii="Times New Roman"/>
                <w:sz w:val="18"/>
              </w:rPr>
            </w:r>
          </w:p>
        </w:tc>
      </w:tr>
      <w:tr>
        <w:trPr>
          <w:trHeight w:val="715"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2" w:right="192"/>
              <w:jc w:val="left"/>
              <w:rPr>
                <w:rFonts w:ascii="Times New Roman" w:hAnsi="Times New Roman" w:cs="Times New Roman" w:eastAsia="Times New Roman" w:hint="default"/>
                <w:sz w:val="18"/>
                <w:szCs w:val="18"/>
              </w:rPr>
            </w:pPr>
            <w:r>
              <w:rPr>
                <w:rFonts w:ascii="宋体" w:hAnsi="宋体" w:cs="宋体" w:eastAsia="宋体" w:hint="default"/>
                <w:sz w:val="18"/>
                <w:szCs w:val="18"/>
              </w:rPr>
              <w:t>智能数据分析应 用系统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V1.0</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6,847,072.24</w:t>
            </w:r>
            <w:r>
              <w:rPr>
                <w:rFonts w:ascii="Times New Roman"/>
                <w:sz w:val="18"/>
              </w:rPr>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577,095.34</w:t>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6,847,072.24</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577,095.34</w:t>
            </w: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87"/>
        <w:gridCol w:w="1097"/>
        <w:gridCol w:w="1200"/>
        <w:gridCol w:w="929"/>
        <w:gridCol w:w="854"/>
        <w:gridCol w:w="1157"/>
        <w:gridCol w:w="1154"/>
        <w:gridCol w:w="466"/>
        <w:gridCol w:w="1222"/>
      </w:tblGrid>
      <w:tr>
        <w:trPr>
          <w:trHeight w:val="713"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2" w:right="192"/>
              <w:jc w:val="left"/>
              <w:rPr>
                <w:rFonts w:ascii="Times New Roman" w:hAnsi="Times New Roman" w:cs="Times New Roman" w:eastAsia="Times New Roman" w:hint="default"/>
                <w:sz w:val="18"/>
                <w:szCs w:val="18"/>
              </w:rPr>
            </w:pPr>
            <w:r>
              <w:rPr>
                <w:rFonts w:ascii="宋体" w:hAnsi="宋体" w:cs="宋体" w:eastAsia="宋体" w:hint="default"/>
                <w:sz w:val="18"/>
                <w:szCs w:val="18"/>
              </w:rPr>
              <w:t>智慧警务应用平 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V1.0</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1" w:right="0"/>
              <w:jc w:val="center"/>
              <w:rPr>
                <w:rFonts w:ascii="Times New Roman" w:hAnsi="Times New Roman" w:cs="Times New Roman" w:eastAsia="Times New Roman" w:hint="default"/>
                <w:sz w:val="18"/>
                <w:szCs w:val="18"/>
              </w:rPr>
            </w:pPr>
            <w:r>
              <w:rPr>
                <w:rFonts w:ascii="Times New Roman"/>
                <w:sz w:val="18"/>
              </w:rPr>
              <w:t>6,433,882.62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802,950.78</w:t>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6,878,643.90</w:t>
            </w:r>
            <w:r>
              <w:rPr>
                <w:rFonts w:ascii="Times New Roman"/>
                <w:sz w:val="18"/>
              </w:rPr>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358,189.50</w:t>
            </w: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智慧管理平台</w:t>
            </w:r>
          </w:p>
          <w:p>
            <w:pPr>
              <w:pStyle w:val="TableParagraph"/>
              <w:spacing w:line="240" w:lineRule="auto" w:before="116"/>
              <w:ind w:left="22" w:right="0"/>
              <w:jc w:val="left"/>
              <w:rPr>
                <w:rFonts w:ascii="Times New Roman" w:hAnsi="Times New Roman" w:cs="Times New Roman" w:eastAsia="Times New Roman" w:hint="default"/>
                <w:sz w:val="18"/>
                <w:szCs w:val="18"/>
              </w:rPr>
            </w:pPr>
            <w:r>
              <w:rPr>
                <w:rFonts w:ascii="Times New Roman"/>
                <w:sz w:val="18"/>
              </w:rPr>
              <w:t>V1.0</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01" w:right="0"/>
              <w:jc w:val="center"/>
              <w:rPr>
                <w:rFonts w:ascii="Times New Roman" w:hAnsi="Times New Roman" w:cs="Times New Roman" w:eastAsia="Times New Roman" w:hint="default"/>
                <w:sz w:val="18"/>
                <w:szCs w:val="18"/>
              </w:rPr>
            </w:pPr>
            <w:r>
              <w:rPr>
                <w:rFonts w:ascii="Times New Roman"/>
                <w:sz w:val="18"/>
              </w:rPr>
              <w:t>2,458,375.46</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1,235,724.50</w:t>
            </w:r>
            <w:r>
              <w:rPr>
                <w:rFonts w:ascii="Times New Roman"/>
                <w:sz w:val="18"/>
              </w:rPr>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3,544,363.70</w:t>
            </w:r>
            <w:r>
              <w:rPr>
                <w:rFonts w:ascii="Times New Roman"/>
                <w:sz w:val="18"/>
              </w:rPr>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149,736.26</w:t>
            </w: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民生服务平台</w:t>
            </w:r>
          </w:p>
          <w:p>
            <w:pPr>
              <w:pStyle w:val="TableParagraph"/>
              <w:spacing w:line="240" w:lineRule="auto" w:before="118"/>
              <w:ind w:left="22" w:right="0"/>
              <w:jc w:val="left"/>
              <w:rPr>
                <w:rFonts w:ascii="Times New Roman" w:hAnsi="Times New Roman" w:cs="Times New Roman" w:eastAsia="Times New Roman" w:hint="default"/>
                <w:sz w:val="18"/>
                <w:szCs w:val="18"/>
              </w:rPr>
            </w:pPr>
            <w:r>
              <w:rPr>
                <w:rFonts w:ascii="Times New Roman"/>
                <w:sz w:val="18"/>
              </w:rPr>
              <w:t>V1.0</w:t>
            </w:r>
          </w:p>
        </w:tc>
        <w:tc>
          <w:tcPr>
            <w:tcW w:w="1097"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7,021,405.41</w:t>
            </w:r>
            <w:r>
              <w:rPr>
                <w:rFonts w:ascii="Times New Roman"/>
                <w:sz w:val="18"/>
              </w:rPr>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525,717.96</w:t>
            </w: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6,495,687.45</w:t>
            </w:r>
            <w:r>
              <w:rPr>
                <w:rFonts w:ascii="Times New Roman"/>
                <w:sz w:val="18"/>
              </w:rPr>
            </w:r>
          </w:p>
        </w:tc>
      </w:tr>
      <w:tr>
        <w:trPr>
          <w:trHeight w:val="715"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其他项目</w:t>
            </w:r>
          </w:p>
        </w:tc>
        <w:tc>
          <w:tcPr>
            <w:tcW w:w="1097"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246,138,847.76</w:t>
            </w:r>
            <w:r>
              <w:rPr>
                <w:rFonts w:ascii="Times New Roman"/>
                <w:sz w:val="18"/>
              </w:rPr>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246,138,847.7</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6</w:t>
            </w: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 w:right="0"/>
              <w:jc w:val="center"/>
              <w:rPr>
                <w:rFonts w:ascii="Times New Roman" w:hAnsi="Times New Roman" w:cs="Times New Roman" w:eastAsia="Times New Roman" w:hint="default"/>
                <w:sz w:val="18"/>
                <w:szCs w:val="18"/>
              </w:rPr>
            </w:pPr>
            <w:r>
              <w:rPr>
                <w:rFonts w:ascii="Times New Roman"/>
                <w:sz w:val="18"/>
              </w:rPr>
              <w:t>29,428,986.40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358,090,794.13</w:t>
            </w:r>
            <w:r>
              <w:rPr>
                <w:rFonts w:ascii="Times New Roman"/>
                <w:sz w:val="18"/>
              </w:rPr>
            </w:r>
          </w:p>
        </w:tc>
        <w:tc>
          <w:tcPr>
            <w:tcW w:w="92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31,865,513.49</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270,699,967.5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466"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84,954,299.51</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01"/>
        <w:gridCol w:w="1478"/>
        <w:gridCol w:w="2861"/>
        <w:gridCol w:w="1781"/>
      </w:tblGrid>
      <w:tr>
        <w:trPr>
          <w:trHeight w:val="341"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54"/>
                <w:sz w:val="18"/>
                <w:szCs w:val="18"/>
              </w:rPr>
              <w:t> </w:t>
            </w:r>
            <w:r>
              <w:rPr>
                <w:rFonts w:ascii="宋体" w:hAnsi="宋体" w:cs="宋体" w:eastAsia="宋体" w:hint="default"/>
                <w:sz w:val="18"/>
                <w:szCs w:val="18"/>
              </w:rPr>
              <w:t>目</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资本化开始时点</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05" w:right="0"/>
              <w:jc w:val="left"/>
              <w:rPr>
                <w:rFonts w:ascii="宋体" w:hAnsi="宋体" w:cs="宋体" w:eastAsia="宋体" w:hint="default"/>
                <w:sz w:val="18"/>
                <w:szCs w:val="18"/>
              </w:rPr>
            </w:pPr>
            <w:r>
              <w:rPr>
                <w:rFonts w:ascii="宋体" w:hAnsi="宋体" w:cs="宋体" w:eastAsia="宋体" w:hint="default"/>
                <w:sz w:val="18"/>
                <w:szCs w:val="18"/>
              </w:rPr>
              <w:t>资本化的具体依据</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6" w:right="0"/>
              <w:jc w:val="left"/>
              <w:rPr>
                <w:rFonts w:ascii="宋体" w:hAnsi="宋体" w:cs="宋体" w:eastAsia="宋体" w:hint="default"/>
                <w:sz w:val="18"/>
                <w:szCs w:val="18"/>
              </w:rPr>
            </w:pPr>
            <w:r>
              <w:rPr>
                <w:rFonts w:ascii="宋体" w:hAnsi="宋体" w:cs="宋体" w:eastAsia="宋体" w:hint="default"/>
                <w:sz w:val="18"/>
                <w:szCs w:val="18"/>
              </w:rPr>
              <w:t>截至期末的研发进度</w:t>
            </w:r>
          </w:p>
        </w:tc>
      </w:tr>
      <w:tr>
        <w:trPr>
          <w:trHeight w:val="343"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汽车取证大师</w:t>
            </w:r>
            <w:r>
              <w:rPr>
                <w:rFonts w:ascii="Times New Roman" w:hAnsi="Times New Roman" w:cs="Times New Roman" w:eastAsia="Times New Roman" w:hint="default"/>
                <w:sz w:val="18"/>
                <w:szCs w:val="18"/>
              </w:rPr>
              <w:t>V1.0</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p>
        </w:tc>
        <w:tc>
          <w:tcPr>
            <w:tcW w:w="2861" w:type="dxa"/>
            <w:vMerge w:val="restart"/>
            <w:tcBorders>
              <w:top w:val="single" w:sz="4" w:space="0" w:color="000000"/>
              <w:left w:val="single" w:sz="4" w:space="0" w:color="000000"/>
              <w:right w:val="single" w:sz="4" w:space="0" w:color="000000"/>
            </w:tcBorders>
          </w:tcPr>
          <w:p>
            <w:pPr>
              <w:pStyle w:val="TableParagraph"/>
              <w:spacing w:line="316" w:lineRule="auto" w:before="20"/>
              <w:ind w:left="7" w:right="-37"/>
              <w:jc w:val="left"/>
              <w:rPr>
                <w:rFonts w:ascii="宋体" w:hAnsi="宋体" w:cs="宋体" w:eastAsia="宋体" w:hint="default"/>
                <w:sz w:val="18"/>
                <w:szCs w:val="18"/>
              </w:rPr>
            </w:pPr>
            <w:r>
              <w:rPr>
                <w:rFonts w:ascii="宋体" w:hAnsi="宋体" w:cs="宋体" w:eastAsia="宋体" w:hint="default"/>
                <w:sz w:val="18"/>
                <w:szCs w:val="18"/>
              </w:rPr>
              <w:t>完成研发项目在技术上具有可行性， 项目实施完成后具有较好的市场容 </w:t>
            </w:r>
            <w:r>
              <w:rPr>
                <w:rFonts w:ascii="宋体" w:hAnsi="宋体" w:cs="宋体" w:eastAsia="宋体" w:hint="default"/>
                <w:spacing w:val="-3"/>
                <w:sz w:val="18"/>
                <w:szCs w:val="18"/>
              </w:rPr>
              <w:t>量和市场占有率，可以为项目收益提</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供有力保证，同时公司有足够的技 </w:t>
            </w:r>
            <w:r>
              <w:rPr>
                <w:rFonts w:ascii="宋体" w:hAnsi="宋体" w:cs="宋体" w:eastAsia="宋体" w:hint="default"/>
                <w:spacing w:val="-9"/>
                <w:sz w:val="18"/>
                <w:szCs w:val="18"/>
              </w:rPr>
              <w:t>术、财务等资源的支持，并单独核算</w:t>
            </w:r>
          </w:p>
          <w:p>
            <w:pPr>
              <w:pStyle w:val="TableParagraph"/>
              <w:spacing w:line="240" w:lineRule="auto" w:before="19"/>
              <w:ind w:left="616" w:right="0"/>
              <w:jc w:val="left"/>
              <w:rPr>
                <w:rFonts w:ascii="宋体" w:hAnsi="宋体" w:cs="宋体" w:eastAsia="宋体" w:hint="default"/>
                <w:sz w:val="18"/>
                <w:szCs w:val="18"/>
              </w:rPr>
            </w:pPr>
            <w:r>
              <w:rPr>
                <w:rFonts w:ascii="宋体" w:hAnsi="宋体" w:cs="宋体" w:eastAsia="宋体" w:hint="default"/>
                <w:sz w:val="18"/>
                <w:szCs w:val="18"/>
              </w:rPr>
              <w:t>支出能够可靠的计量</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完结</w:t>
            </w:r>
          </w:p>
        </w:tc>
      </w:tr>
      <w:tr>
        <w:trPr>
          <w:trHeight w:val="341"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警队政工大数据平台</w:t>
            </w:r>
            <w:r>
              <w:rPr>
                <w:rFonts w:ascii="Times New Roman" w:hAnsi="Times New Roman" w:cs="Times New Roman" w:eastAsia="Times New Roman" w:hint="default"/>
                <w:sz w:val="18"/>
                <w:szCs w:val="18"/>
              </w:rPr>
              <w:t>V1.0</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p>
        </w:tc>
        <w:tc>
          <w:tcPr>
            <w:tcW w:w="2861" w:type="dxa"/>
            <w:vMerge/>
            <w:tcBorders>
              <w:left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完结</w:t>
            </w:r>
          </w:p>
        </w:tc>
      </w:tr>
      <w:tr>
        <w:trPr>
          <w:trHeight w:val="343"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分析大师可视化智能分析系统</w:t>
            </w:r>
            <w:r>
              <w:rPr>
                <w:rFonts w:ascii="Times New Roman" w:hAnsi="Times New Roman" w:cs="Times New Roman" w:eastAsia="Times New Roman" w:hint="default"/>
                <w:sz w:val="18"/>
                <w:szCs w:val="18"/>
              </w:rPr>
              <w:t>V1.0</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2861" w:type="dxa"/>
            <w:vMerge/>
            <w:tcBorders>
              <w:left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完结</w:t>
            </w:r>
          </w:p>
        </w:tc>
      </w:tr>
      <w:tr>
        <w:trPr>
          <w:trHeight w:val="341"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智慧监察大数据平台</w:t>
            </w:r>
            <w:r>
              <w:rPr>
                <w:rFonts w:ascii="Times New Roman" w:hAnsi="Times New Roman" w:cs="Times New Roman" w:eastAsia="Times New Roman" w:hint="default"/>
                <w:sz w:val="18"/>
                <w:szCs w:val="18"/>
              </w:rPr>
              <w:t>V1.0</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2861" w:type="dxa"/>
            <w:vMerge/>
            <w:tcBorders>
              <w:left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65" w:right="0"/>
              <w:jc w:val="left"/>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343"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移动设备查缉终端</w:t>
            </w:r>
            <w:r>
              <w:rPr>
                <w:rFonts w:ascii="Times New Roman" w:hAnsi="Times New Roman" w:cs="Times New Roman" w:eastAsia="Times New Roman" w:hint="default"/>
                <w:sz w:val="18"/>
                <w:szCs w:val="18"/>
              </w:rPr>
              <w:t>V2.1</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2861" w:type="dxa"/>
            <w:vMerge/>
            <w:tcBorders>
              <w:left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4" w:right="0"/>
              <w:jc w:val="left"/>
              <w:rPr>
                <w:rFonts w:ascii="宋体" w:hAnsi="宋体" w:cs="宋体" w:eastAsia="宋体" w:hint="default"/>
                <w:sz w:val="18"/>
                <w:szCs w:val="18"/>
              </w:rPr>
            </w:pPr>
            <w:r>
              <w:rPr>
                <w:rFonts w:ascii="宋体" w:hAnsi="宋体" w:cs="宋体" w:eastAsia="宋体" w:hint="default"/>
                <w:position w:val="12"/>
                <w:sz w:val="18"/>
                <w:szCs w:val="18"/>
              </w:rPr>
              <w:t>，</w:t>
            </w:r>
            <w:r>
              <w:rPr>
                <w:rFonts w:ascii="宋体" w:hAnsi="宋体" w:cs="宋体" w:eastAsia="宋体" w:hint="default"/>
                <w:spacing w:val="-2"/>
                <w:position w:val="12"/>
                <w:sz w:val="18"/>
                <w:szCs w:val="18"/>
              </w:rPr>
              <w:t> </w:t>
            </w:r>
            <w:r>
              <w:rPr>
                <w:rFonts w:ascii="宋体" w:hAnsi="宋体" w:cs="宋体" w:eastAsia="宋体" w:hint="default"/>
                <w:sz w:val="18"/>
                <w:szCs w:val="18"/>
              </w:rPr>
              <w:t>处于产品研发阶段</w:t>
            </w:r>
          </w:p>
        </w:tc>
      </w:tr>
      <w:tr>
        <w:trPr>
          <w:trHeight w:val="341"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税采先锋数据采集系统</w:t>
            </w:r>
            <w:r>
              <w:rPr>
                <w:rFonts w:ascii="Times New Roman" w:hAnsi="Times New Roman" w:cs="Times New Roman" w:eastAsia="Times New Roman" w:hint="default"/>
                <w:sz w:val="18"/>
                <w:szCs w:val="18"/>
              </w:rPr>
              <w:t>V1.1</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p>
        </w:tc>
        <w:tc>
          <w:tcPr>
            <w:tcW w:w="2861" w:type="dxa"/>
            <w:vMerge/>
            <w:tcBorders>
              <w:left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完结</w:t>
            </w:r>
          </w:p>
        </w:tc>
      </w:tr>
      <w:tr>
        <w:trPr>
          <w:trHeight w:val="343"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手机云勘大师系统</w:t>
            </w:r>
            <w:r>
              <w:rPr>
                <w:rFonts w:ascii="Times New Roman" w:hAnsi="Times New Roman" w:cs="Times New Roman" w:eastAsia="Times New Roman" w:hint="default"/>
                <w:sz w:val="18"/>
                <w:szCs w:val="18"/>
              </w:rPr>
              <w:t>V2.2</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p>
        </w:tc>
        <w:tc>
          <w:tcPr>
            <w:tcW w:w="2861" w:type="dxa"/>
            <w:vMerge/>
            <w:tcBorders>
              <w:left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完结</w:t>
            </w:r>
          </w:p>
        </w:tc>
      </w:tr>
      <w:tr>
        <w:trPr>
          <w:trHeight w:val="341"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汽车取证大师</w:t>
            </w:r>
            <w:r>
              <w:rPr>
                <w:rFonts w:ascii="Times New Roman" w:hAnsi="Times New Roman" w:cs="Times New Roman" w:eastAsia="Times New Roman" w:hint="default"/>
                <w:sz w:val="18"/>
                <w:szCs w:val="18"/>
              </w:rPr>
              <w:t>V2.0</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p>
        </w:tc>
        <w:tc>
          <w:tcPr>
            <w:tcW w:w="2861" w:type="dxa"/>
            <w:vMerge/>
            <w:tcBorders>
              <w:left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完结</w:t>
            </w:r>
          </w:p>
        </w:tc>
      </w:tr>
      <w:tr>
        <w:trPr>
          <w:trHeight w:val="343"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电子物证快速勘查系统</w:t>
            </w:r>
            <w:r>
              <w:rPr>
                <w:rFonts w:ascii="Times New Roman" w:hAnsi="Times New Roman" w:cs="Times New Roman" w:eastAsia="Times New Roman" w:hint="default"/>
                <w:sz w:val="18"/>
                <w:szCs w:val="18"/>
              </w:rPr>
              <w:t>V1.0</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p>
        </w:tc>
        <w:tc>
          <w:tcPr>
            <w:tcW w:w="2861" w:type="dxa"/>
            <w:vMerge/>
            <w:tcBorders>
              <w:left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完结</w:t>
            </w:r>
          </w:p>
        </w:tc>
      </w:tr>
      <w:tr>
        <w:trPr>
          <w:trHeight w:val="341"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社交媒体网评系统</w:t>
            </w:r>
            <w:r>
              <w:rPr>
                <w:rFonts w:ascii="Times New Roman" w:hAnsi="Times New Roman" w:cs="Times New Roman" w:eastAsia="Times New Roman" w:hint="default"/>
                <w:sz w:val="18"/>
                <w:szCs w:val="18"/>
              </w:rPr>
              <w:t>V1.0</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p>
        </w:tc>
        <w:tc>
          <w:tcPr>
            <w:tcW w:w="2861" w:type="dxa"/>
            <w:vMerge/>
            <w:tcBorders>
              <w:left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完结</w:t>
            </w:r>
          </w:p>
        </w:tc>
      </w:tr>
      <w:tr>
        <w:trPr>
          <w:trHeight w:val="343"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大数据应用平台</w:t>
            </w:r>
            <w:r>
              <w:rPr>
                <w:rFonts w:ascii="Times New Roman" w:hAnsi="Times New Roman" w:cs="Times New Roman" w:eastAsia="Times New Roman" w:hint="default"/>
                <w:sz w:val="18"/>
                <w:szCs w:val="18"/>
              </w:rPr>
              <w:t>V5.0</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p>
        </w:tc>
        <w:tc>
          <w:tcPr>
            <w:tcW w:w="2861" w:type="dxa"/>
            <w:vMerge/>
            <w:tcBorders>
              <w:left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65" w:right="0"/>
              <w:jc w:val="left"/>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341"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大数据治理平台</w:t>
            </w:r>
            <w:r>
              <w:rPr>
                <w:rFonts w:ascii="Times New Roman" w:hAnsi="Times New Roman" w:cs="Times New Roman" w:eastAsia="Times New Roman" w:hint="default"/>
                <w:sz w:val="18"/>
                <w:szCs w:val="18"/>
              </w:rPr>
              <w:t>V1.0</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p>
        </w:tc>
        <w:tc>
          <w:tcPr>
            <w:tcW w:w="2861" w:type="dxa"/>
            <w:vMerge/>
            <w:tcBorders>
              <w:left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65" w:right="0"/>
              <w:jc w:val="left"/>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343"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互联网信息应急指挥系统</w:t>
            </w:r>
            <w:r>
              <w:rPr>
                <w:rFonts w:ascii="Times New Roman" w:hAnsi="Times New Roman" w:cs="Times New Roman" w:eastAsia="Times New Roman" w:hint="default"/>
                <w:sz w:val="18"/>
                <w:szCs w:val="18"/>
              </w:rPr>
              <w:t>V3.0</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p>
        </w:tc>
        <w:tc>
          <w:tcPr>
            <w:tcW w:w="2861" w:type="dxa"/>
            <w:vMerge/>
            <w:tcBorders>
              <w:left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65" w:right="0"/>
              <w:jc w:val="left"/>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341"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手机取证大师</w:t>
            </w:r>
            <w:r>
              <w:rPr>
                <w:rFonts w:ascii="Times New Roman" w:hAnsi="Times New Roman" w:cs="Times New Roman" w:eastAsia="Times New Roman" w:hint="default"/>
                <w:sz w:val="18"/>
                <w:szCs w:val="18"/>
              </w:rPr>
              <w:t>V3.0</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p>
        </w:tc>
        <w:tc>
          <w:tcPr>
            <w:tcW w:w="2861" w:type="dxa"/>
            <w:vMerge/>
            <w:tcBorders>
              <w:left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65" w:right="0"/>
              <w:jc w:val="left"/>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343"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信息分析实战管理平台</w:t>
            </w:r>
            <w:r>
              <w:rPr>
                <w:rFonts w:ascii="Times New Roman" w:hAnsi="Times New Roman" w:cs="Times New Roman" w:eastAsia="Times New Roman" w:hint="default"/>
                <w:sz w:val="18"/>
                <w:szCs w:val="18"/>
              </w:rPr>
              <w:t>V2.0</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p>
        </w:tc>
        <w:tc>
          <w:tcPr>
            <w:tcW w:w="2861" w:type="dxa"/>
            <w:vMerge/>
            <w:tcBorders>
              <w:left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65" w:right="0"/>
              <w:jc w:val="left"/>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343"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智能机器人系统</w:t>
            </w:r>
            <w:r>
              <w:rPr>
                <w:rFonts w:ascii="Times New Roman" w:hAnsi="Times New Roman" w:cs="Times New Roman" w:eastAsia="Times New Roman" w:hint="default"/>
                <w:sz w:val="18"/>
                <w:szCs w:val="18"/>
              </w:rPr>
              <w:t>V2.0</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p>
        </w:tc>
        <w:tc>
          <w:tcPr>
            <w:tcW w:w="2861" w:type="dxa"/>
            <w:vMerge/>
            <w:tcBorders>
              <w:left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65" w:right="0"/>
              <w:jc w:val="left"/>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341"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电子数据存证云</w:t>
            </w:r>
            <w:r>
              <w:rPr>
                <w:rFonts w:ascii="Times New Roman" w:hAnsi="Times New Roman" w:cs="Times New Roman" w:eastAsia="Times New Roman" w:hint="default"/>
                <w:sz w:val="18"/>
                <w:szCs w:val="18"/>
              </w:rPr>
              <w:t>V5.0</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p>
        </w:tc>
        <w:tc>
          <w:tcPr>
            <w:tcW w:w="2861" w:type="dxa"/>
            <w:vMerge/>
            <w:tcBorders>
              <w:left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65" w:right="0"/>
              <w:jc w:val="left"/>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343"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信息传输系统</w:t>
            </w:r>
            <w:r>
              <w:rPr>
                <w:rFonts w:ascii="Times New Roman" w:hAnsi="Times New Roman" w:cs="Times New Roman" w:eastAsia="Times New Roman" w:hint="default"/>
                <w:sz w:val="18"/>
                <w:szCs w:val="18"/>
              </w:rPr>
              <w:t>V6.0</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p>
        </w:tc>
        <w:tc>
          <w:tcPr>
            <w:tcW w:w="2861" w:type="dxa"/>
            <w:vMerge/>
            <w:tcBorders>
              <w:left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65" w:right="0"/>
              <w:jc w:val="left"/>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341"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手机取证航母系统</w:t>
            </w:r>
            <w:r>
              <w:rPr>
                <w:rFonts w:ascii="Times New Roman" w:hAnsi="Times New Roman" w:cs="Times New Roman" w:eastAsia="Times New Roman" w:hint="default"/>
                <w:sz w:val="18"/>
                <w:szCs w:val="18"/>
              </w:rPr>
              <w:t>V1.0</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p>
        </w:tc>
        <w:tc>
          <w:tcPr>
            <w:tcW w:w="2861" w:type="dxa"/>
            <w:vMerge/>
            <w:tcBorders>
              <w:left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65" w:right="0"/>
              <w:jc w:val="left"/>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343"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远望综合信息分析系统</w:t>
            </w:r>
            <w:r>
              <w:rPr>
                <w:rFonts w:ascii="Times New Roman" w:hAnsi="Times New Roman" w:cs="Times New Roman" w:eastAsia="Times New Roman" w:hint="default"/>
                <w:sz w:val="18"/>
                <w:szCs w:val="18"/>
              </w:rPr>
              <w:t>V1.1</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10</w:t>
            </w:r>
            <w:r>
              <w:rPr>
                <w:rFonts w:ascii="宋体" w:hAnsi="宋体" w:cs="宋体" w:eastAsia="宋体" w:hint="default"/>
                <w:sz w:val="18"/>
                <w:szCs w:val="18"/>
              </w:rPr>
              <w:t>月</w:t>
            </w:r>
          </w:p>
        </w:tc>
        <w:tc>
          <w:tcPr>
            <w:tcW w:w="2861" w:type="dxa"/>
            <w:vMerge/>
            <w:tcBorders>
              <w:left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65" w:right="0"/>
              <w:jc w:val="left"/>
              <w:rPr>
                <w:rFonts w:ascii="宋体" w:hAnsi="宋体" w:cs="宋体" w:eastAsia="宋体" w:hint="default"/>
                <w:sz w:val="18"/>
                <w:szCs w:val="18"/>
              </w:rPr>
            </w:pPr>
            <w:r>
              <w:rPr>
                <w:rFonts w:ascii="宋体" w:hAnsi="宋体" w:cs="宋体" w:eastAsia="宋体" w:hint="default"/>
                <w:sz w:val="18"/>
                <w:szCs w:val="18"/>
              </w:rPr>
              <w:t>处于产品研发阶段</w:t>
            </w:r>
          </w:p>
        </w:tc>
      </w:tr>
      <w:tr>
        <w:trPr>
          <w:trHeight w:val="341"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智能数据分析应用系统</w:t>
            </w:r>
            <w:r>
              <w:rPr>
                <w:rFonts w:ascii="Times New Roman" w:hAnsi="Times New Roman" w:cs="Times New Roman" w:eastAsia="Times New Roman" w:hint="default"/>
                <w:sz w:val="18"/>
                <w:szCs w:val="18"/>
              </w:rPr>
              <w:t>V1.0</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p>
        </w:tc>
        <w:tc>
          <w:tcPr>
            <w:tcW w:w="2861" w:type="dxa"/>
            <w:vMerge/>
            <w:tcBorders>
              <w:left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完结</w:t>
            </w:r>
          </w:p>
        </w:tc>
      </w:tr>
      <w:tr>
        <w:trPr>
          <w:trHeight w:val="343"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智慧警务应用平台</w:t>
            </w:r>
            <w:r>
              <w:rPr>
                <w:rFonts w:ascii="Times New Roman" w:hAnsi="Times New Roman" w:cs="Times New Roman" w:eastAsia="Times New Roman" w:hint="default"/>
                <w:sz w:val="18"/>
                <w:szCs w:val="18"/>
              </w:rPr>
              <w:t>V1.0</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2</w:t>
            </w:r>
            <w:r>
              <w:rPr>
                <w:rFonts w:ascii="宋体" w:hAnsi="宋体" w:cs="宋体" w:eastAsia="宋体" w:hint="default"/>
                <w:sz w:val="18"/>
                <w:szCs w:val="18"/>
              </w:rPr>
              <w:t>月</w:t>
            </w:r>
          </w:p>
        </w:tc>
        <w:tc>
          <w:tcPr>
            <w:tcW w:w="2861" w:type="dxa"/>
            <w:vMerge/>
            <w:tcBorders>
              <w:left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完结</w:t>
            </w:r>
          </w:p>
        </w:tc>
      </w:tr>
      <w:tr>
        <w:trPr>
          <w:trHeight w:val="341"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智慧管理平台</w:t>
            </w:r>
            <w:r>
              <w:rPr>
                <w:rFonts w:ascii="Times New Roman" w:hAnsi="Times New Roman" w:cs="Times New Roman" w:eastAsia="Times New Roman" w:hint="default"/>
                <w:sz w:val="18"/>
                <w:szCs w:val="18"/>
              </w:rPr>
              <w:t>V1.0</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p>
        </w:tc>
        <w:tc>
          <w:tcPr>
            <w:tcW w:w="2861" w:type="dxa"/>
            <w:vMerge/>
            <w:tcBorders>
              <w:left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完结</w:t>
            </w:r>
          </w:p>
        </w:tc>
      </w:tr>
      <w:tr>
        <w:trPr>
          <w:trHeight w:val="343"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民生服务平台</w:t>
            </w:r>
            <w:r>
              <w:rPr>
                <w:rFonts w:ascii="Times New Roman" w:hAnsi="Times New Roman" w:cs="Times New Roman" w:eastAsia="Times New Roman" w:hint="default"/>
                <w:sz w:val="18"/>
                <w:szCs w:val="18"/>
              </w:rPr>
              <w:t>V1.0</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p>
        </w:tc>
        <w:tc>
          <w:tcPr>
            <w:tcW w:w="2861" w:type="dxa"/>
            <w:vMerge/>
            <w:tcBorders>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65" w:right="0"/>
              <w:jc w:val="left"/>
              <w:rPr>
                <w:rFonts w:ascii="宋体" w:hAnsi="宋体" w:cs="宋体" w:eastAsia="宋体" w:hint="default"/>
                <w:sz w:val="18"/>
                <w:szCs w:val="18"/>
              </w:rPr>
            </w:pPr>
            <w:r>
              <w:rPr>
                <w:rFonts w:ascii="宋体" w:hAnsi="宋体" w:cs="宋体" w:eastAsia="宋体" w:hint="default"/>
                <w:sz w:val="18"/>
                <w:szCs w:val="18"/>
              </w:rPr>
              <w:t>处于产品研发阶段</w:t>
            </w:r>
          </w:p>
        </w:tc>
      </w:tr>
    </w:tbl>
    <w:p>
      <w:pPr>
        <w:spacing w:after="0" w:line="240"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28、商誉" w:id="316"/>
      <w:bookmarkEnd w:id="316"/>
      <w:r>
        <w:rPr>
          <w:b w:val="0"/>
          <w:bCs w:val="0"/>
        </w:rPr>
      </w:r>
      <w:r>
        <w:rPr>
          <w:rFonts w:ascii="Times New Roman" w:hAnsi="Times New Roman" w:cs="Times New Roman" w:eastAsia="Times New Roman" w:hint="default"/>
        </w:rPr>
        <w:t>28</w:t>
      </w:r>
      <w:r>
        <w:rPr/>
        <w:t>、商誉</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商誉账面原值" w:id="317"/>
      <w:bookmarkEnd w:id="317"/>
      <w:r>
        <w:rPr>
          <w:b w:val="0"/>
          <w:bCs w:val="0"/>
        </w:rPr>
      </w:r>
      <w:r>
        <w:rPr/>
        <w:t>（</w:t>
      </w:r>
      <w:r>
        <w:rPr>
          <w:rFonts w:ascii="Times New Roman" w:hAnsi="Times New Roman" w:cs="Times New Roman" w:eastAsia="Times New Roman" w:hint="default"/>
        </w:rPr>
        <w:t>1</w:t>
      </w:r>
      <w:r>
        <w:rPr/>
        <w:t>）商誉账面原值</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25"/>
        <w:gridCol w:w="1451"/>
        <w:gridCol w:w="1620"/>
        <w:gridCol w:w="559"/>
        <w:gridCol w:w="1368"/>
        <w:gridCol w:w="1368"/>
        <w:gridCol w:w="1366"/>
      </w:tblGrid>
      <w:tr>
        <w:trPr>
          <w:trHeight w:val="206" w:hRule="exact"/>
        </w:trPr>
        <w:tc>
          <w:tcPr>
            <w:tcW w:w="1825" w:type="dxa"/>
            <w:vMerge w:val="restart"/>
            <w:tcBorders>
              <w:top w:val="single" w:sz="4" w:space="0" w:color="000000"/>
              <w:left w:val="single" w:sz="4" w:space="0" w:color="000000"/>
              <w:right w:val="single" w:sz="4" w:space="0" w:color="000000"/>
            </w:tcBorders>
            <w:shd w:val="clear" w:color="auto" w:fill="D4D4D4"/>
          </w:tcPr>
          <w:p>
            <w:pPr>
              <w:pStyle w:val="TableParagraph"/>
              <w:spacing w:line="314" w:lineRule="auto" w:before="94"/>
              <w:ind w:left="367" w:right="95" w:hanging="269"/>
              <w:jc w:val="left"/>
              <w:rPr>
                <w:rFonts w:ascii="宋体" w:hAnsi="宋体" w:cs="宋体" w:eastAsia="宋体" w:hint="default"/>
                <w:sz w:val="18"/>
                <w:szCs w:val="18"/>
              </w:rPr>
            </w:pPr>
            <w:r>
              <w:rPr>
                <w:rFonts w:ascii="宋体" w:hAnsi="宋体" w:cs="宋体" w:eastAsia="宋体" w:hint="default"/>
                <w:sz w:val="18"/>
                <w:szCs w:val="18"/>
              </w:rPr>
              <w:t>被投资单位名称或形 成商誉的事项</w:t>
            </w:r>
          </w:p>
        </w:tc>
        <w:tc>
          <w:tcPr>
            <w:tcW w:w="1451" w:type="dxa"/>
            <w:tcBorders>
              <w:top w:val="single" w:sz="4" w:space="0" w:color="000000"/>
              <w:left w:val="single" w:sz="4" w:space="0" w:color="000000"/>
              <w:bottom w:val="nil" w:sz="6" w:space="0" w:color="auto"/>
              <w:right w:val="single" w:sz="4" w:space="0" w:color="000000"/>
            </w:tcBorders>
            <w:shd w:val="clear" w:color="auto" w:fill="D4D4D4"/>
          </w:tcPr>
          <w:p>
            <w:pPr/>
          </w:p>
        </w:tc>
        <w:tc>
          <w:tcPr>
            <w:tcW w:w="2179"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left="72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736"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6"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4" w:hRule="exact"/>
        </w:trPr>
        <w:tc>
          <w:tcPr>
            <w:tcW w:w="1825" w:type="dxa"/>
            <w:vMerge/>
            <w:tcBorders>
              <w:left w:val="single" w:sz="4" w:space="0" w:color="000000"/>
              <w:right w:val="single" w:sz="4" w:space="0" w:color="000000"/>
            </w:tcBorders>
            <w:shd w:val="clear" w:color="auto" w:fill="D4D4D4"/>
          </w:tcPr>
          <w:p>
            <w:pPr/>
          </w:p>
        </w:tc>
        <w:tc>
          <w:tcPr>
            <w:tcW w:w="1451"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36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179" w:type="dxa"/>
            <w:gridSpan w:val="2"/>
            <w:vMerge/>
            <w:tcBorders>
              <w:left w:val="single" w:sz="4" w:space="0" w:color="000000"/>
              <w:bottom w:val="single" w:sz="4" w:space="0" w:color="000000"/>
              <w:right w:val="single" w:sz="4" w:space="0" w:color="000000"/>
            </w:tcBorders>
            <w:shd w:val="clear" w:color="auto" w:fill="D4D4D4"/>
          </w:tcPr>
          <w:p>
            <w:pPr/>
          </w:p>
        </w:tc>
        <w:tc>
          <w:tcPr>
            <w:tcW w:w="2736" w:type="dxa"/>
            <w:gridSpan w:val="2"/>
            <w:vMerge/>
            <w:tcBorders>
              <w:left w:val="single" w:sz="4" w:space="0" w:color="000000"/>
              <w:bottom w:val="single" w:sz="4" w:space="0" w:color="000000"/>
              <w:right w:val="single" w:sz="4" w:space="0" w:color="000000"/>
            </w:tcBorders>
            <w:shd w:val="clear" w:color="auto" w:fill="D4D4D4"/>
          </w:tcPr>
          <w:p>
            <w:pPr/>
          </w:p>
        </w:tc>
        <w:tc>
          <w:tcPr>
            <w:tcW w:w="1366" w:type="dxa"/>
            <w:vMerge/>
            <w:tcBorders>
              <w:left w:val="single" w:sz="4" w:space="0" w:color="000000"/>
              <w:right w:val="single" w:sz="4" w:space="0" w:color="000000"/>
            </w:tcBorders>
            <w:shd w:val="clear" w:color="auto" w:fill="D4D4D4"/>
          </w:tcPr>
          <w:p>
            <w:pPr/>
          </w:p>
        </w:tc>
      </w:tr>
      <w:tr>
        <w:trPr>
          <w:trHeight w:val="197" w:hRule="exact"/>
        </w:trPr>
        <w:tc>
          <w:tcPr>
            <w:tcW w:w="1825" w:type="dxa"/>
            <w:vMerge/>
            <w:tcBorders>
              <w:left w:val="single" w:sz="4" w:space="0" w:color="000000"/>
              <w:right w:val="single" w:sz="4" w:space="0" w:color="000000"/>
            </w:tcBorders>
            <w:shd w:val="clear" w:color="auto" w:fill="D4D4D4"/>
          </w:tcPr>
          <w:p>
            <w:pPr/>
          </w:p>
        </w:tc>
        <w:tc>
          <w:tcPr>
            <w:tcW w:w="1451" w:type="dxa"/>
            <w:vMerge/>
            <w:tcBorders>
              <w:left w:val="single" w:sz="4" w:space="0" w:color="000000"/>
              <w:bottom w:val="nil" w:sz="6" w:space="0" w:color="auto"/>
              <w:right w:val="single" w:sz="4" w:space="0" w:color="000000"/>
            </w:tcBorders>
            <w:shd w:val="clear" w:color="auto" w:fill="D4D4D4"/>
          </w:tcPr>
          <w:p>
            <w:pPr/>
          </w:p>
        </w:tc>
        <w:tc>
          <w:tcPr>
            <w:tcW w:w="1620"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企业合并形成的</w:t>
            </w:r>
          </w:p>
        </w:tc>
        <w:tc>
          <w:tcPr>
            <w:tcW w:w="559" w:type="dxa"/>
            <w:vMerge w:val="restart"/>
            <w:tcBorders>
              <w:top w:val="single" w:sz="4" w:space="0" w:color="000000"/>
              <w:left w:val="single" w:sz="4" w:space="0" w:color="000000"/>
              <w:right w:val="single" w:sz="4" w:space="0" w:color="000000"/>
            </w:tcBorders>
            <w:shd w:val="clear" w:color="auto" w:fill="D4D4D4"/>
          </w:tcPr>
          <w:p>
            <w:pPr/>
          </w:p>
        </w:tc>
        <w:tc>
          <w:tcPr>
            <w:tcW w:w="1368"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处置</w:t>
            </w:r>
          </w:p>
        </w:tc>
        <w:tc>
          <w:tcPr>
            <w:tcW w:w="1368" w:type="dxa"/>
            <w:vMerge w:val="restart"/>
            <w:tcBorders>
              <w:top w:val="single" w:sz="4" w:space="0" w:color="000000"/>
              <w:left w:val="single" w:sz="4" w:space="0" w:color="000000"/>
              <w:right w:val="single" w:sz="4" w:space="0" w:color="000000"/>
            </w:tcBorders>
            <w:shd w:val="clear" w:color="auto" w:fill="D4D4D4"/>
          </w:tcPr>
          <w:p>
            <w:pPr/>
          </w:p>
        </w:tc>
        <w:tc>
          <w:tcPr>
            <w:tcW w:w="1366" w:type="dxa"/>
            <w:vMerge/>
            <w:tcBorders>
              <w:left w:val="single" w:sz="4" w:space="0" w:color="000000"/>
              <w:right w:val="single" w:sz="4" w:space="0" w:color="000000"/>
            </w:tcBorders>
            <w:shd w:val="clear" w:color="auto" w:fill="D4D4D4"/>
          </w:tcPr>
          <w:p>
            <w:pPr/>
          </w:p>
        </w:tc>
      </w:tr>
      <w:tr>
        <w:trPr>
          <w:trHeight w:val="206" w:hRule="exact"/>
        </w:trPr>
        <w:tc>
          <w:tcPr>
            <w:tcW w:w="1825" w:type="dxa"/>
            <w:vMerge/>
            <w:tcBorders>
              <w:left w:val="single" w:sz="4" w:space="0" w:color="000000"/>
              <w:bottom w:val="single" w:sz="4" w:space="0" w:color="000000"/>
              <w:right w:val="single" w:sz="4" w:space="0" w:color="000000"/>
            </w:tcBorders>
            <w:shd w:val="clear" w:color="auto" w:fill="D4D4D4"/>
          </w:tcPr>
          <w:p>
            <w:pPr/>
          </w:p>
        </w:tc>
        <w:tc>
          <w:tcPr>
            <w:tcW w:w="1451" w:type="dxa"/>
            <w:tcBorders>
              <w:top w:val="nil" w:sz="6" w:space="0" w:color="auto"/>
              <w:left w:val="single" w:sz="4" w:space="0" w:color="000000"/>
              <w:bottom w:val="single" w:sz="4" w:space="0" w:color="000000"/>
              <w:right w:val="single" w:sz="4" w:space="0" w:color="000000"/>
            </w:tcBorders>
            <w:shd w:val="clear" w:color="auto" w:fill="D4D4D4"/>
          </w:tcPr>
          <w:p>
            <w:pPr/>
          </w:p>
        </w:tc>
        <w:tc>
          <w:tcPr>
            <w:tcW w:w="1620" w:type="dxa"/>
            <w:vMerge/>
            <w:tcBorders>
              <w:left w:val="single" w:sz="4" w:space="0" w:color="000000"/>
              <w:bottom w:val="single" w:sz="4" w:space="0" w:color="000000"/>
              <w:right w:val="single" w:sz="4" w:space="0" w:color="000000"/>
            </w:tcBorders>
            <w:shd w:val="clear" w:color="auto" w:fill="D4D4D4"/>
          </w:tcPr>
          <w:p>
            <w:pPr/>
          </w:p>
        </w:tc>
        <w:tc>
          <w:tcPr>
            <w:tcW w:w="559" w:type="dxa"/>
            <w:vMerge/>
            <w:tcBorders>
              <w:left w:val="single" w:sz="4" w:space="0" w:color="000000"/>
              <w:bottom w:val="single" w:sz="4" w:space="0" w:color="000000"/>
              <w:right w:val="single" w:sz="4" w:space="0" w:color="000000"/>
            </w:tcBorders>
            <w:shd w:val="clear" w:color="auto" w:fill="D4D4D4"/>
          </w:tcPr>
          <w:p>
            <w:pPr/>
          </w:p>
        </w:tc>
        <w:tc>
          <w:tcPr>
            <w:tcW w:w="1368" w:type="dxa"/>
            <w:vMerge/>
            <w:tcBorders>
              <w:left w:val="single" w:sz="4" w:space="0" w:color="000000"/>
              <w:bottom w:val="single" w:sz="4" w:space="0" w:color="000000"/>
              <w:right w:val="single" w:sz="4" w:space="0" w:color="000000"/>
            </w:tcBorders>
            <w:shd w:val="clear" w:color="auto" w:fill="D4D4D4"/>
          </w:tcPr>
          <w:p>
            <w:pPr/>
          </w:p>
        </w:tc>
        <w:tc>
          <w:tcPr>
            <w:tcW w:w="1368" w:type="dxa"/>
            <w:vMerge/>
            <w:tcBorders>
              <w:left w:val="single" w:sz="4" w:space="0" w:color="000000"/>
              <w:bottom w:val="single" w:sz="4" w:space="0" w:color="000000"/>
              <w:right w:val="single" w:sz="4" w:space="0" w:color="000000"/>
            </w:tcBorders>
            <w:shd w:val="clear" w:color="auto" w:fill="D4D4D4"/>
          </w:tcPr>
          <w:p>
            <w:pPr/>
          </w:p>
        </w:tc>
        <w:tc>
          <w:tcPr>
            <w:tcW w:w="1366" w:type="dxa"/>
            <w:vMerge/>
            <w:tcBorders>
              <w:left w:val="single" w:sz="4" w:space="0" w:color="000000"/>
              <w:bottom w:val="single" w:sz="4" w:space="0" w:color="000000"/>
              <w:right w:val="single" w:sz="4" w:space="0" w:color="000000"/>
            </w:tcBorders>
            <w:shd w:val="clear" w:color="auto" w:fill="D4D4D4"/>
          </w:tcPr>
          <w:p>
            <w:pPr/>
          </w:p>
        </w:tc>
      </w:tr>
      <w:tr>
        <w:trPr>
          <w:trHeight w:val="401" w:hRule="exact"/>
        </w:trPr>
        <w:tc>
          <w:tcPr>
            <w:tcW w:w="18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珠海新德汇</w:t>
            </w:r>
          </w:p>
        </w:tc>
        <w:tc>
          <w:tcPr>
            <w:tcW w:w="145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43,856,030.99</w:t>
            </w:r>
          </w:p>
        </w:tc>
        <w:tc>
          <w:tcPr>
            <w:tcW w:w="1620" w:type="dxa"/>
            <w:tcBorders>
              <w:top w:val="single" w:sz="4" w:space="0" w:color="000000"/>
              <w:left w:val="single" w:sz="4" w:space="0" w:color="000000"/>
              <w:bottom w:val="single" w:sz="4" w:space="0" w:color="000000"/>
              <w:right w:val="single" w:sz="4" w:space="0" w:color="000000"/>
            </w:tcBorders>
          </w:tcPr>
          <w:p>
            <w:pPr/>
          </w:p>
        </w:tc>
        <w:tc>
          <w:tcPr>
            <w:tcW w:w="55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43,856,030.99</w:t>
            </w:r>
          </w:p>
        </w:tc>
      </w:tr>
      <w:tr>
        <w:trPr>
          <w:trHeight w:val="403" w:hRule="exact"/>
        </w:trPr>
        <w:tc>
          <w:tcPr>
            <w:tcW w:w="18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江苏税软</w:t>
            </w:r>
          </w:p>
        </w:tc>
        <w:tc>
          <w:tcPr>
            <w:tcW w:w="145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498,346,182.89</w:t>
            </w:r>
            <w:r>
              <w:rPr>
                <w:rFonts w:ascii="Times New Roman"/>
                <w:sz w:val="18"/>
              </w:rPr>
            </w:r>
          </w:p>
        </w:tc>
        <w:tc>
          <w:tcPr>
            <w:tcW w:w="1620" w:type="dxa"/>
            <w:tcBorders>
              <w:top w:val="single" w:sz="4" w:space="0" w:color="000000"/>
              <w:left w:val="single" w:sz="4" w:space="0" w:color="000000"/>
              <w:bottom w:val="single" w:sz="4" w:space="0" w:color="000000"/>
              <w:right w:val="single" w:sz="4" w:space="0" w:color="000000"/>
            </w:tcBorders>
          </w:tcPr>
          <w:p>
            <w:pPr/>
          </w:p>
        </w:tc>
        <w:tc>
          <w:tcPr>
            <w:tcW w:w="55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498,346,182.89</w:t>
            </w:r>
            <w:r>
              <w:rPr>
                <w:rFonts w:ascii="Times New Roman"/>
                <w:sz w:val="18"/>
              </w:rPr>
            </w:r>
          </w:p>
        </w:tc>
      </w:tr>
      <w:tr>
        <w:trPr>
          <w:trHeight w:val="401" w:hRule="exact"/>
        </w:trPr>
        <w:tc>
          <w:tcPr>
            <w:tcW w:w="18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武汉大千</w:t>
            </w:r>
          </w:p>
        </w:tc>
        <w:tc>
          <w:tcPr>
            <w:tcW w:w="145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23,426,464.98</w:t>
            </w:r>
          </w:p>
        </w:tc>
        <w:tc>
          <w:tcPr>
            <w:tcW w:w="1620" w:type="dxa"/>
            <w:tcBorders>
              <w:top w:val="single" w:sz="4" w:space="0" w:color="000000"/>
              <w:left w:val="single" w:sz="4" w:space="0" w:color="000000"/>
              <w:bottom w:val="single" w:sz="4" w:space="0" w:color="000000"/>
              <w:right w:val="single" w:sz="4" w:space="0" w:color="000000"/>
            </w:tcBorders>
          </w:tcPr>
          <w:p>
            <w:pPr/>
          </w:p>
        </w:tc>
        <w:tc>
          <w:tcPr>
            <w:tcW w:w="55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23,426,464.98</w:t>
            </w:r>
          </w:p>
        </w:tc>
      </w:tr>
      <w:tr>
        <w:trPr>
          <w:trHeight w:val="403" w:hRule="exact"/>
        </w:trPr>
        <w:tc>
          <w:tcPr>
            <w:tcW w:w="18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45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565,628,678.86</w:t>
            </w:r>
            <w:r>
              <w:rPr>
                <w:rFonts w:ascii="Times New Roman"/>
                <w:sz w:val="18"/>
              </w:rPr>
            </w:r>
          </w:p>
        </w:tc>
        <w:tc>
          <w:tcPr>
            <w:tcW w:w="1620" w:type="dxa"/>
            <w:tcBorders>
              <w:top w:val="single" w:sz="4" w:space="0" w:color="000000"/>
              <w:left w:val="single" w:sz="4" w:space="0" w:color="000000"/>
              <w:bottom w:val="single" w:sz="4" w:space="0" w:color="000000"/>
              <w:right w:val="single" w:sz="4" w:space="0" w:color="000000"/>
            </w:tcBorders>
          </w:tcPr>
          <w:p>
            <w:pPr/>
          </w:p>
        </w:tc>
        <w:tc>
          <w:tcPr>
            <w:tcW w:w="55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565,628,678.86</w:t>
            </w:r>
            <w:r>
              <w:rPr>
                <w:rFonts w:ascii="Times New Roman"/>
                <w:sz w:val="18"/>
              </w:rPr>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2）商誉减值准备" w:id="318"/>
      <w:bookmarkEnd w:id="318"/>
      <w:r>
        <w:rPr>
          <w:b w:val="0"/>
          <w:bCs w:val="0"/>
        </w:rPr>
      </w:r>
      <w:r>
        <w:rPr/>
        <w:t>（</w:t>
      </w:r>
      <w:r>
        <w:rPr>
          <w:rFonts w:ascii="Times New Roman" w:hAnsi="Times New Roman" w:cs="Times New Roman" w:eastAsia="Times New Roman" w:hint="default"/>
        </w:rPr>
        <w:t>2</w:t>
      </w:r>
      <w:r>
        <w:rPr/>
        <w:t>）商誉减值准备</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68"/>
        <w:gridCol w:w="1165"/>
        <w:gridCol w:w="1368"/>
        <w:gridCol w:w="1366"/>
        <w:gridCol w:w="1368"/>
        <w:gridCol w:w="1368"/>
        <w:gridCol w:w="1366"/>
      </w:tblGrid>
      <w:tr>
        <w:trPr>
          <w:trHeight w:val="206" w:hRule="exact"/>
        </w:trPr>
        <w:tc>
          <w:tcPr>
            <w:tcW w:w="1568"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94"/>
              <w:ind w:left="156" w:right="53" w:hanging="92"/>
              <w:jc w:val="left"/>
              <w:rPr>
                <w:rFonts w:ascii="宋体" w:hAnsi="宋体" w:cs="宋体" w:eastAsia="宋体" w:hint="default"/>
                <w:sz w:val="18"/>
                <w:szCs w:val="18"/>
              </w:rPr>
            </w:pPr>
            <w:r>
              <w:rPr>
                <w:rFonts w:ascii="宋体" w:hAnsi="宋体" w:cs="宋体" w:eastAsia="宋体" w:hint="default"/>
                <w:sz w:val="18"/>
                <w:szCs w:val="18"/>
              </w:rPr>
              <w:t>被投资单位名称或 形成商誉的事项</w:t>
            </w:r>
          </w:p>
        </w:tc>
        <w:tc>
          <w:tcPr>
            <w:tcW w:w="1165" w:type="dxa"/>
            <w:tcBorders>
              <w:top w:val="single" w:sz="4" w:space="0" w:color="000000"/>
              <w:left w:val="single" w:sz="4" w:space="0" w:color="000000"/>
              <w:bottom w:val="nil" w:sz="6" w:space="0" w:color="auto"/>
              <w:right w:val="single" w:sz="4" w:space="0" w:color="000000"/>
            </w:tcBorders>
            <w:shd w:val="clear" w:color="auto" w:fill="D4D4D4"/>
          </w:tcPr>
          <w:p>
            <w:pPr/>
          </w:p>
        </w:tc>
        <w:tc>
          <w:tcPr>
            <w:tcW w:w="2734"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6"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6"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2" w:hRule="exact"/>
        </w:trPr>
        <w:tc>
          <w:tcPr>
            <w:tcW w:w="1568" w:type="dxa"/>
            <w:vMerge/>
            <w:tcBorders>
              <w:left w:val="single" w:sz="4" w:space="0" w:color="000000"/>
              <w:right w:val="single" w:sz="4" w:space="0" w:color="000000"/>
            </w:tcBorders>
            <w:shd w:val="clear" w:color="auto" w:fill="D4D4D4"/>
          </w:tcPr>
          <w:p>
            <w:pPr/>
          </w:p>
        </w:tc>
        <w:tc>
          <w:tcPr>
            <w:tcW w:w="1165"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22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vMerge/>
            <w:tcBorders>
              <w:left w:val="single" w:sz="4" w:space="0" w:color="000000"/>
              <w:bottom w:val="single" w:sz="4" w:space="0" w:color="000000"/>
              <w:right w:val="single" w:sz="4" w:space="0" w:color="000000"/>
            </w:tcBorders>
            <w:shd w:val="clear" w:color="auto" w:fill="D4D4D4"/>
          </w:tcPr>
          <w:p>
            <w:pPr/>
          </w:p>
        </w:tc>
        <w:tc>
          <w:tcPr>
            <w:tcW w:w="2736" w:type="dxa"/>
            <w:gridSpan w:val="2"/>
            <w:vMerge/>
            <w:tcBorders>
              <w:left w:val="single" w:sz="4" w:space="0" w:color="000000"/>
              <w:bottom w:val="single" w:sz="4" w:space="0" w:color="000000"/>
              <w:right w:val="single" w:sz="4" w:space="0" w:color="000000"/>
            </w:tcBorders>
            <w:shd w:val="clear" w:color="auto" w:fill="D4D4D4"/>
          </w:tcPr>
          <w:p>
            <w:pPr/>
          </w:p>
        </w:tc>
        <w:tc>
          <w:tcPr>
            <w:tcW w:w="1366" w:type="dxa"/>
            <w:vMerge/>
            <w:tcBorders>
              <w:left w:val="single" w:sz="4" w:space="0" w:color="000000"/>
              <w:right w:val="single" w:sz="4" w:space="0" w:color="000000"/>
            </w:tcBorders>
            <w:shd w:val="clear" w:color="auto" w:fill="D4D4D4"/>
          </w:tcPr>
          <w:p>
            <w:pPr/>
          </w:p>
        </w:tc>
      </w:tr>
      <w:tr>
        <w:trPr>
          <w:trHeight w:val="199" w:hRule="exact"/>
        </w:trPr>
        <w:tc>
          <w:tcPr>
            <w:tcW w:w="1568" w:type="dxa"/>
            <w:vMerge/>
            <w:tcBorders>
              <w:left w:val="single" w:sz="4" w:space="0" w:color="000000"/>
              <w:right w:val="single" w:sz="4" w:space="0" w:color="000000"/>
            </w:tcBorders>
            <w:shd w:val="clear" w:color="auto" w:fill="D4D4D4"/>
          </w:tcPr>
          <w:p>
            <w:pPr/>
          </w:p>
        </w:tc>
        <w:tc>
          <w:tcPr>
            <w:tcW w:w="1165" w:type="dxa"/>
            <w:vMerge/>
            <w:tcBorders>
              <w:left w:val="single" w:sz="4" w:space="0" w:color="000000"/>
              <w:bottom w:val="nil" w:sz="6" w:space="0" w:color="auto"/>
              <w:right w:val="single" w:sz="4" w:space="0" w:color="000000"/>
            </w:tcBorders>
            <w:shd w:val="clear" w:color="auto" w:fill="D4D4D4"/>
          </w:tcPr>
          <w:p>
            <w:pPr/>
          </w:p>
        </w:tc>
        <w:tc>
          <w:tcPr>
            <w:tcW w:w="1368"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66" w:type="dxa"/>
            <w:vMerge w:val="restart"/>
            <w:tcBorders>
              <w:top w:val="single" w:sz="4" w:space="0" w:color="000000"/>
              <w:left w:val="single" w:sz="4" w:space="0" w:color="000000"/>
              <w:right w:val="single" w:sz="4" w:space="0" w:color="000000"/>
            </w:tcBorders>
            <w:shd w:val="clear" w:color="auto" w:fill="D4D4D4"/>
          </w:tcPr>
          <w:p>
            <w:pPr/>
          </w:p>
        </w:tc>
        <w:tc>
          <w:tcPr>
            <w:tcW w:w="1368"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处置</w:t>
            </w:r>
          </w:p>
        </w:tc>
        <w:tc>
          <w:tcPr>
            <w:tcW w:w="1368" w:type="dxa"/>
            <w:vMerge w:val="restart"/>
            <w:tcBorders>
              <w:top w:val="single" w:sz="4" w:space="0" w:color="000000"/>
              <w:left w:val="single" w:sz="4" w:space="0" w:color="000000"/>
              <w:right w:val="single" w:sz="4" w:space="0" w:color="000000"/>
            </w:tcBorders>
            <w:shd w:val="clear" w:color="auto" w:fill="D4D4D4"/>
          </w:tcPr>
          <w:p>
            <w:pPr/>
          </w:p>
        </w:tc>
        <w:tc>
          <w:tcPr>
            <w:tcW w:w="1366" w:type="dxa"/>
            <w:vMerge/>
            <w:tcBorders>
              <w:left w:val="single" w:sz="4" w:space="0" w:color="000000"/>
              <w:right w:val="single" w:sz="4" w:space="0" w:color="000000"/>
            </w:tcBorders>
            <w:shd w:val="clear" w:color="auto" w:fill="D4D4D4"/>
          </w:tcPr>
          <w:p>
            <w:pPr/>
          </w:p>
        </w:tc>
      </w:tr>
      <w:tr>
        <w:trPr>
          <w:trHeight w:val="206" w:hRule="exact"/>
        </w:trPr>
        <w:tc>
          <w:tcPr>
            <w:tcW w:w="1568" w:type="dxa"/>
            <w:vMerge/>
            <w:tcBorders>
              <w:left w:val="single" w:sz="4" w:space="0" w:color="000000"/>
              <w:bottom w:val="single" w:sz="4" w:space="0" w:color="000000"/>
              <w:right w:val="single" w:sz="4" w:space="0" w:color="000000"/>
            </w:tcBorders>
            <w:shd w:val="clear" w:color="auto" w:fill="D4D4D4"/>
          </w:tcPr>
          <w:p>
            <w:pPr/>
          </w:p>
        </w:tc>
        <w:tc>
          <w:tcPr>
            <w:tcW w:w="1165" w:type="dxa"/>
            <w:tcBorders>
              <w:top w:val="nil" w:sz="6" w:space="0" w:color="auto"/>
              <w:left w:val="single" w:sz="4" w:space="0" w:color="000000"/>
              <w:bottom w:val="single" w:sz="4" w:space="0" w:color="000000"/>
              <w:right w:val="single" w:sz="4" w:space="0" w:color="000000"/>
            </w:tcBorders>
            <w:shd w:val="clear" w:color="auto" w:fill="D4D4D4"/>
          </w:tcPr>
          <w:p>
            <w:pPr/>
          </w:p>
        </w:tc>
        <w:tc>
          <w:tcPr>
            <w:tcW w:w="1368" w:type="dxa"/>
            <w:vMerge/>
            <w:tcBorders>
              <w:left w:val="single" w:sz="4" w:space="0" w:color="000000"/>
              <w:bottom w:val="single" w:sz="4" w:space="0" w:color="000000"/>
              <w:right w:val="single" w:sz="4" w:space="0" w:color="000000"/>
            </w:tcBorders>
            <w:shd w:val="clear" w:color="auto" w:fill="D4D4D4"/>
          </w:tcPr>
          <w:p>
            <w:pPr/>
          </w:p>
        </w:tc>
        <w:tc>
          <w:tcPr>
            <w:tcW w:w="1366" w:type="dxa"/>
            <w:vMerge/>
            <w:tcBorders>
              <w:left w:val="single" w:sz="4" w:space="0" w:color="000000"/>
              <w:bottom w:val="single" w:sz="4" w:space="0" w:color="000000"/>
              <w:right w:val="single" w:sz="4" w:space="0" w:color="000000"/>
            </w:tcBorders>
            <w:shd w:val="clear" w:color="auto" w:fill="D4D4D4"/>
          </w:tcPr>
          <w:p>
            <w:pPr/>
          </w:p>
        </w:tc>
        <w:tc>
          <w:tcPr>
            <w:tcW w:w="1368" w:type="dxa"/>
            <w:vMerge/>
            <w:tcBorders>
              <w:left w:val="single" w:sz="4" w:space="0" w:color="000000"/>
              <w:bottom w:val="single" w:sz="4" w:space="0" w:color="000000"/>
              <w:right w:val="single" w:sz="4" w:space="0" w:color="000000"/>
            </w:tcBorders>
            <w:shd w:val="clear" w:color="auto" w:fill="D4D4D4"/>
          </w:tcPr>
          <w:p>
            <w:pPr/>
          </w:p>
        </w:tc>
        <w:tc>
          <w:tcPr>
            <w:tcW w:w="1368" w:type="dxa"/>
            <w:vMerge/>
            <w:tcBorders>
              <w:left w:val="single" w:sz="4" w:space="0" w:color="000000"/>
              <w:bottom w:val="single" w:sz="4" w:space="0" w:color="000000"/>
              <w:right w:val="single" w:sz="4" w:space="0" w:color="000000"/>
            </w:tcBorders>
            <w:shd w:val="clear" w:color="auto" w:fill="D4D4D4"/>
          </w:tcPr>
          <w:p>
            <w:pPr/>
          </w:p>
        </w:tc>
        <w:tc>
          <w:tcPr>
            <w:tcW w:w="1366" w:type="dxa"/>
            <w:vMerge/>
            <w:tcBorders>
              <w:left w:val="single" w:sz="4" w:space="0" w:color="000000"/>
              <w:bottom w:val="single" w:sz="4" w:space="0" w:color="000000"/>
              <w:right w:val="single" w:sz="4" w:space="0" w:color="000000"/>
            </w:tcBorders>
            <w:shd w:val="clear" w:color="auto" w:fill="D4D4D4"/>
          </w:tcPr>
          <w:p>
            <w:pPr/>
          </w:p>
        </w:tc>
      </w:tr>
      <w:tr>
        <w:trPr>
          <w:trHeight w:val="403" w:hRule="exact"/>
        </w:trPr>
        <w:tc>
          <w:tcPr>
            <w:tcW w:w="15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武汉大千</w:t>
            </w:r>
          </w:p>
        </w:tc>
        <w:tc>
          <w:tcPr>
            <w:tcW w:w="1165"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23,426,464.98</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23,426,464.98</w:t>
            </w:r>
          </w:p>
        </w:tc>
      </w:tr>
      <w:tr>
        <w:trPr>
          <w:trHeight w:val="401" w:hRule="exact"/>
        </w:trPr>
        <w:tc>
          <w:tcPr>
            <w:tcW w:w="15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165"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23,426,464.98</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23,426,464.98</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商誉所在资产组或资产组组合的相关信息</w:t>
      </w:r>
    </w:p>
    <w:p>
      <w:pPr>
        <w:spacing w:line="240" w:lineRule="auto" w:before="3"/>
        <w:rPr>
          <w:rFonts w:ascii="宋体" w:hAnsi="宋体" w:cs="宋体" w:eastAsia="宋体" w:hint="default"/>
          <w:sz w:val="13"/>
          <w:szCs w:val="13"/>
        </w:rPr>
      </w:pPr>
    </w:p>
    <w:p>
      <w:pPr>
        <w:pStyle w:val="BodyText"/>
        <w:spacing w:line="408" w:lineRule="auto" w:before="0"/>
        <w:ind w:right="986" w:firstLine="420"/>
        <w:jc w:val="left"/>
      </w:pPr>
      <w:r>
        <w:rPr>
          <w:spacing w:val="-2"/>
        </w:rPr>
        <w:t>本公司收购武汉大千形成的商誉已全额计提减值，无需列入商誉减值测试范围。江苏税软的资产组为</w:t>
      </w:r>
      <w:r>
        <w:rPr>
          <w:w w:val="100"/>
        </w:rPr>
        <w:t> </w:t>
      </w:r>
      <w:r>
        <w:rPr>
          <w:spacing w:val="-5"/>
        </w:rPr>
        <w:t>流动资产、长期股权投资、固定资产、无形资产和相关负债；珠海新德汇的资产组为流动资产、固定资产、 </w:t>
      </w:r>
      <w:r>
        <w:rPr>
          <w:spacing w:val="-5"/>
        </w:rPr>
      </w:r>
      <w:r>
        <w:rPr/>
        <w:t>无形资产、开发支出、长期待摊费用和相关负债，资产组账面金额列示如下：</w:t>
      </w:r>
    </w:p>
    <w:tbl>
      <w:tblPr>
        <w:tblW w:w="0" w:type="auto"/>
        <w:jc w:val="left"/>
        <w:tblInd w:w="145" w:type="dxa"/>
        <w:tblLayout w:type="fixed"/>
        <w:tblCellMar>
          <w:top w:w="0" w:type="dxa"/>
          <w:left w:w="0" w:type="dxa"/>
          <w:bottom w:w="0" w:type="dxa"/>
          <w:right w:w="0" w:type="dxa"/>
        </w:tblCellMar>
        <w:tblLook w:val="01E0"/>
      </w:tblPr>
      <w:tblGrid>
        <w:gridCol w:w="1514"/>
        <w:gridCol w:w="2105"/>
        <w:gridCol w:w="1723"/>
        <w:gridCol w:w="2033"/>
        <w:gridCol w:w="2479"/>
      </w:tblGrid>
      <w:tr>
        <w:trPr>
          <w:trHeight w:val="346" w:hRule="exact"/>
        </w:trPr>
        <w:tc>
          <w:tcPr>
            <w:tcW w:w="1514" w:type="dxa"/>
            <w:vMerge w:val="restart"/>
            <w:tcBorders>
              <w:top w:val="single" w:sz="6" w:space="0" w:color="000000"/>
              <w:left w:val="single" w:sz="6" w:space="0" w:color="000000"/>
              <w:right w:val="single" w:sz="6" w:space="0" w:color="000000"/>
            </w:tcBorders>
          </w:tcPr>
          <w:p>
            <w:pPr>
              <w:pStyle w:val="TableParagraph"/>
              <w:spacing w:line="235" w:lineRule="exact"/>
              <w:ind w:left="499" w:right="0"/>
              <w:jc w:val="left"/>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54"/>
                <w:sz w:val="18"/>
                <w:szCs w:val="18"/>
              </w:rPr>
              <w:t> </w:t>
            </w:r>
            <w:r>
              <w:rPr>
                <w:rFonts w:ascii="宋体" w:hAnsi="宋体" w:cs="宋体" w:eastAsia="宋体" w:hint="default"/>
                <w:sz w:val="18"/>
                <w:szCs w:val="18"/>
              </w:rPr>
              <w:t>目</w:t>
            </w:r>
          </w:p>
        </w:tc>
        <w:tc>
          <w:tcPr>
            <w:tcW w:w="3828" w:type="dxa"/>
            <w:gridSpan w:val="2"/>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江苏税软</w:t>
            </w:r>
          </w:p>
        </w:tc>
        <w:tc>
          <w:tcPr>
            <w:tcW w:w="4512" w:type="dxa"/>
            <w:gridSpan w:val="2"/>
            <w:tcBorders>
              <w:top w:val="single" w:sz="6" w:space="0" w:color="000000"/>
              <w:left w:val="single" w:sz="6" w:space="0" w:color="000000"/>
              <w:bottom w:val="single" w:sz="6" w:space="0" w:color="000000"/>
              <w:right w:val="single" w:sz="6" w:space="0" w:color="000000"/>
            </w:tcBorders>
          </w:tcPr>
          <w:p>
            <w:pPr>
              <w:pStyle w:val="TableParagraph"/>
              <w:spacing w:line="235" w:lineRule="exact"/>
              <w:ind w:left="2" w:right="0"/>
              <w:jc w:val="center"/>
              <w:rPr>
                <w:rFonts w:ascii="宋体" w:hAnsi="宋体" w:cs="宋体" w:eastAsia="宋体" w:hint="default"/>
                <w:sz w:val="18"/>
                <w:szCs w:val="18"/>
              </w:rPr>
            </w:pPr>
            <w:r>
              <w:rPr>
                <w:rFonts w:ascii="宋体" w:hAnsi="宋体" w:cs="宋体" w:eastAsia="宋体" w:hint="default"/>
                <w:sz w:val="18"/>
                <w:szCs w:val="18"/>
              </w:rPr>
              <w:t>珠海新德汇</w:t>
            </w:r>
          </w:p>
        </w:tc>
      </w:tr>
      <w:tr>
        <w:trPr>
          <w:trHeight w:val="348" w:hRule="exact"/>
        </w:trPr>
        <w:tc>
          <w:tcPr>
            <w:tcW w:w="1514" w:type="dxa"/>
            <w:vMerge/>
            <w:tcBorders>
              <w:left w:val="single" w:sz="6" w:space="0" w:color="000000"/>
              <w:bottom w:val="single" w:sz="6" w:space="0" w:color="000000"/>
              <w:right w:val="single" w:sz="6" w:space="0" w:color="000000"/>
            </w:tcBorders>
          </w:tcPr>
          <w:p>
            <w:pPr/>
          </w:p>
        </w:tc>
        <w:tc>
          <w:tcPr>
            <w:tcW w:w="21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left="683" w:right="0"/>
              <w:jc w:val="left"/>
              <w:rPr>
                <w:rFonts w:ascii="宋体" w:hAnsi="宋体" w:cs="宋体" w:eastAsia="宋体" w:hint="default"/>
                <w:sz w:val="18"/>
                <w:szCs w:val="18"/>
              </w:rPr>
            </w:pPr>
            <w:r>
              <w:rPr>
                <w:rFonts w:ascii="宋体" w:hAnsi="宋体" w:cs="宋体" w:eastAsia="宋体" w:hint="default"/>
                <w:sz w:val="18"/>
                <w:szCs w:val="18"/>
              </w:rPr>
              <w:t>账面金额</w:t>
            </w:r>
          </w:p>
        </w:tc>
        <w:tc>
          <w:tcPr>
            <w:tcW w:w="17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41"/>
              <w:jc w:val="right"/>
              <w:rPr>
                <w:rFonts w:ascii="宋体" w:hAnsi="宋体" w:cs="宋体" w:eastAsia="宋体" w:hint="default"/>
                <w:sz w:val="18"/>
                <w:szCs w:val="18"/>
              </w:rPr>
            </w:pPr>
            <w:r>
              <w:rPr>
                <w:rFonts w:ascii="宋体" w:hAnsi="宋体" w:cs="宋体" w:eastAsia="宋体" w:hint="default"/>
                <w:sz w:val="18"/>
                <w:szCs w:val="18"/>
              </w:rPr>
              <w:t>商誉对应资产组价值</w:t>
            </w:r>
          </w:p>
        </w:tc>
        <w:tc>
          <w:tcPr>
            <w:tcW w:w="20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left="650" w:right="0"/>
              <w:jc w:val="left"/>
              <w:rPr>
                <w:rFonts w:ascii="宋体" w:hAnsi="宋体" w:cs="宋体" w:eastAsia="宋体" w:hint="default"/>
                <w:sz w:val="18"/>
                <w:szCs w:val="18"/>
              </w:rPr>
            </w:pPr>
            <w:r>
              <w:rPr>
                <w:rFonts w:ascii="宋体" w:hAnsi="宋体" w:cs="宋体" w:eastAsia="宋体" w:hint="default"/>
                <w:sz w:val="18"/>
                <w:szCs w:val="18"/>
              </w:rPr>
              <w:t>账面金额</w:t>
            </w:r>
          </w:p>
        </w:tc>
        <w:tc>
          <w:tcPr>
            <w:tcW w:w="24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left="422" w:right="0"/>
              <w:jc w:val="left"/>
              <w:rPr>
                <w:rFonts w:ascii="宋体" w:hAnsi="宋体" w:cs="宋体" w:eastAsia="宋体" w:hint="default"/>
                <w:sz w:val="18"/>
                <w:szCs w:val="18"/>
              </w:rPr>
            </w:pPr>
            <w:r>
              <w:rPr>
                <w:rFonts w:ascii="宋体" w:hAnsi="宋体" w:cs="宋体" w:eastAsia="宋体" w:hint="default"/>
                <w:sz w:val="18"/>
                <w:szCs w:val="18"/>
              </w:rPr>
              <w:t>商誉对应资产组价值</w:t>
            </w:r>
          </w:p>
        </w:tc>
      </w:tr>
      <w:tr>
        <w:trPr>
          <w:trHeight w:val="346" w:hRule="exact"/>
        </w:trPr>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left="4"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1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1"/>
              <w:jc w:val="right"/>
              <w:rPr>
                <w:rFonts w:ascii="Times New Roman" w:hAnsi="Times New Roman" w:cs="Times New Roman" w:eastAsia="Times New Roman" w:hint="default"/>
                <w:sz w:val="18"/>
                <w:szCs w:val="18"/>
              </w:rPr>
            </w:pPr>
            <w:r>
              <w:rPr>
                <w:rFonts w:ascii="Times New Roman"/>
                <w:spacing w:val="-1"/>
                <w:sz w:val="18"/>
              </w:rPr>
              <w:t>216,593,133.60</w:t>
            </w:r>
            <w:r>
              <w:rPr>
                <w:rFonts w:ascii="Times New Roman"/>
                <w:sz w:val="18"/>
              </w:rPr>
            </w:r>
          </w:p>
        </w:tc>
        <w:tc>
          <w:tcPr>
            <w:tcW w:w="17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3"/>
              <w:jc w:val="right"/>
              <w:rPr>
                <w:rFonts w:ascii="Times New Roman" w:hAnsi="Times New Roman" w:cs="Times New Roman" w:eastAsia="Times New Roman" w:hint="default"/>
                <w:sz w:val="18"/>
                <w:szCs w:val="18"/>
              </w:rPr>
            </w:pPr>
            <w:r>
              <w:rPr>
                <w:rFonts w:ascii="Times New Roman"/>
                <w:spacing w:val="-1"/>
                <w:sz w:val="18"/>
              </w:rPr>
              <w:t>121,599,653.50</w:t>
            </w:r>
            <w:r>
              <w:rPr>
                <w:rFonts w:ascii="Times New Roman"/>
                <w:sz w:val="18"/>
              </w:rPr>
            </w:r>
          </w:p>
        </w:tc>
        <w:tc>
          <w:tcPr>
            <w:tcW w:w="20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1"/>
              <w:jc w:val="right"/>
              <w:rPr>
                <w:rFonts w:ascii="Times New Roman" w:hAnsi="Times New Roman" w:cs="Times New Roman" w:eastAsia="Times New Roman" w:hint="default"/>
                <w:sz w:val="18"/>
                <w:szCs w:val="18"/>
              </w:rPr>
            </w:pPr>
            <w:r>
              <w:rPr>
                <w:rFonts w:ascii="Times New Roman"/>
                <w:spacing w:val="-1"/>
                <w:sz w:val="18"/>
              </w:rPr>
              <w:t>615,225,426.47</w:t>
            </w:r>
            <w:r>
              <w:rPr>
                <w:rFonts w:ascii="Times New Roman"/>
                <w:sz w:val="18"/>
              </w:rPr>
            </w:r>
          </w:p>
        </w:tc>
        <w:tc>
          <w:tcPr>
            <w:tcW w:w="24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0"/>
              <w:jc w:val="right"/>
              <w:rPr>
                <w:rFonts w:ascii="Times New Roman" w:hAnsi="Times New Roman" w:cs="Times New Roman" w:eastAsia="Times New Roman" w:hint="default"/>
                <w:sz w:val="20"/>
                <w:szCs w:val="20"/>
              </w:rPr>
            </w:pPr>
            <w:r>
              <w:rPr>
                <w:rFonts w:ascii="Times New Roman"/>
                <w:w w:val="95"/>
                <w:sz w:val="20"/>
              </w:rPr>
              <w:t>502,222,573.51</w:t>
            </w:r>
            <w:r>
              <w:rPr>
                <w:rFonts w:ascii="Times New Roman"/>
                <w:sz w:val="20"/>
              </w:rPr>
            </w:r>
          </w:p>
        </w:tc>
      </w:tr>
      <w:tr>
        <w:trPr>
          <w:trHeight w:val="348" w:hRule="exact"/>
        </w:trPr>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left="4"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21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Times New Roman" w:hAnsi="Times New Roman" w:cs="Times New Roman" w:eastAsia="Times New Roman" w:hint="default"/>
                <w:sz w:val="18"/>
                <w:szCs w:val="18"/>
              </w:rPr>
            </w:pPr>
            <w:r>
              <w:rPr>
                <w:rFonts w:ascii="Times New Roman"/>
                <w:spacing w:val="-1"/>
                <w:sz w:val="18"/>
              </w:rPr>
              <w:t>4,250,000.00</w:t>
            </w:r>
            <w:r>
              <w:rPr>
                <w:rFonts w:ascii="Times New Roman"/>
                <w:sz w:val="18"/>
              </w:rPr>
            </w:r>
          </w:p>
        </w:tc>
        <w:tc>
          <w:tcPr>
            <w:tcW w:w="17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3"/>
              <w:jc w:val="right"/>
              <w:rPr>
                <w:rFonts w:ascii="Times New Roman" w:hAnsi="Times New Roman" w:cs="Times New Roman" w:eastAsia="Times New Roman" w:hint="default"/>
                <w:sz w:val="18"/>
                <w:szCs w:val="18"/>
              </w:rPr>
            </w:pPr>
            <w:r>
              <w:rPr>
                <w:rFonts w:ascii="Times New Roman"/>
                <w:spacing w:val="-1"/>
                <w:sz w:val="18"/>
              </w:rPr>
              <w:t>4,250,000.00</w:t>
            </w:r>
            <w:r>
              <w:rPr>
                <w:rFonts w:ascii="Times New Roman"/>
                <w:sz w:val="18"/>
              </w:rPr>
            </w:r>
          </w:p>
        </w:tc>
        <w:tc>
          <w:tcPr>
            <w:tcW w:w="2033" w:type="dxa"/>
            <w:tcBorders>
              <w:top w:val="single" w:sz="6" w:space="0" w:color="000000"/>
              <w:left w:val="single" w:sz="6" w:space="0" w:color="000000"/>
              <w:bottom w:val="single" w:sz="6" w:space="0" w:color="000000"/>
              <w:right w:val="single" w:sz="6" w:space="0" w:color="000000"/>
            </w:tcBorders>
          </w:tcPr>
          <w:p>
            <w:pPr/>
          </w:p>
        </w:tc>
        <w:tc>
          <w:tcPr>
            <w:tcW w:w="2479" w:type="dxa"/>
            <w:tcBorders>
              <w:top w:val="single" w:sz="6" w:space="0" w:color="000000"/>
              <w:left w:val="single" w:sz="6" w:space="0" w:color="000000"/>
              <w:bottom w:val="single" w:sz="6" w:space="0" w:color="000000"/>
              <w:right w:val="single" w:sz="6" w:space="0" w:color="000000"/>
            </w:tcBorders>
          </w:tcPr>
          <w:p>
            <w:pPr/>
          </w:p>
        </w:tc>
      </w:tr>
      <w:tr>
        <w:trPr>
          <w:trHeight w:val="348" w:hRule="exact"/>
        </w:trPr>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left="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1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right"/>
              <w:rPr>
                <w:rFonts w:ascii="Times New Roman" w:hAnsi="Times New Roman" w:cs="Times New Roman" w:eastAsia="Times New Roman" w:hint="default"/>
                <w:sz w:val="18"/>
                <w:szCs w:val="18"/>
              </w:rPr>
            </w:pPr>
            <w:r>
              <w:rPr>
                <w:rFonts w:ascii="Times New Roman"/>
                <w:spacing w:val="-1"/>
                <w:sz w:val="18"/>
              </w:rPr>
              <w:t>39,661,009.67</w:t>
            </w:r>
          </w:p>
        </w:tc>
        <w:tc>
          <w:tcPr>
            <w:tcW w:w="17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3"/>
              <w:jc w:val="right"/>
              <w:rPr>
                <w:rFonts w:ascii="Times New Roman" w:hAnsi="Times New Roman" w:cs="Times New Roman" w:eastAsia="Times New Roman" w:hint="default"/>
                <w:sz w:val="18"/>
                <w:szCs w:val="18"/>
              </w:rPr>
            </w:pPr>
            <w:r>
              <w:rPr>
                <w:rFonts w:ascii="Times New Roman"/>
                <w:spacing w:val="-1"/>
                <w:sz w:val="18"/>
              </w:rPr>
              <w:t>2,450,784.27</w:t>
            </w:r>
            <w:r>
              <w:rPr>
                <w:rFonts w:ascii="Times New Roman"/>
                <w:sz w:val="18"/>
              </w:rPr>
            </w:r>
          </w:p>
        </w:tc>
        <w:tc>
          <w:tcPr>
            <w:tcW w:w="20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1"/>
              <w:jc w:val="right"/>
              <w:rPr>
                <w:rFonts w:ascii="Times New Roman" w:hAnsi="Times New Roman" w:cs="Times New Roman" w:eastAsia="Times New Roman" w:hint="default"/>
                <w:sz w:val="18"/>
                <w:szCs w:val="18"/>
              </w:rPr>
            </w:pPr>
            <w:r>
              <w:rPr>
                <w:rFonts w:ascii="Times New Roman"/>
                <w:spacing w:val="-1"/>
                <w:sz w:val="18"/>
              </w:rPr>
              <w:t>1,665,538.81</w:t>
            </w:r>
            <w:r>
              <w:rPr>
                <w:rFonts w:ascii="Times New Roman"/>
                <w:sz w:val="18"/>
              </w:rPr>
            </w:r>
          </w:p>
        </w:tc>
        <w:tc>
          <w:tcPr>
            <w:tcW w:w="24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1"/>
              <w:jc w:val="right"/>
              <w:rPr>
                <w:rFonts w:ascii="Times New Roman" w:hAnsi="Times New Roman" w:cs="Times New Roman" w:eastAsia="Times New Roman" w:hint="default"/>
                <w:sz w:val="18"/>
                <w:szCs w:val="18"/>
              </w:rPr>
            </w:pPr>
            <w:r>
              <w:rPr>
                <w:rFonts w:ascii="Times New Roman"/>
                <w:spacing w:val="-1"/>
                <w:sz w:val="18"/>
              </w:rPr>
              <w:t>1,665,538.81</w:t>
            </w:r>
            <w:r>
              <w:rPr>
                <w:rFonts w:ascii="Times New Roman"/>
                <w:sz w:val="18"/>
              </w:rPr>
            </w:r>
          </w:p>
        </w:tc>
      </w:tr>
      <w:tr>
        <w:trPr>
          <w:trHeight w:val="346" w:hRule="exact"/>
        </w:trPr>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left="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1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1"/>
              <w:jc w:val="right"/>
              <w:rPr>
                <w:rFonts w:ascii="Times New Roman" w:hAnsi="Times New Roman" w:cs="Times New Roman" w:eastAsia="Times New Roman" w:hint="default"/>
                <w:sz w:val="18"/>
                <w:szCs w:val="18"/>
              </w:rPr>
            </w:pPr>
            <w:r>
              <w:rPr>
                <w:rFonts w:ascii="Times New Roman"/>
                <w:sz w:val="18"/>
              </w:rPr>
              <w:t>246,882.08</w:t>
            </w:r>
          </w:p>
        </w:tc>
        <w:tc>
          <w:tcPr>
            <w:tcW w:w="1723" w:type="dxa"/>
            <w:tcBorders>
              <w:top w:val="single" w:sz="6" w:space="0" w:color="000000"/>
              <w:left w:val="single" w:sz="6" w:space="0" w:color="000000"/>
              <w:bottom w:val="single" w:sz="6" w:space="0" w:color="000000"/>
              <w:right w:val="single" w:sz="6" w:space="0" w:color="000000"/>
            </w:tcBorders>
          </w:tcPr>
          <w:p>
            <w:pPr/>
          </w:p>
        </w:tc>
        <w:tc>
          <w:tcPr>
            <w:tcW w:w="2033" w:type="dxa"/>
            <w:tcBorders>
              <w:top w:val="single" w:sz="6" w:space="0" w:color="000000"/>
              <w:left w:val="single" w:sz="6" w:space="0" w:color="000000"/>
              <w:bottom w:val="single" w:sz="6" w:space="0" w:color="000000"/>
              <w:right w:val="single" w:sz="6" w:space="0" w:color="000000"/>
            </w:tcBorders>
          </w:tcPr>
          <w:p>
            <w:pPr/>
          </w:p>
        </w:tc>
        <w:tc>
          <w:tcPr>
            <w:tcW w:w="2479" w:type="dxa"/>
            <w:tcBorders>
              <w:top w:val="single" w:sz="6" w:space="0" w:color="000000"/>
              <w:left w:val="single" w:sz="6" w:space="0" w:color="000000"/>
              <w:bottom w:val="single" w:sz="6" w:space="0" w:color="000000"/>
              <w:right w:val="single" w:sz="6" w:space="0" w:color="000000"/>
            </w:tcBorders>
          </w:tcPr>
          <w:p>
            <w:pPr/>
          </w:p>
        </w:tc>
      </w:tr>
      <w:tr>
        <w:trPr>
          <w:trHeight w:val="348" w:hRule="exact"/>
        </w:trPr>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left="4"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1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right"/>
              <w:rPr>
                <w:rFonts w:ascii="Times New Roman" w:hAnsi="Times New Roman" w:cs="Times New Roman" w:eastAsia="Times New Roman" w:hint="default"/>
                <w:sz w:val="18"/>
                <w:szCs w:val="18"/>
              </w:rPr>
            </w:pPr>
            <w:r>
              <w:rPr>
                <w:rFonts w:ascii="Times New Roman"/>
                <w:spacing w:val="-1"/>
                <w:sz w:val="18"/>
              </w:rPr>
              <w:t>74,840.82</w:t>
            </w:r>
          </w:p>
        </w:tc>
        <w:tc>
          <w:tcPr>
            <w:tcW w:w="17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2"/>
              <w:jc w:val="right"/>
              <w:rPr>
                <w:rFonts w:ascii="Times New Roman" w:hAnsi="Times New Roman" w:cs="Times New Roman" w:eastAsia="Times New Roman" w:hint="default"/>
                <w:sz w:val="18"/>
                <w:szCs w:val="18"/>
              </w:rPr>
            </w:pPr>
            <w:r>
              <w:rPr>
                <w:rFonts w:ascii="Times New Roman"/>
                <w:spacing w:val="-1"/>
                <w:sz w:val="18"/>
              </w:rPr>
              <w:t>74,840.82</w:t>
            </w:r>
          </w:p>
        </w:tc>
        <w:tc>
          <w:tcPr>
            <w:tcW w:w="20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right"/>
              <w:rPr>
                <w:rFonts w:ascii="Times New Roman" w:hAnsi="Times New Roman" w:cs="Times New Roman" w:eastAsia="Times New Roman" w:hint="default"/>
                <w:sz w:val="18"/>
                <w:szCs w:val="18"/>
              </w:rPr>
            </w:pPr>
            <w:r>
              <w:rPr>
                <w:rFonts w:ascii="Times New Roman"/>
                <w:spacing w:val="-1"/>
                <w:sz w:val="18"/>
              </w:rPr>
              <w:t>17,105,262.35</w:t>
            </w:r>
          </w:p>
        </w:tc>
        <w:tc>
          <w:tcPr>
            <w:tcW w:w="24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right"/>
              <w:rPr>
                <w:rFonts w:ascii="Times New Roman" w:hAnsi="Times New Roman" w:cs="Times New Roman" w:eastAsia="Times New Roman" w:hint="default"/>
                <w:sz w:val="18"/>
                <w:szCs w:val="18"/>
              </w:rPr>
            </w:pPr>
            <w:r>
              <w:rPr>
                <w:rFonts w:ascii="Times New Roman"/>
                <w:spacing w:val="-1"/>
                <w:sz w:val="18"/>
              </w:rPr>
              <w:t>17,105,262.35</w:t>
            </w:r>
          </w:p>
        </w:tc>
      </w:tr>
      <w:tr>
        <w:trPr>
          <w:trHeight w:val="346" w:hRule="exact"/>
        </w:trPr>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left="4"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2105" w:type="dxa"/>
            <w:tcBorders>
              <w:top w:val="single" w:sz="6" w:space="0" w:color="000000"/>
              <w:left w:val="single" w:sz="6" w:space="0" w:color="000000"/>
              <w:bottom w:val="single" w:sz="6" w:space="0" w:color="000000"/>
              <w:right w:val="single" w:sz="6" w:space="0" w:color="000000"/>
            </w:tcBorders>
          </w:tcPr>
          <w:p>
            <w:pPr/>
          </w:p>
        </w:tc>
        <w:tc>
          <w:tcPr>
            <w:tcW w:w="1723" w:type="dxa"/>
            <w:tcBorders>
              <w:top w:val="single" w:sz="6" w:space="0" w:color="000000"/>
              <w:left w:val="single" w:sz="6" w:space="0" w:color="000000"/>
              <w:bottom w:val="single" w:sz="6" w:space="0" w:color="000000"/>
              <w:right w:val="single" w:sz="6" w:space="0" w:color="000000"/>
            </w:tcBorders>
          </w:tcPr>
          <w:p>
            <w:pPr/>
          </w:p>
        </w:tc>
        <w:tc>
          <w:tcPr>
            <w:tcW w:w="20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1"/>
              <w:jc w:val="right"/>
              <w:rPr>
                <w:rFonts w:ascii="Times New Roman" w:hAnsi="Times New Roman" w:cs="Times New Roman" w:eastAsia="Times New Roman" w:hint="default"/>
                <w:sz w:val="18"/>
                <w:szCs w:val="18"/>
              </w:rPr>
            </w:pPr>
            <w:r>
              <w:rPr>
                <w:rFonts w:ascii="Times New Roman"/>
                <w:spacing w:val="-1"/>
                <w:sz w:val="18"/>
              </w:rPr>
              <w:t>6,495,687.45</w:t>
            </w:r>
            <w:r>
              <w:rPr>
                <w:rFonts w:ascii="Times New Roman"/>
                <w:sz w:val="18"/>
              </w:rPr>
            </w:r>
          </w:p>
        </w:tc>
        <w:tc>
          <w:tcPr>
            <w:tcW w:w="24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1"/>
              <w:jc w:val="right"/>
              <w:rPr>
                <w:rFonts w:ascii="Times New Roman" w:hAnsi="Times New Roman" w:cs="Times New Roman" w:eastAsia="Times New Roman" w:hint="default"/>
                <w:sz w:val="18"/>
                <w:szCs w:val="18"/>
              </w:rPr>
            </w:pPr>
            <w:r>
              <w:rPr>
                <w:rFonts w:ascii="Times New Roman"/>
                <w:spacing w:val="-1"/>
                <w:sz w:val="18"/>
              </w:rPr>
              <w:t>6,495,687.45</w:t>
            </w:r>
            <w:r>
              <w:rPr>
                <w:rFonts w:ascii="Times New Roman"/>
                <w:sz w:val="18"/>
              </w:rPr>
            </w:r>
          </w:p>
        </w:tc>
      </w:tr>
      <w:tr>
        <w:trPr>
          <w:trHeight w:val="348" w:hRule="exact"/>
        </w:trPr>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left="4"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21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Times New Roman" w:hAnsi="Times New Roman" w:cs="Times New Roman" w:eastAsia="Times New Roman" w:hint="default"/>
                <w:sz w:val="18"/>
                <w:szCs w:val="18"/>
              </w:rPr>
            </w:pPr>
            <w:r>
              <w:rPr>
                <w:rFonts w:ascii="Times New Roman"/>
                <w:sz w:val="18"/>
              </w:rPr>
              <w:t>121,333.40</w:t>
            </w:r>
          </w:p>
        </w:tc>
        <w:tc>
          <w:tcPr>
            <w:tcW w:w="1723" w:type="dxa"/>
            <w:tcBorders>
              <w:top w:val="single" w:sz="6" w:space="0" w:color="000000"/>
              <w:left w:val="single" w:sz="6" w:space="0" w:color="000000"/>
              <w:bottom w:val="single" w:sz="6" w:space="0" w:color="000000"/>
              <w:right w:val="single" w:sz="6" w:space="0" w:color="000000"/>
            </w:tcBorders>
          </w:tcPr>
          <w:p>
            <w:pPr/>
          </w:p>
        </w:tc>
        <w:tc>
          <w:tcPr>
            <w:tcW w:w="20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Times New Roman" w:hAnsi="Times New Roman" w:cs="Times New Roman" w:eastAsia="Times New Roman" w:hint="default"/>
                <w:sz w:val="18"/>
                <w:szCs w:val="18"/>
              </w:rPr>
            </w:pPr>
            <w:r>
              <w:rPr>
                <w:rFonts w:ascii="Times New Roman"/>
                <w:spacing w:val="-1"/>
                <w:sz w:val="18"/>
              </w:rPr>
              <w:t>2,359,853.87</w:t>
            </w:r>
            <w:r>
              <w:rPr>
                <w:rFonts w:ascii="Times New Roman"/>
                <w:sz w:val="18"/>
              </w:rPr>
            </w:r>
          </w:p>
        </w:tc>
        <w:tc>
          <w:tcPr>
            <w:tcW w:w="24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Times New Roman" w:hAnsi="Times New Roman" w:cs="Times New Roman" w:eastAsia="Times New Roman" w:hint="default"/>
                <w:sz w:val="18"/>
                <w:szCs w:val="18"/>
              </w:rPr>
            </w:pPr>
            <w:r>
              <w:rPr>
                <w:rFonts w:ascii="Times New Roman"/>
                <w:spacing w:val="-1"/>
                <w:sz w:val="18"/>
              </w:rPr>
              <w:t>2,359,853.87</w:t>
            </w:r>
            <w:r>
              <w:rPr>
                <w:rFonts w:ascii="Times New Roman"/>
                <w:sz w:val="18"/>
              </w:rPr>
            </w:r>
          </w:p>
        </w:tc>
      </w:tr>
      <w:tr>
        <w:trPr>
          <w:trHeight w:val="346" w:hRule="exact"/>
        </w:trPr>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left="4"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21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1"/>
              <w:jc w:val="right"/>
              <w:rPr>
                <w:rFonts w:ascii="Times New Roman" w:hAnsi="Times New Roman" w:cs="Times New Roman" w:eastAsia="Times New Roman" w:hint="default"/>
                <w:sz w:val="18"/>
                <w:szCs w:val="18"/>
              </w:rPr>
            </w:pPr>
            <w:r>
              <w:rPr>
                <w:rFonts w:ascii="Times New Roman"/>
                <w:spacing w:val="-1"/>
                <w:sz w:val="18"/>
              </w:rPr>
              <w:t>1,201,890.64</w:t>
            </w:r>
            <w:r>
              <w:rPr>
                <w:rFonts w:ascii="Times New Roman"/>
                <w:sz w:val="18"/>
              </w:rPr>
            </w:r>
          </w:p>
        </w:tc>
        <w:tc>
          <w:tcPr>
            <w:tcW w:w="1723" w:type="dxa"/>
            <w:tcBorders>
              <w:top w:val="single" w:sz="6" w:space="0" w:color="000000"/>
              <w:left w:val="single" w:sz="6" w:space="0" w:color="000000"/>
              <w:bottom w:val="single" w:sz="6" w:space="0" w:color="000000"/>
              <w:right w:val="single" w:sz="6" w:space="0" w:color="000000"/>
            </w:tcBorders>
          </w:tcPr>
          <w:p>
            <w:pPr/>
          </w:p>
        </w:tc>
        <w:tc>
          <w:tcPr>
            <w:tcW w:w="20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1"/>
              <w:jc w:val="right"/>
              <w:rPr>
                <w:rFonts w:ascii="Times New Roman" w:hAnsi="Times New Roman" w:cs="Times New Roman" w:eastAsia="Times New Roman" w:hint="default"/>
                <w:sz w:val="18"/>
                <w:szCs w:val="18"/>
              </w:rPr>
            </w:pPr>
            <w:r>
              <w:rPr>
                <w:rFonts w:ascii="Times New Roman"/>
                <w:spacing w:val="-1"/>
                <w:sz w:val="18"/>
              </w:rPr>
              <w:t>6,565,877.41</w:t>
            </w:r>
            <w:r>
              <w:rPr>
                <w:rFonts w:ascii="Times New Roman"/>
                <w:sz w:val="18"/>
              </w:rPr>
            </w:r>
          </w:p>
        </w:tc>
        <w:tc>
          <w:tcPr>
            <w:tcW w:w="2479" w:type="dxa"/>
            <w:tcBorders>
              <w:top w:val="single" w:sz="6" w:space="0" w:color="000000"/>
              <w:left w:val="single" w:sz="6" w:space="0" w:color="000000"/>
              <w:bottom w:val="single" w:sz="6" w:space="0" w:color="000000"/>
              <w:right w:val="single" w:sz="6" w:space="0" w:color="000000"/>
            </w:tcBorders>
          </w:tcPr>
          <w:p>
            <w:pPr/>
          </w:p>
        </w:tc>
      </w:tr>
      <w:tr>
        <w:trPr>
          <w:trHeight w:val="348" w:hRule="exact"/>
        </w:trPr>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left="4" w:right="0"/>
              <w:jc w:val="left"/>
              <w:rPr>
                <w:rFonts w:ascii="宋体" w:hAnsi="宋体" w:cs="宋体" w:eastAsia="宋体" w:hint="default"/>
                <w:sz w:val="18"/>
                <w:szCs w:val="18"/>
              </w:rPr>
            </w:pPr>
            <w:r>
              <w:rPr>
                <w:rFonts w:ascii="宋体" w:hAnsi="宋体" w:cs="宋体" w:eastAsia="宋体" w:hint="default"/>
                <w:sz w:val="18"/>
                <w:szCs w:val="18"/>
              </w:rPr>
              <w:t>负债</w:t>
            </w:r>
          </w:p>
        </w:tc>
        <w:tc>
          <w:tcPr>
            <w:tcW w:w="21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right"/>
              <w:rPr>
                <w:rFonts w:ascii="Times New Roman" w:hAnsi="Times New Roman" w:cs="Times New Roman" w:eastAsia="Times New Roman" w:hint="default"/>
                <w:sz w:val="18"/>
                <w:szCs w:val="18"/>
              </w:rPr>
            </w:pPr>
            <w:r>
              <w:rPr>
                <w:rFonts w:ascii="Times New Roman"/>
                <w:spacing w:val="-1"/>
                <w:sz w:val="18"/>
              </w:rPr>
              <w:t>68,951,501.40</w:t>
            </w:r>
          </w:p>
        </w:tc>
        <w:tc>
          <w:tcPr>
            <w:tcW w:w="17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2"/>
              <w:jc w:val="right"/>
              <w:rPr>
                <w:rFonts w:ascii="Times New Roman" w:hAnsi="Times New Roman" w:cs="Times New Roman" w:eastAsia="Times New Roman" w:hint="default"/>
                <w:sz w:val="18"/>
                <w:szCs w:val="18"/>
              </w:rPr>
            </w:pPr>
            <w:r>
              <w:rPr>
                <w:rFonts w:ascii="Times New Roman"/>
                <w:spacing w:val="-1"/>
                <w:sz w:val="18"/>
              </w:rPr>
              <w:t>65,172,698.11</w:t>
            </w:r>
          </w:p>
        </w:tc>
        <w:tc>
          <w:tcPr>
            <w:tcW w:w="20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Times New Roman" w:hAnsi="Times New Roman" w:cs="Times New Roman" w:eastAsia="Times New Roman" w:hint="default"/>
                <w:sz w:val="18"/>
                <w:szCs w:val="18"/>
              </w:rPr>
            </w:pPr>
            <w:r>
              <w:rPr>
                <w:rFonts w:ascii="Times New Roman"/>
                <w:spacing w:val="-1"/>
                <w:sz w:val="18"/>
              </w:rPr>
              <w:t>366,562,699.27</w:t>
            </w:r>
            <w:r>
              <w:rPr>
                <w:rFonts w:ascii="Times New Roman"/>
                <w:sz w:val="18"/>
              </w:rPr>
            </w:r>
          </w:p>
        </w:tc>
        <w:tc>
          <w:tcPr>
            <w:tcW w:w="24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Times New Roman" w:hAnsi="Times New Roman" w:cs="Times New Roman" w:eastAsia="Times New Roman" w:hint="default"/>
                <w:sz w:val="18"/>
                <w:szCs w:val="18"/>
              </w:rPr>
            </w:pPr>
            <w:r>
              <w:rPr>
                <w:rFonts w:ascii="Times New Roman"/>
                <w:spacing w:val="-1"/>
                <w:sz w:val="18"/>
              </w:rPr>
              <w:t>355,721,548.22</w:t>
            </w:r>
            <w:r>
              <w:rPr>
                <w:rFonts w:ascii="Times New Roman"/>
                <w:sz w:val="18"/>
              </w:rPr>
            </w:r>
          </w:p>
        </w:tc>
      </w:tr>
      <w:tr>
        <w:trPr>
          <w:trHeight w:val="348" w:hRule="exact"/>
        </w:trPr>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left="364" w:right="0"/>
              <w:jc w:val="left"/>
              <w:rPr>
                <w:rFonts w:ascii="宋体" w:hAnsi="宋体" w:cs="宋体" w:eastAsia="宋体" w:hint="default"/>
                <w:sz w:val="18"/>
                <w:szCs w:val="18"/>
              </w:rPr>
            </w:pPr>
            <w:r>
              <w:rPr>
                <w:rFonts w:ascii="宋体" w:hAnsi="宋体" w:cs="宋体" w:eastAsia="宋体" w:hint="default"/>
                <w:sz w:val="18"/>
                <w:szCs w:val="18"/>
              </w:rPr>
              <w:t>资产组金额</w:t>
            </w:r>
          </w:p>
        </w:tc>
        <w:tc>
          <w:tcPr>
            <w:tcW w:w="21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1"/>
              <w:jc w:val="right"/>
              <w:rPr>
                <w:rFonts w:ascii="Times New Roman" w:hAnsi="Times New Roman" w:cs="Times New Roman" w:eastAsia="Times New Roman" w:hint="default"/>
                <w:sz w:val="18"/>
                <w:szCs w:val="18"/>
              </w:rPr>
            </w:pPr>
            <w:r>
              <w:rPr>
                <w:rFonts w:ascii="Times New Roman"/>
                <w:spacing w:val="-1"/>
                <w:sz w:val="18"/>
              </w:rPr>
              <w:t>193,197,588.81</w:t>
            </w:r>
            <w:r>
              <w:rPr>
                <w:rFonts w:ascii="Times New Roman"/>
                <w:sz w:val="18"/>
              </w:rPr>
            </w:r>
          </w:p>
        </w:tc>
        <w:tc>
          <w:tcPr>
            <w:tcW w:w="17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2"/>
              <w:jc w:val="right"/>
              <w:rPr>
                <w:rFonts w:ascii="Times New Roman" w:hAnsi="Times New Roman" w:cs="Times New Roman" w:eastAsia="Times New Roman" w:hint="default"/>
                <w:sz w:val="18"/>
                <w:szCs w:val="18"/>
              </w:rPr>
            </w:pPr>
            <w:r>
              <w:rPr>
                <w:rFonts w:ascii="Times New Roman"/>
                <w:spacing w:val="-1"/>
                <w:sz w:val="18"/>
              </w:rPr>
              <w:t>63,202,580.48</w:t>
            </w:r>
          </w:p>
        </w:tc>
        <w:tc>
          <w:tcPr>
            <w:tcW w:w="20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1"/>
              <w:jc w:val="right"/>
              <w:rPr>
                <w:rFonts w:ascii="Times New Roman" w:hAnsi="Times New Roman" w:cs="Times New Roman" w:eastAsia="Times New Roman" w:hint="default"/>
                <w:sz w:val="18"/>
                <w:szCs w:val="18"/>
              </w:rPr>
            </w:pPr>
            <w:r>
              <w:rPr>
                <w:rFonts w:ascii="Times New Roman"/>
                <w:spacing w:val="-1"/>
                <w:sz w:val="18"/>
              </w:rPr>
              <w:t>282,854,947.09</w:t>
            </w:r>
            <w:r>
              <w:rPr>
                <w:rFonts w:ascii="Times New Roman"/>
                <w:sz w:val="18"/>
              </w:rPr>
            </w:r>
          </w:p>
        </w:tc>
        <w:tc>
          <w:tcPr>
            <w:tcW w:w="24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1"/>
              <w:jc w:val="right"/>
              <w:rPr>
                <w:rFonts w:ascii="Times New Roman" w:hAnsi="Times New Roman" w:cs="Times New Roman" w:eastAsia="Times New Roman" w:hint="default"/>
                <w:sz w:val="18"/>
                <w:szCs w:val="18"/>
              </w:rPr>
            </w:pPr>
            <w:r>
              <w:rPr>
                <w:rFonts w:ascii="Times New Roman"/>
                <w:spacing w:val="-1"/>
                <w:sz w:val="18"/>
              </w:rPr>
              <w:t>174,127,367.77</w:t>
            </w:r>
            <w:r>
              <w:rPr>
                <w:rFonts w:ascii="Times New Roman"/>
                <w:sz w:val="18"/>
              </w:rPr>
            </w:r>
          </w:p>
        </w:tc>
      </w:tr>
    </w:tbl>
    <w:p>
      <w:pPr>
        <w:spacing w:line="240" w:lineRule="auto" w:before="12"/>
        <w:rPr>
          <w:rFonts w:ascii="宋体" w:hAnsi="宋体" w:cs="宋体" w:eastAsia="宋体" w:hint="default"/>
          <w:sz w:val="9"/>
          <w:szCs w:val="9"/>
        </w:rPr>
      </w:pPr>
    </w:p>
    <w:p>
      <w:pPr>
        <w:pStyle w:val="BodyText"/>
        <w:spacing w:line="408" w:lineRule="auto" w:before="36"/>
        <w:ind w:right="986" w:firstLine="420"/>
        <w:jc w:val="left"/>
      </w:pPr>
      <w:r>
        <w:rPr>
          <w:spacing w:val="-2"/>
        </w:rPr>
        <w:t>资产组确认方法：①本公司并购江苏税软股权，当初的并购定价是基于市场价值基础的定价，资产组</w:t>
      </w:r>
      <w:r>
        <w:rPr>
          <w:spacing w:val="-3"/>
          <w:w w:val="100"/>
        </w:rPr>
        <w:t> </w:t>
      </w:r>
      <w:r>
        <w:rPr>
          <w:spacing w:val="-2"/>
        </w:rPr>
        <w:t>包含在江苏税软相关的经营性资产、负债中。江苏税软商誉对应资产组价值小于账面金额，原因为江苏税</w:t>
      </w:r>
    </w:p>
    <w:p>
      <w:pPr>
        <w:spacing w:after="0" w:line="408"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0" w:lineRule="auto" w:before="175"/>
        <w:ind w:right="1128"/>
        <w:jc w:val="both"/>
      </w:pPr>
      <w:r>
        <w:rPr>
          <w:spacing w:val="-2"/>
        </w:rPr>
        <w:t>软所需运营资金少于货币资金的金额，以及部分其他应收款、固定资产中新购置的办公楼、在建工程、长</w:t>
      </w:r>
      <w:r>
        <w:rPr>
          <w:spacing w:val="-47"/>
        </w:rPr>
        <w:t> </w:t>
      </w:r>
      <w:r>
        <w:rPr>
          <w:spacing w:val="-47"/>
        </w:rPr>
      </w:r>
      <w:r>
        <w:rPr>
          <w:spacing w:val="-3"/>
        </w:rPr>
        <w:t>期待摊费用、递延所得资产为非经营性资产需从资产组合中扣除，扣除金额合计</w:t>
      </w:r>
      <w:r>
        <w:rPr>
          <w:rFonts w:ascii="Times New Roman" w:hAnsi="Times New Roman" w:cs="Times New Roman" w:eastAsia="Times New Roman" w:hint="default"/>
          <w:spacing w:val="-3"/>
        </w:rPr>
        <w:t>129,995,008.33</w:t>
      </w:r>
      <w:r>
        <w:rPr>
          <w:spacing w:val="-3"/>
        </w:rPr>
        <w:t>元。本年确</w:t>
      </w:r>
      <w:r>
        <w:rPr>
          <w:spacing w:val="-31"/>
        </w:rPr>
        <w:t> </w:t>
      </w:r>
      <w:r>
        <w:rPr>
          <w:spacing w:val="-31"/>
        </w:rPr>
      </w:r>
      <w:r>
        <w:rPr>
          <w:spacing w:val="-2"/>
        </w:rPr>
        <w:t>定资产组合时扣除与经营资产、负债无关的金额，同时在预测现金流量时扣除与经营性资产无关的现金流</w:t>
      </w:r>
      <w:r>
        <w:rPr>
          <w:spacing w:val="-42"/>
        </w:rPr>
        <w:t> </w:t>
      </w:r>
      <w:r>
        <w:rPr>
          <w:spacing w:val="-42"/>
        </w:rPr>
      </w:r>
      <w:r>
        <w:rPr/>
        <w:t>量，与购买日、以前年度商誉减值测试时所确定的资产组一致。</w:t>
      </w:r>
    </w:p>
    <w:p>
      <w:pPr>
        <w:pStyle w:val="BodyText"/>
        <w:spacing w:line="403" w:lineRule="auto" w:before="52"/>
        <w:ind w:right="1128" w:firstLine="420"/>
        <w:jc w:val="both"/>
      </w:pPr>
      <w:r>
        <w:rPr>
          <w:spacing w:val="-2"/>
        </w:rPr>
        <w:t>②本公司并购珠海新德汇股权，当初的并购定价是基于市场价值基础的定价，因此资产组包含在珠海</w:t>
      </w:r>
      <w:r>
        <w:rPr>
          <w:w w:val="100"/>
        </w:rPr>
        <w:t> </w:t>
      </w:r>
      <w:r>
        <w:rPr>
          <w:spacing w:val="-2"/>
        </w:rPr>
        <w:t>新德汇相关的经营性资产、负债中。珠海新德汇商誉对应资产组价值小于账面金额，原因为珠海新德汇部</w:t>
      </w:r>
      <w:r>
        <w:rPr>
          <w:spacing w:val="-44"/>
        </w:rPr>
        <w:t> </w:t>
      </w:r>
      <w:r>
        <w:rPr>
          <w:spacing w:val="-44"/>
        </w:rPr>
      </w:r>
      <w:r>
        <w:rPr>
          <w:spacing w:val="2"/>
        </w:rPr>
        <w:t>分溢余资金、往来款、递延所得资产及递延收益等为非经营性资产需从资产组合中扣除，扣除金额合计</w:t>
      </w:r>
      <w:r>
        <w:rPr>
          <w:spacing w:val="-28"/>
        </w:rPr>
        <w:t> </w:t>
      </w:r>
      <w:r>
        <w:rPr>
          <w:spacing w:val="-28"/>
        </w:rPr>
      </w:r>
      <w:r>
        <w:rPr>
          <w:rFonts w:ascii="Times New Roman" w:hAnsi="Times New Roman" w:cs="Times New Roman" w:eastAsia="Times New Roman" w:hint="default"/>
          <w:spacing w:val="-3"/>
        </w:rPr>
        <w:t>108,727,579.32</w:t>
      </w:r>
      <w:r>
        <w:rPr>
          <w:spacing w:val="-3"/>
        </w:rPr>
        <w:t>元。本年确定资产组合时扣除与经营资产、负债无关的金额，同时在预测现金流量时扣除与</w:t>
      </w:r>
      <w:r>
        <w:rPr>
          <w:spacing w:val="-26"/>
        </w:rPr>
        <w:t> </w:t>
      </w:r>
      <w:r>
        <w:rPr>
          <w:spacing w:val="-26"/>
        </w:rPr>
      </w:r>
      <w:r>
        <w:rPr/>
        <w:t>经营性资产无关的现金流量，与购买日、以前年度商誉减值测试时所确定的资产组一致。</w:t>
      </w:r>
    </w:p>
    <w:p>
      <w:pPr>
        <w:spacing w:line="477" w:lineRule="auto" w:before="114"/>
        <w:ind w:left="152" w:right="1135" w:firstLine="0"/>
        <w:jc w:val="both"/>
        <w:rPr>
          <w:rFonts w:ascii="宋体" w:hAnsi="宋体" w:cs="宋体" w:eastAsia="宋体" w:hint="default"/>
          <w:sz w:val="18"/>
          <w:szCs w:val="18"/>
        </w:rPr>
      </w:pPr>
      <w:r>
        <w:rPr>
          <w:rFonts w:ascii="宋体" w:hAnsi="宋体" w:cs="宋体" w:eastAsia="宋体" w:hint="default"/>
          <w:spacing w:val="-2"/>
          <w:sz w:val="18"/>
          <w:szCs w:val="18"/>
        </w:rPr>
        <w:t>说明商誉减值测试过程、关键参数（如预计未来现金流量现值时的预测期增长率、稳定期增长率、利润率、折现率、预测期</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等）及商誉减值损失的确认方法：</w:t>
      </w:r>
    </w:p>
    <w:p>
      <w:pPr>
        <w:pStyle w:val="BodyText"/>
        <w:spacing w:line="391" w:lineRule="auto" w:before="69"/>
        <w:ind w:right="1127" w:firstLine="420"/>
        <w:jc w:val="both"/>
      </w:pPr>
      <w:r>
        <w:rPr>
          <w:spacing w:val="-2"/>
        </w:rPr>
        <w:t>公司收购武汉大千形成的商誉</w:t>
      </w:r>
      <w:r>
        <w:rPr>
          <w:rFonts w:ascii="Times New Roman" w:hAnsi="Times New Roman" w:cs="Times New Roman" w:eastAsia="Times New Roman" w:hint="default"/>
          <w:spacing w:val="-2"/>
        </w:rPr>
        <w:t>2017</w:t>
      </w:r>
      <w:r>
        <w:rPr>
          <w:spacing w:val="-2"/>
        </w:rPr>
        <w:t>年已全额计提减值，故未计入本次商誉减值测试。本集团采用预计</w:t>
      </w:r>
      <w:r>
        <w:rPr>
          <w:w w:val="100"/>
        </w:rPr>
        <w:t> </w:t>
      </w:r>
      <w:r>
        <w:rPr/>
        <w:t>未来现金流现值的方法计算资产组的可收回金额。本集团根据管理层批准的财务预算预计未来</w:t>
      </w:r>
      <w:r>
        <w:rPr>
          <w:rFonts w:ascii="Times New Roman" w:hAnsi="Times New Roman" w:cs="Times New Roman" w:eastAsia="Times New Roman" w:hint="default"/>
        </w:rPr>
        <w:t>5</w:t>
      </w:r>
      <w:r>
        <w:rPr/>
        <w:t>年内现金</w:t>
      </w:r>
      <w:r>
        <w:rPr>
          <w:spacing w:val="-25"/>
        </w:rPr>
        <w:t> </w:t>
      </w:r>
      <w:r>
        <w:rPr>
          <w:spacing w:val="-25"/>
        </w:rPr>
      </w:r>
      <w:r>
        <w:rPr/>
        <w:t>流量，其后年度采用的现金流量增长率预计为</w:t>
      </w:r>
      <w:r>
        <w:rPr>
          <w:rFonts w:ascii="Times New Roman" w:hAnsi="Times New Roman" w:cs="Times New Roman" w:eastAsia="Times New Roman" w:hint="default"/>
        </w:rPr>
        <w:t>0%</w:t>
      </w:r>
      <w:r>
        <w:rPr/>
        <w:t>（上期：</w:t>
      </w:r>
      <w:r>
        <w:rPr>
          <w:rFonts w:ascii="Times New Roman" w:hAnsi="Times New Roman" w:cs="Times New Roman" w:eastAsia="Times New Roman" w:hint="default"/>
        </w:rPr>
        <w:t>0%</w:t>
      </w:r>
      <w:r>
        <w:rPr/>
        <w:t>），不会超过资产组经营业务的长期平均增</w:t>
      </w:r>
      <w:r>
        <w:rPr>
          <w:spacing w:val="-56"/>
        </w:rPr>
        <w:t> </w:t>
      </w:r>
      <w:r>
        <w:rPr>
          <w:spacing w:val="-56"/>
        </w:rPr>
      </w:r>
      <w:r>
        <w:rPr>
          <w:spacing w:val="-2"/>
        </w:rPr>
        <w:t>长率。管理层根据过往表现及其对市场发展的预期编制上述财务预算。计算未来现金流现值所采用的税前</w:t>
      </w:r>
      <w:r>
        <w:rPr>
          <w:spacing w:val="-42"/>
        </w:rPr>
        <w:t> </w:t>
      </w:r>
      <w:r>
        <w:rPr>
          <w:spacing w:val="-42"/>
        </w:rPr>
      </w:r>
      <w:r>
        <w:rPr>
          <w:spacing w:val="-3"/>
        </w:rPr>
        <w:t>折现率为</w:t>
      </w:r>
      <w:r>
        <w:rPr>
          <w:rFonts w:ascii="Times New Roman" w:hAnsi="Times New Roman" w:cs="Times New Roman" w:eastAsia="Times New Roman" w:hint="default"/>
          <w:spacing w:val="-3"/>
        </w:rPr>
        <w:t>14.99%</w:t>
      </w:r>
      <w:r>
        <w:rPr>
          <w:spacing w:val="-3"/>
        </w:rPr>
        <w:t>（上期：</w:t>
      </w:r>
      <w:r>
        <w:rPr>
          <w:rFonts w:ascii="Times New Roman" w:hAnsi="Times New Roman" w:cs="Times New Roman" w:eastAsia="Times New Roman" w:hint="default"/>
          <w:spacing w:val="-3"/>
        </w:rPr>
        <w:t>14.79%</w:t>
      </w:r>
      <w:r>
        <w:rPr>
          <w:spacing w:val="-3"/>
        </w:rPr>
        <w:t>），已反映了相对于有关的风险。根据减值测试的结果，江苏税软和珠海</w:t>
      </w:r>
      <w:r>
        <w:rPr>
          <w:spacing w:val="-19"/>
        </w:rPr>
        <w:t> </w:t>
      </w:r>
      <w:r>
        <w:rPr>
          <w:spacing w:val="-19"/>
        </w:rPr>
      </w:r>
      <w:r>
        <w:rPr/>
        <w:t>新德汇本期期末商誉未发生减值。</w:t>
      </w:r>
    </w:p>
    <w:p>
      <w:pPr>
        <w:spacing w:line="518" w:lineRule="auto" w:before="124"/>
        <w:ind w:left="152" w:right="9134" w:firstLine="0"/>
        <w:jc w:val="left"/>
        <w:rPr>
          <w:rFonts w:ascii="宋体" w:hAnsi="宋体" w:cs="宋体" w:eastAsia="宋体" w:hint="default"/>
          <w:sz w:val="18"/>
          <w:szCs w:val="18"/>
        </w:rPr>
      </w:pPr>
      <w:r>
        <w:rPr>
          <w:rFonts w:ascii="宋体" w:hAnsi="宋体" w:cs="宋体" w:eastAsia="宋体" w:hint="default"/>
          <w:sz w:val="18"/>
          <w:szCs w:val="18"/>
        </w:rPr>
        <w:t>商誉减值测试的影响 其他说明</w:t>
      </w:r>
    </w:p>
    <w:p>
      <w:pPr>
        <w:pStyle w:val="BodyText"/>
        <w:spacing w:line="393" w:lineRule="auto" w:before="120"/>
        <w:ind w:right="1108" w:firstLine="420"/>
        <w:jc w:val="both"/>
      </w:pPr>
      <w:r>
        <w:rPr>
          <w:spacing w:val="-2"/>
        </w:rPr>
        <w:t>本集团聘请北京国融兴华资产评估有限责任公司对本公司并购江苏税软、珠海新德汇所形成的商誉进</w:t>
      </w:r>
      <w:r>
        <w:rPr>
          <w:w w:val="100"/>
        </w:rPr>
        <w:t> </w:t>
      </w:r>
      <w:r>
        <w:rPr>
          <w:spacing w:val="-2"/>
        </w:rPr>
        <w:t>行减值测试，并于</w:t>
      </w:r>
      <w:r>
        <w:rPr>
          <w:rFonts w:ascii="Times New Roman" w:hAnsi="Times New Roman" w:cs="Times New Roman" w:eastAsia="Times New Roman" w:hint="default"/>
          <w:spacing w:val="-2"/>
        </w:rPr>
        <w:t>2020</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22</w:t>
      </w:r>
      <w:r>
        <w:rPr>
          <w:spacing w:val="-2"/>
        </w:rPr>
        <w:t>日对江苏税软、珠海新德汇分别出具了</w:t>
      </w:r>
      <w:r>
        <w:rPr>
          <w:rFonts w:ascii="Times New Roman" w:hAnsi="Times New Roman" w:cs="Times New Roman" w:eastAsia="Times New Roman" w:hint="default"/>
          <w:spacing w:val="-2"/>
        </w:rPr>
        <w:t>“</w:t>
      </w:r>
      <w:r>
        <w:rPr>
          <w:spacing w:val="-2"/>
        </w:rPr>
        <w:t>国融兴华评报字</w:t>
      </w:r>
      <w:r>
        <w:rPr>
          <w:rFonts w:ascii="Times New Roman" w:hAnsi="Times New Roman" w:cs="Times New Roman" w:eastAsia="Times New Roman" w:hint="default"/>
          <w:spacing w:val="-2"/>
        </w:rPr>
        <w:t>[2020]</w:t>
      </w:r>
      <w:r>
        <w:rPr>
          <w:spacing w:val="-2"/>
        </w:rPr>
        <w:t>第</w:t>
      </w:r>
      <w:r>
        <w:rPr>
          <w:rFonts w:ascii="Times New Roman" w:hAnsi="Times New Roman" w:cs="Times New Roman" w:eastAsia="Times New Roman" w:hint="default"/>
          <w:spacing w:val="-2"/>
        </w:rPr>
        <w:t>020015</w:t>
      </w:r>
      <w:r>
        <w:rPr>
          <w:spacing w:val="-2"/>
        </w:rPr>
        <w:t>号</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3"/>
        </w:rPr>
        <w:t> </w:t>
      </w:r>
      <w:r>
        <w:rPr>
          <w:spacing w:val="-6"/>
          <w:w w:val="100"/>
        </w:rPr>
        <w:t>评估报告、</w:t>
      </w:r>
      <w:r>
        <w:rPr>
          <w:rFonts w:ascii="Times New Roman" w:hAnsi="Times New Roman" w:cs="Times New Roman" w:eastAsia="Times New Roman" w:hint="default"/>
          <w:spacing w:val="-6"/>
          <w:w w:val="100"/>
        </w:rPr>
        <w:t>“</w:t>
      </w:r>
      <w:r>
        <w:rPr>
          <w:spacing w:val="-6"/>
          <w:w w:val="100"/>
        </w:rPr>
        <w:t>国融兴华评报字</w:t>
      </w:r>
      <w:r>
        <w:rPr>
          <w:rFonts w:ascii="Times New Roman" w:hAnsi="Times New Roman" w:cs="Times New Roman" w:eastAsia="Times New Roman" w:hint="default"/>
          <w:spacing w:val="-6"/>
          <w:w w:val="100"/>
        </w:rPr>
        <w:t>[2020]</w:t>
      </w:r>
      <w:r>
        <w:rPr>
          <w:spacing w:val="-6"/>
          <w:w w:val="100"/>
        </w:rPr>
        <w:t>第</w:t>
      </w:r>
      <w:r>
        <w:rPr>
          <w:rFonts w:ascii="Times New Roman" w:hAnsi="Times New Roman" w:cs="Times New Roman" w:eastAsia="Times New Roman" w:hint="default"/>
          <w:spacing w:val="-6"/>
          <w:w w:val="100"/>
        </w:rPr>
        <w:t>020016</w:t>
      </w:r>
      <w:r>
        <w:rPr>
          <w:spacing w:val="-6"/>
          <w:w w:val="100"/>
        </w:rPr>
        <w:t>号评估报告，根据评估报告结果，江苏税软评估价值为</w:t>
      </w:r>
      <w:r>
        <w:rPr>
          <w:rFonts w:ascii="Times New Roman" w:hAnsi="Times New Roman" w:cs="Times New Roman" w:eastAsia="Times New Roman" w:hint="default"/>
          <w:spacing w:val="-6"/>
          <w:w w:val="100"/>
        </w:rPr>
        <w:t>61,740.00</w:t>
      </w:r>
      <w:r>
        <w:rPr>
          <w:rFonts w:ascii="Times New Roman" w:hAnsi="Times New Roman" w:cs="Times New Roman" w:eastAsia="Times New Roman" w:hint="default"/>
          <w:spacing w:val="-27"/>
          <w:w w:val="100"/>
        </w:rPr>
        <w:t> </w:t>
      </w:r>
      <w:r>
        <w:rPr>
          <w:rFonts w:ascii="Times New Roman" w:hAnsi="Times New Roman" w:cs="Times New Roman" w:eastAsia="Times New Roman" w:hint="default"/>
          <w:spacing w:val="-27"/>
          <w:w w:val="100"/>
        </w:rPr>
      </w:r>
      <w:r>
        <w:rPr/>
        <w:t>万元，商誉所对应资产组涉及的金额为</w:t>
      </w:r>
      <w:r>
        <w:rPr>
          <w:rFonts w:ascii="Times New Roman" w:hAnsi="Times New Roman" w:cs="Times New Roman" w:eastAsia="Times New Roman" w:hint="default"/>
        </w:rPr>
        <w:t>6,320.26</w:t>
      </w:r>
      <w:r>
        <w:rPr/>
        <w:t>万元，商誉与资产组合计</w:t>
      </w:r>
      <w:r>
        <w:rPr>
          <w:rFonts w:ascii="Times New Roman" w:hAnsi="Times New Roman" w:cs="Times New Roman" w:eastAsia="Times New Roman" w:hint="default"/>
        </w:rPr>
        <w:t>56,154.88</w:t>
      </w:r>
      <w:r>
        <w:rPr/>
        <w:t>万元，评估值高于商誉</w:t>
      </w:r>
      <w:r>
        <w:rPr>
          <w:spacing w:val="-30"/>
        </w:rPr>
        <w:t> </w:t>
      </w:r>
      <w:r>
        <w:rPr>
          <w:spacing w:val="-30"/>
        </w:rPr>
      </w:r>
      <w:r>
        <w:rPr>
          <w:spacing w:val="2"/>
        </w:rPr>
        <w:t>与资产组的合计金额，本公司溢价收购江苏税软所形成的商誉未发生减值情况；珠海新德汇评估价值为</w:t>
      </w:r>
      <w:r>
        <w:rPr>
          <w:spacing w:val="-28"/>
        </w:rPr>
        <w:t> </w:t>
      </w:r>
      <w:r>
        <w:rPr>
          <w:spacing w:val="-28"/>
        </w:rPr>
      </w:r>
      <w:r>
        <w:rPr>
          <w:rFonts w:ascii="Times New Roman" w:hAnsi="Times New Roman" w:cs="Times New Roman" w:eastAsia="Times New Roman" w:hint="default"/>
          <w:spacing w:val="-2"/>
        </w:rPr>
        <w:t>63,880.00</w:t>
      </w:r>
      <w:r>
        <w:rPr>
          <w:spacing w:val="-2"/>
        </w:rPr>
        <w:t>万元，商誉所对应资产组涉及的资产组金额为</w:t>
      </w:r>
      <w:r>
        <w:rPr>
          <w:rFonts w:ascii="Times New Roman" w:hAnsi="Times New Roman" w:cs="Times New Roman" w:eastAsia="Times New Roman" w:hint="default"/>
          <w:spacing w:val="-2"/>
        </w:rPr>
        <w:t>17,412.74</w:t>
      </w:r>
      <w:r>
        <w:rPr>
          <w:spacing w:val="-2"/>
        </w:rPr>
        <w:t>万元，商誉与资产组合计</w:t>
      </w:r>
      <w:r>
        <w:rPr>
          <w:rFonts w:ascii="Times New Roman" w:hAnsi="Times New Roman" w:cs="Times New Roman" w:eastAsia="Times New Roman" w:hint="default"/>
          <w:spacing w:val="-2"/>
        </w:rPr>
        <w:t>21,798.34</w:t>
      </w:r>
      <w:r>
        <w:rPr>
          <w:spacing w:val="-2"/>
        </w:rPr>
        <w:t>万元，</w:t>
      </w:r>
      <w:r>
        <w:rPr>
          <w:spacing w:val="5"/>
        </w:rPr>
        <w:t> </w:t>
      </w:r>
      <w:r>
        <w:rPr/>
        <w:t>评估值高于商誉与资产组的合计金额，本公司溢价收购珠海新德汇所形成的商誉未发生减值情况。</w:t>
      </w:r>
    </w:p>
    <w:p>
      <w:pPr>
        <w:pStyle w:val="BodyText"/>
        <w:spacing w:line="240" w:lineRule="auto" w:before="59"/>
        <w:ind w:left="573" w:right="986"/>
        <w:jc w:val="left"/>
      </w:pPr>
      <w:r>
        <w:rPr/>
        <w:t>本公司溢价收购武汉大千所形成的商誉</w:t>
      </w:r>
      <w:r>
        <w:rPr>
          <w:rFonts w:ascii="Times New Roman" w:hAnsi="Times New Roman" w:cs="Times New Roman" w:eastAsia="Times New Roman" w:hint="default"/>
        </w:rPr>
        <w:t>23,426,464.98</w:t>
      </w:r>
      <w:r>
        <w:rPr/>
        <w:t>元，已于</w:t>
      </w:r>
      <w:r>
        <w:rPr>
          <w:rFonts w:ascii="Times New Roman" w:hAnsi="Times New Roman" w:cs="Times New Roman" w:eastAsia="Times New Roman" w:hint="default"/>
        </w:rPr>
        <w:t>2017</w:t>
      </w:r>
      <w:r>
        <w:rPr/>
        <w:t>年全部减值完毕。</w:t>
      </w:r>
    </w:p>
    <w:p>
      <w:pPr>
        <w:spacing w:after="0" w:line="240" w:lineRule="auto"/>
        <w:jc w:val="left"/>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29、长期待摊费用" w:id="319"/>
      <w:bookmarkEnd w:id="319"/>
      <w:r>
        <w:rPr>
          <w:b w:val="0"/>
          <w:bCs w:val="0"/>
        </w:rPr>
      </w:r>
      <w:r>
        <w:rPr>
          <w:rFonts w:ascii="Times New Roman" w:hAnsi="Times New Roman" w:cs="Times New Roman" w:eastAsia="Times New Roman" w:hint="default"/>
        </w:rPr>
        <w:t>29</w:t>
      </w:r>
      <w:r>
        <w:rPr/>
        <w:t>、长期待摊费用</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94"/>
        <w:gridCol w:w="1596"/>
        <w:gridCol w:w="1594"/>
        <w:gridCol w:w="1596"/>
        <w:gridCol w:w="1594"/>
        <w:gridCol w:w="1594"/>
      </w:tblGrid>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15,766,831.63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4,558,274.53</w:t>
            </w:r>
            <w:r>
              <w:rPr>
                <w:rFonts w:ascii="Times New Roman"/>
                <w:sz w:val="18"/>
              </w:rPr>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8,815,129.42</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11,509,976.74</w:t>
            </w:r>
            <w:r>
              <w:rPr>
                <w:rFonts w:ascii="Times New Roman"/>
                <w:sz w:val="18"/>
              </w:rPr>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15,766,831.63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4,558,274.53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8,815,129.42</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11,509,976.74</w:t>
            </w:r>
            <w:r>
              <w:rPr>
                <w:rFonts w:ascii="Times New Roman"/>
                <w:sz w:val="18"/>
              </w:rPr>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30、递延所得税资产/递延所得税负债" w:id="320"/>
      <w:bookmarkEnd w:id="320"/>
      <w:r>
        <w:rPr>
          <w:b w:val="0"/>
          <w:bCs w:val="0"/>
        </w:rPr>
      </w:r>
      <w:r>
        <w:rPr>
          <w:rFonts w:ascii="Times New Roman" w:hAnsi="Times New Roman" w:cs="Times New Roman" w:eastAsia="Times New Roman" w:hint="default"/>
        </w:rPr>
        <w:t>30</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未经抵销的递延所得税资产" w:id="321"/>
      <w:bookmarkEnd w:id="321"/>
      <w:r>
        <w:rPr>
          <w:b w:val="0"/>
          <w:bCs w:val="0"/>
        </w:rPr>
      </w:r>
      <w:r>
        <w:rPr/>
        <w:t>（</w:t>
      </w:r>
      <w:r>
        <w:rPr>
          <w:rFonts w:ascii="Times New Roman" w:hAnsi="Times New Roman" w:cs="Times New Roman" w:eastAsia="Times New Roman" w:hint="default"/>
        </w:rPr>
        <w:t>1</w:t>
      </w:r>
      <w:r>
        <w:rPr/>
        <w:t>）未经抵销的递延所得税资产</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5"/>
        <w:gridCol w:w="1915"/>
        <w:gridCol w:w="1913"/>
        <w:gridCol w:w="1915"/>
      </w:tblGrid>
      <w:tr>
        <w:trPr>
          <w:trHeight w:val="206" w:hRule="exact"/>
        </w:trPr>
        <w:tc>
          <w:tcPr>
            <w:tcW w:w="1913" w:type="dxa"/>
            <w:tcBorders>
              <w:top w:val="single" w:sz="4" w:space="0" w:color="000000"/>
              <w:left w:val="single" w:sz="4" w:space="0" w:color="000000"/>
              <w:bottom w:val="nil" w:sz="6" w:space="0" w:color="auto"/>
              <w:right w:val="single" w:sz="4" w:space="0" w:color="000000"/>
            </w:tcBorders>
            <w:shd w:val="clear" w:color="auto" w:fill="D4D4D4"/>
          </w:tcPr>
          <w:p>
            <w:pPr/>
          </w:p>
        </w:tc>
        <w:tc>
          <w:tcPr>
            <w:tcW w:w="3830"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1913"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0" w:type="dxa"/>
            <w:gridSpan w:val="2"/>
            <w:vMerge/>
            <w:tcBorders>
              <w:left w:val="single" w:sz="4" w:space="0" w:color="000000"/>
              <w:bottom w:val="single" w:sz="4" w:space="0" w:color="000000"/>
              <w:right w:val="single" w:sz="4" w:space="0" w:color="000000"/>
            </w:tcBorders>
            <w:shd w:val="clear" w:color="auto" w:fill="D4D4D4"/>
          </w:tcPr>
          <w:p>
            <w:pPr/>
          </w:p>
        </w:tc>
        <w:tc>
          <w:tcPr>
            <w:tcW w:w="3828" w:type="dxa"/>
            <w:gridSpan w:val="2"/>
            <w:vMerge/>
            <w:tcBorders>
              <w:left w:val="single" w:sz="4" w:space="0" w:color="000000"/>
              <w:bottom w:val="single" w:sz="4" w:space="0" w:color="000000"/>
              <w:right w:val="single" w:sz="4" w:space="0" w:color="000000"/>
            </w:tcBorders>
            <w:shd w:val="clear" w:color="auto" w:fill="D4D4D4"/>
          </w:tcPr>
          <w:p>
            <w:pPr/>
          </w:p>
        </w:tc>
      </w:tr>
      <w:tr>
        <w:trPr>
          <w:trHeight w:val="202" w:hRule="exact"/>
        </w:trPr>
        <w:tc>
          <w:tcPr>
            <w:tcW w:w="1913" w:type="dxa"/>
            <w:vMerge/>
            <w:tcBorders>
              <w:left w:val="single" w:sz="4" w:space="0" w:color="000000"/>
              <w:bottom w:val="nil" w:sz="6" w:space="0" w:color="auto"/>
              <w:right w:val="single" w:sz="4" w:space="0" w:color="000000"/>
            </w:tcBorders>
            <w:shd w:val="clear" w:color="auto" w:fill="D4D4D4"/>
          </w:tcPr>
          <w:p>
            <w:pPr/>
          </w:p>
        </w:tc>
        <w:tc>
          <w:tcPr>
            <w:tcW w:w="1915"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23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5"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3"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23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5"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204" w:hRule="exact"/>
        </w:trPr>
        <w:tc>
          <w:tcPr>
            <w:tcW w:w="1913" w:type="dxa"/>
            <w:tcBorders>
              <w:top w:val="nil" w:sz="6" w:space="0" w:color="auto"/>
              <w:left w:val="single" w:sz="4" w:space="0" w:color="000000"/>
              <w:bottom w:val="single" w:sz="4" w:space="0" w:color="000000"/>
              <w:right w:val="single" w:sz="4" w:space="0" w:color="000000"/>
            </w:tcBorders>
            <w:shd w:val="clear" w:color="auto" w:fill="D4D4D4"/>
          </w:tcPr>
          <w:p>
            <w:pPr/>
          </w:p>
        </w:tc>
        <w:tc>
          <w:tcPr>
            <w:tcW w:w="1915" w:type="dxa"/>
            <w:vMerge/>
            <w:tcBorders>
              <w:left w:val="single" w:sz="4" w:space="0" w:color="000000"/>
              <w:bottom w:val="single" w:sz="4" w:space="0" w:color="000000"/>
              <w:right w:val="single" w:sz="4" w:space="0" w:color="000000"/>
            </w:tcBorders>
            <w:shd w:val="clear" w:color="auto" w:fill="D4D4D4"/>
          </w:tcPr>
          <w:p>
            <w:pPr/>
          </w:p>
        </w:tc>
        <w:tc>
          <w:tcPr>
            <w:tcW w:w="1915" w:type="dxa"/>
            <w:vMerge/>
            <w:tcBorders>
              <w:left w:val="single" w:sz="4" w:space="0" w:color="000000"/>
              <w:bottom w:val="single" w:sz="4" w:space="0" w:color="000000"/>
              <w:right w:val="single" w:sz="4" w:space="0" w:color="000000"/>
            </w:tcBorders>
            <w:shd w:val="clear" w:color="auto" w:fill="D4D4D4"/>
          </w:tcPr>
          <w:p>
            <w:pPr/>
          </w:p>
        </w:tc>
        <w:tc>
          <w:tcPr>
            <w:tcW w:w="1913" w:type="dxa"/>
            <w:vMerge/>
            <w:tcBorders>
              <w:left w:val="single" w:sz="4" w:space="0" w:color="000000"/>
              <w:bottom w:val="single" w:sz="4" w:space="0" w:color="000000"/>
              <w:right w:val="single" w:sz="4" w:space="0" w:color="000000"/>
            </w:tcBorders>
            <w:shd w:val="clear" w:color="auto" w:fill="D4D4D4"/>
          </w:tcPr>
          <w:p>
            <w:pPr/>
          </w:p>
        </w:tc>
        <w:tc>
          <w:tcPr>
            <w:tcW w:w="1915" w:type="dxa"/>
            <w:vMerge/>
            <w:tcBorders>
              <w:left w:val="single" w:sz="4" w:space="0" w:color="000000"/>
              <w:bottom w:val="single" w:sz="4" w:space="0" w:color="000000"/>
              <w:right w:val="single" w:sz="4" w:space="0" w:color="000000"/>
            </w:tcBorders>
            <w:shd w:val="clear" w:color="auto" w:fill="D4D4D4"/>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915"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169,548,863.91</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19,326,078.77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129,559,848.75</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14,623,490.29</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内部交易未实现利润</w:t>
            </w:r>
          </w:p>
        </w:tc>
        <w:tc>
          <w:tcPr>
            <w:tcW w:w="1915"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47,500,627.60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6,270,003.16</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27,196,618.42</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3,007,931.53</w:t>
            </w:r>
            <w:r>
              <w:rPr>
                <w:rFonts w:ascii="Times New Roman"/>
                <w:sz w:val="18"/>
              </w:rPr>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1915"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41,789,255.26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4,917,261.25</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9,748,334.00</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1,387,736.83</w:t>
            </w:r>
            <w:r>
              <w:rPr>
                <w:rFonts w:ascii="Times New Roman"/>
                <w:sz w:val="18"/>
              </w:rPr>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35,974,924.95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3,591,438.11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34,057,205.19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3,423,379.12</w:t>
            </w:r>
            <w:r>
              <w:rPr>
                <w:rFonts w:ascii="Times New Roman"/>
                <w:sz w:val="18"/>
              </w:rPr>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41,249,019.26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4,440,651.93</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27,699,101.81</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2,999,910.18</w:t>
            </w:r>
            <w:r>
              <w:rPr>
                <w:rFonts w:ascii="Times New Roman"/>
                <w:sz w:val="18"/>
              </w:rPr>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股份支付</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32,201,965.79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3,874,605.64</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82,504,700.96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9,469,814.70</w:t>
            </w:r>
            <w:r>
              <w:rPr>
                <w:rFonts w:ascii="Times New Roman"/>
                <w:sz w:val="18"/>
              </w:rPr>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368,264,656.77</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42,420,038.86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310,765,809.13</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34,912,262.65</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2）未经抵销的递延所得税负债" w:id="322"/>
      <w:bookmarkEnd w:id="322"/>
      <w:r>
        <w:rPr>
          <w:b w:val="0"/>
          <w:bCs w:val="0"/>
        </w:rPr>
      </w:r>
      <w:r>
        <w:rPr/>
        <w:t>（</w:t>
      </w:r>
      <w:r>
        <w:rPr>
          <w:rFonts w:ascii="Times New Roman" w:hAnsi="Times New Roman" w:cs="Times New Roman" w:eastAsia="Times New Roman" w:hint="default"/>
        </w:rPr>
        <w:t>2</w:t>
      </w:r>
      <w:r>
        <w:rPr/>
        <w:t>）未经抵销的递延所得税负债</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156"/>
        <w:gridCol w:w="1660"/>
        <w:gridCol w:w="2086"/>
        <w:gridCol w:w="1742"/>
        <w:gridCol w:w="1915"/>
      </w:tblGrid>
      <w:tr>
        <w:trPr>
          <w:trHeight w:val="206" w:hRule="exact"/>
        </w:trPr>
        <w:tc>
          <w:tcPr>
            <w:tcW w:w="2156" w:type="dxa"/>
            <w:tcBorders>
              <w:top w:val="single" w:sz="4" w:space="0" w:color="000000"/>
              <w:left w:val="single" w:sz="4" w:space="0" w:color="000000"/>
              <w:bottom w:val="nil" w:sz="6" w:space="0" w:color="auto"/>
              <w:right w:val="single" w:sz="4" w:space="0" w:color="000000"/>
            </w:tcBorders>
            <w:shd w:val="clear" w:color="auto" w:fill="D4D4D4"/>
          </w:tcPr>
          <w:p>
            <w:pPr/>
          </w:p>
        </w:tc>
        <w:tc>
          <w:tcPr>
            <w:tcW w:w="3745"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658"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2156"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745" w:type="dxa"/>
            <w:gridSpan w:val="2"/>
            <w:vMerge/>
            <w:tcBorders>
              <w:left w:val="single" w:sz="4" w:space="0" w:color="000000"/>
              <w:bottom w:val="single" w:sz="4" w:space="0" w:color="000000"/>
              <w:right w:val="single" w:sz="4" w:space="0" w:color="000000"/>
            </w:tcBorders>
            <w:shd w:val="clear" w:color="auto" w:fill="D4D4D4"/>
          </w:tcPr>
          <w:p>
            <w:pPr/>
          </w:p>
        </w:tc>
        <w:tc>
          <w:tcPr>
            <w:tcW w:w="3658" w:type="dxa"/>
            <w:gridSpan w:val="2"/>
            <w:vMerge/>
            <w:tcBorders>
              <w:left w:val="single" w:sz="4" w:space="0" w:color="000000"/>
              <w:bottom w:val="single" w:sz="4" w:space="0" w:color="000000"/>
              <w:right w:val="single" w:sz="4" w:space="0" w:color="000000"/>
            </w:tcBorders>
            <w:shd w:val="clear" w:color="auto" w:fill="D4D4D4"/>
          </w:tcPr>
          <w:p>
            <w:pPr/>
          </w:p>
        </w:tc>
      </w:tr>
      <w:tr>
        <w:trPr>
          <w:trHeight w:val="199" w:hRule="exact"/>
        </w:trPr>
        <w:tc>
          <w:tcPr>
            <w:tcW w:w="2156" w:type="dxa"/>
            <w:vMerge/>
            <w:tcBorders>
              <w:left w:val="single" w:sz="4" w:space="0" w:color="000000"/>
              <w:bottom w:val="nil" w:sz="6" w:space="0" w:color="auto"/>
              <w:right w:val="single" w:sz="4" w:space="0" w:color="000000"/>
            </w:tcBorders>
            <w:shd w:val="clear" w:color="auto" w:fill="D4D4D4"/>
          </w:tcPr>
          <w:p>
            <w:pPr/>
          </w:p>
        </w:tc>
        <w:tc>
          <w:tcPr>
            <w:tcW w:w="1660"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111"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2086"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407"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742"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146"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5"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r>
      <w:tr>
        <w:trPr>
          <w:trHeight w:val="206" w:hRule="exact"/>
        </w:trPr>
        <w:tc>
          <w:tcPr>
            <w:tcW w:w="2156" w:type="dxa"/>
            <w:tcBorders>
              <w:top w:val="nil" w:sz="6" w:space="0" w:color="auto"/>
              <w:left w:val="single" w:sz="4" w:space="0" w:color="000000"/>
              <w:bottom w:val="single" w:sz="4" w:space="0" w:color="000000"/>
              <w:right w:val="single" w:sz="4" w:space="0" w:color="000000"/>
            </w:tcBorders>
            <w:shd w:val="clear" w:color="auto" w:fill="D4D4D4"/>
          </w:tcPr>
          <w:p>
            <w:pPr/>
          </w:p>
        </w:tc>
        <w:tc>
          <w:tcPr>
            <w:tcW w:w="1660" w:type="dxa"/>
            <w:vMerge/>
            <w:tcBorders>
              <w:left w:val="single" w:sz="4" w:space="0" w:color="000000"/>
              <w:bottom w:val="single" w:sz="4" w:space="0" w:color="000000"/>
              <w:right w:val="single" w:sz="4" w:space="0" w:color="000000"/>
            </w:tcBorders>
            <w:shd w:val="clear" w:color="auto" w:fill="D4D4D4"/>
          </w:tcPr>
          <w:p>
            <w:pPr/>
          </w:p>
        </w:tc>
        <w:tc>
          <w:tcPr>
            <w:tcW w:w="2086" w:type="dxa"/>
            <w:vMerge/>
            <w:tcBorders>
              <w:left w:val="single" w:sz="4" w:space="0" w:color="000000"/>
              <w:bottom w:val="single" w:sz="4" w:space="0" w:color="000000"/>
              <w:right w:val="single" w:sz="4" w:space="0" w:color="000000"/>
            </w:tcBorders>
            <w:shd w:val="clear" w:color="auto" w:fill="D4D4D4"/>
          </w:tcPr>
          <w:p>
            <w:pPr/>
          </w:p>
        </w:tc>
        <w:tc>
          <w:tcPr>
            <w:tcW w:w="1742" w:type="dxa"/>
            <w:vMerge/>
            <w:tcBorders>
              <w:left w:val="single" w:sz="4" w:space="0" w:color="000000"/>
              <w:bottom w:val="single" w:sz="4" w:space="0" w:color="000000"/>
              <w:right w:val="single" w:sz="4" w:space="0" w:color="000000"/>
            </w:tcBorders>
            <w:shd w:val="clear" w:color="auto" w:fill="D4D4D4"/>
          </w:tcPr>
          <w:p>
            <w:pPr/>
          </w:p>
        </w:tc>
        <w:tc>
          <w:tcPr>
            <w:tcW w:w="1915" w:type="dxa"/>
            <w:vMerge/>
            <w:tcBorders>
              <w:left w:val="single" w:sz="4" w:space="0" w:color="000000"/>
              <w:bottom w:val="single" w:sz="4" w:space="0" w:color="000000"/>
              <w:right w:val="single" w:sz="4" w:space="0" w:color="000000"/>
            </w:tcBorders>
            <w:shd w:val="clear" w:color="auto" w:fill="D4D4D4"/>
          </w:tcPr>
          <w:p>
            <w:pPr/>
          </w:p>
        </w:tc>
      </w:tr>
      <w:tr>
        <w:trPr>
          <w:trHeight w:val="715" w:hRule="exact"/>
        </w:trPr>
        <w:tc>
          <w:tcPr>
            <w:tcW w:w="21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2" w:right="152"/>
              <w:jc w:val="left"/>
              <w:rPr>
                <w:rFonts w:ascii="宋体" w:hAnsi="宋体" w:cs="宋体" w:eastAsia="宋体" w:hint="default"/>
                <w:sz w:val="18"/>
                <w:szCs w:val="18"/>
              </w:rPr>
            </w:pPr>
            <w:r>
              <w:rPr>
                <w:rFonts w:ascii="宋体" w:hAnsi="宋体" w:cs="宋体" w:eastAsia="宋体" w:hint="default"/>
                <w:sz w:val="18"/>
                <w:szCs w:val="18"/>
              </w:rPr>
              <w:t>非同一控制企业合并资产 评估增值</w:t>
            </w:r>
          </w:p>
        </w:tc>
        <w:tc>
          <w:tcPr>
            <w:tcW w:w="166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5,867,158.46</w:t>
            </w:r>
            <w:r>
              <w:rPr>
                <w:rFonts w:ascii="Times New Roman"/>
                <w:sz w:val="18"/>
              </w:rPr>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586,715.85</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726,090.00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181,522.50</w:t>
            </w:r>
          </w:p>
        </w:tc>
      </w:tr>
      <w:tr>
        <w:trPr>
          <w:trHeight w:val="713" w:hRule="exact"/>
        </w:trPr>
        <w:tc>
          <w:tcPr>
            <w:tcW w:w="21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49"/>
              <w:ind w:left="12" w:right="152"/>
              <w:jc w:val="left"/>
              <w:rPr>
                <w:rFonts w:ascii="宋体" w:hAnsi="宋体" w:cs="宋体" w:eastAsia="宋体" w:hint="default"/>
                <w:sz w:val="18"/>
                <w:szCs w:val="18"/>
              </w:rPr>
            </w:pPr>
            <w:r>
              <w:rPr>
                <w:rFonts w:ascii="宋体" w:hAnsi="宋体" w:cs="宋体" w:eastAsia="宋体" w:hint="default"/>
                <w:sz w:val="18"/>
                <w:szCs w:val="18"/>
              </w:rPr>
              <w:t>其他权益工具投资公允价 值变动</w:t>
            </w:r>
          </w:p>
        </w:tc>
        <w:tc>
          <w:tcPr>
            <w:tcW w:w="166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288,905,877.30</w:t>
            </w:r>
            <w:r>
              <w:rPr>
                <w:rFonts w:ascii="Times New Roman"/>
                <w:sz w:val="18"/>
              </w:rPr>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28,890,587.74</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177,889,279.25</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17,788,927.92</w:t>
            </w:r>
          </w:p>
        </w:tc>
      </w:tr>
      <w:tr>
        <w:trPr>
          <w:trHeight w:val="403" w:hRule="exact"/>
        </w:trPr>
        <w:tc>
          <w:tcPr>
            <w:tcW w:w="21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6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294,773,035.76</w:t>
            </w:r>
            <w:r>
              <w:rPr>
                <w:rFonts w:ascii="Times New Roman"/>
                <w:sz w:val="18"/>
              </w:rPr>
            </w:r>
          </w:p>
        </w:tc>
        <w:tc>
          <w:tcPr>
            <w:tcW w:w="2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29,477,303.59</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178,615,369.25</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17,970,450.42</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3）以抵销后净额列示的递延所得税资产或负债" w:id="323"/>
      <w:bookmarkEnd w:id="323"/>
      <w:r>
        <w:rPr>
          <w:b w:val="0"/>
          <w:bCs w:val="0"/>
        </w:rPr>
      </w:r>
      <w:r>
        <w:rPr/>
        <w:t>（</w:t>
      </w:r>
      <w:r>
        <w:rPr>
          <w:rFonts w:ascii="Times New Roman" w:hAnsi="Times New Roman" w:cs="Times New Roman" w:eastAsia="Times New Roman" w:hint="default"/>
        </w:rPr>
        <w:t>3</w:t>
      </w:r>
      <w:r>
        <w:rPr/>
        <w:t>）以抵销后净额列示的递延所得税资产或负债</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5"/>
        <w:gridCol w:w="1915"/>
        <w:gridCol w:w="1913"/>
        <w:gridCol w:w="1915"/>
      </w:tblGrid>
      <w:tr>
        <w:trPr>
          <w:trHeight w:val="715" w:hRule="exact"/>
        </w:trPr>
        <w:tc>
          <w:tcPr>
            <w:tcW w:w="19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412" w:right="50"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期末互抵金额</w:t>
            </w: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321" w:right="50" w:hanging="269"/>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或负债期末余额</w:t>
            </w:r>
          </w:p>
        </w:tc>
        <w:tc>
          <w:tcPr>
            <w:tcW w:w="19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412" w:right="48"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期初互抵金额</w:t>
            </w: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321" w:right="50" w:hanging="269"/>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或负债期初余额</w:t>
            </w:r>
          </w:p>
        </w:tc>
      </w:tr>
    </w:tbl>
    <w:p>
      <w:pPr>
        <w:spacing w:after="0" w:line="316" w:lineRule="auto"/>
        <w:jc w:val="left"/>
        <w:rPr>
          <w:rFonts w:ascii="宋体" w:hAnsi="宋体" w:cs="宋体" w:eastAsia="宋体" w:hint="default"/>
          <w:sz w:val="18"/>
          <w:szCs w:val="18"/>
        </w:rPr>
        <w:sectPr>
          <w:footerReference w:type="default" r:id="rId27"/>
          <w:pgSz w:w="11910" w:h="16840"/>
          <w:pgMar w:footer="982" w:header="745" w:top="1060" w:bottom="118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912"/>
        <w:gridCol w:w="1915"/>
        <w:gridCol w:w="1915"/>
        <w:gridCol w:w="1913"/>
        <w:gridCol w:w="1915"/>
      </w:tblGrid>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42,420,038.86</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34,912,262.65</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29,477,303.59</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17,970,450.42</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4）未确认递延所得税资产明细" w:id="324"/>
      <w:bookmarkEnd w:id="324"/>
      <w:r>
        <w:rPr>
          <w:b w:val="0"/>
          <w:bCs w:val="0"/>
        </w:rPr>
      </w:r>
      <w:r>
        <w:rPr/>
        <w:t>（</w:t>
      </w:r>
      <w:r>
        <w:rPr>
          <w:rFonts w:ascii="Times New Roman" w:hAnsi="Times New Roman" w:cs="Times New Roman" w:eastAsia="Times New Roman" w:hint="default"/>
        </w:rPr>
        <w:t>4</w:t>
      </w:r>
      <w:r>
        <w:rPr/>
        <w:t>）未确认递延所得税资产明细</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3"/>
        <w:gridCol w:w="3190"/>
      </w:tblGrid>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6,935,464.68</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4,707,893.23</w:t>
            </w:r>
            <w:r>
              <w:rPr>
                <w:rFonts w:ascii="Times New Roman"/>
                <w:sz w:val="18"/>
              </w:rPr>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75,276,659.13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59,446,656.15</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82,212,123.81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64,154,549.38</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5）未确认递延所得税资产的可抵扣亏损将于以下年度到期" w:id="325"/>
      <w:bookmarkEnd w:id="325"/>
      <w:r>
        <w:rPr>
          <w:b w:val="0"/>
          <w:bCs w:val="0"/>
        </w:rPr>
      </w:r>
      <w:r>
        <w:rPr/>
        <w:t>（</w:t>
      </w:r>
      <w:r>
        <w:rPr>
          <w:rFonts w:ascii="Times New Roman" w:hAnsi="Times New Roman" w:cs="Times New Roman" w:eastAsia="Times New Roman" w:hint="default"/>
        </w:rPr>
        <w:t>5</w:t>
      </w:r>
      <w:r>
        <w:rPr/>
        <w:t>）未确认递延所得税资产的可抵扣亏损将于以下年度到期</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88"/>
        <w:gridCol w:w="2395"/>
        <w:gridCol w:w="2393"/>
        <w:gridCol w:w="2393"/>
      </w:tblGrid>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年份</w:t>
            </w:r>
          </w:p>
        </w:tc>
        <w:tc>
          <w:tcPr>
            <w:tcW w:w="23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期初金额</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3,136,958.11</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14,999,218.29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14,810,117.46</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20,793,713.58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21,956,126.11</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21,303,133.81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22,680,412.58</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15,043,635.34</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75,276,659.13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59,446,656.15</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31、其他非流动资产" w:id="326"/>
      <w:bookmarkEnd w:id="326"/>
      <w:r>
        <w:rPr>
          <w:b w:val="0"/>
          <w:bCs w:val="0"/>
        </w:rPr>
      </w:r>
      <w:r>
        <w:rPr>
          <w:rFonts w:ascii="Times New Roman" w:hAnsi="Times New Roman" w:cs="Times New Roman" w:eastAsia="Times New Roman" w:hint="default"/>
        </w:rPr>
        <w:t>31</w:t>
      </w:r>
      <w:r>
        <w:rPr/>
        <w:t>、其他非流动资产</w:t>
      </w:r>
      <w:r>
        <w:rPr>
          <w:b w:val="0"/>
          <w:bCs w:val="0"/>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footerReference w:type="default" r:id="rId28"/>
          <w:pgSz w:w="11910" w:h="16840"/>
          <w:pgMar w:footer="982" w:header="745" w:top="1060" w:bottom="1180" w:left="980" w:right="0"/>
          <w:pgNumType w:start="201"/>
        </w:sectPr>
      </w:pPr>
    </w:p>
    <w:p>
      <w:pPr>
        <w:spacing w:before="44"/>
        <w:ind w:left="152" w:right="-20" w:firstLine="0"/>
        <w:jc w:val="left"/>
        <w:rPr>
          <w:rFonts w:ascii="宋体" w:hAnsi="宋体" w:cs="宋体" w:eastAsia="宋体" w:hint="default"/>
          <w:sz w:val="18"/>
          <w:szCs w:val="18"/>
        </w:rPr>
      </w:pPr>
      <w:r>
        <w:rPr>
          <w:rFonts w:ascii="宋体" w:hAnsi="宋体" w:cs="宋体" w:eastAsia="宋体" w:hint="default"/>
          <w:sz w:val="18"/>
          <w:szCs w:val="18"/>
        </w:rPr>
        <w:t>是否已执行新收入准则</w:t>
      </w:r>
    </w:p>
    <w:p>
      <w:pPr>
        <w:spacing w:before="115"/>
        <w:ind w:left="152" w:right="-20" w:firstLine="0"/>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3"/>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1953" w:space="6874"/>
            <w:col w:w="2103"/>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预付房屋、设备款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49,758,609.20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127,283,530.69</w:t>
            </w:r>
            <w:r>
              <w:rPr>
                <w:rFonts w:ascii="Times New Roman"/>
                <w:sz w:val="18"/>
              </w:rPr>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预付装修款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473,196.64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1,221,525.34</w:t>
            </w:r>
            <w:r>
              <w:rPr>
                <w:rFonts w:ascii="Times New Roman"/>
                <w:sz w:val="18"/>
              </w:rPr>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50,231,805.84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128,505,056.03</w:t>
            </w:r>
            <w:r>
              <w:rPr>
                <w:rFonts w:ascii="Times New Roman"/>
                <w:sz w:val="18"/>
              </w:rPr>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32、短期借款" w:id="327"/>
      <w:bookmarkEnd w:id="327"/>
      <w:r>
        <w:rPr>
          <w:b w:val="0"/>
          <w:bCs w:val="0"/>
        </w:rPr>
      </w:r>
      <w:r>
        <w:rPr>
          <w:rFonts w:ascii="Times New Roman" w:hAnsi="Times New Roman" w:cs="Times New Roman" w:eastAsia="Times New Roman" w:hint="default"/>
        </w:rPr>
        <w:t>32</w:t>
      </w:r>
      <w:r>
        <w:rPr/>
        <w:t>、短期借款</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after="0"/>
        <w:jc w:val="left"/>
        <w:rPr>
          <w:rFonts w:ascii="宋体" w:hAnsi="宋体" w:cs="宋体" w:eastAsia="宋体" w:hint="default"/>
          <w:sz w:val="18"/>
          <w:szCs w:val="18"/>
        </w:rPr>
        <w:sectPr>
          <w:type w:val="continuous"/>
          <w:pgSz w:w="11910" w:h="16840"/>
          <w:pgMar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33、交易性金融负债" w:id="328"/>
      <w:bookmarkEnd w:id="328"/>
      <w:r>
        <w:rPr>
          <w:b w:val="0"/>
          <w:bCs w:val="0"/>
        </w:rPr>
      </w:r>
      <w:r>
        <w:rPr>
          <w:rFonts w:ascii="Times New Roman" w:hAnsi="Times New Roman" w:cs="Times New Roman" w:eastAsia="Times New Roman" w:hint="default"/>
        </w:rPr>
        <w:t>33</w:t>
      </w:r>
      <w:r>
        <w:rPr/>
        <w:t>、交易性金融负债</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34、衍生金融负债" w:id="329"/>
      <w:bookmarkEnd w:id="329"/>
      <w:r>
        <w:rPr>
          <w:b w:val="0"/>
          <w:bCs w:val="0"/>
        </w:rPr>
      </w:r>
      <w:r>
        <w:rPr>
          <w:rFonts w:ascii="Times New Roman" w:hAnsi="Times New Roman" w:cs="Times New Roman" w:eastAsia="Times New Roman" w:hint="default"/>
        </w:rPr>
        <w:t>34</w:t>
      </w:r>
      <w:r>
        <w:rPr/>
        <w:t>、衍生金融负债</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35、应付票据" w:id="330"/>
      <w:bookmarkEnd w:id="330"/>
      <w:r>
        <w:rPr>
          <w:b w:val="0"/>
          <w:bCs w:val="0"/>
        </w:rPr>
      </w:r>
      <w:r>
        <w:rPr>
          <w:rFonts w:ascii="Times New Roman" w:hAnsi="Times New Roman" w:cs="Times New Roman" w:eastAsia="Times New Roman" w:hint="default"/>
        </w:rPr>
        <w:t>35</w:t>
      </w:r>
      <w:r>
        <w:rPr/>
        <w:t>、应付票据</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3"/>
        <w:gridCol w:w="3190"/>
      </w:tblGrid>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种类</w:t>
            </w:r>
          </w:p>
        </w:tc>
        <w:tc>
          <w:tcPr>
            <w:tcW w:w="320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3203" w:type="dxa"/>
            <w:tcBorders>
              <w:top w:val="single" w:sz="4" w:space="0" w:color="000000"/>
              <w:left w:val="single" w:sz="9" w:space="0" w:color="D4D4D4"/>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6,824,193.00</w:t>
            </w:r>
            <w:r>
              <w:rPr>
                <w:rFonts w:ascii="Times New Roman"/>
                <w:sz w:val="18"/>
              </w:rPr>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187,360,543.40</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71,988,177.00</w:t>
            </w:r>
          </w:p>
        </w:tc>
      </w:tr>
      <w:tr>
        <w:trPr>
          <w:trHeight w:val="401"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187,360,543.40</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78,812,370.00</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本期末已到期未支付的应付票据总额为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0.00 </w:t>
      </w:r>
      <w:r>
        <w:rPr>
          <w:rFonts w:ascii="宋体" w:hAnsi="宋体" w:cs="宋体" w:eastAsia="宋体" w:hint="default"/>
          <w:sz w:val="18"/>
          <w:szCs w:val="18"/>
        </w:rPr>
        <w:t>元。</w:t>
      </w:r>
    </w:p>
    <w:p>
      <w:pPr>
        <w:spacing w:line="240" w:lineRule="auto" w:before="2"/>
        <w:rPr>
          <w:rFonts w:ascii="宋体" w:hAnsi="宋体" w:cs="宋体" w:eastAsia="宋体" w:hint="default"/>
          <w:sz w:val="26"/>
          <w:szCs w:val="26"/>
        </w:rPr>
      </w:pPr>
    </w:p>
    <w:p>
      <w:pPr>
        <w:pStyle w:val="Heading4"/>
        <w:spacing w:line="240" w:lineRule="auto"/>
        <w:ind w:right="986"/>
        <w:jc w:val="left"/>
        <w:rPr>
          <w:b w:val="0"/>
          <w:bCs w:val="0"/>
        </w:rPr>
      </w:pPr>
      <w:bookmarkStart w:name="36、应付账款" w:id="331"/>
      <w:bookmarkEnd w:id="331"/>
      <w:r>
        <w:rPr>
          <w:b w:val="0"/>
          <w:bCs w:val="0"/>
        </w:rPr>
      </w:r>
      <w:r>
        <w:rPr>
          <w:rFonts w:ascii="Times New Roman" w:hAnsi="Times New Roman" w:cs="Times New Roman" w:eastAsia="Times New Roman" w:hint="default"/>
        </w:rPr>
        <w:t>36</w:t>
      </w:r>
      <w:r>
        <w:rPr/>
        <w:t>、应付账款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应付账款列示" w:id="332"/>
      <w:bookmarkEnd w:id="332"/>
      <w:r>
        <w:rPr>
          <w:b w:val="0"/>
          <w:bCs w:val="0"/>
        </w:rPr>
      </w:r>
      <w:r>
        <w:rPr/>
        <w:t>（</w:t>
      </w:r>
      <w:r>
        <w:rPr>
          <w:rFonts w:ascii="Times New Roman" w:hAnsi="Times New Roman" w:cs="Times New Roman" w:eastAsia="Times New Roman" w:hint="default"/>
        </w:rPr>
        <w:t>1</w:t>
      </w:r>
      <w:r>
        <w:rPr/>
        <w:t>）应付账款列示</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242,995,974.91</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150,479,122.86</w:t>
            </w:r>
            <w:r>
              <w:rPr>
                <w:rFonts w:ascii="Times New Roman"/>
                <w:sz w:val="18"/>
              </w:rPr>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工程款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240,227.21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9,105,196.44</w:t>
            </w:r>
            <w:r>
              <w:rPr>
                <w:rFonts w:ascii="Times New Roman"/>
                <w:sz w:val="18"/>
              </w:rPr>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服务费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17,912.00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243,254,114.12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159,584,319.30</w:t>
            </w:r>
            <w:r>
              <w:rPr>
                <w:rFonts w:ascii="Times New Roman"/>
                <w:sz w:val="18"/>
              </w:rPr>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2）账龄超过1年的重要应付账款" w:id="333"/>
      <w:bookmarkEnd w:id="333"/>
      <w:r>
        <w:rPr>
          <w:b w:val="0"/>
          <w:bCs w:val="0"/>
        </w:rPr>
      </w:r>
      <w:r>
        <w:rPr/>
        <w:t>（</w:t>
      </w:r>
      <w:r>
        <w:rPr>
          <w:rFonts w:ascii="Times New Roman" w:hAnsi="Times New Roman" w:cs="Times New Roman" w:eastAsia="Times New Roman" w:hint="default"/>
        </w:rPr>
        <w:t>2</w:t>
      </w:r>
      <w:r>
        <w:rPr/>
        <w:t>）账龄超过</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年的重要应付账款</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5,187,544.89</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业务未完结</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1,915,500.00</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业务未完结</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1,147,000.00</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业务未完结</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1,040,000.00</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业务未完结</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91"/>
              <w:ind w:right="4"/>
              <w:jc w:val="right"/>
              <w:rPr>
                <w:rFonts w:ascii="Times New Roman" w:hAnsi="Times New Roman" w:cs="Times New Roman" w:eastAsia="Times New Roman" w:hint="default"/>
                <w:sz w:val="18"/>
                <w:szCs w:val="18"/>
              </w:rPr>
            </w:pPr>
            <w:r>
              <w:rPr>
                <w:rFonts w:ascii="Times New Roman"/>
                <w:spacing w:val="-1"/>
                <w:sz w:val="18"/>
              </w:rPr>
              <w:t>9,290,044.89</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37、预收款项" w:id="334"/>
      <w:bookmarkEnd w:id="334"/>
      <w:r>
        <w:rPr>
          <w:b w:val="0"/>
          <w:bCs w:val="0"/>
        </w:rPr>
      </w:r>
      <w:r>
        <w:rPr>
          <w:rFonts w:ascii="Times New Roman" w:hAnsi="Times New Roman" w:cs="Times New Roman" w:eastAsia="Times New Roman" w:hint="default"/>
        </w:rPr>
        <w:t>37</w:t>
      </w:r>
      <w:r>
        <w:rPr/>
        <w:t>、预收款项</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是否已执行新收入准则</w:t>
      </w:r>
    </w:p>
    <w:p>
      <w:pPr>
        <w:spacing w:before="115"/>
        <w:ind w:left="152" w:right="986" w:firstLine="0"/>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3"/>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1）预收款项列示" w:id="335"/>
      <w:bookmarkEnd w:id="335"/>
      <w:r>
        <w:rPr>
          <w:b w:val="0"/>
          <w:bCs w:val="0"/>
        </w:rPr>
      </w:r>
      <w:r>
        <w:rPr/>
        <w:t>（</w:t>
      </w:r>
      <w:r>
        <w:rPr>
          <w:rFonts w:ascii="Times New Roman" w:hAnsi="Times New Roman" w:cs="Times New Roman" w:eastAsia="Times New Roman" w:hint="default"/>
        </w:rPr>
        <w:t>1</w:t>
      </w:r>
      <w:r>
        <w:rPr/>
        <w:t>）预收款项列示</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0"/>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352,995,480.27</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324,121,092.84</w:t>
            </w:r>
            <w:r>
              <w:rPr>
                <w:rFonts w:ascii="Times New Roman"/>
                <w:sz w:val="18"/>
              </w:rPr>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352,995,480.27</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324,121,092.84</w:t>
            </w:r>
            <w:r>
              <w:rPr>
                <w:rFonts w:ascii="Times New Roman"/>
                <w:sz w:val="18"/>
              </w:rPr>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2）账龄超过1年的重要预收款项" w:id="336"/>
      <w:bookmarkEnd w:id="336"/>
      <w:r>
        <w:rPr>
          <w:b w:val="0"/>
          <w:bCs w:val="0"/>
        </w:rPr>
      </w:r>
      <w:r>
        <w:rPr/>
        <w:t>（</w:t>
      </w:r>
      <w:r>
        <w:rPr>
          <w:rFonts w:ascii="Times New Roman" w:hAnsi="Times New Roman" w:cs="Times New Roman" w:eastAsia="Times New Roman" w:hint="default"/>
        </w:rPr>
        <w:t>2</w:t>
      </w:r>
      <w:r>
        <w:rPr/>
        <w:t>）账龄超过</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年的重要预收款项</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0"/>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4,102,325.66</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尚未验收</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3,547,525.66</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尚未验收</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1,383,466.99</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尚未验收</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91"/>
              <w:ind w:right="4"/>
              <w:jc w:val="right"/>
              <w:rPr>
                <w:rFonts w:ascii="Times New Roman" w:hAnsi="Times New Roman" w:cs="Times New Roman" w:eastAsia="Times New Roman" w:hint="default"/>
                <w:sz w:val="18"/>
                <w:szCs w:val="18"/>
              </w:rPr>
            </w:pPr>
            <w:r>
              <w:rPr>
                <w:rFonts w:ascii="Times New Roman"/>
                <w:spacing w:val="-1"/>
                <w:sz w:val="18"/>
              </w:rPr>
              <w:t>9,033,318.31</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3）期末建造合同形成的已结算未完工项目情况" w:id="337"/>
      <w:bookmarkEnd w:id="337"/>
      <w:r>
        <w:rPr>
          <w:b w:val="0"/>
          <w:bCs w:val="0"/>
        </w:rPr>
      </w:r>
      <w:r>
        <w:rPr/>
        <w:t>（</w:t>
      </w:r>
      <w:r>
        <w:rPr>
          <w:rFonts w:ascii="Times New Roman" w:hAnsi="Times New Roman" w:cs="Times New Roman" w:eastAsia="Times New Roman" w:hint="default"/>
        </w:rPr>
        <w:t>3</w:t>
      </w:r>
      <w:r>
        <w:rPr/>
        <w:t>）期末建造合同形成的已结算未完工项目情况</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38、合同负债" w:id="338"/>
      <w:bookmarkEnd w:id="338"/>
      <w:r>
        <w:rPr>
          <w:b w:val="0"/>
          <w:bCs w:val="0"/>
        </w:rPr>
      </w:r>
      <w:r>
        <w:rPr>
          <w:rFonts w:ascii="Times New Roman" w:hAnsi="Times New Roman" w:cs="Times New Roman" w:eastAsia="Times New Roman" w:hint="default"/>
        </w:rPr>
        <w:t>38</w:t>
      </w:r>
      <w:r>
        <w:rPr/>
        <w:t>、合同负债</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39、应付职工薪酬" w:id="339"/>
      <w:bookmarkEnd w:id="339"/>
      <w:r>
        <w:rPr>
          <w:b w:val="0"/>
          <w:bCs w:val="0"/>
        </w:rPr>
      </w:r>
      <w:r>
        <w:rPr>
          <w:rFonts w:ascii="Times New Roman" w:hAnsi="Times New Roman" w:cs="Times New Roman" w:eastAsia="Times New Roman" w:hint="default"/>
        </w:rPr>
        <w:t>39</w:t>
      </w:r>
      <w:r>
        <w:rPr/>
        <w:t>、应付职工薪酬</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应付职工薪酬列示" w:id="340"/>
      <w:bookmarkEnd w:id="340"/>
      <w:r>
        <w:rPr>
          <w:b w:val="0"/>
          <w:bCs w:val="0"/>
        </w:rPr>
      </w:r>
      <w:r>
        <w:rPr/>
        <w:t>（</w:t>
      </w:r>
      <w:r>
        <w:rPr>
          <w:rFonts w:ascii="Times New Roman" w:hAnsi="Times New Roman" w:cs="Times New Roman" w:eastAsia="Times New Roman" w:hint="default"/>
        </w:rPr>
        <w:t>1</w:t>
      </w:r>
      <w:r>
        <w:rPr/>
        <w:t>）应付职工薪酬列示</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501"/>
        <w:gridCol w:w="1315"/>
        <w:gridCol w:w="1915"/>
        <w:gridCol w:w="1913"/>
        <w:gridCol w:w="1915"/>
      </w:tblGrid>
      <w:tr>
        <w:trPr>
          <w:trHeight w:val="401" w:hRule="exact"/>
        </w:trPr>
        <w:tc>
          <w:tcPr>
            <w:tcW w:w="25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9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25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315"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2"/>
                <w:sz w:val="18"/>
              </w:rPr>
              <w:t>111,342,871.75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614,755,397.78</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581,300,917.56</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144,797,351.97</w:t>
            </w:r>
            <w:r>
              <w:rPr>
                <w:rFonts w:ascii="Times New Roman"/>
                <w:sz w:val="18"/>
              </w:rPr>
            </w:r>
          </w:p>
        </w:tc>
      </w:tr>
      <w:tr>
        <w:trPr>
          <w:trHeight w:val="401" w:hRule="exact"/>
        </w:trPr>
        <w:tc>
          <w:tcPr>
            <w:tcW w:w="25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设定提存计划</w:t>
            </w:r>
          </w:p>
        </w:tc>
        <w:tc>
          <w:tcPr>
            <w:tcW w:w="1315"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1,451,820.88</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36,544,339.46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37,254,156.26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742,004.08</w:t>
            </w:r>
          </w:p>
        </w:tc>
      </w:tr>
      <w:tr>
        <w:trPr>
          <w:trHeight w:val="403" w:hRule="exact"/>
        </w:trPr>
        <w:tc>
          <w:tcPr>
            <w:tcW w:w="25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315" w:type="dxa"/>
            <w:tcBorders>
              <w:top w:val="single" w:sz="4" w:space="0" w:color="000000"/>
              <w:left w:val="single" w:sz="13" w:space="0" w:color="D4D4D4"/>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1,595,818.53</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1,595,818.53</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5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15"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112,794,692.63</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652,895,555.77</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620,150,892.35</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145,539,356.05</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2）短期薪酬列示" w:id="341"/>
      <w:bookmarkEnd w:id="341"/>
      <w:r>
        <w:rPr>
          <w:b w:val="0"/>
          <w:bCs w:val="0"/>
        </w:rPr>
      </w:r>
      <w:r>
        <w:rPr/>
        <w:t>（</w:t>
      </w:r>
      <w:r>
        <w:rPr>
          <w:rFonts w:ascii="Times New Roman" w:hAnsi="Times New Roman" w:cs="Times New Roman" w:eastAsia="Times New Roman" w:hint="default"/>
        </w:rPr>
        <w:t>2</w:t>
      </w:r>
      <w:r>
        <w:rPr/>
        <w:t>）短期薪酬列示</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471"/>
        <w:gridCol w:w="1345"/>
        <w:gridCol w:w="1915"/>
        <w:gridCol w:w="1913"/>
        <w:gridCol w:w="1915"/>
      </w:tblGrid>
      <w:tr>
        <w:trPr>
          <w:trHeight w:val="403" w:hRule="exact"/>
        </w:trPr>
        <w:tc>
          <w:tcPr>
            <w:tcW w:w="24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4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1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24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、工资、奖金、津贴和补贴</w:t>
            </w:r>
          </w:p>
        </w:tc>
        <w:tc>
          <w:tcPr>
            <w:tcW w:w="1345"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108,911,195.15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512,145,660.59</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478,713,867.77</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142,342,987.97</w:t>
            </w:r>
            <w:r>
              <w:rPr>
                <w:rFonts w:ascii="Times New Roman"/>
                <w:sz w:val="18"/>
              </w:rPr>
            </w:r>
          </w:p>
        </w:tc>
      </w:tr>
      <w:tr>
        <w:trPr>
          <w:trHeight w:val="403" w:hRule="exact"/>
        </w:trPr>
        <w:tc>
          <w:tcPr>
            <w:tcW w:w="24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345" w:type="dxa"/>
            <w:tcBorders>
              <w:top w:val="single" w:sz="4" w:space="0" w:color="000000"/>
              <w:left w:val="single" w:sz="10" w:space="0" w:color="D4D4D4"/>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12,219,920.09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12,219,920.09</w:t>
            </w: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4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345"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554,616.39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19,816,513.04</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20,165,560.99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205,568.44</w:t>
            </w:r>
          </w:p>
        </w:tc>
      </w:tr>
      <w:tr>
        <w:trPr>
          <w:trHeight w:val="403" w:hRule="exact"/>
        </w:trPr>
        <w:tc>
          <w:tcPr>
            <w:tcW w:w="24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345"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492,717.00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17,102,054.10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17,411,741.48</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183,029.62</w:t>
            </w:r>
          </w:p>
        </w:tc>
      </w:tr>
      <w:tr>
        <w:trPr>
          <w:trHeight w:val="401" w:hRule="exact"/>
        </w:trPr>
        <w:tc>
          <w:tcPr>
            <w:tcW w:w="24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345"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17,881.01</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532,968.65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545,096.80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5,752.86</w:t>
            </w:r>
          </w:p>
        </w:tc>
      </w:tr>
      <w:tr>
        <w:trPr>
          <w:trHeight w:val="403" w:hRule="exact"/>
        </w:trPr>
        <w:tc>
          <w:tcPr>
            <w:tcW w:w="24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345"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44,018.38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2,181,490.29</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2,208,722.71</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16,785.96</w:t>
            </w:r>
          </w:p>
        </w:tc>
      </w:tr>
      <w:tr>
        <w:trPr>
          <w:trHeight w:val="401" w:hRule="exact"/>
        </w:trPr>
        <w:tc>
          <w:tcPr>
            <w:tcW w:w="24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345"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493,990.32</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35,697,063.21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36,087,847.45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103,206.08</w:t>
            </w:r>
          </w:p>
        </w:tc>
      </w:tr>
      <w:tr>
        <w:trPr>
          <w:trHeight w:val="403" w:hRule="exact"/>
        </w:trPr>
        <w:tc>
          <w:tcPr>
            <w:tcW w:w="24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、工会经费和职工教育经费</w:t>
            </w:r>
          </w:p>
        </w:tc>
        <w:tc>
          <w:tcPr>
            <w:tcW w:w="1345"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1,383,069.89</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5,837,838.31</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5,075,318.72</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2,145,589.48</w:t>
            </w:r>
            <w:r>
              <w:rPr>
                <w:rFonts w:ascii="Times New Roman"/>
                <w:sz w:val="18"/>
              </w:rPr>
            </w:r>
          </w:p>
        </w:tc>
      </w:tr>
      <w:tr>
        <w:trPr>
          <w:trHeight w:val="401" w:hRule="exact"/>
        </w:trPr>
        <w:tc>
          <w:tcPr>
            <w:tcW w:w="2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、股权激励</w:t>
            </w:r>
          </w:p>
        </w:tc>
        <w:tc>
          <w:tcPr>
            <w:tcW w:w="134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29,038,402.54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29,038,402.54</w:t>
            </w: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4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111,342,871.75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614,755,397.78</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581,300,917.56</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144,797,351.97</w:t>
            </w:r>
            <w:r>
              <w:rPr>
                <w:rFonts w:ascii="Times New Roman"/>
                <w:sz w:val="18"/>
              </w:rPr>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3）设定提存计划列示" w:id="342"/>
      <w:bookmarkEnd w:id="342"/>
      <w:r>
        <w:rPr>
          <w:b w:val="0"/>
          <w:bCs w:val="0"/>
        </w:rPr>
      </w:r>
      <w:r>
        <w:rPr/>
        <w:t>（</w:t>
      </w:r>
      <w:r>
        <w:rPr>
          <w:rFonts w:ascii="Times New Roman" w:hAnsi="Times New Roman" w:cs="Times New Roman" w:eastAsia="Times New Roman" w:hint="default"/>
        </w:rPr>
        <w:t>3</w:t>
      </w:r>
      <w:r>
        <w:rPr/>
        <w:t>）设定提存计划列示</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7"/>
        <w:gridCol w:w="1915"/>
        <w:gridCol w:w="1913"/>
        <w:gridCol w:w="1915"/>
      </w:tblGrid>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6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、基本养老保险</w:t>
            </w:r>
          </w:p>
        </w:tc>
        <w:tc>
          <w:tcPr>
            <w:tcW w:w="1927"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1,077,259.56</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35,098,974.78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35,474,093.81</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702,140.53</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927"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38,632.90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1,407,364.69</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1,432,509.74</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13,487.85</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、企业年金缴费</w:t>
            </w:r>
          </w:p>
        </w:tc>
        <w:tc>
          <w:tcPr>
            <w:tcW w:w="1927"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335,928.42</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37,999.99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347,552.71</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26,375.70</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7"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1,451,820.88</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36,544,339.46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37,254,156.26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742,004.08</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40、应交税费" w:id="343"/>
      <w:bookmarkEnd w:id="343"/>
      <w:r>
        <w:rPr>
          <w:b w:val="0"/>
          <w:bCs w:val="0"/>
        </w:rPr>
      </w:r>
      <w:r>
        <w:rPr>
          <w:rFonts w:ascii="Times New Roman" w:hAnsi="Times New Roman" w:cs="Times New Roman" w:eastAsia="Times New Roman" w:hint="default"/>
        </w:rPr>
        <w:t>40</w:t>
      </w:r>
      <w:r>
        <w:rPr/>
        <w:t>、应交税费</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75"/>
        <w:gridCol w:w="3192"/>
        <w:gridCol w:w="3190"/>
      </w:tblGrid>
      <w:tr>
        <w:trPr>
          <w:trHeight w:val="401" w:hRule="exact"/>
        </w:trPr>
        <w:tc>
          <w:tcPr>
            <w:tcW w:w="317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7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2"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49,531,878.79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47,824,062.60</w:t>
            </w:r>
          </w:p>
        </w:tc>
      </w:tr>
      <w:tr>
        <w:trPr>
          <w:trHeight w:val="401" w:hRule="exact"/>
        </w:trPr>
        <w:tc>
          <w:tcPr>
            <w:tcW w:w="317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2"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23,187,623.33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17,411,459.00</w:t>
            </w:r>
            <w:r>
              <w:rPr>
                <w:rFonts w:ascii="Times New Roman"/>
                <w:sz w:val="18"/>
              </w:rPr>
            </w:r>
          </w:p>
        </w:tc>
      </w:tr>
      <w:tr>
        <w:trPr>
          <w:trHeight w:val="403" w:hRule="exact"/>
        </w:trPr>
        <w:tc>
          <w:tcPr>
            <w:tcW w:w="317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192"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387,921.99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565,166.19</w:t>
            </w:r>
          </w:p>
        </w:tc>
      </w:tr>
      <w:tr>
        <w:trPr>
          <w:trHeight w:val="401" w:hRule="exact"/>
        </w:trPr>
        <w:tc>
          <w:tcPr>
            <w:tcW w:w="317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2"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3,481,144.39</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3,140,969.38</w:t>
            </w:r>
            <w:r>
              <w:rPr>
                <w:rFonts w:ascii="Times New Roman"/>
                <w:sz w:val="18"/>
              </w:rPr>
            </w:r>
          </w:p>
        </w:tc>
      </w:tr>
      <w:tr>
        <w:trPr>
          <w:trHeight w:val="403" w:hRule="exact"/>
        </w:trPr>
        <w:tc>
          <w:tcPr>
            <w:tcW w:w="3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1,495,545.28</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1,346,129.71</w:t>
            </w:r>
            <w:r>
              <w:rPr>
                <w:rFonts w:ascii="Times New Roman"/>
                <w:sz w:val="18"/>
              </w:rPr>
            </w:r>
          </w:p>
        </w:tc>
      </w:tr>
      <w:tr>
        <w:trPr>
          <w:trHeight w:val="401" w:hRule="exact"/>
        </w:trPr>
        <w:tc>
          <w:tcPr>
            <w:tcW w:w="3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地方教育附加</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997,030.21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895,832.25</w:t>
            </w:r>
          </w:p>
        </w:tc>
      </w:tr>
      <w:tr>
        <w:trPr>
          <w:trHeight w:val="403" w:hRule="exact"/>
        </w:trPr>
        <w:tc>
          <w:tcPr>
            <w:tcW w:w="3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370,651.80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410,338.75</w:t>
            </w:r>
          </w:p>
        </w:tc>
      </w:tr>
      <w:tr>
        <w:trPr>
          <w:trHeight w:val="401" w:hRule="exact"/>
        </w:trPr>
        <w:tc>
          <w:tcPr>
            <w:tcW w:w="3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1,157,042.21</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1,271,753.34</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48,989.17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63,111.45</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80,657,827.17</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72,928,822.67</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41、其他应付款" w:id="344"/>
      <w:bookmarkEnd w:id="344"/>
      <w:r>
        <w:rPr>
          <w:b w:val="0"/>
          <w:bCs w:val="0"/>
        </w:rPr>
      </w:r>
      <w:r>
        <w:rPr>
          <w:rFonts w:ascii="Times New Roman" w:hAnsi="Times New Roman" w:cs="Times New Roman" w:eastAsia="Times New Roman" w:hint="default"/>
        </w:rPr>
        <w:t>41</w:t>
      </w:r>
      <w:r>
        <w:rPr/>
        <w:t>、其他应付款</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3"/>
        <w:gridCol w:w="3190"/>
      </w:tblGrid>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203" w:type="dxa"/>
            <w:tcBorders>
              <w:top w:val="single" w:sz="4" w:space="0" w:color="000000"/>
              <w:left w:val="single" w:sz="9" w:space="0" w:color="D4D4D4"/>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117,714,143.46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61,328,926.49</w:t>
            </w:r>
          </w:p>
        </w:tc>
      </w:tr>
      <w:tr>
        <w:trPr>
          <w:trHeight w:val="401"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117,714,143.46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61,328,926.49</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2）应付股利" w:id="345"/>
      <w:bookmarkEnd w:id="345"/>
      <w:r>
        <w:rPr>
          <w:b w:val="0"/>
          <w:bCs w:val="0"/>
        </w:rPr>
      </w:r>
      <w:r>
        <w:rPr/>
        <w:t>（</w:t>
      </w:r>
      <w:r>
        <w:rPr>
          <w:rFonts w:ascii="Times New Roman" w:hAnsi="Times New Roman" w:cs="Times New Roman" w:eastAsia="Times New Roman" w:hint="default"/>
        </w:rPr>
        <w:t>2</w:t>
      </w:r>
      <w:r>
        <w:rPr/>
        <w:t>）应付股利</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3）其他应付款" w:id="346"/>
      <w:bookmarkEnd w:id="346"/>
      <w:r>
        <w:rPr>
          <w:b w:val="0"/>
          <w:bCs w:val="0"/>
        </w:rPr>
      </w:r>
      <w:r>
        <w:rPr/>
        <w:t>（</w:t>
      </w:r>
      <w:r>
        <w:rPr>
          <w:rFonts w:ascii="Times New Roman" w:hAnsi="Times New Roman" w:cs="Times New Roman" w:eastAsia="Times New Roman" w:hint="default"/>
        </w:rPr>
        <w:t>3</w:t>
      </w:r>
      <w:r>
        <w:rPr/>
        <w:t>）其他应付款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按款项性质列示其他应付款" w:id="347"/>
      <w:bookmarkEnd w:id="347"/>
      <w:r>
        <w:rPr>
          <w:b w:val="0"/>
          <w:bCs w:val="0"/>
        </w:rPr>
      </w:r>
      <w:r>
        <w:rPr>
          <w:rFonts w:ascii="Times New Roman" w:hAnsi="Times New Roman" w:cs="Times New Roman" w:eastAsia="Times New Roman" w:hint="default"/>
        </w:rPr>
        <w:t>1</w:t>
      </w:r>
      <w:r>
        <w:rPr/>
        <w:t>）按款项性质列示其他应付款</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0"/>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限制性股票回购义务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80,782,965.00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34,813,142.00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预提费用</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13,305,125.27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11,439,994.13</w:t>
            </w:r>
            <w:r>
              <w:rPr>
                <w:rFonts w:ascii="Times New Roman"/>
                <w:sz w:val="18"/>
              </w:rPr>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其他往来款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23,626,053.19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15,075,790.36</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7"/>
              <w:jc w:val="right"/>
              <w:rPr>
                <w:rFonts w:ascii="Arial" w:hAnsi="Arial" w:cs="Arial" w:eastAsia="Arial" w:hint="default"/>
                <w:sz w:val="18"/>
                <w:szCs w:val="18"/>
              </w:rPr>
            </w:pPr>
            <w:r>
              <w:rPr>
                <w:rFonts w:ascii="Arial"/>
                <w:spacing w:val="-2"/>
                <w:sz w:val="18"/>
              </w:rPr>
              <w:t>117,714,143.46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61,328,926.49</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2）账龄超过1年的重要其他应付款" w:id="348"/>
      <w:bookmarkEnd w:id="348"/>
      <w:r>
        <w:rPr>
          <w:b w:val="0"/>
          <w:bCs w:val="0"/>
        </w:rPr>
      </w:r>
      <w:r>
        <w:rPr>
          <w:rFonts w:ascii="Times New Roman" w:hAnsi="Times New Roman" w:cs="Times New Roman" w:eastAsia="Times New Roman" w:hint="default"/>
        </w:rPr>
        <w:t>2</w:t>
      </w:r>
      <w:r>
        <w:rPr/>
        <w:t>）账龄超过</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年的重要其他应付款</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0"/>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供应商</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1,692,000.00</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未到约定付款期</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13" w:space="0" w:color="D4D4D4"/>
            </w:tcBorders>
          </w:tcPr>
          <w:p>
            <w:pPr>
              <w:pStyle w:val="TableParagraph"/>
              <w:spacing w:line="240" w:lineRule="auto" w:before="91"/>
              <w:ind w:right="4"/>
              <w:jc w:val="right"/>
              <w:rPr>
                <w:rFonts w:ascii="Times New Roman" w:hAnsi="Times New Roman" w:cs="Times New Roman" w:eastAsia="Times New Roman" w:hint="default"/>
                <w:sz w:val="18"/>
                <w:szCs w:val="18"/>
              </w:rPr>
            </w:pPr>
            <w:r>
              <w:rPr>
                <w:rFonts w:ascii="Times New Roman"/>
                <w:spacing w:val="-1"/>
                <w:sz w:val="18"/>
              </w:rPr>
              <w:t>1,692,000.00</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42、持有待售负债" w:id="349"/>
      <w:bookmarkEnd w:id="349"/>
      <w:r>
        <w:rPr>
          <w:b w:val="0"/>
          <w:bCs w:val="0"/>
        </w:rPr>
      </w:r>
      <w:r>
        <w:rPr>
          <w:rFonts w:ascii="Times New Roman" w:hAnsi="Times New Roman" w:cs="Times New Roman" w:eastAsia="Times New Roman" w:hint="default"/>
        </w:rPr>
        <w:t>42</w:t>
      </w:r>
      <w:r>
        <w:rPr/>
        <w:t>、持有待售负债</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43、一年内到期的非流动负债" w:id="350"/>
      <w:bookmarkEnd w:id="350"/>
      <w:r>
        <w:rPr>
          <w:b w:val="0"/>
          <w:bCs w:val="0"/>
        </w:rPr>
      </w:r>
      <w:r>
        <w:rPr>
          <w:rFonts w:ascii="Times New Roman" w:hAnsi="Times New Roman" w:cs="Times New Roman" w:eastAsia="Times New Roman" w:hint="default"/>
        </w:rPr>
        <w:t>43</w:t>
      </w:r>
      <w:r>
        <w:rPr/>
        <w:t>、一年内到期的非流动负债</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3"/>
        <w:gridCol w:w="3190"/>
      </w:tblGrid>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一年内到期的长期借款及计提的利息</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1,585,849.29</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1,514,216.67</w:t>
            </w:r>
            <w:r>
              <w:rPr>
                <w:rFonts w:ascii="Times New Roman"/>
                <w:sz w:val="18"/>
              </w:rPr>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1,585,849.29</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1,514,216.67</w:t>
            </w:r>
            <w:r>
              <w:rPr>
                <w:rFonts w:ascii="Times New Roman"/>
                <w:sz w:val="18"/>
              </w:rPr>
            </w:r>
          </w:p>
        </w:tc>
      </w:tr>
    </w:tbl>
    <w:p>
      <w:pPr>
        <w:spacing w:line="595" w:lineRule="auto" w:before="49"/>
        <w:ind w:left="152" w:right="9068" w:firstLine="0"/>
        <w:jc w:val="left"/>
        <w:rPr>
          <w:rFonts w:ascii="宋体" w:hAnsi="宋体" w:cs="宋体" w:eastAsia="宋体" w:hint="default"/>
          <w:sz w:val="18"/>
          <w:szCs w:val="18"/>
        </w:rPr>
      </w:pPr>
      <w:r>
        <w:rPr>
          <w:rFonts w:ascii="宋体" w:hAnsi="宋体" w:cs="宋体" w:eastAsia="宋体" w:hint="default"/>
          <w:sz w:val="18"/>
          <w:szCs w:val="18"/>
        </w:rPr>
        <w:t>其他说明： </w:t>
      </w:r>
      <w:bookmarkStart w:name="44、其他流动负债" w:id="351"/>
      <w:bookmarkEnd w:id="351"/>
      <w:r>
        <w:rPr>
          <w:rFonts w:ascii="宋体" w:hAnsi="宋体" w:cs="宋体" w:eastAsia="宋体" w:hint="default"/>
          <w:sz w:val="18"/>
          <w:szCs w:val="18"/>
        </w:rPr>
      </w:r>
      <w:r>
        <w:rPr>
          <w:rFonts w:ascii="Times New Roman" w:hAnsi="Times New Roman" w:cs="Times New Roman" w:eastAsia="Times New Roman" w:hint="default"/>
          <w:b/>
          <w:bCs/>
          <w:sz w:val="21"/>
          <w:szCs w:val="21"/>
        </w:rPr>
        <w:t>44</w:t>
      </w:r>
      <w:r>
        <w:rPr>
          <w:rFonts w:ascii="宋体" w:hAnsi="宋体" w:cs="宋体" w:eastAsia="宋体" w:hint="default"/>
          <w:b/>
          <w:bCs/>
          <w:sz w:val="21"/>
          <w:szCs w:val="21"/>
        </w:rPr>
        <w:t>、其他流动负债</w:t>
      </w:r>
      <w:r>
        <w:rPr>
          <w:rFonts w:ascii="宋体" w:hAnsi="宋体" w:cs="宋体" w:eastAsia="宋体" w:hint="default"/>
          <w:b/>
          <w:bCs/>
          <w:w w:val="100"/>
          <w:sz w:val="21"/>
          <w:szCs w:val="21"/>
        </w:rPr>
        <w:t> </w:t>
      </w:r>
      <w:r>
        <w:rPr>
          <w:rFonts w:ascii="宋体" w:hAnsi="宋体" w:cs="宋体" w:eastAsia="宋体" w:hint="default"/>
          <w:sz w:val="18"/>
          <w:szCs w:val="18"/>
        </w:rPr>
        <w:t>无</w:t>
      </w:r>
    </w:p>
    <w:p>
      <w:pPr>
        <w:spacing w:line="240" w:lineRule="auto" w:before="9"/>
        <w:rPr>
          <w:rFonts w:ascii="宋体" w:hAnsi="宋体" w:cs="宋体" w:eastAsia="宋体" w:hint="default"/>
          <w:sz w:val="12"/>
          <w:szCs w:val="12"/>
        </w:rPr>
      </w:pPr>
    </w:p>
    <w:p>
      <w:pPr>
        <w:pStyle w:val="Heading4"/>
        <w:spacing w:line="240" w:lineRule="auto"/>
        <w:ind w:right="986"/>
        <w:jc w:val="left"/>
        <w:rPr>
          <w:b w:val="0"/>
          <w:bCs w:val="0"/>
        </w:rPr>
      </w:pPr>
      <w:bookmarkStart w:name="45、长期借款" w:id="352"/>
      <w:bookmarkEnd w:id="352"/>
      <w:r>
        <w:rPr>
          <w:b w:val="0"/>
          <w:bCs w:val="0"/>
        </w:rPr>
      </w:r>
      <w:r>
        <w:rPr>
          <w:rFonts w:ascii="Times New Roman" w:hAnsi="Times New Roman" w:cs="Times New Roman" w:eastAsia="Times New Roman" w:hint="default"/>
        </w:rPr>
        <w:t>45</w:t>
      </w:r>
      <w:r>
        <w:rPr/>
        <w:t>、长期借款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长期借款分类" w:id="353"/>
      <w:bookmarkEnd w:id="353"/>
      <w:r>
        <w:rPr>
          <w:b w:val="0"/>
          <w:bCs w:val="0"/>
        </w:rPr>
      </w:r>
      <w:r>
        <w:rPr/>
        <w:t>（</w:t>
      </w:r>
      <w:r>
        <w:rPr>
          <w:rFonts w:ascii="Times New Roman" w:hAnsi="Times New Roman" w:cs="Times New Roman" w:eastAsia="Times New Roman" w:hint="default"/>
        </w:rPr>
        <w:t>1</w:t>
      </w:r>
      <w:r>
        <w:rPr/>
        <w:t>）长期借款分类</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3"/>
        <w:gridCol w:w="3190"/>
      </w:tblGrid>
      <w:tr>
        <w:trPr>
          <w:trHeight w:val="401"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质押借款</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15,461,984.57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17,023,952.45</w:t>
            </w:r>
          </w:p>
        </w:tc>
      </w:tr>
      <w:tr>
        <w:trPr>
          <w:trHeight w:val="401"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15,461,984.57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17,023,952.45</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长期借款分类的说明：</w:t>
      </w:r>
    </w:p>
    <w:p>
      <w:pPr>
        <w:spacing w:line="240" w:lineRule="auto" w:before="6"/>
        <w:rPr>
          <w:rFonts w:ascii="宋体" w:hAnsi="宋体" w:cs="宋体" w:eastAsia="宋体" w:hint="default"/>
          <w:sz w:val="19"/>
          <w:szCs w:val="19"/>
        </w:rPr>
      </w:pPr>
    </w:p>
    <w:p>
      <w:pPr>
        <w:pStyle w:val="BodyText"/>
        <w:spacing w:line="240" w:lineRule="auto" w:before="0"/>
        <w:ind w:left="572" w:right="986"/>
        <w:jc w:val="left"/>
      </w:pPr>
      <w:r>
        <w:rPr>
          <w:spacing w:val="6"/>
        </w:rPr>
        <w:t>注：</w:t>
      </w:r>
      <w:r>
        <w:rPr>
          <w:rFonts w:ascii="宋体" w:hAnsi="宋体" w:cs="宋体" w:eastAsia="宋体" w:hint="default"/>
          <w:spacing w:val="6"/>
        </w:rPr>
        <w:t>2018</w:t>
      </w:r>
      <w:r>
        <w:rPr>
          <w:spacing w:val="6"/>
        </w:rPr>
        <w:t>年</w:t>
      </w:r>
      <w:r>
        <w:rPr>
          <w:rFonts w:ascii="宋体" w:hAnsi="宋体" w:cs="宋体" w:eastAsia="宋体" w:hint="default"/>
          <w:spacing w:val="6"/>
        </w:rPr>
        <w:t>11</w:t>
      </w:r>
      <w:r>
        <w:rPr>
          <w:spacing w:val="6"/>
        </w:rPr>
        <w:t>月，本集团与中国农业银行股份有限公司厦门思明支行签订了借款合同，借款金额</w:t>
      </w:r>
    </w:p>
    <w:p>
      <w:pPr>
        <w:spacing w:line="240" w:lineRule="auto" w:before="8"/>
        <w:rPr>
          <w:rFonts w:ascii="宋体" w:hAnsi="宋体" w:cs="宋体" w:eastAsia="宋体" w:hint="default"/>
          <w:sz w:val="14"/>
          <w:szCs w:val="14"/>
        </w:rPr>
      </w:pPr>
    </w:p>
    <w:p>
      <w:pPr>
        <w:pStyle w:val="BodyText"/>
        <w:spacing w:line="240" w:lineRule="auto" w:before="0"/>
        <w:ind w:right="986"/>
        <w:jc w:val="left"/>
      </w:pPr>
      <w:r>
        <w:rPr>
          <w:rFonts w:ascii="宋体" w:hAnsi="宋体" w:cs="宋体" w:eastAsia="宋体" w:hint="default"/>
        </w:rPr>
        <w:t>18,631,080.00</w:t>
      </w:r>
      <w:r>
        <w:rPr/>
        <w:t>元，以本集团</w:t>
      </w:r>
      <w:r>
        <w:rPr>
          <w:rFonts w:ascii="宋体" w:hAnsi="宋体" w:cs="宋体" w:eastAsia="宋体" w:hint="default"/>
        </w:rPr>
        <w:t>1900</w:t>
      </w:r>
      <w:r>
        <w:rPr/>
        <w:t>万元的定期存款为质押物，借款目的用于购置西安办公楼。借款期限：</w:t>
      </w:r>
    </w:p>
    <w:p>
      <w:pPr>
        <w:spacing w:line="240" w:lineRule="auto" w:before="10"/>
        <w:rPr>
          <w:rFonts w:ascii="宋体" w:hAnsi="宋体" w:cs="宋体" w:eastAsia="宋体" w:hint="default"/>
          <w:sz w:val="14"/>
          <w:szCs w:val="14"/>
        </w:rPr>
      </w:pPr>
    </w:p>
    <w:p>
      <w:pPr>
        <w:pStyle w:val="BodyText"/>
        <w:spacing w:line="240" w:lineRule="auto" w:before="0"/>
        <w:ind w:right="986"/>
        <w:jc w:val="left"/>
      </w:pPr>
      <w:r>
        <w:rPr>
          <w:rFonts w:ascii="宋体" w:hAnsi="宋体" w:cs="宋体" w:eastAsia="宋体" w:hint="default"/>
        </w:rPr>
        <w:t>10</w:t>
      </w:r>
      <w:r>
        <w:rPr/>
        <w:t>年，利率</w:t>
      </w:r>
      <w:r>
        <w:rPr>
          <w:rFonts w:ascii="宋体" w:hAnsi="宋体" w:cs="宋体" w:eastAsia="宋体" w:hint="default"/>
        </w:rPr>
        <w:t>4.84%,</w:t>
      </w:r>
      <w:r>
        <w:rPr/>
        <w:t>还款方式：按月等额本息还款。</w:t>
      </w:r>
    </w:p>
    <w:p>
      <w:pPr>
        <w:spacing w:line="240" w:lineRule="auto" w:before="10"/>
        <w:rPr>
          <w:rFonts w:ascii="宋体" w:hAnsi="宋体" w:cs="宋体" w:eastAsia="宋体" w:hint="default"/>
          <w:sz w:val="14"/>
          <w:szCs w:val="14"/>
        </w:rPr>
      </w:pPr>
    </w:p>
    <w:p>
      <w:pPr>
        <w:pStyle w:val="BodyText"/>
        <w:spacing w:line="408" w:lineRule="auto" w:before="0"/>
        <w:ind w:right="1121" w:firstLine="419"/>
        <w:jc w:val="both"/>
      </w:pPr>
      <w:r>
        <w:rPr>
          <w:rFonts w:ascii="宋体" w:hAnsi="宋体" w:cs="宋体" w:eastAsia="宋体" w:hint="default"/>
          <w:spacing w:val="-2"/>
        </w:rPr>
        <w:t>2019</w:t>
      </w:r>
      <w:r>
        <w:rPr>
          <w:spacing w:val="-2"/>
        </w:rPr>
        <w:t>年</w:t>
      </w:r>
      <w:r>
        <w:rPr>
          <w:rFonts w:ascii="宋体" w:hAnsi="宋体" w:cs="宋体" w:eastAsia="宋体" w:hint="default"/>
          <w:spacing w:val="-2"/>
        </w:rPr>
        <w:t>11</w:t>
      </w:r>
      <w:r>
        <w:rPr>
          <w:spacing w:val="-2"/>
        </w:rPr>
        <w:t>月，原定期存单到期，本集团与中国农业银行股份有限公司厦门思明支行于</w:t>
      </w:r>
      <w:r>
        <w:rPr>
          <w:rFonts w:ascii="宋体" w:hAnsi="宋体" w:cs="宋体" w:eastAsia="宋体" w:hint="default"/>
          <w:spacing w:val="-2"/>
        </w:rPr>
        <w:t>2019</w:t>
      </w:r>
      <w:r>
        <w:rPr>
          <w:spacing w:val="-2"/>
        </w:rPr>
        <w:t>年</w:t>
      </w:r>
      <w:r>
        <w:rPr>
          <w:rFonts w:ascii="宋体" w:hAnsi="宋体" w:cs="宋体" w:eastAsia="宋体" w:hint="default"/>
          <w:spacing w:val="-2"/>
        </w:rPr>
        <w:t>11</w:t>
      </w:r>
      <w:r>
        <w:rPr>
          <w:spacing w:val="-2"/>
        </w:rPr>
        <w:t>月</w:t>
      </w:r>
      <w:r>
        <w:rPr>
          <w:rFonts w:ascii="宋体" w:hAnsi="宋体" w:cs="宋体" w:eastAsia="宋体" w:hint="default"/>
          <w:spacing w:val="-2"/>
        </w:rPr>
        <w:t>29</w:t>
      </w:r>
      <w:r>
        <w:rPr>
          <w:spacing w:val="-2"/>
        </w:rPr>
        <w:t>日</w:t>
      </w:r>
      <w:r>
        <w:rPr>
          <w:w w:val="100"/>
        </w:rPr>
        <w:t> </w:t>
      </w:r>
      <w:r>
        <w:rPr>
          <w:spacing w:val="3"/>
        </w:rPr>
        <w:t>签订了编号为“83100420180002372”的权利质押合同，本集团以编号为“02</w:t>
      </w:r>
      <w:r>
        <w:rPr>
          <w:rFonts w:ascii="宋体" w:hAnsi="宋体" w:cs="宋体" w:eastAsia="宋体" w:hint="default"/>
          <w:spacing w:val="3"/>
        </w:rPr>
        <w:t>-</w:t>
      </w:r>
      <w:r>
        <w:rPr>
          <w:spacing w:val="3"/>
        </w:rPr>
        <w:t>000231413”的定期存单</w:t>
      </w:r>
      <w:r>
        <w:rPr>
          <w:spacing w:val="1"/>
        </w:rPr>
        <w:t> </w:t>
      </w:r>
      <w:r>
        <w:rPr>
          <w:spacing w:val="1"/>
        </w:rPr>
      </w:r>
      <w:r>
        <w:rPr>
          <w:rFonts w:ascii="宋体" w:hAnsi="宋体" w:cs="宋体" w:eastAsia="宋体" w:hint="default"/>
        </w:rPr>
        <w:t>1900</w:t>
      </w:r>
      <w:r>
        <w:rPr/>
        <w:t>万元作为质押物。</w:t>
      </w:r>
    </w:p>
    <w:p>
      <w:pPr>
        <w:spacing w:before="30"/>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其他说明，包括利率区间：</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46、应付债券" w:id="354"/>
      <w:bookmarkEnd w:id="354"/>
      <w:r>
        <w:rPr>
          <w:b w:val="0"/>
          <w:bCs w:val="0"/>
        </w:rPr>
      </w:r>
      <w:r>
        <w:rPr>
          <w:rFonts w:ascii="Times New Roman" w:hAnsi="Times New Roman" w:cs="Times New Roman" w:eastAsia="Times New Roman" w:hint="default"/>
        </w:rPr>
        <w:t>46</w:t>
      </w:r>
      <w:r>
        <w:rPr/>
        <w:t>、应付债券</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47、租赁负债" w:id="355"/>
      <w:bookmarkEnd w:id="355"/>
      <w:r>
        <w:rPr>
          <w:b w:val="0"/>
          <w:bCs w:val="0"/>
        </w:rPr>
      </w:r>
      <w:r>
        <w:rPr>
          <w:rFonts w:ascii="Times New Roman" w:hAnsi="Times New Roman" w:cs="Times New Roman" w:eastAsia="Times New Roman" w:hint="default"/>
        </w:rPr>
        <w:t>47</w:t>
      </w:r>
      <w:r>
        <w:rPr/>
        <w:t>、租赁负债</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48、长期应付款" w:id="356"/>
      <w:bookmarkEnd w:id="356"/>
      <w:r>
        <w:rPr>
          <w:b w:val="0"/>
          <w:bCs w:val="0"/>
        </w:rPr>
      </w:r>
      <w:r>
        <w:rPr>
          <w:rFonts w:ascii="Times New Roman" w:hAnsi="Times New Roman" w:cs="Times New Roman" w:eastAsia="Times New Roman" w:hint="default"/>
        </w:rPr>
        <w:t>48</w:t>
      </w:r>
      <w:r>
        <w:rPr/>
        <w:t>、长期应付款</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49、长期应付职工薪酬" w:id="357"/>
      <w:bookmarkEnd w:id="357"/>
      <w:r>
        <w:rPr>
          <w:b w:val="0"/>
          <w:bCs w:val="0"/>
        </w:rPr>
      </w:r>
      <w:r>
        <w:rPr>
          <w:rFonts w:ascii="Times New Roman" w:hAnsi="Times New Roman" w:cs="Times New Roman" w:eastAsia="Times New Roman" w:hint="default"/>
        </w:rPr>
        <w:t>49</w:t>
      </w:r>
      <w:r>
        <w:rPr/>
        <w:t>、长期应付职工薪酬</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50、预计负债" w:id="358"/>
      <w:bookmarkEnd w:id="358"/>
      <w:r>
        <w:rPr>
          <w:b w:val="0"/>
          <w:bCs w:val="0"/>
        </w:rPr>
      </w:r>
      <w:r>
        <w:rPr>
          <w:rFonts w:ascii="Times New Roman" w:hAnsi="Times New Roman" w:cs="Times New Roman" w:eastAsia="Times New Roman" w:hint="default"/>
        </w:rPr>
        <w:t>50</w:t>
      </w:r>
      <w:r>
        <w:rPr/>
        <w:t>、预计负债</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51、递延收益" w:id="359"/>
      <w:bookmarkEnd w:id="359"/>
      <w:r>
        <w:rPr>
          <w:b w:val="0"/>
          <w:bCs w:val="0"/>
        </w:rPr>
      </w:r>
      <w:r>
        <w:rPr>
          <w:rFonts w:ascii="Times New Roman" w:hAnsi="Times New Roman" w:cs="Times New Roman" w:eastAsia="Times New Roman" w:hint="default"/>
        </w:rPr>
        <w:t>51</w:t>
      </w:r>
      <w:r>
        <w:rPr/>
        <w:t>、递延收益</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571"/>
        <w:gridCol w:w="1607"/>
        <w:gridCol w:w="1594"/>
        <w:gridCol w:w="1596"/>
        <w:gridCol w:w="1594"/>
        <w:gridCol w:w="1594"/>
      </w:tblGrid>
      <w:tr>
        <w:trPr>
          <w:trHeight w:val="401" w:hRule="exact"/>
        </w:trPr>
        <w:tc>
          <w:tcPr>
            <w:tcW w:w="15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60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4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3" w:hRule="exact"/>
        </w:trPr>
        <w:tc>
          <w:tcPr>
            <w:tcW w:w="15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607"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28,099,101.81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16,005,500.00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2,455,582.55</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41,649,019.26</w:t>
            </w: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5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07"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28,099,101.81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16,005,500.00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2,455,582.55</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41,649,019.26</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涉及政府补助的项目：</w:t>
      </w:r>
    </w:p>
    <w:p>
      <w:pPr>
        <w:spacing w:before="117"/>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608"/>
        <w:gridCol w:w="1066"/>
        <w:gridCol w:w="931"/>
        <w:gridCol w:w="914"/>
        <w:gridCol w:w="1109"/>
        <w:gridCol w:w="946"/>
        <w:gridCol w:w="737"/>
        <w:gridCol w:w="1248"/>
        <w:gridCol w:w="1010"/>
      </w:tblGrid>
      <w:tr>
        <w:trPr>
          <w:trHeight w:val="1026" w:hRule="exact"/>
        </w:trPr>
        <w:tc>
          <w:tcPr>
            <w:tcW w:w="160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439" w:right="0"/>
              <w:jc w:val="left"/>
              <w:rPr>
                <w:rFonts w:ascii="宋体" w:hAnsi="宋体" w:cs="宋体" w:eastAsia="宋体" w:hint="default"/>
                <w:sz w:val="18"/>
                <w:szCs w:val="18"/>
              </w:rPr>
            </w:pPr>
            <w:r>
              <w:rPr>
                <w:rFonts w:ascii="宋体" w:hAnsi="宋体" w:cs="宋体" w:eastAsia="宋体" w:hint="default"/>
                <w:sz w:val="18"/>
                <w:szCs w:val="18"/>
              </w:rPr>
              <w:t>负债项目</w:t>
            </w:r>
          </w:p>
        </w:tc>
        <w:tc>
          <w:tcPr>
            <w:tcW w:w="10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70"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93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100" w:right="98"/>
              <w:jc w:val="left"/>
              <w:rPr>
                <w:rFonts w:ascii="宋体" w:hAnsi="宋体" w:cs="宋体" w:eastAsia="宋体" w:hint="default"/>
                <w:sz w:val="18"/>
                <w:szCs w:val="18"/>
              </w:rPr>
            </w:pPr>
            <w:r>
              <w:rPr>
                <w:rFonts w:ascii="宋体" w:hAnsi="宋体" w:cs="宋体" w:eastAsia="宋体" w:hint="default"/>
                <w:sz w:val="18"/>
                <w:szCs w:val="18"/>
              </w:rPr>
              <w:t>本期新增 补助金额</w:t>
            </w:r>
          </w:p>
        </w:tc>
        <w:tc>
          <w:tcPr>
            <w:tcW w:w="91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0"/>
              <w:ind w:left="93" w:right="89"/>
              <w:jc w:val="both"/>
              <w:rPr>
                <w:rFonts w:ascii="宋体" w:hAnsi="宋体" w:cs="宋体" w:eastAsia="宋体" w:hint="default"/>
                <w:sz w:val="18"/>
                <w:szCs w:val="18"/>
              </w:rPr>
            </w:pPr>
            <w:r>
              <w:rPr>
                <w:rFonts w:ascii="宋体" w:hAnsi="宋体" w:cs="宋体" w:eastAsia="宋体" w:hint="default"/>
                <w:sz w:val="18"/>
                <w:szCs w:val="18"/>
              </w:rPr>
              <w:t>本期计入 营业外收 入金额</w:t>
            </w:r>
          </w:p>
        </w:tc>
        <w:tc>
          <w:tcPr>
            <w:tcW w:w="110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100" w:right="96"/>
              <w:jc w:val="left"/>
              <w:rPr>
                <w:rFonts w:ascii="宋体" w:hAnsi="宋体" w:cs="宋体" w:eastAsia="宋体" w:hint="default"/>
                <w:sz w:val="18"/>
                <w:szCs w:val="18"/>
              </w:rPr>
            </w:pPr>
            <w:r>
              <w:rPr>
                <w:rFonts w:ascii="宋体" w:hAnsi="宋体" w:cs="宋体" w:eastAsia="宋体" w:hint="default"/>
                <w:sz w:val="18"/>
                <w:szCs w:val="18"/>
              </w:rPr>
              <w:t>本期计入其 他收益金额</w:t>
            </w:r>
          </w:p>
        </w:tc>
        <w:tc>
          <w:tcPr>
            <w:tcW w:w="94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0"/>
              <w:ind w:left="110" w:right="103"/>
              <w:jc w:val="center"/>
              <w:rPr>
                <w:rFonts w:ascii="宋体" w:hAnsi="宋体" w:cs="宋体" w:eastAsia="宋体" w:hint="default"/>
                <w:sz w:val="18"/>
                <w:szCs w:val="18"/>
              </w:rPr>
            </w:pPr>
            <w:r>
              <w:rPr>
                <w:rFonts w:ascii="宋体" w:hAnsi="宋体" w:cs="宋体" w:eastAsia="宋体" w:hint="default"/>
                <w:sz w:val="18"/>
                <w:szCs w:val="18"/>
              </w:rPr>
              <w:t>本期冲减 成本费用 金额</w:t>
            </w:r>
          </w:p>
        </w:tc>
        <w:tc>
          <w:tcPr>
            <w:tcW w:w="7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273" w:right="91" w:hanging="180"/>
              <w:jc w:val="left"/>
              <w:rPr>
                <w:rFonts w:ascii="宋体" w:hAnsi="宋体" w:cs="宋体" w:eastAsia="宋体" w:hint="default"/>
                <w:sz w:val="18"/>
                <w:szCs w:val="18"/>
              </w:rPr>
            </w:pPr>
            <w:r>
              <w:rPr>
                <w:rFonts w:ascii="宋体" w:hAnsi="宋体" w:cs="宋体" w:eastAsia="宋体" w:hint="default"/>
                <w:sz w:val="18"/>
                <w:szCs w:val="18"/>
              </w:rPr>
              <w:t>其他变 动</w:t>
            </w:r>
          </w:p>
        </w:tc>
        <w:tc>
          <w:tcPr>
            <w:tcW w:w="124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59"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1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0"/>
              <w:ind w:right="0"/>
              <w:jc w:val="left"/>
              <w:rPr>
                <w:rFonts w:ascii="宋体" w:hAnsi="宋体" w:cs="宋体" w:eastAsia="宋体" w:hint="default"/>
                <w:sz w:val="15"/>
                <w:szCs w:val="15"/>
              </w:rPr>
            </w:pPr>
          </w:p>
          <w:p>
            <w:pPr>
              <w:pStyle w:val="TableParagraph"/>
              <w:spacing w:line="297" w:lineRule="auto"/>
              <w:ind w:left="50" w:right="24" w:hanging="27"/>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713"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32"/>
              <w:jc w:val="left"/>
              <w:rPr>
                <w:rFonts w:ascii="宋体" w:hAnsi="宋体" w:cs="宋体" w:eastAsia="宋体" w:hint="default"/>
                <w:sz w:val="18"/>
                <w:szCs w:val="18"/>
              </w:rPr>
            </w:pPr>
            <w:r>
              <w:rPr>
                <w:rFonts w:ascii="宋体" w:hAnsi="宋体" w:cs="宋体" w:eastAsia="宋体" w:hint="default"/>
                <w:sz w:val="18"/>
                <w:szCs w:val="18"/>
              </w:rPr>
              <w:t>厦门超级计算中心 滚动支持</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6,399,998.84</w:t>
            </w:r>
            <w:r>
              <w:rPr>
                <w:rFonts w:ascii="Times New Roman"/>
                <w:sz w:val="18"/>
              </w:rPr>
            </w:r>
          </w:p>
        </w:tc>
        <w:tc>
          <w:tcPr>
            <w:tcW w:w="931" w:type="dxa"/>
            <w:tcBorders>
              <w:top w:val="single" w:sz="4" w:space="0" w:color="000000"/>
              <w:left w:val="single" w:sz="4" w:space="0" w:color="000000"/>
              <w:bottom w:val="single" w:sz="4" w:space="0" w:color="000000"/>
              <w:right w:val="single" w:sz="4" w:space="0" w:color="000000"/>
            </w:tcBorders>
          </w:tcPr>
          <w:p>
            <w:pP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1,600,000.00</w:t>
            </w:r>
            <w:r>
              <w:rPr>
                <w:rFonts w:ascii="Times New Roman"/>
                <w:sz w:val="18"/>
              </w:rPr>
            </w: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4,799,998.84</w:t>
            </w:r>
            <w:r>
              <w:rPr>
                <w:rFonts w:ascii="Times New Roman"/>
                <w:sz w:val="18"/>
              </w:rPr>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5"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32"/>
              <w:jc w:val="left"/>
              <w:rPr>
                <w:rFonts w:ascii="宋体" w:hAnsi="宋体" w:cs="宋体" w:eastAsia="宋体" w:hint="default"/>
                <w:sz w:val="18"/>
                <w:szCs w:val="18"/>
              </w:rPr>
            </w:pPr>
            <w:r>
              <w:rPr>
                <w:rFonts w:ascii="宋体" w:hAnsi="宋体" w:cs="宋体" w:eastAsia="宋体" w:hint="default"/>
                <w:sz w:val="18"/>
                <w:szCs w:val="18"/>
              </w:rPr>
              <w:t>电子取证关键技术 研究</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6,800.01</w:t>
            </w:r>
          </w:p>
        </w:tc>
        <w:tc>
          <w:tcPr>
            <w:tcW w:w="931" w:type="dxa"/>
            <w:tcBorders>
              <w:top w:val="single" w:sz="4" w:space="0" w:color="000000"/>
              <w:left w:val="single" w:sz="4" w:space="0" w:color="000000"/>
              <w:bottom w:val="single" w:sz="4" w:space="0" w:color="000000"/>
              <w:right w:val="single" w:sz="4" w:space="0" w:color="000000"/>
            </w:tcBorders>
          </w:tcPr>
          <w:p>
            <w:pP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6,800.01</w:t>
            </w: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3"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168"/>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十二五</w:t>
            </w:r>
            <w:r>
              <w:rPr>
                <w:rFonts w:ascii="Times New Roman" w:hAnsi="Times New Roman" w:cs="Times New Roman" w:eastAsia="Times New Roman" w:hint="default"/>
                <w:sz w:val="18"/>
                <w:szCs w:val="18"/>
              </w:rPr>
              <w:t>"</w:t>
            </w:r>
            <w:r>
              <w:rPr>
                <w:rFonts w:ascii="宋体" w:hAnsi="宋体" w:cs="宋体" w:eastAsia="宋体" w:hint="default"/>
                <w:sz w:val="18"/>
                <w:szCs w:val="18"/>
              </w:rPr>
              <w:t>国家科技 支撑项目</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w w:val="95"/>
                <w:sz w:val="18"/>
              </w:rPr>
              <w:t>11,694.33</w:t>
            </w:r>
          </w:p>
        </w:tc>
        <w:tc>
          <w:tcPr>
            <w:tcW w:w="931" w:type="dxa"/>
            <w:tcBorders>
              <w:top w:val="single" w:sz="4" w:space="0" w:color="000000"/>
              <w:left w:val="single" w:sz="4" w:space="0" w:color="000000"/>
              <w:bottom w:val="single" w:sz="4" w:space="0" w:color="000000"/>
              <w:right w:val="single" w:sz="4" w:space="0" w:color="000000"/>
            </w:tcBorders>
          </w:tcPr>
          <w:p>
            <w:pP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w w:val="95"/>
                <w:sz w:val="18"/>
              </w:rPr>
              <w:t>11,694.33</w:t>
            </w: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5"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32"/>
              <w:jc w:val="left"/>
              <w:rPr>
                <w:rFonts w:ascii="宋体" w:hAnsi="宋体" w:cs="宋体" w:eastAsia="宋体" w:hint="default"/>
                <w:sz w:val="18"/>
                <w:szCs w:val="18"/>
              </w:rPr>
            </w:pPr>
            <w:r>
              <w:rPr>
                <w:rFonts w:ascii="宋体" w:hAnsi="宋体" w:cs="宋体" w:eastAsia="宋体" w:hint="default"/>
                <w:sz w:val="18"/>
                <w:szCs w:val="18"/>
              </w:rPr>
              <w:t>企业技术改造项目 补助资金</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600,000.00</w:t>
            </w:r>
          </w:p>
        </w:tc>
        <w:tc>
          <w:tcPr>
            <w:tcW w:w="931" w:type="dxa"/>
            <w:tcBorders>
              <w:top w:val="single" w:sz="4" w:space="0" w:color="000000"/>
              <w:left w:val="single" w:sz="4" w:space="0" w:color="000000"/>
              <w:bottom w:val="single" w:sz="4" w:space="0" w:color="000000"/>
              <w:right w:val="single" w:sz="4" w:space="0" w:color="000000"/>
            </w:tcBorders>
          </w:tcPr>
          <w:p>
            <w:pP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600,000.00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025"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4" w:right="60"/>
              <w:jc w:val="left"/>
              <w:rPr>
                <w:rFonts w:ascii="Times New Roman" w:hAnsi="Times New Roman" w:cs="Times New Roman" w:eastAsia="Times New Roman" w:hint="default"/>
                <w:sz w:val="18"/>
                <w:szCs w:val="18"/>
              </w:rPr>
            </w:pPr>
            <w:r>
              <w:rPr>
                <w:rFonts w:ascii="宋体" w:hAnsi="宋体" w:cs="宋体" w:eastAsia="宋体" w:hint="default"/>
                <w:sz w:val="18"/>
                <w:szCs w:val="18"/>
              </w:rPr>
              <w:t>国家服务业发展引 导资金</w:t>
            </w:r>
            <w:r>
              <w:rPr>
                <w:rFonts w:ascii="Times New Roman" w:hAnsi="Times New Roman" w:cs="Times New Roman" w:eastAsia="Times New Roman" w:hint="default"/>
                <w:sz w:val="18"/>
                <w:szCs w:val="18"/>
              </w:rPr>
              <w:t>"</w:t>
            </w:r>
            <w:r>
              <w:rPr>
                <w:rFonts w:ascii="宋体" w:hAnsi="宋体" w:cs="宋体" w:eastAsia="宋体" w:hint="default"/>
                <w:sz w:val="18"/>
                <w:szCs w:val="18"/>
              </w:rPr>
              <w:t>电子数据存 证云</w:t>
            </w:r>
            <w:r>
              <w:rPr>
                <w:rFonts w:ascii="Times New Roman" w:hAnsi="Times New Roman" w:cs="Times New Roman" w:eastAsia="Times New Roman" w:hint="default"/>
                <w:sz w:val="18"/>
                <w:szCs w:val="18"/>
              </w:rPr>
              <w:t>"</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487,677.43</w:t>
            </w:r>
          </w:p>
        </w:tc>
        <w:tc>
          <w:tcPr>
            <w:tcW w:w="931" w:type="dxa"/>
            <w:tcBorders>
              <w:top w:val="single" w:sz="4" w:space="0" w:color="000000"/>
              <w:left w:val="single" w:sz="4" w:space="0" w:color="000000"/>
              <w:bottom w:val="single" w:sz="4" w:space="0" w:color="000000"/>
              <w:right w:val="single" w:sz="4" w:space="0" w:color="000000"/>
            </w:tcBorders>
          </w:tcPr>
          <w:p>
            <w:pP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338,150.90</w:t>
            </w: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149,526.53</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5"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32"/>
              <w:jc w:val="left"/>
              <w:rPr>
                <w:rFonts w:ascii="宋体" w:hAnsi="宋体" w:cs="宋体" w:eastAsia="宋体" w:hint="default"/>
                <w:sz w:val="18"/>
                <w:szCs w:val="18"/>
              </w:rPr>
            </w:pPr>
            <w:r>
              <w:rPr>
                <w:rFonts w:ascii="宋体" w:hAnsi="宋体" w:cs="宋体" w:eastAsia="宋体" w:hint="default"/>
                <w:sz w:val="18"/>
                <w:szCs w:val="18"/>
              </w:rPr>
              <w:t>物联网实时图像识 别</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3,600,000.00</w:t>
            </w:r>
            <w:r>
              <w:rPr>
                <w:rFonts w:ascii="Times New Roman"/>
                <w:sz w:val="18"/>
              </w:rPr>
            </w:r>
          </w:p>
        </w:tc>
        <w:tc>
          <w:tcPr>
            <w:tcW w:w="931" w:type="dxa"/>
            <w:tcBorders>
              <w:top w:val="single" w:sz="4" w:space="0" w:color="000000"/>
              <w:left w:val="single" w:sz="4" w:space="0" w:color="000000"/>
              <w:bottom w:val="single" w:sz="4" w:space="0" w:color="000000"/>
              <w:right w:val="single" w:sz="4" w:space="0" w:color="000000"/>
            </w:tcBorders>
          </w:tcPr>
          <w:p>
            <w:pP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3,600,000.00</w:t>
            </w:r>
            <w:r>
              <w:rPr>
                <w:rFonts w:ascii="Times New Roman"/>
                <w:sz w:val="18"/>
              </w:rPr>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339"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49"/>
              <w:ind w:left="24" w:right="60"/>
              <w:jc w:val="left"/>
              <w:rPr>
                <w:rFonts w:ascii="Times New Roman" w:hAnsi="Times New Roman" w:cs="Times New Roman" w:eastAsia="Times New Roman" w:hint="default"/>
                <w:sz w:val="18"/>
                <w:szCs w:val="18"/>
              </w:rPr>
            </w:pPr>
            <w:r>
              <w:rPr>
                <w:rFonts w:ascii="宋体" w:hAnsi="宋体" w:cs="宋体" w:eastAsia="宋体" w:hint="default"/>
                <w:sz w:val="18"/>
                <w:szCs w:val="18"/>
              </w:rPr>
              <w:t>优秀骨干人才软件 产业化项目</w:t>
            </w:r>
            <w:r>
              <w:rPr>
                <w:rFonts w:ascii="Times New Roman" w:hAnsi="Times New Roman" w:cs="Times New Roman" w:eastAsia="Times New Roman" w:hint="default"/>
                <w:sz w:val="18"/>
                <w:szCs w:val="18"/>
              </w:rPr>
              <w:t>"</w:t>
            </w:r>
            <w:r>
              <w:rPr>
                <w:rFonts w:ascii="宋体" w:hAnsi="宋体" w:cs="宋体" w:eastAsia="宋体" w:hint="default"/>
                <w:sz w:val="18"/>
                <w:szCs w:val="18"/>
              </w:rPr>
              <w:t>基于手 机云的手机综合取 证系统</w:t>
            </w:r>
            <w:r>
              <w:rPr>
                <w:rFonts w:ascii="Times New Roman" w:hAnsi="Times New Roman" w:cs="Times New Roman" w:eastAsia="Times New Roman" w:hint="default"/>
                <w:sz w:val="18"/>
                <w:szCs w:val="18"/>
              </w:rPr>
              <w:t>"</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106,715.14</w:t>
            </w:r>
          </w:p>
        </w:tc>
        <w:tc>
          <w:tcPr>
            <w:tcW w:w="931" w:type="dxa"/>
            <w:tcBorders>
              <w:top w:val="single" w:sz="4" w:space="0" w:color="000000"/>
              <w:left w:val="single" w:sz="4" w:space="0" w:color="000000"/>
              <w:bottom w:val="single" w:sz="4" w:space="0" w:color="000000"/>
              <w:right w:val="single" w:sz="4" w:space="0" w:color="000000"/>
            </w:tcBorders>
          </w:tcPr>
          <w:p>
            <w:pP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105,362.72</w:t>
            </w: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1,352.42</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bl>
    <w:p>
      <w:pPr>
        <w:spacing w:after="0" w:line="240" w:lineRule="auto"/>
        <w:jc w:val="center"/>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608"/>
        <w:gridCol w:w="1066"/>
        <w:gridCol w:w="931"/>
        <w:gridCol w:w="914"/>
        <w:gridCol w:w="1109"/>
        <w:gridCol w:w="946"/>
        <w:gridCol w:w="737"/>
        <w:gridCol w:w="1248"/>
        <w:gridCol w:w="1010"/>
      </w:tblGrid>
      <w:tr>
        <w:trPr>
          <w:trHeight w:val="1025"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4" w:right="58"/>
              <w:jc w:val="left"/>
              <w:rPr>
                <w:rFonts w:ascii="Times New Roman" w:hAnsi="Times New Roman" w:cs="Times New Roman" w:eastAsia="Times New Roman" w:hint="default"/>
                <w:sz w:val="18"/>
                <w:szCs w:val="18"/>
              </w:rPr>
            </w:pPr>
            <w:r>
              <w:rPr>
                <w:rFonts w:ascii="宋体" w:hAnsi="宋体" w:cs="宋体" w:eastAsia="宋体" w:hint="default"/>
                <w:sz w:val="18"/>
                <w:szCs w:val="18"/>
              </w:rPr>
              <w:t>省级企业技术中心</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电子数据分析系统 平台建设</w:t>
            </w:r>
            <w:r>
              <w:rPr>
                <w:rFonts w:ascii="Times New Roman" w:hAnsi="Times New Roman" w:cs="Times New Roman" w:eastAsia="Times New Roman" w:hint="default"/>
                <w:sz w:val="18"/>
                <w:szCs w:val="18"/>
              </w:rPr>
              <w:t>"</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300,000.00</w:t>
            </w:r>
          </w:p>
        </w:tc>
        <w:tc>
          <w:tcPr>
            <w:tcW w:w="931" w:type="dxa"/>
            <w:tcBorders>
              <w:top w:val="single" w:sz="4" w:space="0" w:color="000000"/>
              <w:left w:val="single" w:sz="4" w:space="0" w:color="000000"/>
              <w:bottom w:val="single" w:sz="4" w:space="0" w:color="000000"/>
              <w:right w:val="single" w:sz="4" w:space="0" w:color="000000"/>
            </w:tcBorders>
          </w:tcPr>
          <w:p>
            <w:pP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300,000.00</w:t>
            </w: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5"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32"/>
              <w:jc w:val="left"/>
              <w:rPr>
                <w:rFonts w:ascii="宋体" w:hAnsi="宋体" w:cs="宋体" w:eastAsia="宋体" w:hint="default"/>
                <w:sz w:val="18"/>
                <w:szCs w:val="18"/>
              </w:rPr>
            </w:pPr>
            <w:r>
              <w:rPr>
                <w:rFonts w:ascii="宋体" w:hAnsi="宋体" w:cs="宋体" w:eastAsia="宋体" w:hint="default"/>
                <w:sz w:val="18"/>
                <w:szCs w:val="18"/>
              </w:rPr>
              <w:t>博士后工作站科技 政策定额扶持资金</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1,000,000.00</w:t>
            </w:r>
            <w:r>
              <w:rPr>
                <w:rFonts w:ascii="Times New Roman"/>
                <w:sz w:val="18"/>
              </w:rPr>
            </w:r>
          </w:p>
        </w:tc>
        <w:tc>
          <w:tcPr>
            <w:tcW w:w="931" w:type="dxa"/>
            <w:tcBorders>
              <w:top w:val="single" w:sz="4" w:space="0" w:color="000000"/>
              <w:left w:val="single" w:sz="4" w:space="0" w:color="000000"/>
              <w:bottom w:val="single" w:sz="4" w:space="0" w:color="000000"/>
              <w:right w:val="single" w:sz="4" w:space="0" w:color="000000"/>
            </w:tcBorders>
          </w:tcPr>
          <w:p>
            <w:pP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1,000,000.00</w:t>
            </w:r>
            <w:r>
              <w:rPr>
                <w:rFonts w:ascii="Times New Roman"/>
                <w:sz w:val="18"/>
              </w:rPr>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025"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32"/>
              <w:jc w:val="both"/>
              <w:rPr>
                <w:rFonts w:ascii="宋体" w:hAnsi="宋体" w:cs="宋体" w:eastAsia="宋体" w:hint="default"/>
                <w:sz w:val="18"/>
                <w:szCs w:val="18"/>
              </w:rPr>
            </w:pPr>
            <w:r>
              <w:rPr>
                <w:rFonts w:ascii="宋体" w:hAnsi="宋体" w:cs="宋体" w:eastAsia="宋体" w:hint="default"/>
                <w:sz w:val="18"/>
                <w:szCs w:val="18"/>
              </w:rPr>
              <w:t>基于内容感知的智 能视频浓缩设备产 学研资金</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200,000.00</w:t>
            </w:r>
          </w:p>
        </w:tc>
        <w:tc>
          <w:tcPr>
            <w:tcW w:w="931" w:type="dxa"/>
            <w:tcBorders>
              <w:top w:val="single" w:sz="4" w:space="0" w:color="000000"/>
              <w:left w:val="single" w:sz="4" w:space="0" w:color="000000"/>
              <w:bottom w:val="single" w:sz="4" w:space="0" w:color="000000"/>
              <w:right w:val="single" w:sz="4" w:space="0" w:color="000000"/>
            </w:tcBorders>
          </w:tcPr>
          <w:p>
            <w:pP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200,000.00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027"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32"/>
              <w:jc w:val="both"/>
              <w:rPr>
                <w:rFonts w:ascii="宋体" w:hAnsi="宋体" w:cs="宋体" w:eastAsia="宋体" w:hint="default"/>
                <w:sz w:val="18"/>
                <w:szCs w:val="18"/>
              </w:rPr>
            </w:pPr>
            <w:r>
              <w:rPr>
                <w:rFonts w:ascii="宋体" w:hAnsi="宋体" w:cs="宋体" w:eastAsia="宋体" w:hint="default"/>
                <w:sz w:val="18"/>
                <w:szCs w:val="18"/>
              </w:rPr>
              <w:t>网络保密与失泄密 取证系统的产业化 项目</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4,000,000.00</w:t>
            </w:r>
            <w:r>
              <w:rPr>
                <w:rFonts w:ascii="Times New Roman"/>
                <w:sz w:val="18"/>
              </w:rPr>
            </w:r>
          </w:p>
        </w:tc>
        <w:tc>
          <w:tcPr>
            <w:tcW w:w="931" w:type="dxa"/>
            <w:tcBorders>
              <w:top w:val="single" w:sz="4" w:space="0" w:color="000000"/>
              <w:left w:val="single" w:sz="4" w:space="0" w:color="000000"/>
              <w:bottom w:val="single" w:sz="4" w:space="0" w:color="000000"/>
              <w:right w:val="single" w:sz="4" w:space="0" w:color="000000"/>
            </w:tcBorders>
          </w:tcPr>
          <w:p>
            <w:pP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4,000,000.00</w:t>
            </w:r>
            <w:r>
              <w:rPr>
                <w:rFonts w:ascii="Times New Roman"/>
                <w:sz w:val="18"/>
              </w:rPr>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3"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32"/>
              <w:jc w:val="left"/>
              <w:rPr>
                <w:rFonts w:ascii="宋体" w:hAnsi="宋体" w:cs="宋体" w:eastAsia="宋体" w:hint="default"/>
                <w:sz w:val="18"/>
                <w:szCs w:val="18"/>
              </w:rPr>
            </w:pPr>
            <w:r>
              <w:rPr>
                <w:rFonts w:ascii="宋体" w:hAnsi="宋体" w:cs="宋体" w:eastAsia="宋体" w:hint="default"/>
                <w:sz w:val="18"/>
                <w:szCs w:val="18"/>
              </w:rPr>
              <w:t>基于云技术的证据 链综合取证平台</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129,916.06</w:t>
            </w:r>
          </w:p>
        </w:tc>
        <w:tc>
          <w:tcPr>
            <w:tcW w:w="931" w:type="dxa"/>
            <w:tcBorders>
              <w:top w:val="single" w:sz="4" w:space="0" w:color="000000"/>
              <w:left w:val="single" w:sz="4" w:space="0" w:color="000000"/>
              <w:bottom w:val="single" w:sz="4" w:space="0" w:color="000000"/>
              <w:right w:val="single" w:sz="4" w:space="0" w:color="000000"/>
            </w:tcBorders>
          </w:tcPr>
          <w:p>
            <w:pP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93,574.59</w:t>
            </w: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36,341.47</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403"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8"/>
              <w:jc w:val="center"/>
              <w:rPr>
                <w:rFonts w:ascii="宋体" w:hAnsi="宋体" w:cs="宋体" w:eastAsia="宋体" w:hint="default"/>
                <w:sz w:val="18"/>
                <w:szCs w:val="18"/>
              </w:rPr>
            </w:pPr>
            <w:r>
              <w:rPr>
                <w:rFonts w:ascii="宋体" w:hAnsi="宋体" w:cs="宋体" w:eastAsia="宋体" w:hint="default"/>
                <w:sz w:val="18"/>
                <w:szCs w:val="18"/>
              </w:rPr>
              <w:t>科技发展专项资金</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800,000.00</w:t>
            </w:r>
          </w:p>
        </w:tc>
        <w:tc>
          <w:tcPr>
            <w:tcW w:w="931" w:type="dxa"/>
            <w:tcBorders>
              <w:top w:val="single" w:sz="4" w:space="0" w:color="000000"/>
              <w:left w:val="single" w:sz="4" w:space="0" w:color="000000"/>
              <w:bottom w:val="single" w:sz="4" w:space="0" w:color="000000"/>
              <w:right w:val="single" w:sz="4" w:space="0" w:color="000000"/>
            </w:tcBorders>
          </w:tcPr>
          <w:p>
            <w:pP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800,000.00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3"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32"/>
              <w:jc w:val="left"/>
              <w:rPr>
                <w:rFonts w:ascii="宋体" w:hAnsi="宋体" w:cs="宋体" w:eastAsia="宋体" w:hint="default"/>
                <w:sz w:val="18"/>
                <w:szCs w:val="18"/>
              </w:rPr>
            </w:pPr>
            <w:r>
              <w:rPr>
                <w:rFonts w:ascii="宋体" w:hAnsi="宋体" w:cs="宋体" w:eastAsia="宋体" w:hint="default"/>
                <w:sz w:val="18"/>
                <w:szCs w:val="18"/>
              </w:rPr>
              <w:t>信息产业发展专项 资金</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2,000,000.00</w:t>
            </w:r>
            <w:r>
              <w:rPr>
                <w:rFonts w:ascii="Times New Roman"/>
                <w:sz w:val="18"/>
              </w:rPr>
            </w:r>
          </w:p>
        </w:tc>
        <w:tc>
          <w:tcPr>
            <w:tcW w:w="931" w:type="dxa"/>
            <w:tcBorders>
              <w:top w:val="single" w:sz="4" w:space="0" w:color="000000"/>
              <w:left w:val="single" w:sz="4" w:space="0" w:color="000000"/>
              <w:bottom w:val="single" w:sz="4" w:space="0" w:color="000000"/>
              <w:right w:val="single" w:sz="4" w:space="0" w:color="000000"/>
            </w:tcBorders>
          </w:tcPr>
          <w:p>
            <w:pP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2,000,000.00</w:t>
            </w:r>
            <w:r>
              <w:rPr>
                <w:rFonts w:ascii="Times New Roman"/>
                <w:sz w:val="18"/>
              </w:rPr>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027"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32"/>
              <w:jc w:val="both"/>
              <w:rPr>
                <w:rFonts w:ascii="宋体" w:hAnsi="宋体" w:cs="宋体" w:eastAsia="宋体" w:hint="default"/>
                <w:sz w:val="18"/>
                <w:szCs w:val="18"/>
              </w:rPr>
            </w:pPr>
            <w:r>
              <w:rPr>
                <w:rFonts w:ascii="宋体" w:hAnsi="宋体" w:cs="宋体" w:eastAsia="宋体" w:hint="default"/>
                <w:sz w:val="18"/>
                <w:szCs w:val="18"/>
              </w:rPr>
              <w:t>分布式电子数据取 证关键技术研究项 目</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300,000.00</w:t>
            </w:r>
          </w:p>
        </w:tc>
        <w:tc>
          <w:tcPr>
            <w:tcW w:w="931" w:type="dxa"/>
            <w:tcBorders>
              <w:top w:val="single" w:sz="4" w:space="0" w:color="000000"/>
              <w:left w:val="single" w:sz="4" w:space="0" w:color="000000"/>
              <w:bottom w:val="single" w:sz="4" w:space="0" w:color="000000"/>
              <w:right w:val="single" w:sz="4" w:space="0" w:color="000000"/>
            </w:tcBorders>
          </w:tcPr>
          <w:p>
            <w:pP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300,000.00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3"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32"/>
              <w:jc w:val="left"/>
              <w:rPr>
                <w:rFonts w:ascii="宋体" w:hAnsi="宋体" w:cs="宋体" w:eastAsia="宋体" w:hint="default"/>
                <w:sz w:val="18"/>
                <w:szCs w:val="18"/>
              </w:rPr>
            </w:pPr>
            <w:r>
              <w:rPr>
                <w:rFonts w:ascii="宋体" w:hAnsi="宋体" w:cs="宋体" w:eastAsia="宋体" w:hint="default"/>
                <w:sz w:val="18"/>
                <w:szCs w:val="18"/>
              </w:rPr>
              <w:t>中小企业技术创新 基金配套项目</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800,000.00</w:t>
            </w:r>
          </w:p>
        </w:tc>
        <w:tc>
          <w:tcPr>
            <w:tcW w:w="931" w:type="dxa"/>
            <w:tcBorders>
              <w:top w:val="single" w:sz="4" w:space="0" w:color="000000"/>
              <w:left w:val="single" w:sz="4" w:space="0" w:color="000000"/>
              <w:bottom w:val="single" w:sz="4" w:space="0" w:color="000000"/>
              <w:right w:val="single" w:sz="4" w:space="0" w:color="000000"/>
            </w:tcBorders>
          </w:tcPr>
          <w:p>
            <w:pP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800,000.00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5"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1"/>
              <w:ind w:left="24" w:right="84"/>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年支持大数据 示范应用资金</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800,000.00</w:t>
            </w:r>
          </w:p>
        </w:tc>
        <w:tc>
          <w:tcPr>
            <w:tcW w:w="931" w:type="dxa"/>
            <w:tcBorders>
              <w:top w:val="single" w:sz="4" w:space="0" w:color="000000"/>
              <w:left w:val="single" w:sz="4" w:space="0" w:color="000000"/>
              <w:bottom w:val="single" w:sz="4" w:space="0" w:color="000000"/>
              <w:right w:val="single" w:sz="4" w:space="0" w:color="000000"/>
            </w:tcBorders>
          </w:tcPr>
          <w:p>
            <w:pP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800,000.00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3"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年国家重点研</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发专项</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280,200.00</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423,500.00</w:t>
            </w: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703,700.00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5"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年国家重点研</w:t>
            </w:r>
          </w:p>
          <w:p>
            <w:pPr>
              <w:pStyle w:val="TableParagraph"/>
              <w:spacing w:line="240" w:lineRule="auto" w:before="60"/>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发专项</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253,500.00</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591,500.00</w:t>
            </w: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845,000.00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3"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32"/>
              <w:jc w:val="left"/>
              <w:rPr>
                <w:rFonts w:ascii="宋体" w:hAnsi="宋体" w:cs="宋体" w:eastAsia="宋体" w:hint="default"/>
                <w:sz w:val="18"/>
                <w:szCs w:val="18"/>
              </w:rPr>
            </w:pPr>
            <w:r>
              <w:rPr>
                <w:rFonts w:ascii="宋体" w:hAnsi="宋体" w:cs="宋体" w:eastAsia="宋体" w:hint="default"/>
                <w:sz w:val="18"/>
                <w:szCs w:val="18"/>
              </w:rPr>
              <w:t>低俗信息监测预警 技术应用示范</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435,600.00</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644,400.00</w:t>
            </w: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1,080,000.00</w:t>
            </w:r>
            <w:r>
              <w:rPr>
                <w:rFonts w:ascii="Times New Roman"/>
                <w:sz w:val="18"/>
              </w:rPr>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403"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8"/>
              <w:jc w:val="center"/>
              <w:rPr>
                <w:rFonts w:ascii="宋体" w:hAnsi="宋体" w:cs="宋体" w:eastAsia="宋体" w:hint="default"/>
                <w:sz w:val="18"/>
                <w:szCs w:val="18"/>
              </w:rPr>
            </w:pPr>
            <w:r>
              <w:rPr>
                <w:rFonts w:ascii="宋体" w:hAnsi="宋体" w:cs="宋体" w:eastAsia="宋体" w:hint="default"/>
                <w:sz w:val="18"/>
                <w:szCs w:val="18"/>
              </w:rPr>
              <w:t>国家重点研发专项</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253,500.00</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337,300.00</w:t>
            </w: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590,800.00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025"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4"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2017-2019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年国家认 定企业技术中心研 发费用</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4,200,000.00</w:t>
            </w:r>
            <w:r>
              <w:rPr>
                <w:rFonts w:ascii="Times New Roman"/>
                <w:sz w:val="18"/>
              </w:rPr>
            </w:r>
          </w:p>
        </w:tc>
        <w:tc>
          <w:tcPr>
            <w:tcW w:w="931" w:type="dxa"/>
            <w:tcBorders>
              <w:top w:val="single" w:sz="4" w:space="0" w:color="000000"/>
              <w:left w:val="single" w:sz="4" w:space="0" w:color="000000"/>
              <w:bottom w:val="single" w:sz="4" w:space="0" w:color="000000"/>
              <w:right w:val="single" w:sz="4" w:space="0" w:color="000000"/>
            </w:tcBorders>
          </w:tcPr>
          <w:p>
            <w:pP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4,200,000.00</w:t>
            </w:r>
            <w:r>
              <w:rPr>
                <w:rFonts w:ascii="Times New Roman"/>
                <w:sz w:val="18"/>
              </w:rPr>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5"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32"/>
              <w:jc w:val="left"/>
              <w:rPr>
                <w:rFonts w:ascii="宋体" w:hAnsi="宋体" w:cs="宋体" w:eastAsia="宋体" w:hint="default"/>
                <w:sz w:val="18"/>
                <w:szCs w:val="18"/>
              </w:rPr>
            </w:pPr>
            <w:r>
              <w:rPr>
                <w:rFonts w:ascii="宋体" w:hAnsi="宋体" w:cs="宋体" w:eastAsia="宋体" w:hint="default"/>
                <w:sz w:val="18"/>
                <w:szCs w:val="18"/>
              </w:rPr>
              <w:t>司法大数据智能化 平台</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1,133,500.00</w:t>
            </w:r>
            <w:r>
              <w:rPr>
                <w:rFonts w:ascii="Times New Roman"/>
                <w:sz w:val="18"/>
              </w:rPr>
            </w:r>
          </w:p>
        </w:tc>
        <w:tc>
          <w:tcPr>
            <w:tcW w:w="931" w:type="dxa"/>
            <w:tcBorders>
              <w:top w:val="single" w:sz="4" w:space="0" w:color="000000"/>
              <w:left w:val="single" w:sz="4" w:space="0" w:color="000000"/>
              <w:bottom w:val="single" w:sz="4" w:space="0" w:color="000000"/>
              <w:right w:val="single" w:sz="4" w:space="0" w:color="000000"/>
            </w:tcBorders>
          </w:tcPr>
          <w:p>
            <w:pP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1,133,500.00</w:t>
            </w:r>
            <w:r>
              <w:rPr>
                <w:rFonts w:ascii="Times New Roman"/>
                <w:sz w:val="18"/>
              </w:rPr>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3"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84"/>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年国家重点研 发项目联合申报</w:t>
            </w:r>
          </w:p>
        </w:tc>
        <w:tc>
          <w:tcPr>
            <w:tcW w:w="1066"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1,630,000.0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1,630,000.00</w:t>
            </w:r>
            <w:r>
              <w:rPr>
                <w:rFonts w:ascii="Times New Roman"/>
                <w:sz w:val="18"/>
              </w:rPr>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674"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32"/>
              <w:jc w:val="left"/>
              <w:rPr>
                <w:rFonts w:ascii="宋体" w:hAnsi="宋体" w:cs="宋体" w:eastAsia="宋体" w:hint="default"/>
                <w:sz w:val="18"/>
                <w:szCs w:val="18"/>
              </w:rPr>
            </w:pPr>
            <w:r>
              <w:rPr>
                <w:rFonts w:ascii="宋体" w:hAnsi="宋体" w:cs="宋体" w:eastAsia="宋体" w:hint="default"/>
                <w:sz w:val="18"/>
                <w:szCs w:val="18"/>
              </w:rPr>
              <w:t>应用与服务一体化 大数据治理研判分</w:t>
            </w:r>
          </w:p>
        </w:tc>
        <w:tc>
          <w:tcPr>
            <w:tcW w:w="1066"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900,000.00</w:t>
            </w: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900,000.00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bl>
    <w:p>
      <w:pPr>
        <w:spacing w:after="0" w:line="240" w:lineRule="auto"/>
        <w:jc w:val="center"/>
        <w:rPr>
          <w:rFonts w:ascii="宋体" w:hAnsi="宋体" w:cs="宋体" w:eastAsia="宋体"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608"/>
        <w:gridCol w:w="1066"/>
        <w:gridCol w:w="931"/>
        <w:gridCol w:w="914"/>
        <w:gridCol w:w="1109"/>
        <w:gridCol w:w="946"/>
        <w:gridCol w:w="737"/>
        <w:gridCol w:w="1248"/>
        <w:gridCol w:w="1010"/>
      </w:tblGrid>
      <w:tr>
        <w:trPr>
          <w:trHeight w:val="362"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析平台</w:t>
            </w:r>
          </w:p>
        </w:tc>
        <w:tc>
          <w:tcPr>
            <w:tcW w:w="1066"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32"/>
              <w:jc w:val="both"/>
              <w:rPr>
                <w:rFonts w:ascii="宋体" w:hAnsi="宋体" w:cs="宋体" w:eastAsia="宋体" w:hint="default"/>
                <w:sz w:val="18"/>
                <w:szCs w:val="18"/>
              </w:rPr>
            </w:pPr>
            <w:r>
              <w:rPr>
                <w:rFonts w:ascii="宋体" w:hAnsi="宋体" w:cs="宋体" w:eastAsia="宋体" w:hint="default"/>
                <w:sz w:val="18"/>
                <w:szCs w:val="18"/>
              </w:rPr>
              <w:t>基于网络安全大数 据的态势感知智能 研判系统</w:t>
            </w:r>
          </w:p>
        </w:tc>
        <w:tc>
          <w:tcPr>
            <w:tcW w:w="1066"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450,000.00</w:t>
            </w: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450,000.00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5"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32"/>
              <w:jc w:val="left"/>
              <w:rPr>
                <w:rFonts w:ascii="宋体" w:hAnsi="宋体" w:cs="宋体" w:eastAsia="宋体" w:hint="default"/>
                <w:sz w:val="18"/>
                <w:szCs w:val="18"/>
              </w:rPr>
            </w:pPr>
            <w:r>
              <w:rPr>
                <w:rFonts w:ascii="宋体" w:hAnsi="宋体" w:cs="宋体" w:eastAsia="宋体" w:hint="default"/>
                <w:sz w:val="18"/>
                <w:szCs w:val="18"/>
              </w:rPr>
              <w:t>公共安全风险防控 与应急技术装备</w:t>
            </w:r>
          </w:p>
        </w:tc>
        <w:tc>
          <w:tcPr>
            <w:tcW w:w="1066"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2,330,000.0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2,330,000.00</w:t>
            </w:r>
            <w:r>
              <w:rPr>
                <w:rFonts w:ascii="Times New Roman"/>
                <w:sz w:val="18"/>
              </w:rPr>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3"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84"/>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年省级新型研 发机构引导性项目</w:t>
            </w:r>
          </w:p>
        </w:tc>
        <w:tc>
          <w:tcPr>
            <w:tcW w:w="1066"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8,000,000.00</w:t>
            </w:r>
            <w:r>
              <w:rPr>
                <w:rFonts w:ascii="Times New Roman"/>
                <w:sz w:val="18"/>
              </w:rPr>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5" w:hRule="exac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年国家重点研</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发专项</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p>
        </w:tc>
        <w:tc>
          <w:tcPr>
            <w:tcW w:w="1066"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698,800.00</w:t>
            </w:r>
          </w:p>
        </w:tc>
        <w:tc>
          <w:tcPr>
            <w:tcW w:w="914"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698,800.00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52、其他非流动负债" w:id="360"/>
      <w:bookmarkEnd w:id="360"/>
      <w:r>
        <w:rPr>
          <w:b w:val="0"/>
          <w:bCs w:val="0"/>
        </w:rPr>
      </w:r>
      <w:r>
        <w:rPr>
          <w:rFonts w:ascii="Times New Roman" w:hAnsi="Times New Roman" w:cs="Times New Roman" w:eastAsia="Times New Roman" w:hint="default"/>
        </w:rPr>
        <w:t>52</w:t>
      </w:r>
      <w:r>
        <w:rPr/>
        <w:t>、其他非流动负债</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53、股本" w:id="361"/>
      <w:bookmarkEnd w:id="361"/>
      <w:r>
        <w:rPr>
          <w:b w:val="0"/>
          <w:bCs w:val="0"/>
        </w:rPr>
      </w:r>
      <w:r>
        <w:rPr>
          <w:rFonts w:ascii="Times New Roman" w:hAnsi="Times New Roman" w:cs="Times New Roman" w:eastAsia="Times New Roman" w:hint="default"/>
        </w:rPr>
        <w:t>53</w:t>
      </w:r>
      <w:r>
        <w:rPr/>
        <w:t>、股本</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195"/>
        <w:gridCol w:w="1210"/>
        <w:gridCol w:w="1183"/>
        <w:gridCol w:w="1195"/>
        <w:gridCol w:w="1198"/>
        <w:gridCol w:w="1195"/>
        <w:gridCol w:w="1184"/>
        <w:gridCol w:w="1208"/>
      </w:tblGrid>
      <w:tr>
        <w:trPr>
          <w:trHeight w:val="205" w:hRule="exact"/>
        </w:trPr>
        <w:tc>
          <w:tcPr>
            <w:tcW w:w="1195" w:type="dxa"/>
            <w:tcBorders>
              <w:top w:val="single" w:sz="4" w:space="0" w:color="000000"/>
              <w:left w:val="single" w:sz="4" w:space="0" w:color="000000"/>
              <w:bottom w:val="nil" w:sz="6" w:space="0" w:color="auto"/>
              <w:right w:val="single" w:sz="4" w:space="0" w:color="000000"/>
            </w:tcBorders>
            <w:shd w:val="clear" w:color="auto" w:fill="D4D4D4"/>
          </w:tcPr>
          <w:p>
            <w:pPr/>
          </w:p>
        </w:tc>
        <w:tc>
          <w:tcPr>
            <w:tcW w:w="1210" w:type="dxa"/>
            <w:tcBorders>
              <w:top w:val="single" w:sz="4" w:space="0" w:color="000000"/>
              <w:left w:val="single" w:sz="4" w:space="0" w:color="000000"/>
              <w:bottom w:val="nil" w:sz="6" w:space="0" w:color="auto"/>
              <w:right w:val="single" w:sz="4" w:space="0" w:color="000000"/>
            </w:tcBorders>
            <w:shd w:val="clear" w:color="auto" w:fill="D4D4D4"/>
          </w:tcPr>
          <w:p>
            <w:pPr/>
          </w:p>
        </w:tc>
        <w:tc>
          <w:tcPr>
            <w:tcW w:w="5956" w:type="dxa"/>
            <w:gridSpan w:val="5"/>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08" w:type="dxa"/>
            <w:tcBorders>
              <w:top w:val="single" w:sz="4" w:space="0" w:color="000000"/>
              <w:left w:val="single" w:sz="4" w:space="0" w:color="000000"/>
              <w:bottom w:val="nil" w:sz="6" w:space="0" w:color="auto"/>
              <w:right w:val="single" w:sz="4" w:space="0" w:color="000000"/>
            </w:tcBorders>
            <w:shd w:val="clear" w:color="auto" w:fill="D4D4D4"/>
          </w:tcPr>
          <w:p>
            <w:pPr/>
          </w:p>
        </w:tc>
      </w:tr>
      <w:tr>
        <w:trPr>
          <w:trHeight w:val="192" w:hRule="exact"/>
        </w:trPr>
        <w:tc>
          <w:tcPr>
            <w:tcW w:w="1195" w:type="dxa"/>
            <w:vMerge w:val="restart"/>
            <w:tcBorders>
              <w:top w:val="nil" w:sz="6" w:space="0" w:color="auto"/>
              <w:left w:val="single" w:sz="4" w:space="0" w:color="000000"/>
              <w:right w:val="single" w:sz="4" w:space="0" w:color="000000"/>
            </w:tcBorders>
            <w:shd w:val="clear" w:color="auto" w:fill="D4D4D4"/>
          </w:tcPr>
          <w:p>
            <w:pPr/>
          </w:p>
        </w:tc>
        <w:tc>
          <w:tcPr>
            <w:tcW w:w="1210"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956" w:type="dxa"/>
            <w:gridSpan w:val="5"/>
            <w:vMerge/>
            <w:tcBorders>
              <w:left w:val="single" w:sz="4" w:space="0" w:color="000000"/>
              <w:bottom w:val="single" w:sz="4" w:space="0" w:color="000000"/>
              <w:right w:val="single" w:sz="4" w:space="0" w:color="000000"/>
            </w:tcBorders>
            <w:shd w:val="clear" w:color="auto" w:fill="D4D4D4"/>
          </w:tcPr>
          <w:p>
            <w:pPr/>
          </w:p>
        </w:tc>
        <w:tc>
          <w:tcPr>
            <w:tcW w:w="1208"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24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202" w:hRule="exact"/>
        </w:trPr>
        <w:tc>
          <w:tcPr>
            <w:tcW w:w="1195" w:type="dxa"/>
            <w:vMerge/>
            <w:tcBorders>
              <w:left w:val="single" w:sz="4" w:space="0" w:color="000000"/>
              <w:bottom w:val="nil" w:sz="6" w:space="0" w:color="auto"/>
              <w:right w:val="single" w:sz="4" w:space="0" w:color="000000"/>
            </w:tcBorders>
            <w:shd w:val="clear" w:color="auto" w:fill="D4D4D4"/>
          </w:tcPr>
          <w:p>
            <w:pPr/>
          </w:p>
        </w:tc>
        <w:tc>
          <w:tcPr>
            <w:tcW w:w="1210" w:type="dxa"/>
            <w:vMerge/>
            <w:tcBorders>
              <w:left w:val="single" w:sz="4" w:space="0" w:color="000000"/>
              <w:bottom w:val="nil" w:sz="6" w:space="0" w:color="auto"/>
              <w:right w:val="single" w:sz="4" w:space="0" w:color="000000"/>
            </w:tcBorders>
            <w:shd w:val="clear" w:color="auto" w:fill="D4D4D4"/>
          </w:tcPr>
          <w:p>
            <w:pPr/>
          </w:p>
        </w:tc>
        <w:tc>
          <w:tcPr>
            <w:tcW w:w="1183"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220"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195"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198"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143"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95"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84"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208" w:type="dxa"/>
            <w:vMerge/>
            <w:tcBorders>
              <w:left w:val="single" w:sz="4" w:space="0" w:color="000000"/>
              <w:bottom w:val="nil" w:sz="6" w:space="0" w:color="auto"/>
              <w:right w:val="single" w:sz="4" w:space="0" w:color="000000"/>
            </w:tcBorders>
            <w:shd w:val="clear" w:color="auto" w:fill="D4D4D4"/>
          </w:tcPr>
          <w:p>
            <w:pPr/>
          </w:p>
        </w:tc>
      </w:tr>
      <w:tr>
        <w:trPr>
          <w:trHeight w:val="204" w:hRule="exact"/>
        </w:trPr>
        <w:tc>
          <w:tcPr>
            <w:tcW w:w="1195" w:type="dxa"/>
            <w:tcBorders>
              <w:top w:val="nil" w:sz="6" w:space="0" w:color="auto"/>
              <w:left w:val="single" w:sz="4" w:space="0" w:color="000000"/>
              <w:bottom w:val="single" w:sz="4" w:space="0" w:color="000000"/>
              <w:right w:val="single" w:sz="4" w:space="0" w:color="000000"/>
            </w:tcBorders>
            <w:shd w:val="clear" w:color="auto" w:fill="D4D4D4"/>
          </w:tcPr>
          <w:p>
            <w:pPr/>
          </w:p>
        </w:tc>
        <w:tc>
          <w:tcPr>
            <w:tcW w:w="1210" w:type="dxa"/>
            <w:tcBorders>
              <w:top w:val="nil" w:sz="6" w:space="0" w:color="auto"/>
              <w:left w:val="single" w:sz="4" w:space="0" w:color="000000"/>
              <w:bottom w:val="single" w:sz="4" w:space="0" w:color="000000"/>
              <w:right w:val="single" w:sz="4" w:space="0" w:color="000000"/>
            </w:tcBorders>
            <w:shd w:val="clear" w:color="auto" w:fill="D4D4D4"/>
          </w:tcPr>
          <w:p>
            <w:pPr/>
          </w:p>
        </w:tc>
        <w:tc>
          <w:tcPr>
            <w:tcW w:w="1183" w:type="dxa"/>
            <w:vMerge/>
            <w:tcBorders>
              <w:left w:val="single" w:sz="4" w:space="0" w:color="000000"/>
              <w:bottom w:val="single" w:sz="4" w:space="0" w:color="000000"/>
              <w:right w:val="single" w:sz="4" w:space="0" w:color="000000"/>
            </w:tcBorders>
            <w:shd w:val="clear" w:color="auto" w:fill="D4D4D4"/>
          </w:tcPr>
          <w:p>
            <w:pPr/>
          </w:p>
        </w:tc>
        <w:tc>
          <w:tcPr>
            <w:tcW w:w="1195" w:type="dxa"/>
            <w:vMerge/>
            <w:tcBorders>
              <w:left w:val="single" w:sz="4" w:space="0" w:color="000000"/>
              <w:bottom w:val="single" w:sz="4" w:space="0" w:color="000000"/>
              <w:right w:val="single" w:sz="4" w:space="0" w:color="000000"/>
            </w:tcBorders>
            <w:shd w:val="clear" w:color="auto" w:fill="D4D4D4"/>
          </w:tcPr>
          <w:p>
            <w:pPr/>
          </w:p>
        </w:tc>
        <w:tc>
          <w:tcPr>
            <w:tcW w:w="1198" w:type="dxa"/>
            <w:vMerge/>
            <w:tcBorders>
              <w:left w:val="single" w:sz="4" w:space="0" w:color="000000"/>
              <w:bottom w:val="single" w:sz="4" w:space="0" w:color="000000"/>
              <w:right w:val="single" w:sz="4" w:space="0" w:color="000000"/>
            </w:tcBorders>
            <w:shd w:val="clear" w:color="auto" w:fill="D4D4D4"/>
          </w:tcPr>
          <w:p>
            <w:pPr/>
          </w:p>
        </w:tc>
        <w:tc>
          <w:tcPr>
            <w:tcW w:w="1195" w:type="dxa"/>
            <w:vMerge/>
            <w:tcBorders>
              <w:left w:val="single" w:sz="4" w:space="0" w:color="000000"/>
              <w:bottom w:val="single" w:sz="4" w:space="0" w:color="000000"/>
              <w:right w:val="single" w:sz="4" w:space="0" w:color="000000"/>
            </w:tcBorders>
            <w:shd w:val="clear" w:color="auto" w:fill="D4D4D4"/>
          </w:tcPr>
          <w:p>
            <w:pPr/>
          </w:p>
        </w:tc>
        <w:tc>
          <w:tcPr>
            <w:tcW w:w="1184" w:type="dxa"/>
            <w:vMerge/>
            <w:tcBorders>
              <w:left w:val="single" w:sz="4" w:space="0" w:color="000000"/>
              <w:bottom w:val="single" w:sz="4" w:space="0" w:color="000000"/>
              <w:right w:val="single" w:sz="4" w:space="0" w:color="000000"/>
            </w:tcBorders>
            <w:shd w:val="clear" w:color="auto" w:fill="D4D4D4"/>
          </w:tcPr>
          <w:p>
            <w:pPr/>
          </w:p>
        </w:tc>
        <w:tc>
          <w:tcPr>
            <w:tcW w:w="1208" w:type="dxa"/>
            <w:tcBorders>
              <w:top w:val="nil" w:sz="6" w:space="0" w:color="auto"/>
              <w:left w:val="single" w:sz="4" w:space="0" w:color="000000"/>
              <w:bottom w:val="single" w:sz="4" w:space="0" w:color="000000"/>
              <w:right w:val="single" w:sz="4" w:space="0" w:color="000000"/>
            </w:tcBorders>
            <w:shd w:val="clear" w:color="auto" w:fill="D4D4D4"/>
          </w:tcPr>
          <w:p>
            <w:pPr/>
          </w:p>
        </w:tc>
      </w:tr>
      <w:tr>
        <w:trPr>
          <w:trHeight w:val="403" w:hRule="exact"/>
        </w:trPr>
        <w:tc>
          <w:tcPr>
            <w:tcW w:w="11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21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3"/>
              <w:ind w:left="27" w:right="0"/>
              <w:jc w:val="left"/>
              <w:rPr>
                <w:rFonts w:ascii="Times New Roman" w:hAnsi="Times New Roman" w:cs="Times New Roman" w:eastAsia="Times New Roman" w:hint="default"/>
                <w:sz w:val="18"/>
                <w:szCs w:val="18"/>
              </w:rPr>
            </w:pPr>
            <w:r>
              <w:rPr>
                <w:rFonts w:ascii="Times New Roman"/>
                <w:sz w:val="18"/>
              </w:rPr>
              <w:t>794,832,809.00</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06" w:right="0"/>
              <w:jc w:val="left"/>
              <w:rPr>
                <w:rFonts w:ascii="Times New Roman" w:hAnsi="Times New Roman" w:cs="Times New Roman" w:eastAsia="Times New Roman" w:hint="default"/>
                <w:sz w:val="18"/>
                <w:szCs w:val="18"/>
              </w:rPr>
            </w:pPr>
            <w:r>
              <w:rPr>
                <w:rFonts w:ascii="Times New Roman"/>
                <w:sz w:val="18"/>
              </w:rPr>
              <w:t>9,577,900.00</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92" w:right="0"/>
              <w:jc w:val="left"/>
              <w:rPr>
                <w:rFonts w:ascii="Times New Roman" w:hAnsi="Times New Roman" w:cs="Times New Roman" w:eastAsia="Times New Roman" w:hint="default"/>
                <w:sz w:val="18"/>
                <w:szCs w:val="18"/>
              </w:rPr>
            </w:pPr>
            <w:r>
              <w:rPr>
                <w:rFonts w:ascii="Times New Roman"/>
                <w:sz w:val="18"/>
              </w:rPr>
              <w:t>-416,992.00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18" w:right="0"/>
              <w:jc w:val="left"/>
              <w:rPr>
                <w:rFonts w:ascii="Times New Roman" w:hAnsi="Times New Roman" w:cs="Times New Roman" w:eastAsia="Times New Roman" w:hint="default"/>
                <w:sz w:val="18"/>
                <w:szCs w:val="18"/>
              </w:rPr>
            </w:pPr>
            <w:r>
              <w:rPr>
                <w:rFonts w:ascii="Times New Roman"/>
                <w:sz w:val="18"/>
              </w:rPr>
              <w:t>9,160,908.00</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9" w:right="0"/>
              <w:jc w:val="left"/>
              <w:rPr>
                <w:rFonts w:ascii="Times New Roman" w:hAnsi="Times New Roman" w:cs="Times New Roman" w:eastAsia="Times New Roman" w:hint="default"/>
                <w:sz w:val="18"/>
                <w:szCs w:val="18"/>
              </w:rPr>
            </w:pPr>
            <w:r>
              <w:rPr>
                <w:rFonts w:ascii="Times New Roman"/>
                <w:sz w:val="18"/>
              </w:rPr>
              <w:t>803,993,717.00</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4"/>
        <w:rPr>
          <w:rFonts w:ascii="宋体" w:hAnsi="宋体" w:cs="宋体" w:eastAsia="宋体" w:hint="default"/>
          <w:sz w:val="19"/>
          <w:szCs w:val="19"/>
        </w:rPr>
      </w:pPr>
    </w:p>
    <w:p>
      <w:pPr>
        <w:pStyle w:val="BodyText"/>
        <w:spacing w:line="408" w:lineRule="auto" w:before="0"/>
        <w:ind w:right="1128" w:firstLine="314"/>
        <w:jc w:val="both"/>
      </w:pPr>
      <w:r>
        <w:rPr/>
        <w:t>（</w:t>
      </w:r>
      <w:r>
        <w:rPr>
          <w:rFonts w:ascii="宋体" w:hAnsi="宋体" w:cs="宋体" w:eastAsia="宋体" w:hint="default"/>
        </w:rPr>
        <w:t>1</w:t>
      </w:r>
      <w:r>
        <w:rPr/>
        <w:t>）本年股本增加</w:t>
      </w:r>
      <w:r>
        <w:rPr>
          <w:rFonts w:ascii="宋体" w:hAnsi="宋体" w:cs="宋体" w:eastAsia="宋体" w:hint="default"/>
        </w:rPr>
        <w:t>9,577,900</w:t>
      </w:r>
      <w:r>
        <w:rPr/>
        <w:t>股系：根据</w:t>
      </w:r>
      <w:r>
        <w:rPr>
          <w:rFonts w:ascii="宋体" w:hAnsi="宋体" w:cs="宋体" w:eastAsia="宋体" w:hint="default"/>
        </w:rPr>
        <w:t>2019</w:t>
      </w:r>
      <w:r>
        <w:rPr/>
        <w:t>年</w:t>
      </w:r>
      <w:r>
        <w:rPr>
          <w:rFonts w:ascii="宋体" w:hAnsi="宋体" w:cs="宋体" w:eastAsia="宋体" w:hint="default"/>
        </w:rPr>
        <w:t>4</w:t>
      </w:r>
      <w:r>
        <w:rPr/>
        <w:t>月</w:t>
      </w:r>
      <w:r>
        <w:rPr>
          <w:rFonts w:ascii="宋体" w:hAnsi="宋体" w:cs="宋体" w:eastAsia="宋体" w:hint="default"/>
        </w:rPr>
        <w:t>18</w:t>
      </w:r>
      <w:r>
        <w:rPr/>
        <w:t>日召开的</w:t>
      </w:r>
      <w:r>
        <w:rPr>
          <w:rFonts w:ascii="宋体" w:hAnsi="宋体" w:cs="宋体" w:eastAsia="宋体" w:hint="default"/>
        </w:rPr>
        <w:t>2018</w:t>
      </w:r>
      <w:r>
        <w:rPr/>
        <w:t>年度股东大会决议，向</w:t>
      </w:r>
      <w:r>
        <w:rPr>
          <w:rFonts w:ascii="宋体" w:hAnsi="宋体" w:cs="宋体" w:eastAsia="宋体" w:hint="default"/>
        </w:rPr>
        <w:t>961</w:t>
      </w:r>
      <w:r>
        <w:rPr/>
        <w:t>名员工</w:t>
      </w:r>
      <w:r>
        <w:rPr>
          <w:w w:val="100"/>
        </w:rPr>
        <w:t> </w:t>
      </w:r>
      <w:r>
        <w:rPr>
          <w:spacing w:val="8"/>
        </w:rPr>
        <w:t>授予限制性股票，授予数量</w:t>
      </w:r>
      <w:r>
        <w:rPr>
          <w:rFonts w:ascii="宋体" w:hAnsi="宋体" w:cs="宋体" w:eastAsia="宋体" w:hint="default"/>
          <w:spacing w:val="8"/>
        </w:rPr>
        <w:t>9,577,900</w:t>
      </w:r>
      <w:r>
        <w:rPr>
          <w:rFonts w:ascii="宋体" w:hAnsi="宋体" w:cs="宋体" w:eastAsia="宋体" w:hint="default"/>
          <w:spacing w:val="-68"/>
        </w:rPr>
        <w:t> </w:t>
      </w:r>
      <w:r>
        <w:rPr>
          <w:spacing w:val="13"/>
        </w:rPr>
        <w:t>股，每股面值</w:t>
      </w:r>
      <w:r>
        <w:rPr>
          <w:rFonts w:ascii="宋体" w:hAnsi="宋体" w:cs="宋体" w:eastAsia="宋体" w:hint="default"/>
          <w:spacing w:val="13"/>
        </w:rPr>
        <w:t>1</w:t>
      </w:r>
      <w:r>
        <w:rPr>
          <w:rFonts w:ascii="宋体" w:hAnsi="宋体" w:cs="宋体" w:eastAsia="宋体" w:hint="default"/>
          <w:spacing w:val="-66"/>
        </w:rPr>
        <w:t> </w:t>
      </w:r>
      <w:r>
        <w:rPr>
          <w:spacing w:val="10"/>
        </w:rPr>
        <w:t>元，授予价格每股</w:t>
      </w:r>
      <w:r>
        <w:rPr>
          <w:rFonts w:ascii="宋体" w:hAnsi="宋体" w:cs="宋体" w:eastAsia="宋体" w:hint="default"/>
          <w:spacing w:val="10"/>
        </w:rPr>
        <w:t>8.55</w:t>
      </w:r>
      <w:r>
        <w:rPr>
          <w:spacing w:val="10"/>
        </w:rPr>
        <w:t>元</w:t>
      </w:r>
      <w:r>
        <w:rPr>
          <w:spacing w:val="-66"/>
        </w:rPr>
        <w:t> </w:t>
      </w:r>
      <w:r>
        <w:rPr>
          <w:rFonts w:ascii="宋体" w:hAnsi="宋体" w:cs="宋体" w:eastAsia="宋体" w:hint="default"/>
          <w:spacing w:val="10"/>
        </w:rPr>
        <w:t>/</w:t>
      </w:r>
      <w:r>
        <w:rPr>
          <w:spacing w:val="10"/>
        </w:rPr>
        <w:t>股，</w:t>
      </w:r>
      <w:r>
        <w:rPr>
          <w:spacing w:val="-66"/>
        </w:rPr>
        <w:t> </w:t>
      </w:r>
      <w:r>
        <w:rPr>
          <w:spacing w:val="13"/>
        </w:rPr>
        <w:t>募集资金总额</w:t>
      </w:r>
      <w:r>
        <w:rPr>
          <w:spacing w:val="-68"/>
        </w:rPr>
        <w:t> </w:t>
      </w:r>
      <w:r>
        <w:rPr>
          <w:spacing w:val="-68"/>
        </w:rPr>
      </w:r>
      <w:r>
        <w:rPr>
          <w:rFonts w:ascii="宋体" w:hAnsi="宋体" w:cs="宋体" w:eastAsia="宋体" w:hint="default"/>
          <w:spacing w:val="-2"/>
        </w:rPr>
        <w:t>81,891,045.00</w:t>
      </w:r>
      <w:r>
        <w:rPr>
          <w:spacing w:val="-2"/>
        </w:rPr>
        <w:t>元，其中计入股本</w:t>
      </w:r>
      <w:r>
        <w:rPr>
          <w:rFonts w:ascii="宋体" w:hAnsi="宋体" w:cs="宋体" w:eastAsia="宋体" w:hint="default"/>
          <w:spacing w:val="-2"/>
        </w:rPr>
        <w:t>9,577,900.00</w:t>
      </w:r>
      <w:r>
        <w:rPr>
          <w:spacing w:val="-2"/>
        </w:rPr>
        <w:t>元，计入资本公积</w:t>
      </w:r>
      <w:r>
        <w:rPr>
          <w:rFonts w:ascii="宋体" w:hAnsi="宋体" w:cs="宋体" w:eastAsia="宋体" w:hint="default"/>
          <w:spacing w:val="-2"/>
        </w:rPr>
        <w:t>72,313,145.00</w:t>
      </w:r>
      <w:r>
        <w:rPr>
          <w:spacing w:val="-2"/>
        </w:rPr>
        <w:t>元。本次限制性股票授予</w:t>
      </w:r>
      <w:r>
        <w:rPr>
          <w:spacing w:val="-11"/>
        </w:rPr>
        <w:t> </w:t>
      </w:r>
      <w:r>
        <w:rPr>
          <w:spacing w:val="-11"/>
        </w:rPr>
      </w:r>
      <w:r>
        <w:rPr/>
        <w:t>后总股本变更为人民币</w:t>
      </w:r>
      <w:r>
        <w:rPr>
          <w:rFonts w:ascii="宋体" w:hAnsi="宋体" w:cs="宋体" w:eastAsia="宋体" w:hint="default"/>
        </w:rPr>
        <w:t>804,410,709.00</w:t>
      </w:r>
      <w:r>
        <w:rPr/>
        <w:t>元（增加库存股</w:t>
      </w:r>
      <w:r>
        <w:rPr>
          <w:rFonts w:ascii="宋体" w:hAnsi="宋体" w:cs="宋体" w:eastAsia="宋体" w:hint="default"/>
        </w:rPr>
        <w:t>81,891,045.00</w:t>
      </w:r>
      <w:r>
        <w:rPr/>
        <w:t>元）。本次股本变动业经致同会计</w:t>
      </w:r>
      <w:r>
        <w:rPr>
          <w:spacing w:val="-30"/>
        </w:rPr>
        <w:t> </w:t>
      </w:r>
      <w:r>
        <w:rPr>
          <w:spacing w:val="-30"/>
        </w:rPr>
      </w:r>
      <w:r>
        <w:rPr/>
        <w:t>师事务所（特殊普通合伙）审验并出具致同验字（</w:t>
      </w:r>
      <w:r>
        <w:rPr>
          <w:rFonts w:ascii="宋体" w:hAnsi="宋体" w:cs="宋体" w:eastAsia="宋体" w:hint="default"/>
        </w:rPr>
        <w:t>2019</w:t>
      </w:r>
      <w:r>
        <w:rPr/>
        <w:t>）第</w:t>
      </w:r>
      <w:r>
        <w:rPr>
          <w:rFonts w:ascii="宋体" w:hAnsi="宋体" w:cs="宋体" w:eastAsia="宋体" w:hint="default"/>
        </w:rPr>
        <w:t>350ZA0037</w:t>
      </w:r>
      <w:r>
        <w:rPr/>
        <w:t>号验资报告。</w:t>
      </w:r>
    </w:p>
    <w:p>
      <w:pPr>
        <w:pStyle w:val="BodyText"/>
        <w:spacing w:line="240" w:lineRule="auto" w:before="87"/>
        <w:ind w:left="0" w:right="1131"/>
        <w:jc w:val="right"/>
        <w:rPr>
          <w:rFonts w:ascii="宋体" w:hAnsi="宋体" w:cs="宋体" w:eastAsia="宋体" w:hint="default"/>
        </w:rPr>
      </w:pPr>
      <w:r>
        <w:rPr>
          <w:spacing w:val="-2"/>
        </w:rPr>
        <w:t>（</w:t>
      </w:r>
      <w:r>
        <w:rPr>
          <w:rFonts w:ascii="宋体" w:hAnsi="宋体" w:cs="宋体" w:eastAsia="宋体" w:hint="default"/>
          <w:spacing w:val="-2"/>
        </w:rPr>
        <w:t>2</w:t>
      </w:r>
      <w:r>
        <w:rPr>
          <w:spacing w:val="-2"/>
        </w:rPr>
        <w:t>）本年股本减少</w:t>
      </w:r>
      <w:r>
        <w:rPr/>
        <w:t> </w:t>
      </w:r>
      <w:r>
        <w:rPr>
          <w:rFonts w:ascii="宋体" w:hAnsi="宋体" w:cs="宋体" w:eastAsia="宋体" w:hint="default"/>
          <w:spacing w:val="-1"/>
        </w:rPr>
        <w:t>416,992</w:t>
      </w:r>
      <w:r>
        <w:rPr>
          <w:rFonts w:ascii="宋体" w:hAnsi="宋体" w:cs="宋体" w:eastAsia="宋体" w:hint="default"/>
          <w:spacing w:val="-50"/>
        </w:rPr>
        <w:t> </w:t>
      </w:r>
      <w:r>
        <w:rPr>
          <w:spacing w:val="-2"/>
        </w:rPr>
        <w:t>股系本公司员工离职，回购注销授予的限制性股票，同时冲减资本公积</w:t>
      </w:r>
      <w:r>
        <w:rPr>
          <w:rFonts w:ascii="宋体" w:hAnsi="宋体" w:cs="宋体" w:eastAsia="宋体" w:hint="default"/>
          <w:spacing w:val="-2"/>
        </w:rPr>
        <w:t>-</w:t>
      </w:r>
    </w:p>
    <w:p>
      <w:pPr>
        <w:spacing w:line="240" w:lineRule="auto" w:before="8"/>
        <w:rPr>
          <w:rFonts w:ascii="宋体" w:hAnsi="宋体" w:cs="宋体" w:eastAsia="宋体" w:hint="default"/>
          <w:sz w:val="14"/>
          <w:szCs w:val="14"/>
        </w:rPr>
      </w:pPr>
    </w:p>
    <w:p>
      <w:pPr>
        <w:pStyle w:val="BodyText"/>
        <w:spacing w:line="240" w:lineRule="auto" w:before="0"/>
        <w:ind w:right="986"/>
        <w:jc w:val="left"/>
      </w:pPr>
      <w:r>
        <w:rPr/>
        <w:t>股本溢价</w:t>
      </w:r>
      <w:r>
        <w:rPr>
          <w:spacing w:val="-54"/>
        </w:rPr>
        <w:t> </w:t>
      </w:r>
      <w:r>
        <w:rPr>
          <w:rFonts w:ascii="宋体" w:hAnsi="宋体" w:cs="宋体" w:eastAsia="宋体" w:hint="default"/>
        </w:rPr>
        <w:t>2,762,415.64</w:t>
      </w:r>
      <w:r>
        <w:rPr>
          <w:rFonts w:ascii="宋体" w:hAnsi="宋体" w:cs="宋体" w:eastAsia="宋体" w:hint="default"/>
          <w:spacing w:val="-56"/>
        </w:rPr>
        <w:t> </w:t>
      </w:r>
      <w:r>
        <w:rPr/>
        <w:t>元。</w:t>
      </w:r>
    </w:p>
    <w:p>
      <w:pPr>
        <w:spacing w:line="240" w:lineRule="auto" w:before="0"/>
        <w:rPr>
          <w:rFonts w:ascii="宋体" w:hAnsi="宋体" w:cs="宋体" w:eastAsia="宋体" w:hint="default"/>
          <w:sz w:val="20"/>
          <w:szCs w:val="20"/>
        </w:rPr>
      </w:pPr>
    </w:p>
    <w:p>
      <w:pPr>
        <w:pStyle w:val="Heading4"/>
        <w:spacing w:line="240" w:lineRule="auto" w:before="154"/>
        <w:ind w:right="986"/>
        <w:jc w:val="left"/>
        <w:rPr>
          <w:b w:val="0"/>
          <w:bCs w:val="0"/>
        </w:rPr>
      </w:pPr>
      <w:bookmarkStart w:name="54、其他权益工具" w:id="362"/>
      <w:bookmarkEnd w:id="362"/>
      <w:r>
        <w:rPr>
          <w:b w:val="0"/>
          <w:bCs w:val="0"/>
        </w:rPr>
      </w:r>
      <w:r>
        <w:rPr>
          <w:rFonts w:ascii="Times New Roman" w:hAnsi="Times New Roman" w:cs="Times New Roman" w:eastAsia="Times New Roman" w:hint="default"/>
        </w:rPr>
        <w:t>54</w:t>
      </w:r>
      <w:r>
        <w:rPr/>
        <w:t>、其他权益工具</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55、资本公积" w:id="363"/>
      <w:bookmarkEnd w:id="363"/>
      <w:r>
        <w:rPr>
          <w:b w:val="0"/>
          <w:bCs w:val="0"/>
        </w:rPr>
      </w:r>
      <w:r>
        <w:rPr>
          <w:rFonts w:ascii="Times New Roman" w:hAnsi="Times New Roman" w:cs="Times New Roman" w:eastAsia="Times New Roman" w:hint="default"/>
        </w:rPr>
        <w:t>55</w:t>
      </w:r>
      <w:r>
        <w:rPr/>
        <w:t>、资本公积</w:t>
      </w:r>
      <w:r>
        <w:rPr>
          <w:b w:val="0"/>
          <w:bCs w:val="0"/>
        </w:rPr>
      </w:r>
    </w:p>
    <w:p>
      <w:pPr>
        <w:spacing w:line="240" w:lineRule="auto" w:before="2"/>
        <w:rPr>
          <w:rFonts w:ascii="宋体" w:hAnsi="宋体" w:cs="宋体" w:eastAsia="宋体" w:hint="default"/>
          <w:b/>
          <w:bCs/>
          <w:sz w:val="26"/>
          <w:szCs w:val="26"/>
        </w:rPr>
      </w:pPr>
    </w:p>
    <w:p>
      <w:pPr>
        <w:spacing w:before="0"/>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right"/>
        <w:rPr>
          <w:rFonts w:ascii="宋体" w:hAnsi="宋体" w:cs="宋体" w:eastAsia="宋体"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1889"/>
        <w:gridCol w:w="1927"/>
        <w:gridCol w:w="1915"/>
        <w:gridCol w:w="1913"/>
        <w:gridCol w:w="1915"/>
      </w:tblGrid>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6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27"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478,251,217.88</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72,313,145.00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2,762,415.64</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547,801,947.24</w:t>
            </w:r>
            <w:r>
              <w:rPr>
                <w:rFonts w:ascii="Times New Roman"/>
                <w:sz w:val="18"/>
              </w:rPr>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27"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104,074,549.53</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29,038,402.54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7,523,020.29</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125,589,931.78</w:t>
            </w:r>
            <w:r>
              <w:rPr>
                <w:rFonts w:ascii="Times New Roman"/>
                <w:sz w:val="18"/>
              </w:rPr>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7"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582,325,767.41</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101,351,547.54</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10,285,435.93</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673,391,879.02</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其他说明，包括本期增减变动情况、变动原因说明：</w:t>
      </w:r>
    </w:p>
    <w:p>
      <w:pPr>
        <w:spacing w:line="240" w:lineRule="auto" w:before="4"/>
        <w:rPr>
          <w:rFonts w:ascii="宋体" w:hAnsi="宋体" w:cs="宋体" w:eastAsia="宋体" w:hint="default"/>
          <w:sz w:val="19"/>
          <w:szCs w:val="19"/>
        </w:rPr>
      </w:pPr>
    </w:p>
    <w:p>
      <w:pPr>
        <w:pStyle w:val="BodyText"/>
        <w:spacing w:line="408" w:lineRule="auto" w:before="0"/>
        <w:ind w:right="1128" w:firstLine="420"/>
        <w:jc w:val="both"/>
      </w:pPr>
      <w:r>
        <w:rPr/>
        <w:t>注</w:t>
      </w:r>
      <w:r>
        <w:rPr>
          <w:rFonts w:ascii="宋体" w:hAnsi="宋体" w:cs="宋体" w:eastAsia="宋体" w:hint="default"/>
        </w:rPr>
        <w:t>1</w:t>
      </w:r>
      <w:r>
        <w:rPr/>
        <w:t>：资本公积</w:t>
      </w:r>
      <w:r>
        <w:rPr>
          <w:rFonts w:ascii="宋体" w:hAnsi="宋体" w:cs="宋体" w:eastAsia="宋体" w:hint="default"/>
        </w:rPr>
        <w:t>-</w:t>
      </w:r>
      <w:r>
        <w:rPr/>
        <w:t>股本溢价本期增加</w:t>
      </w:r>
      <w:r>
        <w:rPr>
          <w:rFonts w:ascii="宋体" w:hAnsi="宋体" w:cs="宋体" w:eastAsia="宋体" w:hint="default"/>
        </w:rPr>
        <w:t>72,313,145.00</w:t>
      </w:r>
      <w:r>
        <w:rPr/>
        <w:t>元，系</w:t>
      </w:r>
      <w:r>
        <w:rPr>
          <w:rFonts w:ascii="宋体" w:hAnsi="宋体" w:cs="宋体" w:eastAsia="宋体" w:hint="default"/>
        </w:rPr>
        <w:t>2019</w:t>
      </w:r>
      <w:r>
        <w:rPr/>
        <w:t>年</w:t>
      </w:r>
      <w:r>
        <w:rPr>
          <w:rFonts w:ascii="宋体" w:hAnsi="宋体" w:cs="宋体" w:eastAsia="宋体" w:hint="default"/>
        </w:rPr>
        <w:t>5</w:t>
      </w:r>
      <w:r>
        <w:rPr/>
        <w:t>月</w:t>
      </w:r>
      <w:r>
        <w:rPr>
          <w:rFonts w:ascii="宋体" w:hAnsi="宋体" w:cs="宋体" w:eastAsia="宋体" w:hint="default"/>
        </w:rPr>
        <w:t>16</w:t>
      </w:r>
      <w:r>
        <w:rPr/>
        <w:t>日公司向</w:t>
      </w:r>
      <w:r>
        <w:rPr>
          <w:rFonts w:ascii="宋体" w:hAnsi="宋体" w:cs="宋体" w:eastAsia="宋体" w:hint="default"/>
        </w:rPr>
        <w:t>961</w:t>
      </w:r>
      <w:r>
        <w:rPr/>
        <w:t>名员工授予限制性</w:t>
      </w:r>
      <w:r>
        <w:rPr>
          <w:w w:val="100"/>
        </w:rPr>
        <w:t> </w:t>
      </w:r>
      <w:r>
        <w:rPr>
          <w:spacing w:val="-2"/>
        </w:rPr>
        <w:t>股票，授予数量</w:t>
      </w:r>
      <w:r>
        <w:rPr>
          <w:rFonts w:ascii="宋体" w:hAnsi="宋体" w:cs="宋体" w:eastAsia="宋体" w:hint="default"/>
          <w:spacing w:val="-2"/>
        </w:rPr>
        <w:t>957.79</w:t>
      </w:r>
      <w:r>
        <w:rPr>
          <w:spacing w:val="-2"/>
        </w:rPr>
        <w:t>万股，每股面值</w:t>
      </w:r>
      <w:r>
        <w:rPr>
          <w:rFonts w:ascii="宋体" w:hAnsi="宋体" w:cs="宋体" w:eastAsia="宋体" w:hint="default"/>
          <w:spacing w:val="-2"/>
        </w:rPr>
        <w:t>1</w:t>
      </w:r>
      <w:r>
        <w:rPr>
          <w:spacing w:val="-2"/>
        </w:rPr>
        <w:t>元，授予价格每股</w:t>
      </w:r>
      <w:r>
        <w:rPr>
          <w:rFonts w:ascii="宋体" w:hAnsi="宋体" w:cs="宋体" w:eastAsia="宋体" w:hint="default"/>
          <w:spacing w:val="-2"/>
        </w:rPr>
        <w:t>8.55</w:t>
      </w:r>
      <w:r>
        <w:rPr>
          <w:spacing w:val="-2"/>
        </w:rPr>
        <w:t>元，募集资金总额</w:t>
      </w:r>
      <w:r>
        <w:rPr>
          <w:rFonts w:ascii="宋体" w:hAnsi="宋体" w:cs="宋体" w:eastAsia="宋体" w:hint="default"/>
          <w:spacing w:val="-2"/>
        </w:rPr>
        <w:t>81,891,045.00</w:t>
      </w:r>
      <w:r>
        <w:rPr>
          <w:spacing w:val="-2"/>
        </w:rPr>
        <w:t>元，其中</w:t>
      </w:r>
      <w:r>
        <w:rPr>
          <w:spacing w:val="-23"/>
        </w:rPr>
        <w:t> </w:t>
      </w:r>
      <w:r>
        <w:rPr>
          <w:spacing w:val="-23"/>
        </w:rPr>
      </w:r>
      <w:r>
        <w:rPr/>
        <w:t>计入股本</w:t>
      </w:r>
      <w:r>
        <w:rPr>
          <w:rFonts w:ascii="宋体" w:hAnsi="宋体" w:cs="宋体" w:eastAsia="宋体" w:hint="default"/>
        </w:rPr>
        <w:t>9,577,900.00</w:t>
      </w:r>
      <w:r>
        <w:rPr/>
        <w:t>元，增加股本溢价</w:t>
      </w:r>
      <w:r>
        <w:rPr>
          <w:rFonts w:ascii="宋体" w:hAnsi="宋体" w:cs="宋体" w:eastAsia="宋体" w:hint="default"/>
        </w:rPr>
        <w:t>72,313,145.00</w:t>
      </w:r>
      <w:r>
        <w:rPr/>
        <w:t>元。</w:t>
      </w:r>
    </w:p>
    <w:p>
      <w:pPr>
        <w:pStyle w:val="BodyText"/>
        <w:spacing w:line="408" w:lineRule="auto"/>
        <w:ind w:left="153" w:right="1128" w:firstLine="419"/>
        <w:jc w:val="both"/>
      </w:pPr>
      <w:r>
        <w:rPr>
          <w:spacing w:val="-4"/>
        </w:rPr>
        <w:t>注</w:t>
      </w:r>
      <w:r>
        <w:rPr>
          <w:rFonts w:ascii="宋体" w:hAnsi="宋体" w:cs="宋体" w:eastAsia="宋体" w:hint="default"/>
          <w:spacing w:val="-4"/>
        </w:rPr>
        <w:t>2</w:t>
      </w:r>
      <w:r>
        <w:rPr>
          <w:spacing w:val="-4"/>
        </w:rPr>
        <w:t>：资本公积</w:t>
      </w:r>
      <w:r>
        <w:rPr>
          <w:rFonts w:ascii="宋体" w:hAnsi="宋体" w:cs="宋体" w:eastAsia="宋体" w:hint="default"/>
          <w:spacing w:val="-4"/>
        </w:rPr>
        <w:t>-</w:t>
      </w:r>
      <w:r>
        <w:rPr>
          <w:spacing w:val="-4"/>
        </w:rPr>
        <w:t>股本溢价本期减少</w:t>
      </w:r>
      <w:r>
        <w:rPr>
          <w:rFonts w:ascii="宋体" w:hAnsi="宋体" w:cs="宋体" w:eastAsia="宋体" w:hint="default"/>
          <w:spacing w:val="-4"/>
        </w:rPr>
        <w:t>2,762,415.64</w:t>
      </w:r>
      <w:r>
        <w:rPr>
          <w:spacing w:val="-4"/>
        </w:rPr>
        <w:t>元，系本公司员工离职，回购注销授予的股权</w:t>
      </w:r>
      <w:r>
        <w:rPr>
          <w:rFonts w:ascii="宋体" w:hAnsi="宋体" w:cs="宋体" w:eastAsia="宋体" w:hint="default"/>
          <w:spacing w:val="-4"/>
        </w:rPr>
        <w:t>416,992</w:t>
      </w:r>
      <w:r>
        <w:rPr>
          <w:rFonts w:ascii="宋体" w:hAnsi="宋体" w:cs="宋体" w:eastAsia="宋体" w:hint="default"/>
          <w:w w:val="100"/>
        </w:rPr>
        <w:t> </w:t>
      </w:r>
      <w:r>
        <w:rPr/>
        <w:t>股，冲减股本溢价</w:t>
      </w:r>
      <w:r>
        <w:rPr>
          <w:rFonts w:ascii="宋体" w:hAnsi="宋体" w:cs="宋体" w:eastAsia="宋体" w:hint="default"/>
        </w:rPr>
        <w:t>2,762,415.64</w:t>
      </w:r>
      <w:r>
        <w:rPr/>
        <w:t>元。</w:t>
      </w:r>
    </w:p>
    <w:p>
      <w:pPr>
        <w:pStyle w:val="BodyText"/>
        <w:spacing w:line="408" w:lineRule="auto"/>
        <w:ind w:left="153" w:right="1128" w:firstLine="420"/>
        <w:jc w:val="both"/>
      </w:pPr>
      <w:r>
        <w:rPr/>
        <w:t>注</w:t>
      </w:r>
      <w:r>
        <w:rPr>
          <w:rFonts w:ascii="宋体" w:hAnsi="宋体" w:cs="宋体" w:eastAsia="宋体" w:hint="default"/>
        </w:rPr>
        <w:t>3</w:t>
      </w:r>
      <w:r>
        <w:rPr/>
        <w:t>：资本公积</w:t>
      </w:r>
      <w:r>
        <w:rPr>
          <w:rFonts w:ascii="宋体" w:hAnsi="宋体" w:cs="宋体" w:eastAsia="宋体" w:hint="default"/>
        </w:rPr>
        <w:t>-</w:t>
      </w:r>
      <w:r>
        <w:rPr/>
        <w:t>其他资本公积本期增加</w:t>
      </w:r>
      <w:r>
        <w:rPr>
          <w:rFonts w:ascii="宋体" w:hAnsi="宋体" w:cs="宋体" w:eastAsia="宋体" w:hint="default"/>
        </w:rPr>
        <w:t>29,038,402.54</w:t>
      </w:r>
      <w:r>
        <w:rPr/>
        <w:t>元，系本年股权激励费用摊销；其他资本公积</w:t>
      </w:r>
      <w:r>
        <w:rPr>
          <w:w w:val="100"/>
        </w:rPr>
        <w:t> </w:t>
      </w:r>
      <w:r>
        <w:rPr/>
        <w:t>本期减少</w:t>
      </w:r>
      <w:r>
        <w:rPr>
          <w:rFonts w:ascii="宋体" w:hAnsi="宋体" w:cs="宋体" w:eastAsia="宋体" w:hint="default"/>
        </w:rPr>
        <w:t>7,523,020.29</w:t>
      </w:r>
      <w:r>
        <w:rPr/>
        <w:t>元，系本期本公司员工持有的限制性股票行权导致的资本公积调减</w:t>
      </w:r>
      <w:r>
        <w:rPr>
          <w:rFonts w:ascii="宋体" w:hAnsi="宋体" w:cs="宋体" w:eastAsia="宋体" w:hint="default"/>
        </w:rPr>
        <w:t>7,523,020.29</w:t>
      </w:r>
      <w:r>
        <w:rPr>
          <w:rFonts w:ascii="宋体" w:hAnsi="宋体" w:cs="宋体" w:eastAsia="宋体" w:hint="default"/>
          <w:spacing w:val="54"/>
        </w:rPr>
        <w:t> </w:t>
      </w:r>
      <w:r>
        <w:rPr>
          <w:rFonts w:ascii="宋体" w:hAnsi="宋体" w:cs="宋体" w:eastAsia="宋体" w:hint="default"/>
          <w:spacing w:val="54"/>
        </w:rPr>
      </w:r>
      <w:r>
        <w:rPr/>
        <w:t>元。</w:t>
      </w:r>
    </w:p>
    <w:p>
      <w:pPr>
        <w:spacing w:line="240" w:lineRule="auto" w:before="8"/>
        <w:rPr>
          <w:rFonts w:ascii="宋体" w:hAnsi="宋体" w:cs="宋体" w:eastAsia="宋体" w:hint="default"/>
          <w:sz w:val="20"/>
          <w:szCs w:val="20"/>
        </w:rPr>
      </w:pPr>
    </w:p>
    <w:p>
      <w:pPr>
        <w:pStyle w:val="Heading4"/>
        <w:spacing w:line="240" w:lineRule="auto"/>
        <w:ind w:left="153" w:right="986"/>
        <w:jc w:val="left"/>
        <w:rPr>
          <w:b w:val="0"/>
          <w:bCs w:val="0"/>
        </w:rPr>
      </w:pPr>
      <w:bookmarkStart w:name="56、库存股" w:id="364"/>
      <w:bookmarkEnd w:id="364"/>
      <w:r>
        <w:rPr>
          <w:b w:val="0"/>
          <w:bCs w:val="0"/>
        </w:rPr>
      </w:r>
      <w:r>
        <w:rPr>
          <w:rFonts w:ascii="Times New Roman" w:hAnsi="Times New Roman" w:cs="Times New Roman" w:eastAsia="Times New Roman" w:hint="default"/>
        </w:rPr>
        <w:t>56</w:t>
      </w:r>
      <w:r>
        <w:rPr/>
        <w:t>、库存股</w:t>
      </w:r>
      <w:r>
        <w:rPr>
          <w:b w:val="0"/>
          <w:bCs w:val="0"/>
        </w:rPr>
      </w:r>
    </w:p>
    <w:p>
      <w:pPr>
        <w:spacing w:line="240" w:lineRule="auto" w:before="2"/>
        <w:rPr>
          <w:rFonts w:ascii="宋体" w:hAnsi="宋体" w:cs="宋体" w:eastAsia="宋体" w:hint="default"/>
          <w:b/>
          <w:bCs/>
          <w:sz w:val="26"/>
          <w:szCs w:val="26"/>
        </w:rPr>
      </w:pPr>
    </w:p>
    <w:p>
      <w:pPr>
        <w:spacing w:before="0"/>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5"/>
        <w:gridCol w:w="1915"/>
        <w:gridCol w:w="1913"/>
        <w:gridCol w:w="1915"/>
      </w:tblGrid>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限制性股票</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34,813,142.00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81,891,045.00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35,921,222.00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80,782,965.00</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34,813,142.00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81,891,045.00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35,921,222.00</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80,782,965.00</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其他说明，包括本期增减变动情况、变动原因说明：</w:t>
      </w:r>
    </w:p>
    <w:p>
      <w:pPr>
        <w:spacing w:line="240" w:lineRule="auto" w:before="4"/>
        <w:rPr>
          <w:rFonts w:ascii="宋体" w:hAnsi="宋体" w:cs="宋体" w:eastAsia="宋体" w:hint="default"/>
          <w:sz w:val="19"/>
          <w:szCs w:val="19"/>
        </w:rPr>
      </w:pPr>
    </w:p>
    <w:p>
      <w:pPr>
        <w:pStyle w:val="BodyText"/>
        <w:spacing w:line="408" w:lineRule="auto" w:before="0"/>
        <w:ind w:right="1130" w:firstLine="420"/>
        <w:jc w:val="both"/>
      </w:pPr>
      <w:r>
        <w:rPr/>
        <w:t>注</w:t>
      </w:r>
      <w:r>
        <w:rPr>
          <w:rFonts w:ascii="宋体" w:hAnsi="宋体" w:cs="宋体" w:eastAsia="宋体" w:hint="default"/>
        </w:rPr>
        <w:t>1</w:t>
      </w:r>
      <w:r>
        <w:rPr/>
        <w:t>：库存股本年增加系：本公司根据</w:t>
      </w:r>
      <w:r>
        <w:rPr>
          <w:rFonts w:ascii="宋体" w:hAnsi="宋体" w:cs="宋体" w:eastAsia="宋体" w:hint="default"/>
        </w:rPr>
        <w:t>2019</w:t>
      </w:r>
      <w:r>
        <w:rPr/>
        <w:t>年</w:t>
      </w:r>
      <w:r>
        <w:rPr>
          <w:rFonts w:ascii="宋体" w:hAnsi="宋体" w:cs="宋体" w:eastAsia="宋体" w:hint="default"/>
        </w:rPr>
        <w:t>4</w:t>
      </w:r>
      <w:r>
        <w:rPr/>
        <w:t>月</w:t>
      </w:r>
      <w:r>
        <w:rPr>
          <w:rFonts w:ascii="宋体" w:hAnsi="宋体" w:cs="宋体" w:eastAsia="宋体" w:hint="default"/>
        </w:rPr>
        <w:t>18</w:t>
      </w:r>
      <w:r>
        <w:rPr/>
        <w:t>日召开的</w:t>
      </w:r>
      <w:r>
        <w:rPr>
          <w:rFonts w:ascii="宋体" w:hAnsi="宋体" w:cs="宋体" w:eastAsia="宋体" w:hint="default"/>
        </w:rPr>
        <w:t>2018</w:t>
      </w:r>
      <w:r>
        <w:rPr/>
        <w:t>年度股东大会决议，向</w:t>
      </w:r>
      <w:r>
        <w:rPr>
          <w:rFonts w:ascii="宋体" w:hAnsi="宋体" w:cs="宋体" w:eastAsia="宋体" w:hint="default"/>
        </w:rPr>
        <w:t>961</w:t>
      </w:r>
      <w:r>
        <w:rPr/>
        <w:t>名员工授</w:t>
      </w:r>
      <w:r>
        <w:rPr>
          <w:w w:val="100"/>
        </w:rPr>
        <w:t> </w:t>
      </w:r>
      <w:r>
        <w:rPr>
          <w:spacing w:val="-2"/>
        </w:rPr>
        <w:t>予限制性股票，授予数量</w:t>
      </w:r>
      <w:r>
        <w:rPr>
          <w:rFonts w:ascii="宋体" w:hAnsi="宋体" w:cs="宋体" w:eastAsia="宋体" w:hint="default"/>
          <w:spacing w:val="-2"/>
        </w:rPr>
        <w:t>957.79</w:t>
      </w:r>
      <w:r>
        <w:rPr>
          <w:spacing w:val="-2"/>
        </w:rPr>
        <w:t>万股，每股面值</w:t>
      </w:r>
      <w:r>
        <w:rPr>
          <w:rFonts w:ascii="宋体" w:hAnsi="宋体" w:cs="宋体" w:eastAsia="宋体" w:hint="default"/>
          <w:spacing w:val="-2"/>
        </w:rPr>
        <w:t>1</w:t>
      </w:r>
      <w:r>
        <w:rPr>
          <w:spacing w:val="-2"/>
        </w:rPr>
        <w:t>元，授予价格每股</w:t>
      </w:r>
      <w:r>
        <w:rPr>
          <w:rFonts w:ascii="宋体" w:hAnsi="宋体" w:cs="宋体" w:eastAsia="宋体" w:hint="default"/>
          <w:spacing w:val="-2"/>
        </w:rPr>
        <w:t>8.55</w:t>
      </w:r>
      <w:r>
        <w:rPr>
          <w:spacing w:val="-2"/>
        </w:rPr>
        <w:t>元，募集资金总额</w:t>
      </w:r>
      <w:r>
        <w:rPr>
          <w:rFonts w:ascii="宋体" w:hAnsi="宋体" w:cs="宋体" w:eastAsia="宋体" w:hint="default"/>
          <w:spacing w:val="-2"/>
        </w:rPr>
        <w:t>81,891,045.00</w:t>
      </w:r>
      <w:r>
        <w:rPr>
          <w:rFonts w:ascii="宋体" w:hAnsi="宋体" w:cs="宋体" w:eastAsia="宋体" w:hint="default"/>
          <w:spacing w:val="-30"/>
        </w:rPr>
        <w:t> </w:t>
      </w:r>
      <w:r>
        <w:rPr>
          <w:rFonts w:ascii="宋体" w:hAnsi="宋体" w:cs="宋体" w:eastAsia="宋体" w:hint="default"/>
          <w:spacing w:val="-30"/>
        </w:rPr>
      </w:r>
      <w:r>
        <w:rPr/>
        <w:t>元，增加库存股</w:t>
      </w:r>
      <w:r>
        <w:rPr>
          <w:rFonts w:ascii="宋体" w:hAnsi="宋体" w:cs="宋体" w:eastAsia="宋体" w:hint="default"/>
        </w:rPr>
        <w:t>81,891,045.00</w:t>
      </w:r>
      <w:r>
        <w:rPr/>
        <w:t>元。</w:t>
      </w:r>
    </w:p>
    <w:p>
      <w:pPr>
        <w:pStyle w:val="BodyText"/>
        <w:spacing w:line="408" w:lineRule="auto"/>
        <w:ind w:right="1127" w:firstLine="420"/>
        <w:jc w:val="both"/>
      </w:pPr>
      <w:r>
        <w:rPr/>
        <w:t>注</w:t>
      </w:r>
      <w:r>
        <w:rPr>
          <w:rFonts w:ascii="宋体" w:hAnsi="宋体" w:cs="宋体" w:eastAsia="宋体" w:hint="default"/>
        </w:rPr>
        <w:t>2</w:t>
      </w:r>
      <w:r>
        <w:rPr/>
        <w:t>：本期减少系：（</w:t>
      </w:r>
      <w:r>
        <w:rPr>
          <w:rFonts w:ascii="宋体" w:hAnsi="宋体" w:cs="宋体" w:eastAsia="宋体" w:hint="default"/>
        </w:rPr>
        <w:t>1</w:t>
      </w:r>
      <w:r>
        <w:rPr/>
        <w:t>）根据本集团</w:t>
      </w:r>
      <w:r>
        <w:rPr>
          <w:rFonts w:ascii="宋体" w:hAnsi="宋体" w:cs="宋体" w:eastAsia="宋体" w:hint="default"/>
        </w:rPr>
        <w:t>2019</w:t>
      </w:r>
      <w:r>
        <w:rPr/>
        <w:t>年</w:t>
      </w:r>
      <w:r>
        <w:rPr>
          <w:rFonts w:ascii="宋体" w:hAnsi="宋体" w:cs="宋体" w:eastAsia="宋体" w:hint="default"/>
        </w:rPr>
        <w:t>7</w:t>
      </w:r>
      <w:r>
        <w:rPr/>
        <w:t>月</w:t>
      </w:r>
      <w:r>
        <w:rPr>
          <w:rFonts w:ascii="宋体" w:hAnsi="宋体" w:cs="宋体" w:eastAsia="宋体" w:hint="default"/>
        </w:rPr>
        <w:t>17</w:t>
      </w:r>
      <w:r>
        <w:rPr/>
        <w:t>日召开的第四届董事会第九次会议和第四届监事会</w:t>
      </w:r>
      <w:r>
        <w:rPr>
          <w:w w:val="100"/>
        </w:rPr>
        <w:t> </w:t>
      </w:r>
      <w:r>
        <w:rPr/>
        <w:t>第九次会议，本集团回购已离职的</w:t>
      </w:r>
      <w:r>
        <w:rPr>
          <w:rFonts w:ascii="宋体" w:hAnsi="宋体" w:cs="宋体" w:eastAsia="宋体" w:hint="default"/>
        </w:rPr>
        <w:t>33</w:t>
      </w:r>
      <w:r>
        <w:rPr/>
        <w:t>名限制性股票激励对象</w:t>
      </w:r>
      <w:r>
        <w:rPr>
          <w:rFonts w:ascii="宋体" w:hAnsi="宋体" w:cs="宋体" w:eastAsia="宋体" w:hint="default"/>
        </w:rPr>
        <w:t>248,092</w:t>
      </w:r>
      <w:r>
        <w:rPr/>
        <w:t>股限制性股票，减少库存股和其他应</w:t>
      </w:r>
      <w:r>
        <w:rPr>
          <w:spacing w:val="-27"/>
        </w:rPr>
        <w:t> </w:t>
      </w:r>
      <w:r>
        <w:rPr>
          <w:spacing w:val="-27"/>
        </w:rPr>
      </w:r>
      <w:r>
        <w:rPr>
          <w:spacing w:val="-2"/>
        </w:rPr>
        <w:t>付款</w:t>
      </w:r>
      <w:r>
        <w:rPr>
          <w:rFonts w:ascii="宋体" w:hAnsi="宋体" w:cs="宋体" w:eastAsia="宋体" w:hint="default"/>
          <w:spacing w:val="-2"/>
        </w:rPr>
        <w:t>1,816,135.64</w:t>
      </w:r>
      <w:r>
        <w:rPr>
          <w:spacing w:val="-2"/>
        </w:rPr>
        <w:t>元；（</w:t>
      </w:r>
      <w:r>
        <w:rPr>
          <w:rFonts w:ascii="宋体" w:hAnsi="宋体" w:cs="宋体" w:eastAsia="宋体" w:hint="default"/>
          <w:spacing w:val="-2"/>
        </w:rPr>
        <w:t>2</w:t>
      </w:r>
      <w:r>
        <w:rPr>
          <w:spacing w:val="-2"/>
        </w:rPr>
        <w:t>）根据本集团</w:t>
      </w:r>
      <w:r>
        <w:rPr>
          <w:rFonts w:ascii="宋体" w:hAnsi="宋体" w:cs="宋体" w:eastAsia="宋体" w:hint="default"/>
          <w:spacing w:val="-2"/>
        </w:rPr>
        <w:t>2019</w:t>
      </w:r>
      <w:r>
        <w:rPr>
          <w:spacing w:val="-2"/>
        </w:rPr>
        <w:t>年</w:t>
      </w:r>
      <w:r>
        <w:rPr>
          <w:rFonts w:ascii="宋体" w:hAnsi="宋体" w:cs="宋体" w:eastAsia="宋体" w:hint="default"/>
          <w:spacing w:val="-2"/>
        </w:rPr>
        <w:t>9</w:t>
      </w:r>
      <w:r>
        <w:rPr>
          <w:spacing w:val="-2"/>
        </w:rPr>
        <w:t>月</w:t>
      </w:r>
      <w:r>
        <w:rPr>
          <w:rFonts w:ascii="宋体" w:hAnsi="宋体" w:cs="宋体" w:eastAsia="宋体" w:hint="default"/>
          <w:spacing w:val="-2"/>
        </w:rPr>
        <w:t>29</w:t>
      </w:r>
      <w:r>
        <w:rPr>
          <w:spacing w:val="-2"/>
        </w:rPr>
        <w:t>日召开的第四届董事会第十二次会议和第四届监事会</w:t>
      </w:r>
      <w:r>
        <w:rPr>
          <w:spacing w:val="-26"/>
        </w:rPr>
        <w:t> </w:t>
      </w:r>
      <w:r>
        <w:rPr>
          <w:spacing w:val="-26"/>
        </w:rPr>
      </w:r>
      <w:r>
        <w:rPr>
          <w:spacing w:val="14"/>
        </w:rPr>
        <w:t>第十一次会议，本集团回购已离职的</w:t>
      </w:r>
      <w:r>
        <w:rPr>
          <w:spacing w:val="-68"/>
        </w:rPr>
        <w:t> </w:t>
      </w:r>
      <w:r>
        <w:rPr>
          <w:rFonts w:ascii="宋体" w:hAnsi="宋体" w:cs="宋体" w:eastAsia="宋体" w:hint="default"/>
          <w:spacing w:val="11"/>
        </w:rPr>
        <w:t>18</w:t>
      </w:r>
      <w:r>
        <w:rPr>
          <w:spacing w:val="11"/>
        </w:rPr>
        <w:t>名限制性股票激</w:t>
      </w:r>
      <w:r>
        <w:rPr>
          <w:spacing w:val="-66"/>
        </w:rPr>
        <w:t> </w:t>
      </w:r>
      <w:r>
        <w:rPr>
          <w:spacing w:val="7"/>
        </w:rPr>
        <w:t>励对象</w:t>
      </w:r>
      <w:r>
        <w:rPr>
          <w:rFonts w:ascii="宋体" w:hAnsi="宋体" w:cs="宋体" w:eastAsia="宋体" w:hint="default"/>
          <w:spacing w:val="7"/>
        </w:rPr>
        <w:t>168,900</w:t>
      </w:r>
      <w:r>
        <w:rPr>
          <w:spacing w:val="7"/>
        </w:rPr>
        <w:t>股限制性</w:t>
      </w:r>
      <w:r>
        <w:rPr>
          <w:spacing w:val="-66"/>
        </w:rPr>
        <w:t> </w:t>
      </w:r>
      <w:r>
        <w:rPr>
          <w:spacing w:val="13"/>
        </w:rPr>
        <w:t>股票，减少库存股</w:t>
      </w:r>
      <w:r>
        <w:rPr>
          <w:spacing w:val="-62"/>
        </w:rPr>
        <w:t> </w:t>
      </w:r>
      <w:r>
        <w:rPr>
          <w:spacing w:val="-62"/>
        </w:rPr>
      </w:r>
      <w:r>
        <w:rPr>
          <w:rFonts w:ascii="宋体" w:hAnsi="宋体" w:cs="宋体" w:eastAsia="宋体" w:hint="default"/>
        </w:rPr>
        <w:t>1,363,272.00</w:t>
      </w:r>
      <w:r>
        <w:rPr/>
        <w:t>元；（</w:t>
      </w:r>
      <w:r>
        <w:rPr>
          <w:rFonts w:ascii="宋体" w:hAnsi="宋体" w:cs="宋体" w:eastAsia="宋体" w:hint="default"/>
        </w:rPr>
        <w:t>3</w:t>
      </w:r>
      <w:r>
        <w:rPr/>
        <w:t>）根据本集团</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13</w:t>
      </w:r>
      <w:r>
        <w:rPr/>
        <w:t>日召开的第四届董事会第十四次会议，同意予以解锁第</w:t>
      </w:r>
      <w:r>
        <w:rPr>
          <w:spacing w:val="-31"/>
        </w:rPr>
        <w:t> </w:t>
      </w:r>
      <w:r>
        <w:rPr>
          <w:spacing w:val="-31"/>
        </w:rPr>
      </w:r>
      <w:r>
        <w:rPr>
          <w:spacing w:val="-2"/>
        </w:rPr>
        <w:t>二期限制性股票激励计划预留授予部分第二个解锁期</w:t>
      </w:r>
      <w:r>
        <w:rPr>
          <w:rFonts w:ascii="宋体" w:hAnsi="宋体" w:cs="宋体" w:eastAsia="宋体" w:hint="default"/>
          <w:spacing w:val="-2"/>
        </w:rPr>
        <w:t>90</w:t>
      </w:r>
      <w:r>
        <w:rPr>
          <w:spacing w:val="-2"/>
        </w:rPr>
        <w:t>名激励对象限制性股票，及第二期限制性股票激励</w:t>
      </w:r>
      <w:r>
        <w:rPr>
          <w:spacing w:val="-40"/>
        </w:rPr>
        <w:t> </w:t>
      </w:r>
      <w:r>
        <w:rPr>
          <w:spacing w:val="-40"/>
        </w:rPr>
      </w:r>
      <w:r>
        <w:rPr/>
        <w:t>计划首次授予部分第三个解锁期</w:t>
      </w:r>
      <w:r>
        <w:rPr>
          <w:rFonts w:ascii="宋体" w:hAnsi="宋体" w:cs="宋体" w:eastAsia="宋体" w:hint="default"/>
        </w:rPr>
        <w:t>406</w:t>
      </w:r>
      <w:r>
        <w:rPr/>
        <w:t>名激励对象限制性股票，共减少库存股和其他应付款</w:t>
      </w:r>
      <w:r>
        <w:rPr>
          <w:rFonts w:ascii="宋体" w:hAnsi="宋体" w:cs="宋体" w:eastAsia="宋体" w:hint="default"/>
        </w:rPr>
        <w:t>32,741,814.36</w:t>
      </w:r>
      <w:r>
        <w:rPr>
          <w:rFonts w:ascii="宋体" w:hAnsi="宋体" w:cs="宋体" w:eastAsia="宋体" w:hint="default"/>
          <w:spacing w:val="56"/>
        </w:rPr>
        <w:t> </w:t>
      </w:r>
      <w:r>
        <w:rPr>
          <w:rFonts w:ascii="宋体" w:hAnsi="宋体" w:cs="宋体" w:eastAsia="宋体" w:hint="default"/>
          <w:spacing w:val="56"/>
        </w:rPr>
      </w:r>
      <w:r>
        <w:rPr/>
        <w:t>元。</w:t>
      </w:r>
    </w:p>
    <w:p>
      <w:pPr>
        <w:spacing w:after="0" w:line="408" w:lineRule="auto"/>
        <w:jc w:val="both"/>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57、其他综合收益" w:id="365"/>
      <w:bookmarkEnd w:id="365"/>
      <w:r>
        <w:rPr>
          <w:b w:val="0"/>
          <w:bCs w:val="0"/>
        </w:rPr>
      </w:r>
      <w:r>
        <w:rPr>
          <w:rFonts w:ascii="Times New Roman" w:hAnsi="Times New Roman" w:cs="Times New Roman" w:eastAsia="Times New Roman" w:hint="default"/>
        </w:rPr>
        <w:t>57</w:t>
      </w:r>
      <w:r>
        <w:rPr/>
        <w:t>、其他综合收益</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36"/>
        <w:gridCol w:w="1080"/>
        <w:gridCol w:w="991"/>
        <w:gridCol w:w="1200"/>
        <w:gridCol w:w="1166"/>
        <w:gridCol w:w="852"/>
        <w:gridCol w:w="852"/>
        <w:gridCol w:w="852"/>
        <w:gridCol w:w="727"/>
      </w:tblGrid>
      <w:tr>
        <w:trPr>
          <w:trHeight w:val="398" w:hRule="exact"/>
        </w:trPr>
        <w:tc>
          <w:tcPr>
            <w:tcW w:w="1836" w:type="dxa"/>
            <w:vMerge w:val="restart"/>
            <w:tcBorders>
              <w:top w:val="single" w:sz="4" w:space="0" w:color="000000"/>
              <w:left w:val="single" w:sz="4" w:space="0" w:color="000000"/>
              <w:right w:val="single" w:sz="4" w:space="0" w:color="000000"/>
            </w:tcBorders>
            <w:shd w:val="clear" w:color="auto" w:fill="D4D4D4"/>
          </w:tcPr>
          <w:p>
            <w:pPr/>
          </w:p>
        </w:tc>
        <w:tc>
          <w:tcPr>
            <w:tcW w:w="1080" w:type="dxa"/>
            <w:vMerge w:val="restart"/>
            <w:tcBorders>
              <w:top w:val="single" w:sz="4" w:space="0" w:color="000000"/>
              <w:left w:val="single" w:sz="4" w:space="0" w:color="000000"/>
              <w:right w:val="single" w:sz="4" w:space="0" w:color="000000"/>
            </w:tcBorders>
            <w:shd w:val="clear" w:color="auto" w:fill="D4D4D4"/>
          </w:tcPr>
          <w:p>
            <w:pPr/>
          </w:p>
        </w:tc>
        <w:tc>
          <w:tcPr>
            <w:tcW w:w="5914" w:type="dxa"/>
            <w:gridSpan w:val="6"/>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727" w:type="dxa"/>
            <w:vMerge w:val="restart"/>
            <w:tcBorders>
              <w:top w:val="single" w:sz="4" w:space="0" w:color="000000"/>
              <w:left w:val="single" w:sz="4" w:space="0" w:color="000000"/>
              <w:right w:val="single" w:sz="4" w:space="0" w:color="000000"/>
            </w:tcBorders>
            <w:shd w:val="clear" w:color="auto" w:fill="D4D4D4"/>
          </w:tcPr>
          <w:p>
            <w:pPr/>
          </w:p>
        </w:tc>
      </w:tr>
      <w:tr>
        <w:trPr>
          <w:trHeight w:val="154" w:hRule="exact"/>
        </w:trPr>
        <w:tc>
          <w:tcPr>
            <w:tcW w:w="1836" w:type="dxa"/>
            <w:vMerge/>
            <w:tcBorders>
              <w:left w:val="single" w:sz="4" w:space="0" w:color="000000"/>
              <w:right w:val="single" w:sz="4" w:space="0" w:color="000000"/>
            </w:tcBorders>
            <w:shd w:val="clear" w:color="auto" w:fill="D4D4D4"/>
          </w:tcPr>
          <w:p>
            <w:pPr/>
          </w:p>
        </w:tc>
        <w:tc>
          <w:tcPr>
            <w:tcW w:w="1080" w:type="dxa"/>
            <w:vMerge/>
            <w:tcBorders>
              <w:left w:val="single" w:sz="4" w:space="0" w:color="000000"/>
              <w:right w:val="single" w:sz="4" w:space="0" w:color="000000"/>
            </w:tcBorders>
            <w:shd w:val="clear" w:color="auto" w:fill="D4D4D4"/>
          </w:tcPr>
          <w:p>
            <w:pPr/>
          </w:p>
        </w:tc>
        <w:tc>
          <w:tcPr>
            <w:tcW w:w="991" w:type="dxa"/>
            <w:vMerge w:val="restart"/>
            <w:tcBorders>
              <w:top w:val="single" w:sz="4" w:space="0" w:color="000000"/>
              <w:left w:val="single" w:sz="4" w:space="0" w:color="000000"/>
              <w:right w:val="single" w:sz="4" w:space="0" w:color="000000"/>
            </w:tcBorders>
            <w:shd w:val="clear" w:color="auto" w:fill="D4D4D4"/>
          </w:tcPr>
          <w:p>
            <w:pPr/>
          </w:p>
        </w:tc>
        <w:tc>
          <w:tcPr>
            <w:tcW w:w="1200" w:type="dxa"/>
            <w:tcBorders>
              <w:top w:val="single" w:sz="4" w:space="0" w:color="000000"/>
              <w:left w:val="single" w:sz="4" w:space="0" w:color="000000"/>
              <w:bottom w:val="nil" w:sz="6" w:space="0" w:color="auto"/>
              <w:right w:val="single" w:sz="4" w:space="0" w:color="000000"/>
            </w:tcBorders>
            <w:shd w:val="clear" w:color="auto" w:fill="D4D4D4"/>
          </w:tcPr>
          <w:p>
            <w:pPr/>
          </w:p>
        </w:tc>
        <w:tc>
          <w:tcPr>
            <w:tcW w:w="1166"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53"/>
              <w:ind w:left="38" w:right="36"/>
              <w:jc w:val="center"/>
              <w:rPr>
                <w:rFonts w:ascii="宋体" w:hAnsi="宋体" w:cs="宋体" w:eastAsia="宋体" w:hint="default"/>
                <w:sz w:val="18"/>
                <w:szCs w:val="18"/>
              </w:rPr>
            </w:pPr>
            <w:r>
              <w:rPr>
                <w:rFonts w:ascii="宋体" w:hAnsi="宋体" w:cs="宋体" w:eastAsia="宋体" w:hint="default"/>
                <w:sz w:val="18"/>
                <w:szCs w:val="18"/>
              </w:rPr>
              <w:t>减：前期计入 其他综合收益 当期转入留存 收益</w:t>
            </w:r>
          </w:p>
        </w:tc>
        <w:tc>
          <w:tcPr>
            <w:tcW w:w="852" w:type="dxa"/>
            <w:vMerge w:val="restart"/>
            <w:tcBorders>
              <w:top w:val="single" w:sz="4" w:space="0" w:color="000000"/>
              <w:left w:val="single" w:sz="4" w:space="0" w:color="000000"/>
              <w:right w:val="single" w:sz="4" w:space="0" w:color="000000"/>
            </w:tcBorders>
            <w:shd w:val="clear" w:color="auto" w:fill="D4D4D4"/>
          </w:tcPr>
          <w:p>
            <w:pPr/>
          </w:p>
        </w:tc>
        <w:tc>
          <w:tcPr>
            <w:tcW w:w="852" w:type="dxa"/>
            <w:vMerge w:val="restart"/>
            <w:tcBorders>
              <w:top w:val="single" w:sz="4" w:space="0" w:color="000000"/>
              <w:left w:val="single" w:sz="4" w:space="0" w:color="000000"/>
              <w:right w:val="single" w:sz="4" w:space="0" w:color="000000"/>
            </w:tcBorders>
            <w:shd w:val="clear" w:color="auto" w:fill="D4D4D4"/>
          </w:tcPr>
          <w:p>
            <w:pPr/>
          </w:p>
        </w:tc>
        <w:tc>
          <w:tcPr>
            <w:tcW w:w="852" w:type="dxa"/>
            <w:tcBorders>
              <w:top w:val="single" w:sz="4" w:space="0" w:color="000000"/>
              <w:left w:val="single" w:sz="4" w:space="0" w:color="000000"/>
              <w:bottom w:val="single" w:sz="18" w:space="0" w:color="FFFFFF"/>
              <w:right w:val="single" w:sz="4" w:space="0" w:color="000000"/>
            </w:tcBorders>
            <w:shd w:val="clear" w:color="auto" w:fill="D4D4D4"/>
          </w:tcPr>
          <w:p>
            <w:pPr/>
          </w:p>
        </w:tc>
        <w:tc>
          <w:tcPr>
            <w:tcW w:w="727" w:type="dxa"/>
            <w:vMerge/>
            <w:tcBorders>
              <w:left w:val="single" w:sz="4" w:space="0" w:color="000000"/>
              <w:bottom w:val="single" w:sz="18" w:space="0" w:color="FFFFFF"/>
              <w:right w:val="single" w:sz="4" w:space="0" w:color="000000"/>
            </w:tcBorders>
            <w:shd w:val="clear" w:color="auto" w:fill="D4D4D4"/>
          </w:tcPr>
          <w:p>
            <w:pPr/>
          </w:p>
        </w:tc>
      </w:tr>
      <w:tr>
        <w:trPr>
          <w:trHeight w:val="145" w:hRule="exact"/>
        </w:trPr>
        <w:tc>
          <w:tcPr>
            <w:tcW w:w="1836" w:type="dxa"/>
            <w:vMerge/>
            <w:tcBorders>
              <w:left w:val="single" w:sz="4" w:space="0" w:color="000000"/>
              <w:bottom w:val="nil" w:sz="6" w:space="0" w:color="auto"/>
              <w:right w:val="single" w:sz="4" w:space="0" w:color="000000"/>
            </w:tcBorders>
            <w:shd w:val="clear" w:color="auto" w:fill="D4D4D4"/>
          </w:tcPr>
          <w:p>
            <w:pPr/>
          </w:p>
        </w:tc>
        <w:tc>
          <w:tcPr>
            <w:tcW w:w="1080" w:type="dxa"/>
            <w:vMerge/>
            <w:tcBorders>
              <w:left w:val="single" w:sz="4" w:space="0" w:color="000000"/>
              <w:bottom w:val="nil" w:sz="6" w:space="0" w:color="auto"/>
              <w:right w:val="single" w:sz="4" w:space="0" w:color="000000"/>
            </w:tcBorders>
            <w:shd w:val="clear" w:color="auto" w:fill="D4D4D4"/>
          </w:tcPr>
          <w:p>
            <w:pPr/>
          </w:p>
        </w:tc>
        <w:tc>
          <w:tcPr>
            <w:tcW w:w="991" w:type="dxa"/>
            <w:vMerge/>
            <w:tcBorders>
              <w:left w:val="single" w:sz="4" w:space="0" w:color="000000"/>
              <w:bottom w:val="nil" w:sz="6" w:space="0" w:color="auto"/>
              <w:right w:val="single" w:sz="4" w:space="0" w:color="000000"/>
            </w:tcBorders>
            <w:shd w:val="clear" w:color="auto" w:fill="D4D4D4"/>
          </w:tcPr>
          <w:p>
            <w:pPr/>
          </w:p>
        </w:tc>
        <w:tc>
          <w:tcPr>
            <w:tcW w:w="1200"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60"/>
              <w:ind w:left="55" w:right="53"/>
              <w:jc w:val="both"/>
              <w:rPr>
                <w:rFonts w:ascii="宋体" w:hAnsi="宋体" w:cs="宋体" w:eastAsia="宋体" w:hint="default"/>
                <w:sz w:val="18"/>
                <w:szCs w:val="18"/>
              </w:rPr>
            </w:pPr>
            <w:r>
              <w:rPr>
                <w:rFonts w:ascii="宋体" w:hAnsi="宋体" w:cs="宋体" w:eastAsia="宋体" w:hint="default"/>
                <w:sz w:val="18"/>
                <w:szCs w:val="18"/>
              </w:rPr>
              <w:t>减：前期计入 其他综合收益 当期转入损益</w:t>
            </w:r>
          </w:p>
        </w:tc>
        <w:tc>
          <w:tcPr>
            <w:tcW w:w="1166" w:type="dxa"/>
            <w:vMerge/>
            <w:tcBorders>
              <w:left w:val="single" w:sz="4" w:space="0" w:color="000000"/>
              <w:right w:val="single" w:sz="4" w:space="0" w:color="000000"/>
            </w:tcBorders>
            <w:shd w:val="clear" w:color="auto" w:fill="D4D4D4"/>
          </w:tcPr>
          <w:p>
            <w:pPr/>
          </w:p>
        </w:tc>
        <w:tc>
          <w:tcPr>
            <w:tcW w:w="852" w:type="dxa"/>
            <w:vMerge/>
            <w:tcBorders>
              <w:left w:val="single" w:sz="4" w:space="0" w:color="000000"/>
              <w:bottom w:val="nil" w:sz="6" w:space="0" w:color="auto"/>
              <w:right w:val="single" w:sz="4" w:space="0" w:color="000000"/>
            </w:tcBorders>
            <w:shd w:val="clear" w:color="auto" w:fill="D4D4D4"/>
          </w:tcPr>
          <w:p>
            <w:pPr/>
          </w:p>
        </w:tc>
        <w:tc>
          <w:tcPr>
            <w:tcW w:w="852" w:type="dxa"/>
            <w:vMerge/>
            <w:tcBorders>
              <w:left w:val="single" w:sz="4" w:space="0" w:color="000000"/>
              <w:bottom w:val="nil" w:sz="6" w:space="0" w:color="auto"/>
              <w:right w:val="single" w:sz="4" w:space="0" w:color="000000"/>
            </w:tcBorders>
            <w:shd w:val="clear" w:color="auto" w:fill="D4D4D4"/>
          </w:tcPr>
          <w:p>
            <w:pPr/>
          </w:p>
        </w:tc>
        <w:tc>
          <w:tcPr>
            <w:tcW w:w="852" w:type="dxa"/>
            <w:vMerge w:val="restart"/>
            <w:tcBorders>
              <w:top w:val="single" w:sz="18" w:space="0" w:color="FFFFFF"/>
              <w:left w:val="single" w:sz="4" w:space="0" w:color="000000"/>
              <w:right w:val="single" w:sz="4" w:space="0" w:color="000000"/>
            </w:tcBorders>
            <w:shd w:val="clear" w:color="auto" w:fill="D4D4D4"/>
          </w:tcPr>
          <w:p>
            <w:pPr>
              <w:pStyle w:val="TableParagraph"/>
              <w:spacing w:line="316" w:lineRule="auto" w:before="37"/>
              <w:ind w:left="62" w:right="59"/>
              <w:jc w:val="center"/>
              <w:rPr>
                <w:rFonts w:ascii="宋体" w:hAnsi="宋体" w:cs="宋体" w:eastAsia="宋体" w:hint="default"/>
                <w:sz w:val="18"/>
                <w:szCs w:val="18"/>
              </w:rPr>
            </w:pPr>
            <w:r>
              <w:rPr>
                <w:rFonts w:ascii="宋体" w:hAnsi="宋体" w:cs="宋体" w:eastAsia="宋体" w:hint="default"/>
                <w:sz w:val="18"/>
                <w:szCs w:val="18"/>
              </w:rPr>
              <w:t>税后归属 于少数股 东</w:t>
            </w:r>
          </w:p>
        </w:tc>
        <w:tc>
          <w:tcPr>
            <w:tcW w:w="727" w:type="dxa"/>
            <w:vMerge w:val="restart"/>
            <w:tcBorders>
              <w:top w:val="single" w:sz="18" w:space="0" w:color="FFFFFF"/>
              <w:left w:val="single" w:sz="4" w:space="0" w:color="000000"/>
              <w:right w:val="single" w:sz="4" w:space="0" w:color="000000"/>
            </w:tcBorders>
            <w:shd w:val="clear" w:color="auto" w:fill="D4D4D4"/>
          </w:tcPr>
          <w:p>
            <w:pPr>
              <w:pStyle w:val="TableParagraph"/>
              <w:spacing w:line="316" w:lineRule="auto"/>
              <w:ind w:left="268" w:right="86" w:hanging="180"/>
              <w:jc w:val="left"/>
              <w:rPr>
                <w:rFonts w:ascii="宋体" w:hAnsi="宋体" w:cs="宋体" w:eastAsia="宋体" w:hint="default"/>
                <w:sz w:val="18"/>
                <w:szCs w:val="18"/>
              </w:rPr>
            </w:pPr>
            <w:r>
              <w:rPr>
                <w:rFonts w:ascii="宋体" w:hAnsi="宋体" w:cs="宋体" w:eastAsia="宋体" w:hint="default"/>
                <w:sz w:val="18"/>
                <w:szCs w:val="18"/>
              </w:rPr>
              <w:t>期末余 额</w:t>
            </w:r>
          </w:p>
        </w:tc>
      </w:tr>
      <w:tr>
        <w:trPr>
          <w:trHeight w:val="368" w:hRule="exact"/>
        </w:trPr>
        <w:tc>
          <w:tcPr>
            <w:tcW w:w="1836"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26"/>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1080"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26"/>
              <w:ind w:left="17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991"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71"/>
              <w:ind w:left="131" w:right="36" w:hanging="89"/>
              <w:jc w:val="left"/>
              <w:rPr>
                <w:rFonts w:ascii="宋体" w:hAnsi="宋体" w:cs="宋体" w:eastAsia="宋体" w:hint="default"/>
                <w:sz w:val="18"/>
                <w:szCs w:val="18"/>
              </w:rPr>
            </w:pPr>
            <w:r>
              <w:rPr>
                <w:rFonts w:ascii="宋体" w:hAnsi="宋体" w:cs="宋体" w:eastAsia="宋体" w:hint="default"/>
                <w:sz w:val="18"/>
                <w:szCs w:val="18"/>
              </w:rPr>
              <w:t>本期所得税 前发生额</w:t>
            </w:r>
          </w:p>
        </w:tc>
        <w:tc>
          <w:tcPr>
            <w:tcW w:w="1200" w:type="dxa"/>
            <w:vMerge/>
            <w:tcBorders>
              <w:left w:val="single" w:sz="4" w:space="0" w:color="000000"/>
              <w:right w:val="single" w:sz="4" w:space="0" w:color="000000"/>
            </w:tcBorders>
            <w:shd w:val="clear" w:color="auto" w:fill="D4D4D4"/>
          </w:tcPr>
          <w:p>
            <w:pPr/>
          </w:p>
        </w:tc>
        <w:tc>
          <w:tcPr>
            <w:tcW w:w="1166" w:type="dxa"/>
            <w:vMerge/>
            <w:tcBorders>
              <w:left w:val="single" w:sz="4" w:space="0" w:color="000000"/>
              <w:right w:val="single" w:sz="4" w:space="0" w:color="000000"/>
            </w:tcBorders>
            <w:shd w:val="clear" w:color="auto" w:fill="D4D4D4"/>
          </w:tcPr>
          <w:p>
            <w:pPr/>
          </w:p>
        </w:tc>
        <w:tc>
          <w:tcPr>
            <w:tcW w:w="852"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71"/>
              <w:ind w:left="151" w:right="59" w:hanging="89"/>
              <w:jc w:val="left"/>
              <w:rPr>
                <w:rFonts w:ascii="宋体" w:hAnsi="宋体" w:cs="宋体" w:eastAsia="宋体" w:hint="default"/>
                <w:sz w:val="18"/>
                <w:szCs w:val="18"/>
              </w:rPr>
            </w:pPr>
            <w:r>
              <w:rPr>
                <w:rFonts w:ascii="宋体" w:hAnsi="宋体" w:cs="宋体" w:eastAsia="宋体" w:hint="default"/>
                <w:sz w:val="18"/>
                <w:szCs w:val="18"/>
              </w:rPr>
              <w:t>减：所得 税费用</w:t>
            </w:r>
          </w:p>
        </w:tc>
        <w:tc>
          <w:tcPr>
            <w:tcW w:w="852"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71"/>
              <w:ind w:left="62" w:right="59"/>
              <w:jc w:val="left"/>
              <w:rPr>
                <w:rFonts w:ascii="宋体" w:hAnsi="宋体" w:cs="宋体" w:eastAsia="宋体" w:hint="default"/>
                <w:sz w:val="18"/>
                <w:szCs w:val="18"/>
              </w:rPr>
            </w:pPr>
            <w:r>
              <w:rPr>
                <w:rFonts w:ascii="宋体" w:hAnsi="宋体" w:cs="宋体" w:eastAsia="宋体" w:hint="default"/>
                <w:sz w:val="18"/>
                <w:szCs w:val="18"/>
              </w:rPr>
              <w:t>税后归属 于母公司</w:t>
            </w:r>
          </w:p>
        </w:tc>
        <w:tc>
          <w:tcPr>
            <w:tcW w:w="852" w:type="dxa"/>
            <w:vMerge/>
            <w:tcBorders>
              <w:left w:val="single" w:sz="4" w:space="0" w:color="000000"/>
              <w:right w:val="single" w:sz="4" w:space="0" w:color="000000"/>
            </w:tcBorders>
            <w:shd w:val="clear" w:color="auto" w:fill="D4D4D4"/>
          </w:tcPr>
          <w:p>
            <w:pPr/>
          </w:p>
        </w:tc>
        <w:tc>
          <w:tcPr>
            <w:tcW w:w="727" w:type="dxa"/>
            <w:vMerge/>
            <w:tcBorders>
              <w:left w:val="single" w:sz="4" w:space="0" w:color="000000"/>
              <w:right w:val="single" w:sz="4" w:space="0" w:color="000000"/>
            </w:tcBorders>
            <w:shd w:val="clear" w:color="auto" w:fill="D4D4D4"/>
          </w:tcPr>
          <w:p>
            <w:pPr/>
          </w:p>
        </w:tc>
      </w:tr>
      <w:tr>
        <w:trPr>
          <w:trHeight w:val="156" w:hRule="exact"/>
        </w:trPr>
        <w:tc>
          <w:tcPr>
            <w:tcW w:w="1836" w:type="dxa"/>
            <w:vMerge w:val="restart"/>
            <w:tcBorders>
              <w:top w:val="nil" w:sz="6" w:space="0" w:color="auto"/>
              <w:left w:val="single" w:sz="4" w:space="0" w:color="000000"/>
              <w:right w:val="single" w:sz="4" w:space="0" w:color="000000"/>
            </w:tcBorders>
            <w:shd w:val="clear" w:color="auto" w:fill="D4D4D4"/>
          </w:tcPr>
          <w:p>
            <w:pPr/>
          </w:p>
        </w:tc>
        <w:tc>
          <w:tcPr>
            <w:tcW w:w="1080" w:type="dxa"/>
            <w:vMerge w:val="restart"/>
            <w:tcBorders>
              <w:top w:val="nil" w:sz="6" w:space="0" w:color="auto"/>
              <w:left w:val="single" w:sz="4" w:space="0" w:color="000000"/>
              <w:right w:val="single" w:sz="4" w:space="0" w:color="000000"/>
            </w:tcBorders>
            <w:shd w:val="clear" w:color="auto" w:fill="D4D4D4"/>
          </w:tcPr>
          <w:p>
            <w:pPr/>
          </w:p>
        </w:tc>
        <w:tc>
          <w:tcPr>
            <w:tcW w:w="991" w:type="dxa"/>
            <w:vMerge/>
            <w:tcBorders>
              <w:left w:val="single" w:sz="4" w:space="0" w:color="000000"/>
              <w:right w:val="single" w:sz="4" w:space="0" w:color="000000"/>
            </w:tcBorders>
            <w:shd w:val="clear" w:color="auto" w:fill="D4D4D4"/>
          </w:tcPr>
          <w:p>
            <w:pPr/>
          </w:p>
        </w:tc>
        <w:tc>
          <w:tcPr>
            <w:tcW w:w="1200" w:type="dxa"/>
            <w:vMerge/>
            <w:tcBorders>
              <w:left w:val="single" w:sz="4" w:space="0" w:color="000000"/>
              <w:right w:val="single" w:sz="4" w:space="0" w:color="000000"/>
            </w:tcBorders>
            <w:shd w:val="clear" w:color="auto" w:fill="D4D4D4"/>
          </w:tcPr>
          <w:p>
            <w:pPr/>
          </w:p>
        </w:tc>
        <w:tc>
          <w:tcPr>
            <w:tcW w:w="1166" w:type="dxa"/>
            <w:vMerge/>
            <w:tcBorders>
              <w:left w:val="single" w:sz="4" w:space="0" w:color="000000"/>
              <w:right w:val="single" w:sz="4" w:space="0" w:color="000000"/>
            </w:tcBorders>
            <w:shd w:val="clear" w:color="auto" w:fill="D4D4D4"/>
          </w:tcPr>
          <w:p>
            <w:pPr/>
          </w:p>
        </w:tc>
        <w:tc>
          <w:tcPr>
            <w:tcW w:w="852" w:type="dxa"/>
            <w:vMerge/>
            <w:tcBorders>
              <w:left w:val="single" w:sz="4" w:space="0" w:color="000000"/>
              <w:right w:val="single" w:sz="4" w:space="0" w:color="000000"/>
            </w:tcBorders>
            <w:shd w:val="clear" w:color="auto" w:fill="D4D4D4"/>
          </w:tcPr>
          <w:p>
            <w:pPr/>
          </w:p>
        </w:tc>
        <w:tc>
          <w:tcPr>
            <w:tcW w:w="852" w:type="dxa"/>
            <w:vMerge/>
            <w:tcBorders>
              <w:left w:val="single" w:sz="4" w:space="0" w:color="000000"/>
              <w:right w:val="single" w:sz="4" w:space="0" w:color="000000"/>
            </w:tcBorders>
            <w:shd w:val="clear" w:color="auto" w:fill="D4D4D4"/>
          </w:tcPr>
          <w:p>
            <w:pPr/>
          </w:p>
        </w:tc>
        <w:tc>
          <w:tcPr>
            <w:tcW w:w="852" w:type="dxa"/>
            <w:vMerge/>
            <w:tcBorders>
              <w:left w:val="single" w:sz="4" w:space="0" w:color="000000"/>
              <w:right w:val="single" w:sz="4" w:space="0" w:color="000000"/>
            </w:tcBorders>
            <w:shd w:val="clear" w:color="auto" w:fill="D4D4D4"/>
          </w:tcPr>
          <w:p>
            <w:pPr/>
          </w:p>
        </w:tc>
        <w:tc>
          <w:tcPr>
            <w:tcW w:w="727" w:type="dxa"/>
            <w:vMerge/>
            <w:tcBorders>
              <w:left w:val="single" w:sz="4" w:space="0" w:color="000000"/>
              <w:bottom w:val="nil" w:sz="6" w:space="0" w:color="auto"/>
              <w:right w:val="single" w:sz="4" w:space="0" w:color="000000"/>
            </w:tcBorders>
            <w:shd w:val="clear" w:color="auto" w:fill="D4D4D4"/>
          </w:tcPr>
          <w:p>
            <w:pPr/>
          </w:p>
        </w:tc>
      </w:tr>
      <w:tr>
        <w:trPr>
          <w:trHeight w:val="202" w:hRule="exact"/>
        </w:trPr>
        <w:tc>
          <w:tcPr>
            <w:tcW w:w="1836" w:type="dxa"/>
            <w:vMerge/>
            <w:tcBorders>
              <w:left w:val="single" w:sz="4" w:space="0" w:color="000000"/>
              <w:right w:val="single" w:sz="4" w:space="0" w:color="000000"/>
            </w:tcBorders>
            <w:shd w:val="clear" w:color="auto" w:fill="D4D4D4"/>
          </w:tcPr>
          <w:p>
            <w:pPr/>
          </w:p>
        </w:tc>
        <w:tc>
          <w:tcPr>
            <w:tcW w:w="1080" w:type="dxa"/>
            <w:vMerge/>
            <w:tcBorders>
              <w:left w:val="single" w:sz="4" w:space="0" w:color="000000"/>
              <w:right w:val="single" w:sz="4" w:space="0" w:color="000000"/>
            </w:tcBorders>
            <w:shd w:val="clear" w:color="auto" w:fill="D4D4D4"/>
          </w:tcPr>
          <w:p>
            <w:pPr/>
          </w:p>
        </w:tc>
        <w:tc>
          <w:tcPr>
            <w:tcW w:w="991" w:type="dxa"/>
            <w:vMerge/>
            <w:tcBorders>
              <w:left w:val="single" w:sz="4" w:space="0" w:color="000000"/>
              <w:bottom w:val="nil" w:sz="6" w:space="0" w:color="auto"/>
              <w:right w:val="single" w:sz="4" w:space="0" w:color="000000"/>
            </w:tcBorders>
            <w:shd w:val="clear" w:color="auto" w:fill="D4D4D4"/>
          </w:tcPr>
          <w:p>
            <w:pPr/>
          </w:p>
        </w:tc>
        <w:tc>
          <w:tcPr>
            <w:tcW w:w="1200" w:type="dxa"/>
            <w:vMerge/>
            <w:tcBorders>
              <w:left w:val="single" w:sz="4" w:space="0" w:color="000000"/>
              <w:right w:val="single" w:sz="4" w:space="0" w:color="000000"/>
            </w:tcBorders>
            <w:shd w:val="clear" w:color="auto" w:fill="D4D4D4"/>
          </w:tcPr>
          <w:p>
            <w:pPr/>
          </w:p>
        </w:tc>
        <w:tc>
          <w:tcPr>
            <w:tcW w:w="1166" w:type="dxa"/>
            <w:vMerge/>
            <w:tcBorders>
              <w:left w:val="single" w:sz="4" w:space="0" w:color="000000"/>
              <w:right w:val="single" w:sz="4" w:space="0" w:color="000000"/>
            </w:tcBorders>
            <w:shd w:val="clear" w:color="auto" w:fill="D4D4D4"/>
          </w:tcPr>
          <w:p>
            <w:pPr/>
          </w:p>
        </w:tc>
        <w:tc>
          <w:tcPr>
            <w:tcW w:w="852" w:type="dxa"/>
            <w:vMerge/>
            <w:tcBorders>
              <w:left w:val="single" w:sz="4" w:space="0" w:color="000000"/>
              <w:bottom w:val="nil" w:sz="6" w:space="0" w:color="auto"/>
              <w:right w:val="single" w:sz="4" w:space="0" w:color="000000"/>
            </w:tcBorders>
            <w:shd w:val="clear" w:color="auto" w:fill="D4D4D4"/>
          </w:tcPr>
          <w:p>
            <w:pPr/>
          </w:p>
        </w:tc>
        <w:tc>
          <w:tcPr>
            <w:tcW w:w="852" w:type="dxa"/>
            <w:vMerge/>
            <w:tcBorders>
              <w:left w:val="single" w:sz="4" w:space="0" w:color="000000"/>
              <w:bottom w:val="nil" w:sz="6" w:space="0" w:color="auto"/>
              <w:right w:val="single" w:sz="4" w:space="0" w:color="000000"/>
            </w:tcBorders>
            <w:shd w:val="clear" w:color="auto" w:fill="D4D4D4"/>
          </w:tcPr>
          <w:p>
            <w:pPr/>
          </w:p>
        </w:tc>
        <w:tc>
          <w:tcPr>
            <w:tcW w:w="852" w:type="dxa"/>
            <w:vMerge/>
            <w:tcBorders>
              <w:left w:val="single" w:sz="4" w:space="0" w:color="000000"/>
              <w:right w:val="single" w:sz="4" w:space="0" w:color="000000"/>
            </w:tcBorders>
            <w:shd w:val="clear" w:color="auto" w:fill="D4D4D4"/>
          </w:tcPr>
          <w:p>
            <w:pPr/>
          </w:p>
        </w:tc>
        <w:tc>
          <w:tcPr>
            <w:tcW w:w="727" w:type="dxa"/>
            <w:vMerge w:val="restart"/>
            <w:tcBorders>
              <w:top w:val="nil" w:sz="6" w:space="0" w:color="auto"/>
              <w:left w:val="single" w:sz="4" w:space="0" w:color="000000"/>
              <w:right w:val="single" w:sz="4" w:space="0" w:color="000000"/>
            </w:tcBorders>
            <w:shd w:val="clear" w:color="auto" w:fill="D4D4D4"/>
          </w:tcPr>
          <w:p>
            <w:pPr/>
          </w:p>
        </w:tc>
      </w:tr>
      <w:tr>
        <w:trPr>
          <w:trHeight w:val="156" w:hRule="exact"/>
        </w:trPr>
        <w:tc>
          <w:tcPr>
            <w:tcW w:w="1836" w:type="dxa"/>
            <w:vMerge/>
            <w:tcBorders>
              <w:left w:val="single" w:sz="4" w:space="0" w:color="000000"/>
              <w:right w:val="single" w:sz="4" w:space="0" w:color="000000"/>
            </w:tcBorders>
            <w:shd w:val="clear" w:color="auto" w:fill="D4D4D4"/>
          </w:tcPr>
          <w:p>
            <w:pPr/>
          </w:p>
        </w:tc>
        <w:tc>
          <w:tcPr>
            <w:tcW w:w="1080" w:type="dxa"/>
            <w:vMerge/>
            <w:tcBorders>
              <w:left w:val="single" w:sz="4" w:space="0" w:color="000000"/>
              <w:right w:val="single" w:sz="4" w:space="0" w:color="000000"/>
            </w:tcBorders>
            <w:shd w:val="clear" w:color="auto" w:fill="D4D4D4"/>
          </w:tcPr>
          <w:p>
            <w:pPr/>
          </w:p>
        </w:tc>
        <w:tc>
          <w:tcPr>
            <w:tcW w:w="991" w:type="dxa"/>
            <w:vMerge w:val="restart"/>
            <w:tcBorders>
              <w:top w:val="nil" w:sz="6" w:space="0" w:color="auto"/>
              <w:left w:val="single" w:sz="4" w:space="0" w:color="000000"/>
              <w:right w:val="single" w:sz="4" w:space="0" w:color="000000"/>
            </w:tcBorders>
            <w:shd w:val="clear" w:color="auto" w:fill="D4D4D4"/>
          </w:tcPr>
          <w:p>
            <w:pPr/>
          </w:p>
        </w:tc>
        <w:tc>
          <w:tcPr>
            <w:tcW w:w="1200" w:type="dxa"/>
            <w:vMerge/>
            <w:tcBorders>
              <w:left w:val="single" w:sz="4" w:space="0" w:color="000000"/>
              <w:bottom w:val="nil" w:sz="6" w:space="0" w:color="auto"/>
              <w:right w:val="single" w:sz="4" w:space="0" w:color="000000"/>
            </w:tcBorders>
            <w:shd w:val="clear" w:color="auto" w:fill="D4D4D4"/>
          </w:tcPr>
          <w:p>
            <w:pPr/>
          </w:p>
        </w:tc>
        <w:tc>
          <w:tcPr>
            <w:tcW w:w="1166" w:type="dxa"/>
            <w:vMerge/>
            <w:tcBorders>
              <w:left w:val="single" w:sz="4" w:space="0" w:color="000000"/>
              <w:right w:val="single" w:sz="4" w:space="0" w:color="000000"/>
            </w:tcBorders>
            <w:shd w:val="clear" w:color="auto" w:fill="D4D4D4"/>
          </w:tcPr>
          <w:p>
            <w:pPr/>
          </w:p>
        </w:tc>
        <w:tc>
          <w:tcPr>
            <w:tcW w:w="852" w:type="dxa"/>
            <w:vMerge w:val="restart"/>
            <w:tcBorders>
              <w:top w:val="nil" w:sz="6" w:space="0" w:color="auto"/>
              <w:left w:val="single" w:sz="4" w:space="0" w:color="000000"/>
              <w:right w:val="single" w:sz="4" w:space="0" w:color="000000"/>
            </w:tcBorders>
            <w:shd w:val="clear" w:color="auto" w:fill="D4D4D4"/>
          </w:tcPr>
          <w:p>
            <w:pPr/>
          </w:p>
        </w:tc>
        <w:tc>
          <w:tcPr>
            <w:tcW w:w="852" w:type="dxa"/>
            <w:vMerge w:val="restart"/>
            <w:tcBorders>
              <w:top w:val="nil" w:sz="6" w:space="0" w:color="auto"/>
              <w:left w:val="single" w:sz="4" w:space="0" w:color="000000"/>
              <w:right w:val="single" w:sz="4" w:space="0" w:color="000000"/>
            </w:tcBorders>
            <w:shd w:val="clear" w:color="auto" w:fill="D4D4D4"/>
          </w:tcPr>
          <w:p>
            <w:pPr/>
          </w:p>
        </w:tc>
        <w:tc>
          <w:tcPr>
            <w:tcW w:w="852" w:type="dxa"/>
            <w:vMerge/>
            <w:tcBorders>
              <w:left w:val="single" w:sz="4" w:space="0" w:color="000000"/>
              <w:bottom w:val="nil" w:sz="6" w:space="0" w:color="auto"/>
              <w:right w:val="single" w:sz="4" w:space="0" w:color="000000"/>
            </w:tcBorders>
            <w:shd w:val="clear" w:color="auto" w:fill="D4D4D4"/>
          </w:tcPr>
          <w:p>
            <w:pPr/>
          </w:p>
        </w:tc>
        <w:tc>
          <w:tcPr>
            <w:tcW w:w="727" w:type="dxa"/>
            <w:vMerge/>
            <w:tcBorders>
              <w:left w:val="single" w:sz="4" w:space="0" w:color="000000"/>
              <w:right w:val="single" w:sz="4" w:space="0" w:color="000000"/>
            </w:tcBorders>
            <w:shd w:val="clear" w:color="auto" w:fill="D4D4D4"/>
          </w:tcPr>
          <w:p>
            <w:pPr/>
          </w:p>
        </w:tc>
      </w:tr>
      <w:tr>
        <w:trPr>
          <w:trHeight w:val="161" w:hRule="exact"/>
        </w:trPr>
        <w:tc>
          <w:tcPr>
            <w:tcW w:w="1836" w:type="dxa"/>
            <w:vMerge/>
            <w:tcBorders>
              <w:left w:val="single" w:sz="4" w:space="0" w:color="000000"/>
              <w:bottom w:val="single" w:sz="4" w:space="0" w:color="000000"/>
              <w:right w:val="single" w:sz="4" w:space="0" w:color="000000"/>
            </w:tcBorders>
            <w:shd w:val="clear" w:color="auto" w:fill="D4D4D4"/>
          </w:tcPr>
          <w:p>
            <w:pPr/>
          </w:p>
        </w:tc>
        <w:tc>
          <w:tcPr>
            <w:tcW w:w="1080" w:type="dxa"/>
            <w:vMerge/>
            <w:tcBorders>
              <w:left w:val="single" w:sz="4" w:space="0" w:color="000000"/>
              <w:bottom w:val="single" w:sz="4" w:space="0" w:color="000000"/>
              <w:right w:val="single" w:sz="4" w:space="0" w:color="000000"/>
            </w:tcBorders>
            <w:shd w:val="clear" w:color="auto" w:fill="D4D4D4"/>
          </w:tcPr>
          <w:p>
            <w:pPr/>
          </w:p>
        </w:tc>
        <w:tc>
          <w:tcPr>
            <w:tcW w:w="991" w:type="dxa"/>
            <w:vMerge/>
            <w:tcBorders>
              <w:left w:val="single" w:sz="4" w:space="0" w:color="000000"/>
              <w:bottom w:val="single" w:sz="4" w:space="0" w:color="000000"/>
              <w:right w:val="single" w:sz="4" w:space="0" w:color="000000"/>
            </w:tcBorders>
            <w:shd w:val="clear" w:color="auto" w:fill="D4D4D4"/>
          </w:tcPr>
          <w:p>
            <w:pPr/>
          </w:p>
        </w:tc>
        <w:tc>
          <w:tcPr>
            <w:tcW w:w="1200" w:type="dxa"/>
            <w:tcBorders>
              <w:top w:val="nil" w:sz="6" w:space="0" w:color="auto"/>
              <w:left w:val="single" w:sz="4" w:space="0" w:color="000000"/>
              <w:bottom w:val="single" w:sz="4" w:space="0" w:color="000000"/>
              <w:right w:val="single" w:sz="4" w:space="0" w:color="000000"/>
            </w:tcBorders>
            <w:shd w:val="clear" w:color="auto" w:fill="D4D4D4"/>
          </w:tcPr>
          <w:p>
            <w:pPr/>
          </w:p>
        </w:tc>
        <w:tc>
          <w:tcPr>
            <w:tcW w:w="1166" w:type="dxa"/>
            <w:vMerge/>
            <w:tcBorders>
              <w:left w:val="single" w:sz="4" w:space="0" w:color="000000"/>
              <w:bottom w:val="single" w:sz="4" w:space="0" w:color="000000"/>
              <w:right w:val="single" w:sz="4" w:space="0" w:color="000000"/>
            </w:tcBorders>
            <w:shd w:val="clear" w:color="auto" w:fill="D4D4D4"/>
          </w:tcPr>
          <w:p>
            <w:pPr/>
          </w:p>
        </w:tc>
        <w:tc>
          <w:tcPr>
            <w:tcW w:w="852" w:type="dxa"/>
            <w:vMerge/>
            <w:tcBorders>
              <w:left w:val="single" w:sz="4" w:space="0" w:color="000000"/>
              <w:bottom w:val="single" w:sz="4" w:space="0" w:color="000000"/>
              <w:right w:val="single" w:sz="4" w:space="0" w:color="000000"/>
            </w:tcBorders>
            <w:shd w:val="clear" w:color="auto" w:fill="D4D4D4"/>
          </w:tcPr>
          <w:p>
            <w:pPr/>
          </w:p>
        </w:tc>
        <w:tc>
          <w:tcPr>
            <w:tcW w:w="852" w:type="dxa"/>
            <w:vMerge/>
            <w:tcBorders>
              <w:left w:val="single" w:sz="4" w:space="0" w:color="000000"/>
              <w:bottom w:val="single" w:sz="4" w:space="0" w:color="000000"/>
              <w:right w:val="single" w:sz="4" w:space="0" w:color="000000"/>
            </w:tcBorders>
            <w:shd w:val="clear" w:color="auto" w:fill="D4D4D4"/>
          </w:tcPr>
          <w:p>
            <w:pPr/>
          </w:p>
        </w:tc>
        <w:tc>
          <w:tcPr>
            <w:tcW w:w="852" w:type="dxa"/>
            <w:tcBorders>
              <w:top w:val="nil" w:sz="6" w:space="0" w:color="auto"/>
              <w:left w:val="single" w:sz="4" w:space="0" w:color="000000"/>
              <w:bottom w:val="single" w:sz="4" w:space="0" w:color="000000"/>
              <w:right w:val="single" w:sz="4" w:space="0" w:color="000000"/>
            </w:tcBorders>
            <w:shd w:val="clear" w:color="auto" w:fill="D4D4D4"/>
          </w:tcPr>
          <w:p>
            <w:pPr/>
          </w:p>
        </w:tc>
        <w:tc>
          <w:tcPr>
            <w:tcW w:w="727" w:type="dxa"/>
            <w:vMerge/>
            <w:tcBorders>
              <w:left w:val="single" w:sz="4" w:space="0" w:color="000000"/>
              <w:bottom w:val="single" w:sz="4" w:space="0" w:color="000000"/>
              <w:right w:val="single" w:sz="4" w:space="0" w:color="000000"/>
            </w:tcBorders>
            <w:shd w:val="clear" w:color="auto" w:fill="D4D4D4"/>
          </w:tcPr>
          <w:p>
            <w:pPr/>
          </w:p>
        </w:tc>
      </w:tr>
      <w:tr>
        <w:trPr>
          <w:trHeight w:val="715" w:hRule="exact"/>
        </w:trPr>
        <w:tc>
          <w:tcPr>
            <w:tcW w:w="183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2" w:right="19"/>
              <w:jc w:val="left"/>
              <w:rPr>
                <w:rFonts w:ascii="宋体" w:hAnsi="宋体" w:cs="宋体" w:eastAsia="宋体" w:hint="default"/>
                <w:sz w:val="18"/>
                <w:szCs w:val="18"/>
              </w:rPr>
            </w:pPr>
            <w:r>
              <w:rPr>
                <w:rFonts w:ascii="宋体" w:hAnsi="宋体" w:cs="宋体" w:eastAsia="宋体" w:hint="default"/>
                <w:sz w:val="18"/>
                <w:szCs w:val="18"/>
              </w:rPr>
              <w:t>一、不能重分类进损益 的其他综合收益</w:t>
            </w:r>
          </w:p>
        </w:tc>
        <w:tc>
          <w:tcPr>
            <w:tcW w:w="1080"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3"/>
              <w:jc w:val="right"/>
              <w:rPr>
                <w:rFonts w:ascii="Times New Roman" w:hAnsi="Times New Roman" w:cs="Times New Roman" w:eastAsia="Times New Roman" w:hint="default"/>
                <w:sz w:val="18"/>
                <w:szCs w:val="18"/>
              </w:rPr>
            </w:pPr>
            <w:r>
              <w:rPr>
                <w:rFonts w:ascii="Times New Roman"/>
                <w:spacing w:val="-1"/>
                <w:sz w:val="18"/>
              </w:rPr>
              <w:t>160,100,351.</w:t>
            </w:r>
            <w:r>
              <w:rPr>
                <w:rFonts w:ascii="Times New Roman"/>
                <w:sz w:val="18"/>
              </w:rPr>
            </w:r>
          </w:p>
          <w:p>
            <w:pPr>
              <w:pStyle w:val="TableParagraph"/>
              <w:spacing w:line="240" w:lineRule="auto" w:before="105"/>
              <w:ind w:right="14"/>
              <w:jc w:val="right"/>
              <w:rPr>
                <w:rFonts w:ascii="Times New Roman" w:hAnsi="Times New Roman" w:cs="Times New Roman" w:eastAsia="Times New Roman" w:hint="default"/>
                <w:sz w:val="18"/>
                <w:szCs w:val="18"/>
              </w:rPr>
            </w:pPr>
            <w:r>
              <w:rPr>
                <w:rFonts w:ascii="Times New Roman"/>
                <w:sz w:val="18"/>
              </w:rPr>
              <w:t>33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2"/>
                <w:sz w:val="18"/>
              </w:rPr>
              <w:t>111,016,598.</w:t>
            </w:r>
            <w:r>
              <w:rPr>
                <w:rFonts w:ascii="Times New Roman"/>
                <w:sz w:val="18"/>
              </w:rPr>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05</w:t>
            </w:r>
          </w:p>
        </w:tc>
        <w:tc>
          <w:tcPr>
            <w:tcW w:w="1200"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7" w:right="0"/>
              <w:jc w:val="left"/>
              <w:rPr>
                <w:rFonts w:ascii="Times New Roman" w:hAnsi="Times New Roman" w:cs="Times New Roman" w:eastAsia="Times New Roman" w:hint="default"/>
                <w:sz w:val="18"/>
                <w:szCs w:val="18"/>
              </w:rPr>
            </w:pPr>
            <w:r>
              <w:rPr>
                <w:rFonts w:ascii="Times New Roman"/>
                <w:sz w:val="18"/>
              </w:rPr>
              <w:t>11,101,65</w:t>
            </w:r>
          </w:p>
          <w:p>
            <w:pPr>
              <w:pStyle w:val="TableParagraph"/>
              <w:spacing w:line="240" w:lineRule="auto" w:before="105"/>
              <w:ind w:left="506" w:right="0"/>
              <w:jc w:val="left"/>
              <w:rPr>
                <w:rFonts w:ascii="Times New Roman" w:hAnsi="Times New Roman" w:cs="Times New Roman" w:eastAsia="Times New Roman" w:hint="default"/>
                <w:sz w:val="18"/>
                <w:szCs w:val="18"/>
              </w:rPr>
            </w:pPr>
            <w:r>
              <w:rPr>
                <w:rFonts w:ascii="Times New Roman"/>
                <w:sz w:val="18"/>
              </w:rPr>
              <w:t>9.82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left"/>
              <w:rPr>
                <w:rFonts w:ascii="Times New Roman" w:hAnsi="Times New Roman" w:cs="Times New Roman" w:eastAsia="Times New Roman" w:hint="default"/>
                <w:sz w:val="18"/>
                <w:szCs w:val="18"/>
              </w:rPr>
            </w:pPr>
            <w:r>
              <w:rPr>
                <w:rFonts w:ascii="Times New Roman"/>
                <w:sz w:val="18"/>
              </w:rPr>
              <w:t>99,914,93</w:t>
            </w:r>
          </w:p>
          <w:p>
            <w:pPr>
              <w:pStyle w:val="TableParagraph"/>
              <w:spacing w:line="240" w:lineRule="auto" w:before="105"/>
              <w:ind w:left="506" w:right="0"/>
              <w:jc w:val="left"/>
              <w:rPr>
                <w:rFonts w:ascii="Times New Roman" w:hAnsi="Times New Roman" w:cs="Times New Roman" w:eastAsia="Times New Roman" w:hint="default"/>
                <w:sz w:val="18"/>
                <w:szCs w:val="18"/>
              </w:rPr>
            </w:pPr>
            <w:r>
              <w:rPr>
                <w:rFonts w:ascii="Times New Roman"/>
                <w:sz w:val="18"/>
              </w:rPr>
              <w:t>8.23</w:t>
            </w:r>
          </w:p>
        </w:tc>
        <w:tc>
          <w:tcPr>
            <w:tcW w:w="852"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1" w:right="0"/>
              <w:jc w:val="center"/>
              <w:rPr>
                <w:rFonts w:ascii="Times New Roman" w:hAnsi="Times New Roman" w:cs="Times New Roman" w:eastAsia="Times New Roman" w:hint="default"/>
                <w:sz w:val="18"/>
                <w:szCs w:val="18"/>
              </w:rPr>
            </w:pPr>
            <w:r>
              <w:rPr>
                <w:rFonts w:ascii="Times New Roman"/>
                <w:sz w:val="18"/>
              </w:rPr>
              <w:t>260,015,</w:t>
            </w:r>
          </w:p>
          <w:p>
            <w:pPr>
              <w:pStyle w:val="TableParagraph"/>
              <w:spacing w:line="240" w:lineRule="auto" w:before="105"/>
              <w:ind w:left="175" w:right="0"/>
              <w:jc w:val="center"/>
              <w:rPr>
                <w:rFonts w:ascii="Times New Roman" w:hAnsi="Times New Roman" w:cs="Times New Roman" w:eastAsia="Times New Roman" w:hint="default"/>
                <w:sz w:val="18"/>
                <w:szCs w:val="18"/>
              </w:rPr>
            </w:pPr>
            <w:r>
              <w:rPr>
                <w:rFonts w:ascii="Times New Roman"/>
                <w:sz w:val="18"/>
              </w:rPr>
              <w:t>289.56</w:t>
            </w:r>
          </w:p>
        </w:tc>
      </w:tr>
      <w:tr>
        <w:trPr>
          <w:trHeight w:val="713" w:hRule="exact"/>
        </w:trPr>
        <w:tc>
          <w:tcPr>
            <w:tcW w:w="183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2" w:right="192" w:firstLine="540"/>
              <w:jc w:val="left"/>
              <w:rPr>
                <w:rFonts w:ascii="宋体" w:hAnsi="宋体" w:cs="宋体" w:eastAsia="宋体" w:hint="default"/>
                <w:sz w:val="18"/>
                <w:szCs w:val="18"/>
              </w:rPr>
            </w:pPr>
            <w:r>
              <w:rPr>
                <w:rFonts w:ascii="宋体" w:hAnsi="宋体" w:cs="宋体" w:eastAsia="宋体" w:hint="default"/>
                <w:sz w:val="18"/>
                <w:szCs w:val="18"/>
              </w:rPr>
              <w:t>其他权益工具 投资公允价值变动</w:t>
            </w:r>
          </w:p>
        </w:tc>
        <w:tc>
          <w:tcPr>
            <w:tcW w:w="1080"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3"/>
              <w:jc w:val="right"/>
              <w:rPr>
                <w:rFonts w:ascii="Times New Roman" w:hAnsi="Times New Roman" w:cs="Times New Roman" w:eastAsia="Times New Roman" w:hint="default"/>
                <w:sz w:val="18"/>
                <w:szCs w:val="18"/>
              </w:rPr>
            </w:pPr>
            <w:r>
              <w:rPr>
                <w:rFonts w:ascii="Times New Roman"/>
                <w:spacing w:val="-1"/>
                <w:sz w:val="18"/>
              </w:rPr>
              <w:t>160,100,351.</w:t>
            </w:r>
            <w:r>
              <w:rPr>
                <w:rFonts w:ascii="Times New Roman"/>
                <w:sz w:val="18"/>
              </w:rPr>
            </w:r>
          </w:p>
          <w:p>
            <w:pPr>
              <w:pStyle w:val="TableParagraph"/>
              <w:spacing w:line="240" w:lineRule="auto" w:before="105"/>
              <w:ind w:right="14"/>
              <w:jc w:val="right"/>
              <w:rPr>
                <w:rFonts w:ascii="Times New Roman" w:hAnsi="Times New Roman" w:cs="Times New Roman" w:eastAsia="Times New Roman" w:hint="default"/>
                <w:sz w:val="18"/>
                <w:szCs w:val="18"/>
              </w:rPr>
            </w:pPr>
            <w:r>
              <w:rPr>
                <w:rFonts w:ascii="Times New Roman"/>
                <w:sz w:val="18"/>
              </w:rPr>
              <w:t>33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2"/>
                <w:sz w:val="18"/>
              </w:rPr>
              <w:t>111,016,598.</w:t>
            </w:r>
            <w:r>
              <w:rPr>
                <w:rFonts w:ascii="Times New Roman"/>
                <w:sz w:val="18"/>
              </w:rPr>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05</w:t>
            </w:r>
          </w:p>
        </w:tc>
        <w:tc>
          <w:tcPr>
            <w:tcW w:w="1200"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7" w:right="0"/>
              <w:jc w:val="left"/>
              <w:rPr>
                <w:rFonts w:ascii="Times New Roman" w:hAnsi="Times New Roman" w:cs="Times New Roman" w:eastAsia="Times New Roman" w:hint="default"/>
                <w:sz w:val="18"/>
                <w:szCs w:val="18"/>
              </w:rPr>
            </w:pPr>
            <w:r>
              <w:rPr>
                <w:rFonts w:ascii="Times New Roman"/>
                <w:sz w:val="18"/>
              </w:rPr>
              <w:t>11,101,65</w:t>
            </w:r>
          </w:p>
          <w:p>
            <w:pPr>
              <w:pStyle w:val="TableParagraph"/>
              <w:spacing w:line="240" w:lineRule="auto" w:before="105"/>
              <w:ind w:left="506" w:right="0"/>
              <w:jc w:val="left"/>
              <w:rPr>
                <w:rFonts w:ascii="Times New Roman" w:hAnsi="Times New Roman" w:cs="Times New Roman" w:eastAsia="Times New Roman" w:hint="default"/>
                <w:sz w:val="18"/>
                <w:szCs w:val="18"/>
              </w:rPr>
            </w:pPr>
            <w:r>
              <w:rPr>
                <w:rFonts w:ascii="Times New Roman"/>
                <w:sz w:val="18"/>
              </w:rPr>
              <w:t>9.82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left"/>
              <w:rPr>
                <w:rFonts w:ascii="Times New Roman" w:hAnsi="Times New Roman" w:cs="Times New Roman" w:eastAsia="Times New Roman" w:hint="default"/>
                <w:sz w:val="18"/>
                <w:szCs w:val="18"/>
              </w:rPr>
            </w:pPr>
            <w:r>
              <w:rPr>
                <w:rFonts w:ascii="Times New Roman"/>
                <w:sz w:val="18"/>
              </w:rPr>
              <w:t>99,914,93</w:t>
            </w:r>
          </w:p>
          <w:p>
            <w:pPr>
              <w:pStyle w:val="TableParagraph"/>
              <w:spacing w:line="240" w:lineRule="auto" w:before="105"/>
              <w:ind w:left="506" w:right="0"/>
              <w:jc w:val="left"/>
              <w:rPr>
                <w:rFonts w:ascii="Times New Roman" w:hAnsi="Times New Roman" w:cs="Times New Roman" w:eastAsia="Times New Roman" w:hint="default"/>
                <w:sz w:val="18"/>
                <w:szCs w:val="18"/>
              </w:rPr>
            </w:pPr>
            <w:r>
              <w:rPr>
                <w:rFonts w:ascii="Times New Roman"/>
                <w:sz w:val="18"/>
              </w:rPr>
              <w:t>8.23</w:t>
            </w:r>
          </w:p>
        </w:tc>
        <w:tc>
          <w:tcPr>
            <w:tcW w:w="852"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1" w:right="0"/>
              <w:jc w:val="center"/>
              <w:rPr>
                <w:rFonts w:ascii="Times New Roman" w:hAnsi="Times New Roman" w:cs="Times New Roman" w:eastAsia="Times New Roman" w:hint="default"/>
                <w:sz w:val="18"/>
                <w:szCs w:val="18"/>
              </w:rPr>
            </w:pPr>
            <w:r>
              <w:rPr>
                <w:rFonts w:ascii="Times New Roman"/>
                <w:sz w:val="18"/>
              </w:rPr>
              <w:t>260,015,</w:t>
            </w:r>
          </w:p>
          <w:p>
            <w:pPr>
              <w:pStyle w:val="TableParagraph"/>
              <w:spacing w:line="240" w:lineRule="auto" w:before="105"/>
              <w:ind w:left="175" w:right="0"/>
              <w:jc w:val="center"/>
              <w:rPr>
                <w:rFonts w:ascii="Times New Roman" w:hAnsi="Times New Roman" w:cs="Times New Roman" w:eastAsia="Times New Roman" w:hint="default"/>
                <w:sz w:val="18"/>
                <w:szCs w:val="18"/>
              </w:rPr>
            </w:pPr>
            <w:r>
              <w:rPr>
                <w:rFonts w:ascii="Times New Roman"/>
                <w:sz w:val="18"/>
              </w:rPr>
              <w:t>289.56</w:t>
            </w:r>
          </w:p>
        </w:tc>
      </w:tr>
      <w:tr>
        <w:trPr>
          <w:trHeight w:val="161" w:hRule="exact"/>
        </w:trPr>
        <w:tc>
          <w:tcPr>
            <w:tcW w:w="1836" w:type="dxa"/>
            <w:tcBorders>
              <w:top w:val="single" w:sz="4" w:space="0" w:color="000000"/>
              <w:left w:val="single" w:sz="4" w:space="0" w:color="000000"/>
              <w:bottom w:val="nil" w:sz="6" w:space="0" w:color="auto"/>
              <w:right w:val="single" w:sz="4" w:space="0" w:color="000000"/>
            </w:tcBorders>
            <w:shd w:val="clear" w:color="auto" w:fill="D4D4D4"/>
          </w:tcPr>
          <w:p>
            <w:pPr/>
          </w:p>
        </w:tc>
        <w:tc>
          <w:tcPr>
            <w:tcW w:w="1080" w:type="dxa"/>
            <w:vMerge w:val="restart"/>
            <w:tcBorders>
              <w:top w:val="single" w:sz="4" w:space="0" w:color="000000"/>
              <w:left w:val="single" w:sz="10" w:space="0" w:color="D4D4D4"/>
              <w:right w:val="single" w:sz="4" w:space="0" w:color="000000"/>
            </w:tcBorders>
          </w:tcPr>
          <w:p>
            <w:pPr>
              <w:pStyle w:val="TableParagraph"/>
              <w:spacing w:line="240" w:lineRule="auto" w:before="91"/>
              <w:ind w:right="13"/>
              <w:jc w:val="right"/>
              <w:rPr>
                <w:rFonts w:ascii="Times New Roman" w:hAnsi="Times New Roman" w:cs="Times New Roman" w:eastAsia="Times New Roman" w:hint="default"/>
                <w:sz w:val="18"/>
                <w:szCs w:val="18"/>
              </w:rPr>
            </w:pPr>
            <w:r>
              <w:rPr>
                <w:rFonts w:ascii="Times New Roman"/>
                <w:spacing w:val="-1"/>
                <w:sz w:val="18"/>
              </w:rPr>
              <w:t>160,100,351.</w:t>
            </w:r>
            <w:r>
              <w:rPr>
                <w:rFonts w:ascii="Times New Roman"/>
                <w:sz w:val="18"/>
              </w:rPr>
            </w:r>
          </w:p>
          <w:p>
            <w:pPr>
              <w:pStyle w:val="TableParagraph"/>
              <w:spacing w:line="240" w:lineRule="auto" w:before="105"/>
              <w:ind w:right="14"/>
              <w:jc w:val="right"/>
              <w:rPr>
                <w:rFonts w:ascii="Times New Roman" w:hAnsi="Times New Roman" w:cs="Times New Roman" w:eastAsia="Times New Roman" w:hint="default"/>
                <w:sz w:val="18"/>
                <w:szCs w:val="18"/>
              </w:rPr>
            </w:pPr>
            <w:r>
              <w:rPr>
                <w:rFonts w:ascii="Times New Roman"/>
                <w:sz w:val="18"/>
              </w:rPr>
              <w:t>33</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2"/>
                <w:sz w:val="18"/>
              </w:rPr>
              <w:t>111,016,598.</w:t>
            </w:r>
            <w:r>
              <w:rPr>
                <w:rFonts w:ascii="Times New Roman"/>
                <w:sz w:val="18"/>
              </w:rPr>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05</w:t>
            </w:r>
          </w:p>
        </w:tc>
        <w:tc>
          <w:tcPr>
            <w:tcW w:w="1200" w:type="dxa"/>
            <w:vMerge w:val="restart"/>
            <w:tcBorders>
              <w:top w:val="single" w:sz="4" w:space="0" w:color="000000"/>
              <w:left w:val="single" w:sz="4" w:space="0" w:color="000000"/>
              <w:right w:val="single" w:sz="4" w:space="0" w:color="000000"/>
            </w:tcBorders>
          </w:tcPr>
          <w:p>
            <w:pPr/>
          </w:p>
        </w:tc>
        <w:tc>
          <w:tcPr>
            <w:tcW w:w="1166" w:type="dxa"/>
            <w:vMerge w:val="restart"/>
            <w:tcBorders>
              <w:top w:val="single" w:sz="4" w:space="0" w:color="000000"/>
              <w:left w:val="single" w:sz="4" w:space="0" w:color="000000"/>
              <w:right w:val="single" w:sz="4" w:space="0" w:color="000000"/>
            </w:tcBorders>
          </w:tcPr>
          <w:p>
            <w:pPr/>
          </w:p>
        </w:tc>
        <w:tc>
          <w:tcPr>
            <w:tcW w:w="852" w:type="dxa"/>
            <w:vMerge w:val="restart"/>
            <w:tcBorders>
              <w:top w:val="single" w:sz="4" w:space="0" w:color="000000"/>
              <w:left w:val="single" w:sz="4" w:space="0" w:color="000000"/>
              <w:right w:val="single" w:sz="4" w:space="0" w:color="000000"/>
            </w:tcBorders>
          </w:tcPr>
          <w:p>
            <w:pPr>
              <w:pStyle w:val="TableParagraph"/>
              <w:spacing w:line="240" w:lineRule="auto" w:before="91"/>
              <w:ind w:left="107" w:right="0"/>
              <w:jc w:val="left"/>
              <w:rPr>
                <w:rFonts w:ascii="Times New Roman" w:hAnsi="Times New Roman" w:cs="Times New Roman" w:eastAsia="Times New Roman" w:hint="default"/>
                <w:sz w:val="18"/>
                <w:szCs w:val="18"/>
              </w:rPr>
            </w:pPr>
            <w:r>
              <w:rPr>
                <w:rFonts w:ascii="Times New Roman"/>
                <w:sz w:val="18"/>
              </w:rPr>
              <w:t>11,101,65</w:t>
            </w:r>
          </w:p>
          <w:p>
            <w:pPr>
              <w:pStyle w:val="TableParagraph"/>
              <w:spacing w:line="240" w:lineRule="auto" w:before="105"/>
              <w:ind w:left="506" w:right="0"/>
              <w:jc w:val="left"/>
              <w:rPr>
                <w:rFonts w:ascii="Times New Roman" w:hAnsi="Times New Roman" w:cs="Times New Roman" w:eastAsia="Times New Roman" w:hint="default"/>
                <w:sz w:val="18"/>
                <w:szCs w:val="18"/>
              </w:rPr>
            </w:pPr>
            <w:r>
              <w:rPr>
                <w:rFonts w:ascii="Times New Roman"/>
                <w:sz w:val="18"/>
              </w:rPr>
              <w:t>9.82</w:t>
            </w:r>
          </w:p>
        </w:tc>
        <w:tc>
          <w:tcPr>
            <w:tcW w:w="852" w:type="dxa"/>
            <w:vMerge w:val="restart"/>
            <w:tcBorders>
              <w:top w:val="single" w:sz="4" w:space="0" w:color="000000"/>
              <w:left w:val="single" w:sz="4" w:space="0" w:color="000000"/>
              <w:right w:val="single" w:sz="4" w:space="0" w:color="000000"/>
            </w:tcBorders>
          </w:tcPr>
          <w:p>
            <w:pPr>
              <w:pStyle w:val="TableParagraph"/>
              <w:spacing w:line="240" w:lineRule="auto" w:before="91"/>
              <w:ind w:left="100" w:right="0"/>
              <w:jc w:val="left"/>
              <w:rPr>
                <w:rFonts w:ascii="Times New Roman" w:hAnsi="Times New Roman" w:cs="Times New Roman" w:eastAsia="Times New Roman" w:hint="default"/>
                <w:sz w:val="18"/>
                <w:szCs w:val="18"/>
              </w:rPr>
            </w:pPr>
            <w:r>
              <w:rPr>
                <w:rFonts w:ascii="Times New Roman"/>
                <w:sz w:val="18"/>
              </w:rPr>
              <w:t>99,914,93</w:t>
            </w:r>
          </w:p>
          <w:p>
            <w:pPr>
              <w:pStyle w:val="TableParagraph"/>
              <w:spacing w:line="240" w:lineRule="auto" w:before="105"/>
              <w:ind w:left="506" w:right="0"/>
              <w:jc w:val="left"/>
              <w:rPr>
                <w:rFonts w:ascii="Times New Roman" w:hAnsi="Times New Roman" w:cs="Times New Roman" w:eastAsia="Times New Roman" w:hint="default"/>
                <w:sz w:val="18"/>
                <w:szCs w:val="18"/>
              </w:rPr>
            </w:pPr>
            <w:r>
              <w:rPr>
                <w:rFonts w:ascii="Times New Roman"/>
                <w:sz w:val="18"/>
              </w:rPr>
              <w:t>8.23</w:t>
            </w:r>
          </w:p>
        </w:tc>
        <w:tc>
          <w:tcPr>
            <w:tcW w:w="852"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Style w:val="TableParagraph"/>
              <w:spacing w:line="240" w:lineRule="auto" w:before="91"/>
              <w:ind w:left="41" w:right="0"/>
              <w:jc w:val="center"/>
              <w:rPr>
                <w:rFonts w:ascii="Times New Roman" w:hAnsi="Times New Roman" w:cs="Times New Roman" w:eastAsia="Times New Roman" w:hint="default"/>
                <w:sz w:val="18"/>
                <w:szCs w:val="18"/>
              </w:rPr>
            </w:pPr>
            <w:r>
              <w:rPr>
                <w:rFonts w:ascii="Times New Roman"/>
                <w:sz w:val="18"/>
              </w:rPr>
              <w:t>260,015,</w:t>
            </w:r>
          </w:p>
          <w:p>
            <w:pPr>
              <w:pStyle w:val="TableParagraph"/>
              <w:spacing w:line="240" w:lineRule="auto" w:before="105"/>
              <w:ind w:left="175" w:right="0"/>
              <w:jc w:val="center"/>
              <w:rPr>
                <w:rFonts w:ascii="Times New Roman" w:hAnsi="Times New Roman" w:cs="Times New Roman" w:eastAsia="Times New Roman" w:hint="default"/>
                <w:sz w:val="18"/>
                <w:szCs w:val="18"/>
              </w:rPr>
            </w:pPr>
            <w:r>
              <w:rPr>
                <w:rFonts w:ascii="Times New Roman"/>
                <w:sz w:val="18"/>
              </w:rPr>
              <w:t>289.56</w:t>
            </w:r>
          </w:p>
        </w:tc>
      </w:tr>
      <w:tr>
        <w:trPr>
          <w:trHeight w:val="394" w:hRule="exact"/>
        </w:trPr>
        <w:tc>
          <w:tcPr>
            <w:tcW w:w="1836"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其他综合收益合计</w:t>
            </w:r>
          </w:p>
        </w:tc>
        <w:tc>
          <w:tcPr>
            <w:tcW w:w="1080" w:type="dxa"/>
            <w:vMerge/>
            <w:tcBorders>
              <w:left w:val="single" w:sz="10" w:space="0" w:color="D4D4D4"/>
              <w:right w:val="single" w:sz="4" w:space="0" w:color="000000"/>
            </w:tcBorders>
          </w:tcPr>
          <w:p>
            <w:pPr/>
          </w:p>
        </w:tc>
        <w:tc>
          <w:tcPr>
            <w:tcW w:w="991" w:type="dxa"/>
            <w:vMerge/>
            <w:tcBorders>
              <w:left w:val="single" w:sz="4" w:space="0" w:color="000000"/>
              <w:right w:val="single" w:sz="4" w:space="0" w:color="000000"/>
            </w:tcBorders>
          </w:tcPr>
          <w:p>
            <w:pPr/>
          </w:p>
        </w:tc>
        <w:tc>
          <w:tcPr>
            <w:tcW w:w="1200" w:type="dxa"/>
            <w:vMerge/>
            <w:tcBorders>
              <w:left w:val="single" w:sz="4" w:space="0" w:color="000000"/>
              <w:right w:val="single" w:sz="4" w:space="0" w:color="000000"/>
            </w:tcBorders>
          </w:tcPr>
          <w:p>
            <w:pPr/>
          </w:p>
        </w:tc>
        <w:tc>
          <w:tcPr>
            <w:tcW w:w="1166"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r>
      <w:tr>
        <w:trPr>
          <w:trHeight w:val="161" w:hRule="exact"/>
        </w:trPr>
        <w:tc>
          <w:tcPr>
            <w:tcW w:w="1836" w:type="dxa"/>
            <w:tcBorders>
              <w:top w:val="nil" w:sz="6" w:space="0" w:color="auto"/>
              <w:left w:val="single" w:sz="4" w:space="0" w:color="000000"/>
              <w:bottom w:val="single" w:sz="4" w:space="0" w:color="000000"/>
              <w:right w:val="single" w:sz="4" w:space="0" w:color="000000"/>
            </w:tcBorders>
            <w:shd w:val="clear" w:color="auto" w:fill="D4D4D4"/>
          </w:tcPr>
          <w:p>
            <w:pPr/>
          </w:p>
        </w:tc>
        <w:tc>
          <w:tcPr>
            <w:tcW w:w="1080" w:type="dxa"/>
            <w:vMerge/>
            <w:tcBorders>
              <w:left w:val="single" w:sz="10" w:space="0" w:color="D4D4D4"/>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1200" w:type="dxa"/>
            <w:vMerge/>
            <w:tcBorders>
              <w:left w:val="single" w:sz="4" w:space="0" w:color="000000"/>
              <w:bottom w:val="single" w:sz="4" w:space="0" w:color="000000"/>
              <w:right w:val="single" w:sz="4" w:space="0" w:color="000000"/>
            </w:tcBorders>
          </w:tcPr>
          <w:p>
            <w:pPr/>
          </w:p>
        </w:tc>
        <w:tc>
          <w:tcPr>
            <w:tcW w:w="1166"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其他说明，包括对现金流量套期损益的有效部分转为被套期项目初始确认金额调整：</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58、专项储备" w:id="366"/>
      <w:bookmarkEnd w:id="366"/>
      <w:r>
        <w:rPr>
          <w:b w:val="0"/>
          <w:bCs w:val="0"/>
        </w:rPr>
      </w:r>
      <w:r>
        <w:rPr>
          <w:rFonts w:ascii="Times New Roman" w:hAnsi="Times New Roman" w:cs="Times New Roman" w:eastAsia="Times New Roman" w:hint="default"/>
        </w:rPr>
        <w:t>58</w:t>
      </w:r>
      <w:r>
        <w:rPr/>
        <w:t>、专项储备</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59、盈余公积" w:id="367"/>
      <w:bookmarkEnd w:id="367"/>
      <w:r>
        <w:rPr>
          <w:b w:val="0"/>
          <w:bCs w:val="0"/>
        </w:rPr>
      </w:r>
      <w:r>
        <w:rPr>
          <w:rFonts w:ascii="Times New Roman" w:hAnsi="Times New Roman" w:cs="Times New Roman" w:eastAsia="Times New Roman" w:hint="default"/>
        </w:rPr>
        <w:t>59</w:t>
      </w:r>
      <w:r>
        <w:rPr/>
        <w:t>、盈余公积</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7"/>
        <w:gridCol w:w="1915"/>
        <w:gridCol w:w="1913"/>
        <w:gridCol w:w="1915"/>
      </w:tblGrid>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6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27"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97,695,747.65</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13,520,850.32</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111,216,597.97</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7"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97,695,747.65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13,520,850.32</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111,216,597.97</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盈余公积说明，包括本期增减变动情况、变动原因说明：</w:t>
      </w:r>
    </w:p>
    <w:p>
      <w:pPr>
        <w:spacing w:line="240" w:lineRule="auto" w:before="6"/>
        <w:rPr>
          <w:rFonts w:ascii="宋体" w:hAnsi="宋体" w:cs="宋体" w:eastAsia="宋体" w:hint="default"/>
          <w:sz w:val="13"/>
          <w:szCs w:val="13"/>
        </w:rPr>
      </w:pPr>
    </w:p>
    <w:p>
      <w:pPr>
        <w:pStyle w:val="BodyText"/>
        <w:spacing w:line="240" w:lineRule="auto" w:before="0"/>
        <w:ind w:left="572" w:right="986"/>
        <w:jc w:val="left"/>
      </w:pPr>
      <w:r>
        <w:rPr/>
        <w:t>本年度盈余公积增加数系根据本年度母公司实现的净利润的</w:t>
      </w:r>
      <w:r>
        <w:rPr>
          <w:rFonts w:ascii="Times New Roman" w:hAnsi="Times New Roman" w:cs="Times New Roman" w:eastAsia="Times New Roman" w:hint="default"/>
        </w:rPr>
        <w:t>10%</w:t>
      </w:r>
      <w:r>
        <w:rPr/>
        <w:t>提取。</w:t>
      </w:r>
    </w:p>
    <w:p>
      <w:pPr>
        <w:spacing w:line="240" w:lineRule="auto" w:before="7"/>
        <w:rPr>
          <w:rFonts w:ascii="宋体" w:hAnsi="宋体" w:cs="宋体" w:eastAsia="宋体" w:hint="default"/>
          <w:sz w:val="24"/>
          <w:szCs w:val="24"/>
        </w:rPr>
      </w:pPr>
    </w:p>
    <w:p>
      <w:pPr>
        <w:pStyle w:val="Heading4"/>
        <w:spacing w:line="240" w:lineRule="auto"/>
        <w:ind w:right="986"/>
        <w:jc w:val="left"/>
        <w:rPr>
          <w:b w:val="0"/>
          <w:bCs w:val="0"/>
        </w:rPr>
      </w:pPr>
      <w:bookmarkStart w:name="60、未分配利润" w:id="368"/>
      <w:bookmarkEnd w:id="368"/>
      <w:r>
        <w:rPr>
          <w:b w:val="0"/>
          <w:bCs w:val="0"/>
        </w:rPr>
      </w:r>
      <w:r>
        <w:rPr>
          <w:rFonts w:ascii="Times New Roman" w:hAnsi="Times New Roman" w:cs="Times New Roman" w:eastAsia="Times New Roman" w:hint="default"/>
        </w:rPr>
        <w:t>60</w:t>
      </w:r>
      <w:r>
        <w:rPr/>
        <w:t>、未分配利润</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702"/>
        <w:gridCol w:w="2934"/>
        <w:gridCol w:w="2918"/>
      </w:tblGrid>
      <w:tr>
        <w:trPr>
          <w:trHeight w:val="401" w:hRule="exact"/>
        </w:trPr>
        <w:tc>
          <w:tcPr>
            <w:tcW w:w="37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9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3" w:hRule="exact"/>
        </w:trPr>
        <w:tc>
          <w:tcPr>
            <w:tcW w:w="37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34"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979,094,436.87</w:t>
            </w:r>
            <w:r>
              <w:rPr>
                <w:rFonts w:ascii="Times New Roman"/>
                <w:sz w:val="18"/>
              </w:rPr>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797,752,846.82</w:t>
            </w:r>
            <w:r>
              <w:rPr>
                <w:rFonts w:ascii="Times New Roman"/>
                <w:sz w:val="18"/>
              </w:rPr>
            </w:r>
          </w:p>
        </w:tc>
      </w:tr>
      <w:tr>
        <w:trPr>
          <w:trHeight w:val="401" w:hRule="exact"/>
        </w:trPr>
        <w:tc>
          <w:tcPr>
            <w:tcW w:w="37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调整期初未分配利润合计数（调增</w:t>
            </w:r>
            <w:r>
              <w:rPr>
                <w:rFonts w:ascii="Times New Roman" w:hAnsi="Times New Roman" w:cs="Times New Roman" w:eastAsia="Times New Roman" w:hint="default"/>
                <w:sz w:val="18"/>
                <w:szCs w:val="18"/>
              </w:rPr>
              <w:t>+</w:t>
            </w:r>
            <w:r>
              <w:rPr>
                <w:rFonts w:ascii="宋体" w:hAnsi="宋体" w:cs="宋体" w:eastAsia="宋体" w:hint="default"/>
                <w:sz w:val="18"/>
                <w:szCs w:val="18"/>
              </w:rPr>
              <w:t>，调减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934"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1,292,127.34</w:t>
            </w:r>
            <w:r>
              <w:rPr>
                <w:rFonts w:ascii="Times New Roman"/>
                <w:sz w:val="18"/>
              </w:rPr>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7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34"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980,386,564.21</w:t>
            </w:r>
            <w:r>
              <w:rPr>
                <w:rFonts w:ascii="Times New Roman"/>
                <w:sz w:val="18"/>
              </w:rPr>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797,752,846.82</w:t>
            </w:r>
            <w:r>
              <w:rPr>
                <w:rFonts w:ascii="Times New Roman"/>
                <w:sz w:val="18"/>
              </w:rPr>
            </w:r>
          </w:p>
        </w:tc>
      </w:tr>
      <w:tr>
        <w:trPr>
          <w:trHeight w:val="401" w:hRule="exact"/>
        </w:trPr>
        <w:tc>
          <w:tcPr>
            <w:tcW w:w="37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34"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289,675,573.16</w:t>
            </w:r>
            <w:r>
              <w:rPr>
                <w:rFonts w:ascii="Times New Roman"/>
                <w:sz w:val="18"/>
              </w:rPr>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303,214,679.83</w:t>
            </w:r>
            <w:r>
              <w:rPr>
                <w:rFonts w:ascii="Times New Roman"/>
                <w:sz w:val="18"/>
              </w:rPr>
            </w:r>
          </w:p>
        </w:tc>
      </w:tr>
      <w:tr>
        <w:trPr>
          <w:trHeight w:val="403" w:hRule="exact"/>
        </w:trPr>
        <w:tc>
          <w:tcPr>
            <w:tcW w:w="37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34"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13,520,850.32</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22,512,292.58</w:t>
            </w:r>
          </w:p>
        </w:tc>
      </w:tr>
      <w:tr>
        <w:trPr>
          <w:trHeight w:val="401" w:hRule="exact"/>
        </w:trPr>
        <w:tc>
          <w:tcPr>
            <w:tcW w:w="37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934"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63,586,624.72</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99,360,797.20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724"/>
        <w:gridCol w:w="2923"/>
        <w:gridCol w:w="2918"/>
      </w:tblGrid>
      <w:tr>
        <w:trPr>
          <w:trHeight w:val="403" w:hRule="exact"/>
        </w:trPr>
        <w:tc>
          <w:tcPr>
            <w:tcW w:w="372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32" w:right="0"/>
              <w:jc w:val="left"/>
              <w:rPr>
                <w:rFonts w:ascii="Times New Roman" w:hAnsi="Times New Roman" w:cs="Times New Roman" w:eastAsia="Times New Roman" w:hint="default"/>
                <w:sz w:val="18"/>
                <w:szCs w:val="18"/>
              </w:rPr>
            </w:pPr>
            <w:r>
              <w:rPr>
                <w:rFonts w:ascii="Times New Roman"/>
                <w:sz w:val="18"/>
              </w:rPr>
              <w:t>1,192,954,662.33</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63" w:right="0"/>
              <w:jc w:val="left"/>
              <w:rPr>
                <w:rFonts w:ascii="Times New Roman" w:hAnsi="Times New Roman" w:cs="Times New Roman" w:eastAsia="Times New Roman" w:hint="default"/>
                <w:sz w:val="18"/>
                <w:szCs w:val="18"/>
              </w:rPr>
            </w:pPr>
            <w:r>
              <w:rPr>
                <w:rFonts w:ascii="Times New Roman"/>
                <w:sz w:val="18"/>
              </w:rPr>
              <w:t>979,094,436.87</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调整期初未分配利润明细：</w:t>
      </w:r>
    </w:p>
    <w:p>
      <w:pPr>
        <w:spacing w:line="240" w:lineRule="auto" w:before="1"/>
        <w:rPr>
          <w:rFonts w:ascii="宋体" w:hAnsi="宋体" w:cs="宋体" w:eastAsia="宋体" w:hint="default"/>
          <w:sz w:val="13"/>
          <w:szCs w:val="13"/>
        </w:rPr>
      </w:pPr>
    </w:p>
    <w:p>
      <w:pPr>
        <w:pStyle w:val="BodyText"/>
        <w:spacing w:line="240" w:lineRule="auto" w:before="0"/>
        <w:ind w:right="986"/>
        <w:jc w:val="left"/>
      </w:pPr>
      <w:r>
        <w:rPr>
          <w:rFonts w:ascii="宋体" w:hAnsi="宋体" w:cs="宋体" w:eastAsia="宋体" w:hint="default"/>
        </w:rPr>
        <w:t>1)</w:t>
      </w:r>
      <w:r>
        <w:rPr/>
        <w:t>、由于《企业会计准则》及其相关新规定进行追溯调整，影响期初未分配利润</w:t>
      </w:r>
      <w:r>
        <w:rPr>
          <w:spacing w:val="-55"/>
        </w:rPr>
        <w:t> </w:t>
      </w:r>
      <w:r>
        <w:rPr>
          <w:rFonts w:ascii="宋体" w:hAnsi="宋体" w:cs="宋体" w:eastAsia="宋体" w:hint="default"/>
        </w:rPr>
        <w:t>1,292,127.34</w:t>
      </w:r>
      <w:r>
        <w:rPr>
          <w:rFonts w:ascii="宋体" w:hAnsi="宋体" w:cs="宋体" w:eastAsia="宋体" w:hint="default"/>
          <w:spacing w:val="-57"/>
        </w:rPr>
        <w:t> </w:t>
      </w:r>
      <w:r>
        <w:rPr/>
        <w:t>元。</w:t>
      </w:r>
    </w:p>
    <w:p>
      <w:pPr>
        <w:spacing w:line="240" w:lineRule="auto" w:before="12"/>
        <w:rPr>
          <w:rFonts w:ascii="宋体" w:hAnsi="宋体" w:cs="宋体" w:eastAsia="宋体" w:hint="default"/>
          <w:sz w:val="17"/>
          <w:szCs w:val="17"/>
        </w:rPr>
      </w:pPr>
    </w:p>
    <w:p>
      <w:pPr>
        <w:pStyle w:val="BodyText"/>
        <w:spacing w:line="240" w:lineRule="auto" w:before="0"/>
        <w:ind w:left="153" w:right="986"/>
        <w:jc w:val="left"/>
      </w:pPr>
      <w:r>
        <w:rPr>
          <w:rFonts w:ascii="宋体" w:hAnsi="宋体" w:cs="宋体" w:eastAsia="宋体" w:hint="default"/>
        </w:rPr>
        <w:t>2)</w:t>
      </w:r>
      <w:r>
        <w:rPr/>
        <w:t>、由于会计政策变更，影响期初未分配利润</w:t>
      </w:r>
      <w:r>
        <w:rPr>
          <w:spacing w:val="-54"/>
        </w:rPr>
        <w:t> </w:t>
      </w:r>
      <w:r>
        <w:rPr>
          <w:rFonts w:ascii="宋体" w:hAnsi="宋体" w:cs="宋体" w:eastAsia="宋体" w:hint="default"/>
        </w:rPr>
        <w:t>0.00</w:t>
      </w:r>
      <w:r>
        <w:rPr>
          <w:rFonts w:ascii="宋体" w:hAnsi="宋体" w:cs="宋体" w:eastAsia="宋体" w:hint="default"/>
          <w:spacing w:val="-56"/>
        </w:rPr>
        <w:t> </w:t>
      </w:r>
      <w:r>
        <w:rPr/>
        <w:t>元。</w:t>
      </w:r>
    </w:p>
    <w:p>
      <w:pPr>
        <w:spacing w:line="240" w:lineRule="auto" w:before="9"/>
        <w:rPr>
          <w:rFonts w:ascii="宋体" w:hAnsi="宋体" w:cs="宋体" w:eastAsia="宋体" w:hint="default"/>
          <w:sz w:val="17"/>
          <w:szCs w:val="17"/>
        </w:rPr>
      </w:pPr>
    </w:p>
    <w:p>
      <w:pPr>
        <w:pStyle w:val="BodyText"/>
        <w:spacing w:line="240" w:lineRule="auto" w:before="0"/>
        <w:ind w:left="153" w:right="986"/>
        <w:jc w:val="left"/>
      </w:pPr>
      <w:r>
        <w:rPr>
          <w:rFonts w:ascii="宋体" w:hAnsi="宋体" w:cs="宋体" w:eastAsia="宋体" w:hint="default"/>
        </w:rPr>
        <w:t>3)</w:t>
      </w:r>
      <w:r>
        <w:rPr/>
        <w:t>、由于重大会计差错更正，影响期初未分配利润</w:t>
      </w:r>
      <w:r>
        <w:rPr>
          <w:spacing w:val="-56"/>
        </w:rPr>
        <w:t> </w:t>
      </w:r>
      <w:r>
        <w:rPr>
          <w:rFonts w:ascii="宋体" w:hAnsi="宋体" w:cs="宋体" w:eastAsia="宋体" w:hint="default"/>
        </w:rPr>
        <w:t>0.00</w:t>
      </w:r>
      <w:r>
        <w:rPr>
          <w:rFonts w:ascii="宋体" w:hAnsi="宋体" w:cs="宋体" w:eastAsia="宋体" w:hint="default"/>
          <w:spacing w:val="-55"/>
        </w:rPr>
        <w:t> </w:t>
      </w:r>
      <w:r>
        <w:rPr/>
        <w:t>元。</w:t>
      </w:r>
    </w:p>
    <w:p>
      <w:pPr>
        <w:spacing w:line="240" w:lineRule="auto" w:before="12"/>
        <w:rPr>
          <w:rFonts w:ascii="宋体" w:hAnsi="宋体" w:cs="宋体" w:eastAsia="宋体" w:hint="default"/>
          <w:sz w:val="17"/>
          <w:szCs w:val="17"/>
        </w:rPr>
      </w:pPr>
    </w:p>
    <w:p>
      <w:pPr>
        <w:pStyle w:val="BodyText"/>
        <w:spacing w:line="240" w:lineRule="auto" w:before="0"/>
        <w:ind w:left="153" w:right="986"/>
        <w:jc w:val="left"/>
      </w:pPr>
      <w:r>
        <w:rPr>
          <w:rFonts w:ascii="宋体" w:hAnsi="宋体" w:cs="宋体" w:eastAsia="宋体" w:hint="default"/>
        </w:rPr>
        <w:t>4)</w:t>
      </w:r>
      <w:r>
        <w:rPr/>
        <w:t>、由于同一控制导致的合并范围变更，影响期初未分配利润</w:t>
      </w:r>
      <w:r>
        <w:rPr>
          <w:spacing w:val="-54"/>
        </w:rPr>
        <w:t> </w:t>
      </w:r>
      <w:r>
        <w:rPr>
          <w:rFonts w:ascii="宋体" w:hAnsi="宋体" w:cs="宋体" w:eastAsia="宋体" w:hint="default"/>
        </w:rPr>
        <w:t>0.00</w:t>
      </w:r>
      <w:r>
        <w:rPr>
          <w:rFonts w:ascii="宋体" w:hAnsi="宋体" w:cs="宋体" w:eastAsia="宋体" w:hint="default"/>
          <w:spacing w:val="-54"/>
        </w:rPr>
        <w:t> </w:t>
      </w:r>
      <w:r>
        <w:rPr>
          <w:spacing w:val="-3"/>
        </w:rPr>
        <w:t>元。</w:t>
      </w:r>
      <w:r>
        <w:rPr/>
      </w:r>
    </w:p>
    <w:p>
      <w:pPr>
        <w:spacing w:line="240" w:lineRule="auto" w:before="12"/>
        <w:rPr>
          <w:rFonts w:ascii="宋体" w:hAnsi="宋体" w:cs="宋体" w:eastAsia="宋体" w:hint="default"/>
          <w:sz w:val="17"/>
          <w:szCs w:val="17"/>
        </w:rPr>
      </w:pPr>
    </w:p>
    <w:p>
      <w:pPr>
        <w:pStyle w:val="BodyText"/>
        <w:spacing w:line="240" w:lineRule="auto" w:before="0"/>
        <w:ind w:left="153" w:right="986"/>
        <w:jc w:val="left"/>
      </w:pPr>
      <w:r>
        <w:rPr>
          <w:rFonts w:ascii="宋体" w:hAnsi="宋体" w:cs="宋体" w:eastAsia="宋体" w:hint="default"/>
        </w:rPr>
        <w:t>5)</w:t>
      </w:r>
      <w:r>
        <w:rPr/>
        <w:t>、其他调整合计影响期初未分配利润</w:t>
      </w:r>
      <w:r>
        <w:rPr>
          <w:spacing w:val="-53"/>
        </w:rPr>
        <w:t> </w:t>
      </w:r>
      <w:r>
        <w:rPr>
          <w:rFonts w:ascii="宋体" w:hAnsi="宋体" w:cs="宋体" w:eastAsia="宋体" w:hint="default"/>
        </w:rPr>
        <w:t>0.00</w:t>
      </w:r>
      <w:r>
        <w:rPr>
          <w:rFonts w:ascii="宋体" w:hAnsi="宋体" w:cs="宋体" w:eastAsia="宋体" w:hint="default"/>
          <w:spacing w:val="-55"/>
        </w:rPr>
        <w:t> </w:t>
      </w:r>
      <w:r>
        <w:rPr/>
        <w:t>元。</w:t>
      </w:r>
    </w:p>
    <w:p>
      <w:pPr>
        <w:spacing w:line="240" w:lineRule="auto" w:before="0"/>
        <w:rPr>
          <w:rFonts w:ascii="宋体" w:hAnsi="宋体" w:cs="宋体" w:eastAsia="宋体" w:hint="default"/>
          <w:sz w:val="20"/>
          <w:szCs w:val="20"/>
        </w:rPr>
      </w:pPr>
    </w:p>
    <w:p>
      <w:pPr>
        <w:pStyle w:val="Heading4"/>
        <w:spacing w:line="240" w:lineRule="auto" w:before="152"/>
        <w:ind w:left="153" w:right="986"/>
        <w:jc w:val="left"/>
        <w:rPr>
          <w:b w:val="0"/>
          <w:bCs w:val="0"/>
        </w:rPr>
      </w:pPr>
      <w:bookmarkStart w:name="61、营业收入和营业成本" w:id="369"/>
      <w:bookmarkEnd w:id="369"/>
      <w:r>
        <w:rPr>
          <w:b w:val="0"/>
          <w:bCs w:val="0"/>
        </w:rPr>
      </w:r>
      <w:r>
        <w:rPr>
          <w:rFonts w:ascii="Times New Roman" w:hAnsi="Times New Roman" w:cs="Times New Roman" w:eastAsia="Times New Roman" w:hint="default"/>
        </w:rPr>
        <w:t>61</w:t>
      </w:r>
      <w:r>
        <w:rPr/>
        <w:t>、营业收入和营业成本</w:t>
      </w:r>
      <w:r>
        <w:rPr>
          <w:b w:val="0"/>
          <w:bCs w:val="0"/>
        </w:rPr>
      </w:r>
    </w:p>
    <w:p>
      <w:pPr>
        <w:spacing w:line="240" w:lineRule="auto" w:before="4"/>
        <w:rPr>
          <w:rFonts w:ascii="宋体" w:hAnsi="宋体" w:cs="宋体" w:eastAsia="宋体" w:hint="default"/>
          <w:b/>
          <w:bCs/>
          <w:sz w:val="26"/>
          <w:szCs w:val="26"/>
        </w:rPr>
      </w:pPr>
    </w:p>
    <w:p>
      <w:pPr>
        <w:spacing w:before="0"/>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5"/>
        <w:gridCol w:w="1915"/>
        <w:gridCol w:w="1913"/>
        <w:gridCol w:w="1915"/>
      </w:tblGrid>
      <w:tr>
        <w:trPr>
          <w:trHeight w:val="206" w:hRule="exact"/>
        </w:trPr>
        <w:tc>
          <w:tcPr>
            <w:tcW w:w="1913" w:type="dxa"/>
            <w:tcBorders>
              <w:top w:val="single" w:sz="4" w:space="0" w:color="000000"/>
              <w:left w:val="single" w:sz="4" w:space="0" w:color="000000"/>
              <w:bottom w:val="nil" w:sz="6" w:space="0" w:color="auto"/>
              <w:right w:val="single" w:sz="4" w:space="0" w:color="000000"/>
            </w:tcBorders>
            <w:shd w:val="clear" w:color="auto" w:fill="D4D4D4"/>
          </w:tcPr>
          <w:p>
            <w:pPr/>
          </w:p>
        </w:tc>
        <w:tc>
          <w:tcPr>
            <w:tcW w:w="3830"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8"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6" w:hRule="exact"/>
        </w:trPr>
        <w:tc>
          <w:tcPr>
            <w:tcW w:w="1913"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0" w:type="dxa"/>
            <w:gridSpan w:val="2"/>
            <w:vMerge/>
            <w:tcBorders>
              <w:left w:val="single" w:sz="4" w:space="0" w:color="000000"/>
              <w:bottom w:val="single" w:sz="4" w:space="0" w:color="000000"/>
              <w:right w:val="single" w:sz="4" w:space="0" w:color="000000"/>
            </w:tcBorders>
            <w:shd w:val="clear" w:color="auto" w:fill="D4D4D4"/>
          </w:tcPr>
          <w:p>
            <w:pPr/>
          </w:p>
        </w:tc>
        <w:tc>
          <w:tcPr>
            <w:tcW w:w="3828" w:type="dxa"/>
            <w:gridSpan w:val="2"/>
            <w:vMerge/>
            <w:tcBorders>
              <w:left w:val="single" w:sz="4" w:space="0" w:color="000000"/>
              <w:bottom w:val="single" w:sz="4" w:space="0" w:color="000000"/>
              <w:right w:val="single" w:sz="4" w:space="0" w:color="000000"/>
            </w:tcBorders>
            <w:shd w:val="clear" w:color="auto" w:fill="D4D4D4"/>
          </w:tcPr>
          <w:p>
            <w:pPr/>
          </w:p>
        </w:tc>
      </w:tr>
      <w:tr>
        <w:trPr>
          <w:trHeight w:val="196" w:hRule="exact"/>
        </w:trPr>
        <w:tc>
          <w:tcPr>
            <w:tcW w:w="1913" w:type="dxa"/>
            <w:vMerge/>
            <w:tcBorders>
              <w:left w:val="single" w:sz="4" w:space="0" w:color="000000"/>
              <w:bottom w:val="nil" w:sz="6" w:space="0" w:color="auto"/>
              <w:right w:val="single" w:sz="4" w:space="0" w:color="000000"/>
            </w:tcBorders>
            <w:shd w:val="clear" w:color="auto" w:fill="D4D4D4"/>
          </w:tcPr>
          <w:p>
            <w:pPr/>
          </w:p>
        </w:tc>
        <w:tc>
          <w:tcPr>
            <w:tcW w:w="1915"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5"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5"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6" w:hRule="exact"/>
        </w:trPr>
        <w:tc>
          <w:tcPr>
            <w:tcW w:w="1913" w:type="dxa"/>
            <w:tcBorders>
              <w:top w:val="nil" w:sz="6" w:space="0" w:color="auto"/>
              <w:left w:val="single" w:sz="4" w:space="0" w:color="000000"/>
              <w:bottom w:val="single" w:sz="4" w:space="0" w:color="000000"/>
              <w:right w:val="single" w:sz="4" w:space="0" w:color="000000"/>
            </w:tcBorders>
            <w:shd w:val="clear" w:color="auto" w:fill="D4D4D4"/>
          </w:tcPr>
          <w:p>
            <w:pPr/>
          </w:p>
        </w:tc>
        <w:tc>
          <w:tcPr>
            <w:tcW w:w="1915" w:type="dxa"/>
            <w:vMerge/>
            <w:tcBorders>
              <w:left w:val="single" w:sz="4" w:space="0" w:color="000000"/>
              <w:bottom w:val="single" w:sz="4" w:space="0" w:color="000000"/>
              <w:right w:val="single" w:sz="4" w:space="0" w:color="000000"/>
            </w:tcBorders>
            <w:shd w:val="clear" w:color="auto" w:fill="D4D4D4"/>
          </w:tcPr>
          <w:p>
            <w:pPr/>
          </w:p>
        </w:tc>
        <w:tc>
          <w:tcPr>
            <w:tcW w:w="1915" w:type="dxa"/>
            <w:vMerge/>
            <w:tcBorders>
              <w:left w:val="single" w:sz="4" w:space="0" w:color="000000"/>
              <w:bottom w:val="single" w:sz="4" w:space="0" w:color="000000"/>
              <w:right w:val="single" w:sz="4" w:space="0" w:color="000000"/>
            </w:tcBorders>
            <w:shd w:val="clear" w:color="auto" w:fill="D4D4D4"/>
          </w:tcPr>
          <w:p>
            <w:pPr/>
          </w:p>
        </w:tc>
        <w:tc>
          <w:tcPr>
            <w:tcW w:w="1913" w:type="dxa"/>
            <w:vMerge/>
            <w:tcBorders>
              <w:left w:val="single" w:sz="4" w:space="0" w:color="000000"/>
              <w:bottom w:val="single" w:sz="4" w:space="0" w:color="000000"/>
              <w:right w:val="single" w:sz="4" w:space="0" w:color="000000"/>
            </w:tcBorders>
            <w:shd w:val="clear" w:color="auto" w:fill="D4D4D4"/>
          </w:tcPr>
          <w:p>
            <w:pPr/>
          </w:p>
        </w:tc>
        <w:tc>
          <w:tcPr>
            <w:tcW w:w="1915" w:type="dxa"/>
            <w:vMerge/>
            <w:tcBorders>
              <w:left w:val="single" w:sz="4" w:space="0" w:color="000000"/>
              <w:bottom w:val="single" w:sz="4" w:space="0" w:color="000000"/>
              <w:right w:val="single" w:sz="4" w:space="0" w:color="000000"/>
            </w:tcBorders>
            <w:shd w:val="clear" w:color="auto" w:fill="D4D4D4"/>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5"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2,066,290,972.54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914,917,180.94</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1,600,380,389.40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648,293,299.73</w:t>
            </w:r>
            <w:r>
              <w:rPr>
                <w:rFonts w:ascii="Times New Roman"/>
                <w:sz w:val="18"/>
              </w:rPr>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15"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1,119,403.79</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60,890.60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204,001.60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23,131.15</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5"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2,067,410,376.33</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914,978,071.54</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1,600,584,391.00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648,316,430.88</w:t>
            </w:r>
            <w:r>
              <w:rPr>
                <w:rFonts w:ascii="Times New Roman"/>
                <w:sz w:val="18"/>
              </w:rPr>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是否已执行新收入准则</w:t>
      </w:r>
    </w:p>
    <w:p>
      <w:pPr>
        <w:spacing w:line="360" w:lineRule="auto" w:before="115"/>
        <w:ind w:left="152" w:right="9490" w:firstLine="0"/>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3"/>
          <w:sz w:val="18"/>
          <w:szCs w:val="18"/>
        </w:rPr>
        <w:t> </w:t>
      </w:r>
      <w:r>
        <w:rPr>
          <w:rFonts w:ascii="宋体" w:hAnsi="宋体" w:cs="宋体" w:eastAsia="宋体" w:hint="default"/>
          <w:sz w:val="18"/>
          <w:szCs w:val="18"/>
        </w:rPr>
        <w:t>否</w:t>
      </w:r>
      <w:r>
        <w:rPr>
          <w:rFonts w:ascii="宋体" w:hAnsi="宋体" w:cs="宋体" w:eastAsia="宋体" w:hint="default"/>
          <w:sz w:val="18"/>
          <w:szCs w:val="18"/>
        </w:rPr>
        <w:t> 其他说明</w:t>
      </w:r>
    </w:p>
    <w:p>
      <w:pPr>
        <w:spacing w:line="240" w:lineRule="auto" w:before="2"/>
        <w:rPr>
          <w:rFonts w:ascii="宋体" w:hAnsi="宋体" w:cs="宋体" w:eastAsia="宋体" w:hint="default"/>
          <w:sz w:val="20"/>
          <w:szCs w:val="20"/>
        </w:rPr>
      </w:pPr>
    </w:p>
    <w:p>
      <w:pPr>
        <w:pStyle w:val="Heading4"/>
        <w:spacing w:line="240" w:lineRule="auto"/>
        <w:ind w:right="986"/>
        <w:jc w:val="left"/>
        <w:rPr>
          <w:b w:val="0"/>
          <w:bCs w:val="0"/>
        </w:rPr>
      </w:pPr>
      <w:bookmarkStart w:name="62、税金及附加" w:id="370"/>
      <w:bookmarkEnd w:id="370"/>
      <w:r>
        <w:rPr>
          <w:b w:val="0"/>
          <w:bCs w:val="0"/>
        </w:rPr>
      </w:r>
      <w:r>
        <w:rPr>
          <w:rFonts w:ascii="Times New Roman" w:hAnsi="Times New Roman" w:cs="Times New Roman" w:eastAsia="Times New Roman" w:hint="default"/>
        </w:rPr>
        <w:t>62</w:t>
      </w:r>
      <w:r>
        <w:rPr/>
        <w:t>、税金及附加</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3"/>
        <w:gridCol w:w="3190"/>
      </w:tblGrid>
      <w:tr>
        <w:trPr>
          <w:trHeight w:val="401"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7,900,423.68</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8,139,599.61</w:t>
            </w:r>
            <w:r>
              <w:rPr>
                <w:rFonts w:ascii="Times New Roman"/>
                <w:sz w:val="18"/>
              </w:rPr>
            </w:r>
          </w:p>
        </w:tc>
      </w:tr>
      <w:tr>
        <w:trPr>
          <w:trHeight w:val="401"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5,659,155.94</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5,813,573.89</w:t>
            </w:r>
            <w:r>
              <w:rPr>
                <w:rFonts w:ascii="Times New Roman"/>
                <w:sz w:val="18"/>
              </w:rPr>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2,599,986.50</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2,534,415.70</w:t>
            </w:r>
            <w:r>
              <w:rPr>
                <w:rFonts w:ascii="Times New Roman"/>
                <w:sz w:val="18"/>
              </w:rPr>
            </w:r>
          </w:p>
        </w:tc>
      </w:tr>
      <w:tr>
        <w:trPr>
          <w:trHeight w:val="401"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99,178.30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126,222.90</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车船使用税</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40,954.09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24,087.60</w:t>
            </w:r>
          </w:p>
        </w:tc>
      </w:tr>
      <w:tr>
        <w:trPr>
          <w:trHeight w:val="401"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1,146,479.31</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946,919.79</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17,446,177.82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17,584,819.49</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63、销售费用" w:id="371"/>
      <w:bookmarkEnd w:id="371"/>
      <w:r>
        <w:rPr>
          <w:b w:val="0"/>
          <w:bCs w:val="0"/>
        </w:rPr>
      </w:r>
      <w:r>
        <w:rPr>
          <w:rFonts w:ascii="Times New Roman" w:hAnsi="Times New Roman" w:cs="Times New Roman" w:eastAsia="Times New Roman" w:hint="default"/>
        </w:rPr>
        <w:t>63</w:t>
      </w:r>
      <w:r>
        <w:rPr/>
        <w:t>、销售费用</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right"/>
        <w:rPr>
          <w:rFonts w:ascii="宋体" w:hAnsi="宋体" w:cs="宋体" w:eastAsia="宋体"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工资</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149,048,495.62</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137,522,494.34</w:t>
            </w:r>
            <w:r>
              <w:rPr>
                <w:rFonts w:ascii="Times New Roman"/>
                <w:sz w:val="18"/>
              </w:rPr>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交通差旅费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48,557,667.58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48,447,573.13</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社会保险费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18,858,709.61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17,155,226.48</w:t>
            </w:r>
            <w:r>
              <w:rPr>
                <w:rFonts w:ascii="Times New Roman"/>
                <w:sz w:val="18"/>
              </w:rPr>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住房公积金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11,644,318.54</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10,820,746.02</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股权激励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10,388,784.95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4,761,895.60</w:t>
            </w:r>
            <w:r>
              <w:rPr>
                <w:rFonts w:ascii="Times New Roman"/>
                <w:sz w:val="18"/>
              </w:rPr>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运杂费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5,620,317.26</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4,966,109.46</w:t>
            </w:r>
            <w:r>
              <w:rPr>
                <w:rFonts w:ascii="Times New Roman"/>
                <w:sz w:val="18"/>
              </w:rPr>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投标费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5,410,077.91</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4,509,241.63</w:t>
            </w:r>
            <w:r>
              <w:rPr>
                <w:rFonts w:ascii="Times New Roman"/>
                <w:sz w:val="18"/>
              </w:rPr>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福利费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5,413,521.14</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5,685,789.81</w:t>
            </w:r>
            <w:r>
              <w:rPr>
                <w:rFonts w:ascii="Times New Roman"/>
                <w:sz w:val="18"/>
              </w:rPr>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业务宣传费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5,183,866.05</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5,722,358.49</w:t>
            </w:r>
            <w:r>
              <w:rPr>
                <w:rFonts w:ascii="Times New Roman"/>
                <w:sz w:val="18"/>
              </w:rPr>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电讯费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4,787,331.00</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4,726,275.28</w:t>
            </w:r>
            <w:r>
              <w:rPr>
                <w:rFonts w:ascii="Times New Roman"/>
                <w:sz w:val="18"/>
              </w:rPr>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汽车费用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2,199,360.20</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2,421,869.06</w:t>
            </w:r>
            <w:r>
              <w:rPr>
                <w:rFonts w:ascii="Times New Roman"/>
                <w:sz w:val="18"/>
              </w:rPr>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展览费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1,569,075.01</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1,931,534.22</w:t>
            </w:r>
            <w:r>
              <w:rPr>
                <w:rFonts w:ascii="Times New Roman"/>
                <w:sz w:val="18"/>
              </w:rPr>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广告费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150,969.65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1,459,131.28</w:t>
            </w:r>
            <w:r>
              <w:rPr>
                <w:rFonts w:ascii="Times New Roman"/>
                <w:sz w:val="18"/>
              </w:rPr>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608,890.91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1,140,679.01</w:t>
            </w:r>
            <w:r>
              <w:rPr>
                <w:rFonts w:ascii="Times New Roman"/>
                <w:sz w:val="18"/>
              </w:rPr>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269,441,385.43</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251,270,923.81</w:t>
            </w:r>
            <w:r>
              <w:rPr>
                <w:rFonts w:ascii="Times New Roman"/>
                <w:sz w:val="18"/>
              </w:rPr>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64、管理费用" w:id="372"/>
      <w:bookmarkEnd w:id="372"/>
      <w:r>
        <w:rPr>
          <w:b w:val="0"/>
          <w:bCs w:val="0"/>
        </w:rPr>
      </w:r>
      <w:r>
        <w:rPr>
          <w:rFonts w:ascii="Times New Roman" w:hAnsi="Times New Roman" w:cs="Times New Roman" w:eastAsia="Times New Roman" w:hint="default"/>
        </w:rPr>
        <w:t>64</w:t>
      </w:r>
      <w:r>
        <w:rPr/>
        <w:t>、管理费用</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0"/>
        <w:gridCol w:w="3190"/>
        <w:gridCol w:w="3190"/>
      </w:tblGrid>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工资</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92,282,806.69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62,015,319.86</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市场运营费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39,147,363.11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41,887,102.75</w:t>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房租费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32,500,485.46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18,899,961.07</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33,602,383.76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31,191,184.09</w:t>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行政办公费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21,639,178.06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17,981,406.11</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9,399,117.83</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10,766,585.20</w:t>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社会保险费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9,060,153.55</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7,868,091.24</w:t>
            </w:r>
            <w:r>
              <w:rPr>
                <w:rFonts w:ascii="Times New Roman"/>
                <w:sz w:val="18"/>
              </w:rPr>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股权激励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7,901,257.33</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3,172,172.71</w:t>
            </w:r>
            <w:r>
              <w:rPr>
                <w:rFonts w:ascii="Times New Roman"/>
                <w:sz w:val="18"/>
              </w:rPr>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福利费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7,502,466.12</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7,220,854.24</w:t>
            </w:r>
            <w:r>
              <w:rPr>
                <w:rFonts w:ascii="Times New Roman"/>
                <w:sz w:val="18"/>
              </w:rPr>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物业费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6,126,504.14</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3,019,728.26</w:t>
            </w:r>
            <w:r>
              <w:rPr>
                <w:rFonts w:ascii="Times New Roman"/>
                <w:sz w:val="18"/>
              </w:rPr>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工会经费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5,736,726.87</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3,971,534.06</w:t>
            </w:r>
            <w:r>
              <w:rPr>
                <w:rFonts w:ascii="Times New Roman"/>
                <w:sz w:val="18"/>
              </w:rPr>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住房公积金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4,758,329.66</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3,693,397.97</w:t>
            </w:r>
            <w:r>
              <w:rPr>
                <w:rFonts w:ascii="Times New Roman"/>
                <w:sz w:val="18"/>
              </w:rPr>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维修</w:t>
            </w:r>
            <w:r>
              <w:rPr>
                <w:rFonts w:ascii="Times New Roman" w:hAnsi="Times New Roman" w:cs="Times New Roman" w:eastAsia="Times New Roman" w:hint="default"/>
                <w:sz w:val="18"/>
                <w:szCs w:val="18"/>
              </w:rPr>
              <w:t>(</w:t>
            </w:r>
            <w:r>
              <w:rPr>
                <w:rFonts w:ascii="宋体" w:hAnsi="宋体" w:cs="宋体" w:eastAsia="宋体" w:hint="default"/>
                <w:sz w:val="18"/>
                <w:szCs w:val="18"/>
              </w:rPr>
              <w:t>护</w:t>
            </w:r>
            <w:r>
              <w:rPr>
                <w:rFonts w:ascii="Times New Roman" w:hAnsi="Times New Roman" w:cs="Times New Roman" w:eastAsia="Times New Roman" w:hint="default"/>
                <w:sz w:val="18"/>
                <w:szCs w:val="18"/>
              </w:rPr>
              <w:t>)</w:t>
            </w:r>
            <w:r>
              <w:rPr>
                <w:rFonts w:ascii="宋体" w:hAnsi="宋体" w:cs="宋体" w:eastAsia="宋体" w:hint="default"/>
                <w:sz w:val="18"/>
                <w:szCs w:val="18"/>
              </w:rPr>
              <w:t>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4,691,630.51</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3,915,047.43</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水电费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3,263,600.57</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4,798,454.31</w:t>
            </w:r>
            <w:r>
              <w:rPr>
                <w:rFonts w:ascii="Times New Roman"/>
                <w:sz w:val="18"/>
              </w:rPr>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顾问费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2,131,619.28</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2,187,744.68</w:t>
            </w:r>
            <w:r>
              <w:rPr>
                <w:rFonts w:ascii="Times New Roman"/>
                <w:sz w:val="18"/>
              </w:rPr>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审计费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1,926,483.59</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1,579,331.92</w:t>
            </w:r>
            <w:r>
              <w:rPr>
                <w:rFonts w:ascii="Times New Roman"/>
                <w:sz w:val="18"/>
              </w:rPr>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1,830,963.04</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1,564,750.34</w:t>
            </w:r>
            <w:r>
              <w:rPr>
                <w:rFonts w:ascii="Times New Roman"/>
                <w:sz w:val="18"/>
              </w:rPr>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无形资产评估增值摊销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1,452,180.00</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1,452,180.00</w:t>
            </w:r>
            <w:r>
              <w:rPr>
                <w:rFonts w:ascii="Times New Roman"/>
                <w:sz w:val="18"/>
              </w:rPr>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残疾人补助金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741,368.68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568,402.33</w:t>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会员年费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572,113.17</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614,280.57</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职工教育经费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132,266.47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315,040.87</w:t>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2,386,531.39</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2,078,784.43</w:t>
            </w:r>
            <w:r>
              <w:rPr>
                <w:rFonts w:ascii="Times New Roman"/>
                <w:sz w:val="18"/>
              </w:rPr>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288,785,529.28</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230,761,354.44</w:t>
            </w:r>
            <w:r>
              <w:rPr>
                <w:rFonts w:ascii="Times New Roman"/>
                <w:sz w:val="18"/>
              </w:rPr>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65、研发费用" w:id="373"/>
      <w:bookmarkEnd w:id="373"/>
      <w:r>
        <w:rPr>
          <w:b w:val="0"/>
          <w:bCs w:val="0"/>
        </w:rPr>
      </w:r>
      <w:r>
        <w:rPr>
          <w:rFonts w:ascii="Times New Roman" w:hAnsi="Times New Roman" w:cs="Times New Roman" w:eastAsia="Times New Roman" w:hint="default"/>
        </w:rPr>
        <w:t>65</w:t>
      </w:r>
      <w:r>
        <w:rPr/>
        <w:t>、研发费用</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0"/>
        <w:gridCol w:w="3190"/>
        <w:gridCol w:w="3190"/>
      </w:tblGrid>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人工费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229,185,799.23</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191,207,368.99</w:t>
            </w:r>
            <w:r>
              <w:rPr>
                <w:rFonts w:ascii="Times New Roman"/>
                <w:sz w:val="18"/>
              </w:rPr>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23,004,657.07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16,094,155.08</w:t>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材料费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14,625,276.86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9,398,093.91</w:t>
            </w:r>
            <w:r>
              <w:rPr>
                <w:rFonts w:ascii="Times New Roman"/>
                <w:sz w:val="18"/>
              </w:rPr>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委托外部研究开发费用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6,649,224.76</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5,048,087.87</w:t>
            </w:r>
            <w:r>
              <w:rPr>
                <w:rFonts w:ascii="Times New Roman"/>
                <w:sz w:val="18"/>
              </w:rPr>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折旧费用与长期待摊费用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4,633,938.30</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3,472,559.79</w:t>
            </w:r>
            <w:r>
              <w:rPr>
                <w:rFonts w:ascii="Times New Roman"/>
                <w:sz w:val="18"/>
              </w:rPr>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设备调试费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1,707,886.41</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994,479.15</w:t>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设计费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270,745.58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395,200.39</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13,095,422.45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12,707,831.90</w:t>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293,172,950.66</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239,317,777.08</w:t>
            </w:r>
            <w:r>
              <w:rPr>
                <w:rFonts w:ascii="Times New Roman"/>
                <w:sz w:val="18"/>
              </w:rPr>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66、财务费用" w:id="374"/>
      <w:bookmarkEnd w:id="374"/>
      <w:r>
        <w:rPr>
          <w:b w:val="0"/>
          <w:bCs w:val="0"/>
        </w:rPr>
      </w:r>
      <w:r>
        <w:rPr>
          <w:rFonts w:ascii="Times New Roman" w:hAnsi="Times New Roman" w:cs="Times New Roman" w:eastAsia="Times New Roman" w:hint="default"/>
        </w:rPr>
        <w:t>66</w:t>
      </w:r>
      <w:r>
        <w:rPr/>
        <w:t>、财务费用</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0"/>
        <w:gridCol w:w="3190"/>
        <w:gridCol w:w="3190"/>
      </w:tblGrid>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利息费用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1,129,384.07</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141,692.76</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9,205,778.50</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9,459,065.73</w:t>
            </w:r>
            <w:r>
              <w:rPr>
                <w:rFonts w:ascii="Times New Roman"/>
                <w:sz w:val="18"/>
              </w:rPr>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1,705,470.33</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-659,406.52</w:t>
            </w:r>
            <w:r>
              <w:rPr>
                <w:rFonts w:ascii="Times New Roman"/>
                <w:sz w:val="18"/>
              </w:rPr>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手续费及其他支出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358,598.41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270,430.84</w:t>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-6,012,325.69</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-9,706,348.65</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9"/>
        <w:rPr>
          <w:rFonts w:ascii="宋体" w:hAnsi="宋体" w:cs="宋体" w:eastAsia="宋体" w:hint="default"/>
          <w:sz w:val="25"/>
          <w:szCs w:val="25"/>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67、其他收益" w:id="375"/>
      <w:bookmarkEnd w:id="375"/>
      <w:r>
        <w:rPr>
          <w:b w:val="0"/>
          <w:bCs w:val="0"/>
        </w:rPr>
      </w:r>
      <w:r>
        <w:rPr>
          <w:rFonts w:ascii="Times New Roman" w:hAnsi="Times New Roman" w:cs="Times New Roman" w:eastAsia="Times New Roman" w:hint="default"/>
        </w:rPr>
        <w:t>67</w:t>
      </w:r>
      <w:r>
        <w:rPr/>
        <w:t>、其他收益</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639"/>
        <w:gridCol w:w="2369"/>
        <w:gridCol w:w="2561"/>
      </w:tblGrid>
      <w:tr>
        <w:trPr>
          <w:trHeight w:val="403" w:hRule="exact"/>
        </w:trPr>
        <w:tc>
          <w:tcPr>
            <w:tcW w:w="463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504" w:right="0"/>
              <w:jc w:val="left"/>
              <w:rPr>
                <w:rFonts w:ascii="宋体" w:hAnsi="宋体" w:cs="宋体" w:eastAsia="宋体" w:hint="default"/>
                <w:sz w:val="18"/>
                <w:szCs w:val="18"/>
              </w:rPr>
            </w:pPr>
            <w:r>
              <w:rPr>
                <w:rFonts w:ascii="宋体" w:hAnsi="宋体" w:cs="宋体" w:eastAsia="宋体" w:hint="default"/>
                <w:sz w:val="18"/>
                <w:szCs w:val="18"/>
              </w:rPr>
              <w:t>产生其他收益的来源</w:t>
            </w:r>
          </w:p>
        </w:tc>
        <w:tc>
          <w:tcPr>
            <w:tcW w:w="23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2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56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827"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软件增值税退税款</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40,919,616.39</w:t>
            </w:r>
          </w:p>
        </w:tc>
        <w:tc>
          <w:tcPr>
            <w:tcW w:w="2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48,585,751.02</w:t>
            </w:r>
          </w:p>
        </w:tc>
      </w:tr>
      <w:tr>
        <w:trPr>
          <w:trHeight w:val="403"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企业研发经费补助</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5,348,780.00</w:t>
            </w:r>
            <w:r>
              <w:rPr>
                <w:rFonts w:ascii="Times New Roman"/>
                <w:sz w:val="18"/>
              </w:rPr>
            </w:r>
          </w:p>
        </w:tc>
        <w:tc>
          <w:tcPr>
            <w:tcW w:w="2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6,112,642.00</w:t>
            </w:r>
            <w:r>
              <w:rPr>
                <w:rFonts w:ascii="Times New Roman"/>
                <w:sz w:val="18"/>
              </w:rPr>
            </w:r>
          </w:p>
        </w:tc>
      </w:tr>
      <w:tr>
        <w:trPr>
          <w:trHeight w:val="401"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软件和信息技术服务业发展专项资金</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5,596,279.00</w:t>
            </w:r>
            <w:r>
              <w:rPr>
                <w:rFonts w:ascii="Times New Roman"/>
                <w:sz w:val="18"/>
              </w:rPr>
            </w:r>
          </w:p>
        </w:tc>
        <w:tc>
          <w:tcPr>
            <w:tcW w:w="2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6,254,700.00</w:t>
            </w:r>
            <w:r>
              <w:rPr>
                <w:rFonts w:ascii="Times New Roman"/>
                <w:sz w:val="18"/>
              </w:rPr>
            </w:r>
          </w:p>
        </w:tc>
      </w:tr>
      <w:tr>
        <w:trPr>
          <w:trHeight w:val="403"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国家级企业技术中心奖励</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2,000,000.00</w:t>
            </w:r>
            <w:r>
              <w:rPr>
                <w:rFonts w:ascii="Times New Roman"/>
                <w:sz w:val="18"/>
              </w:rPr>
            </w:r>
          </w:p>
        </w:tc>
        <w:tc>
          <w:tcPr>
            <w:tcW w:w="25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新技术成果转化项目，营业税和增值税奖</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1,702,393.00</w:t>
            </w:r>
            <w:r>
              <w:rPr>
                <w:rFonts w:ascii="Times New Roman"/>
                <w:sz w:val="18"/>
              </w:rPr>
            </w:r>
          </w:p>
        </w:tc>
        <w:tc>
          <w:tcPr>
            <w:tcW w:w="25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厦门超级计算中心滚动支持</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1,600,000.00</w:t>
            </w:r>
            <w:r>
              <w:rPr>
                <w:rFonts w:ascii="Times New Roman"/>
                <w:sz w:val="18"/>
              </w:rPr>
            </w:r>
          </w:p>
        </w:tc>
        <w:tc>
          <w:tcPr>
            <w:tcW w:w="2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1,600,001.16</w:t>
            </w:r>
            <w:r>
              <w:rPr>
                <w:rFonts w:ascii="Times New Roman"/>
                <w:sz w:val="18"/>
              </w:rPr>
            </w:r>
          </w:p>
        </w:tc>
      </w:tr>
      <w:tr>
        <w:trPr>
          <w:trHeight w:val="401"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会议补助经费</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1,256,063.76</w:t>
            </w:r>
            <w:r>
              <w:rPr>
                <w:rFonts w:ascii="Times New Roman"/>
                <w:sz w:val="18"/>
              </w:rPr>
            </w:r>
          </w:p>
        </w:tc>
        <w:tc>
          <w:tcPr>
            <w:tcW w:w="25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国内首台智能制造装备补助资金</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1,182,000.00</w:t>
            </w:r>
            <w:r>
              <w:rPr>
                <w:rFonts w:ascii="Times New Roman"/>
                <w:sz w:val="18"/>
              </w:rPr>
            </w:r>
          </w:p>
        </w:tc>
        <w:tc>
          <w:tcPr>
            <w:tcW w:w="25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年办公场地租金补贴</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1,037,925.00</w:t>
            </w:r>
          </w:p>
        </w:tc>
        <w:tc>
          <w:tcPr>
            <w:tcW w:w="25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厦门市众创空间运营补贴</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1,000,000.00</w:t>
            </w:r>
            <w:r>
              <w:rPr>
                <w:rFonts w:ascii="Times New Roman"/>
                <w:sz w:val="18"/>
              </w:rPr>
            </w:r>
          </w:p>
        </w:tc>
        <w:tc>
          <w:tcPr>
            <w:tcW w:w="25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众创空间扶持</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905,502.00</w:t>
            </w:r>
          </w:p>
        </w:tc>
        <w:tc>
          <w:tcPr>
            <w:tcW w:w="2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1,000,000.00</w:t>
            </w:r>
            <w:r>
              <w:rPr>
                <w:rFonts w:ascii="Times New Roman"/>
                <w:sz w:val="18"/>
              </w:rPr>
            </w:r>
          </w:p>
        </w:tc>
      </w:tr>
      <w:tr>
        <w:trPr>
          <w:trHeight w:val="403"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厦门火炬管委会</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w:t>
            </w:r>
            <w:r>
              <w:rPr>
                <w:rFonts w:ascii="Times New Roman" w:hAnsi="Times New Roman" w:cs="Times New Roman" w:eastAsia="Times New Roman" w:hint="default"/>
                <w:sz w:val="18"/>
                <w:szCs w:val="18"/>
              </w:rPr>
              <w:t>"</w:t>
            </w:r>
            <w:r>
              <w:rPr>
                <w:rFonts w:ascii="宋体" w:hAnsi="宋体" w:cs="宋体" w:eastAsia="宋体" w:hint="default"/>
                <w:sz w:val="18"/>
                <w:szCs w:val="18"/>
              </w:rPr>
              <w:t>鼓励企业加大研发投入</w:t>
            </w:r>
            <w:r>
              <w:rPr>
                <w:rFonts w:ascii="Times New Roman" w:hAnsi="Times New Roman" w:cs="Times New Roman" w:eastAsia="Times New Roman" w:hint="default"/>
                <w:sz w:val="18"/>
                <w:szCs w:val="18"/>
              </w:rPr>
              <w:t>"</w:t>
            </w:r>
            <w:r>
              <w:rPr>
                <w:rFonts w:ascii="宋体" w:hAnsi="宋体" w:cs="宋体" w:eastAsia="宋体" w:hint="default"/>
                <w:sz w:val="18"/>
                <w:szCs w:val="18"/>
              </w:rPr>
              <w:t>补助</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785,100.00</w:t>
            </w:r>
          </w:p>
        </w:tc>
        <w:tc>
          <w:tcPr>
            <w:tcW w:w="25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软件开发项目市外中标（签约）奖</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773,087.00</w:t>
            </w:r>
          </w:p>
        </w:tc>
        <w:tc>
          <w:tcPr>
            <w:tcW w:w="2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457,234.00</w:t>
            </w:r>
          </w:p>
        </w:tc>
      </w:tr>
      <w:tr>
        <w:trPr>
          <w:trHeight w:val="403"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国家科技项目配套资助资金</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611,400.00</w:t>
            </w:r>
            <w:r>
              <w:rPr>
                <w:rFonts w:ascii="Times New Roman"/>
                <w:sz w:val="18"/>
              </w:rPr>
            </w:r>
          </w:p>
        </w:tc>
        <w:tc>
          <w:tcPr>
            <w:tcW w:w="25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火炬瞪羚企业基金</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600,000.00</w:t>
            </w:r>
          </w:p>
        </w:tc>
        <w:tc>
          <w:tcPr>
            <w:tcW w:w="25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软件信息企业增产增速奖励</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556,780.00</w:t>
            </w:r>
          </w:p>
        </w:tc>
        <w:tc>
          <w:tcPr>
            <w:tcW w:w="2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1,000,000.00</w:t>
            </w:r>
            <w:r>
              <w:rPr>
                <w:rFonts w:ascii="Times New Roman"/>
                <w:sz w:val="18"/>
              </w:rPr>
            </w:r>
          </w:p>
        </w:tc>
      </w:tr>
      <w:tr>
        <w:trPr>
          <w:trHeight w:val="401"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稳岗补贴</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545,206.31</w:t>
            </w:r>
          </w:p>
        </w:tc>
        <w:tc>
          <w:tcPr>
            <w:tcW w:w="2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517,559.97</w:t>
            </w:r>
          </w:p>
        </w:tc>
      </w:tr>
      <w:tr>
        <w:trPr>
          <w:trHeight w:val="403"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院士专家工作站经费补助</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500,000.00</w:t>
            </w:r>
          </w:p>
        </w:tc>
        <w:tc>
          <w:tcPr>
            <w:tcW w:w="2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30,000.00</w:t>
            </w:r>
          </w:p>
        </w:tc>
      </w:tr>
      <w:tr>
        <w:trPr>
          <w:trHeight w:val="401"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高新技术企业认定奖励</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350,000.00</w:t>
            </w:r>
          </w:p>
        </w:tc>
        <w:tc>
          <w:tcPr>
            <w:tcW w:w="2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1,000,000.00</w:t>
            </w:r>
            <w:r>
              <w:rPr>
                <w:rFonts w:ascii="Times New Roman"/>
                <w:sz w:val="18"/>
              </w:rPr>
            </w:r>
          </w:p>
        </w:tc>
      </w:tr>
      <w:tr>
        <w:trPr>
          <w:trHeight w:val="403"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个税手续费</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240,759.30</w:t>
            </w:r>
          </w:p>
        </w:tc>
        <w:tc>
          <w:tcPr>
            <w:tcW w:w="2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718,870.95</w:t>
            </w:r>
          </w:p>
        </w:tc>
      </w:tr>
      <w:tr>
        <w:trPr>
          <w:trHeight w:val="401"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思明区质量技术奖质量奖（工信部知识产权标杆企业）</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100,000.00</w:t>
            </w:r>
          </w:p>
        </w:tc>
        <w:tc>
          <w:tcPr>
            <w:tcW w:w="2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800,000.00</w:t>
            </w:r>
          </w:p>
        </w:tc>
      </w:tr>
      <w:tr>
        <w:trPr>
          <w:trHeight w:val="403"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网络空间数据采集技术研究项目</w:t>
            </w:r>
          </w:p>
        </w:tc>
        <w:tc>
          <w:tcPr>
            <w:tcW w:w="2369" w:type="dxa"/>
            <w:tcBorders>
              <w:top w:val="single" w:sz="4" w:space="0" w:color="000000"/>
              <w:left w:val="single" w:sz="4" w:space="0" w:color="000000"/>
              <w:bottom w:val="single" w:sz="4" w:space="0" w:color="000000"/>
              <w:right w:val="single" w:sz="4" w:space="0" w:color="000000"/>
            </w:tcBorders>
          </w:tcPr>
          <w:p>
            <w:pPr/>
          </w:p>
        </w:tc>
        <w:tc>
          <w:tcPr>
            <w:tcW w:w="2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1,055,000.00</w:t>
            </w:r>
            <w:r>
              <w:rPr>
                <w:rFonts w:ascii="Times New Roman"/>
                <w:sz w:val="18"/>
              </w:rPr>
            </w:r>
          </w:p>
        </w:tc>
      </w:tr>
      <w:tr>
        <w:trPr>
          <w:trHeight w:val="401"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以物联网为龙头的新一代信息技术产业发展资金补助</w:t>
            </w:r>
          </w:p>
        </w:tc>
        <w:tc>
          <w:tcPr>
            <w:tcW w:w="2369" w:type="dxa"/>
            <w:tcBorders>
              <w:top w:val="single" w:sz="4" w:space="0" w:color="000000"/>
              <w:left w:val="single" w:sz="4" w:space="0" w:color="000000"/>
              <w:bottom w:val="single" w:sz="4" w:space="0" w:color="000000"/>
              <w:right w:val="single" w:sz="4" w:space="0" w:color="000000"/>
            </w:tcBorders>
          </w:tcPr>
          <w:p>
            <w:pPr/>
          </w:p>
        </w:tc>
        <w:tc>
          <w:tcPr>
            <w:tcW w:w="2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1,000,000.00</w:t>
            </w:r>
            <w:r>
              <w:rPr>
                <w:rFonts w:ascii="Times New Roman"/>
                <w:sz w:val="18"/>
              </w:rPr>
            </w:r>
          </w:p>
        </w:tc>
      </w:tr>
      <w:tr>
        <w:trPr>
          <w:trHeight w:val="403"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地方贡献增量奖励</w:t>
            </w:r>
          </w:p>
        </w:tc>
        <w:tc>
          <w:tcPr>
            <w:tcW w:w="2369" w:type="dxa"/>
            <w:tcBorders>
              <w:top w:val="single" w:sz="4" w:space="0" w:color="000000"/>
              <w:left w:val="single" w:sz="4" w:space="0" w:color="000000"/>
              <w:bottom w:val="single" w:sz="4" w:space="0" w:color="000000"/>
              <w:right w:val="single" w:sz="4" w:space="0" w:color="000000"/>
            </w:tcBorders>
          </w:tcPr>
          <w:p>
            <w:pPr/>
          </w:p>
        </w:tc>
        <w:tc>
          <w:tcPr>
            <w:tcW w:w="2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818,000.00</w:t>
            </w:r>
          </w:p>
        </w:tc>
      </w:tr>
      <w:tr>
        <w:trPr>
          <w:trHeight w:val="401"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科技定额兑现政策</w:t>
            </w:r>
          </w:p>
        </w:tc>
        <w:tc>
          <w:tcPr>
            <w:tcW w:w="2369" w:type="dxa"/>
            <w:tcBorders>
              <w:top w:val="single" w:sz="4" w:space="0" w:color="000000"/>
              <w:left w:val="single" w:sz="4" w:space="0" w:color="000000"/>
              <w:bottom w:val="single" w:sz="4" w:space="0" w:color="000000"/>
              <w:right w:val="single" w:sz="4" w:space="0" w:color="000000"/>
            </w:tcBorders>
          </w:tcPr>
          <w:p>
            <w:pPr/>
          </w:p>
        </w:tc>
        <w:tc>
          <w:tcPr>
            <w:tcW w:w="2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781,198.00</w:t>
            </w:r>
          </w:p>
        </w:tc>
      </w:tr>
      <w:tr>
        <w:trPr>
          <w:trHeight w:val="403"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标准化工作专项项目奖励</w:t>
            </w:r>
          </w:p>
        </w:tc>
        <w:tc>
          <w:tcPr>
            <w:tcW w:w="2369" w:type="dxa"/>
            <w:tcBorders>
              <w:top w:val="single" w:sz="4" w:space="0" w:color="000000"/>
              <w:left w:val="single" w:sz="4" w:space="0" w:color="000000"/>
              <w:bottom w:val="single" w:sz="4" w:space="0" w:color="000000"/>
              <w:right w:val="single" w:sz="4" w:space="0" w:color="000000"/>
            </w:tcBorders>
          </w:tcPr>
          <w:p>
            <w:pPr/>
          </w:p>
        </w:tc>
        <w:tc>
          <w:tcPr>
            <w:tcW w:w="2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610,796.12</w:t>
            </w:r>
          </w:p>
        </w:tc>
      </w:tr>
      <w:tr>
        <w:trPr>
          <w:trHeight w:val="401"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质量技术奖标准化奖励</w:t>
            </w:r>
          </w:p>
        </w:tc>
        <w:tc>
          <w:tcPr>
            <w:tcW w:w="2369" w:type="dxa"/>
            <w:tcBorders>
              <w:top w:val="single" w:sz="4" w:space="0" w:color="000000"/>
              <w:left w:val="single" w:sz="4" w:space="0" w:color="000000"/>
              <w:bottom w:val="single" w:sz="4" w:space="0" w:color="000000"/>
              <w:right w:val="single" w:sz="4" w:space="0" w:color="000000"/>
            </w:tcBorders>
          </w:tcPr>
          <w:p>
            <w:pPr/>
          </w:p>
        </w:tc>
        <w:tc>
          <w:tcPr>
            <w:tcW w:w="2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600,000.00</w:t>
            </w:r>
          </w:p>
        </w:tc>
      </w:tr>
      <w:tr>
        <w:trPr>
          <w:trHeight w:val="403"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年度新建院士专家工作站建设专项经费</w:t>
            </w:r>
          </w:p>
        </w:tc>
        <w:tc>
          <w:tcPr>
            <w:tcW w:w="2369" w:type="dxa"/>
            <w:tcBorders>
              <w:top w:val="single" w:sz="4" w:space="0" w:color="000000"/>
              <w:left w:val="single" w:sz="4" w:space="0" w:color="000000"/>
              <w:bottom w:val="single" w:sz="4" w:space="0" w:color="000000"/>
              <w:right w:val="single" w:sz="4" w:space="0" w:color="000000"/>
            </w:tcBorders>
          </w:tcPr>
          <w:p>
            <w:pPr/>
          </w:p>
        </w:tc>
        <w:tc>
          <w:tcPr>
            <w:tcW w:w="2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500,000.00</w:t>
            </w:r>
          </w:p>
        </w:tc>
      </w:tr>
      <w:tr>
        <w:trPr>
          <w:trHeight w:val="401"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市级工程中心资助</w:t>
            </w:r>
          </w:p>
        </w:tc>
        <w:tc>
          <w:tcPr>
            <w:tcW w:w="2369" w:type="dxa"/>
            <w:tcBorders>
              <w:top w:val="single" w:sz="4" w:space="0" w:color="000000"/>
              <w:left w:val="single" w:sz="4" w:space="0" w:color="000000"/>
              <w:bottom w:val="single" w:sz="4" w:space="0" w:color="000000"/>
              <w:right w:val="single" w:sz="4" w:space="0" w:color="000000"/>
            </w:tcBorders>
          </w:tcPr>
          <w:p>
            <w:pPr/>
          </w:p>
        </w:tc>
        <w:tc>
          <w:tcPr>
            <w:tcW w:w="2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500,000.00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4639"/>
        <w:gridCol w:w="2369"/>
        <w:gridCol w:w="2561"/>
      </w:tblGrid>
      <w:tr>
        <w:trPr>
          <w:trHeight w:val="401"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支持军民融合创新发展补助</w:t>
            </w:r>
          </w:p>
        </w:tc>
        <w:tc>
          <w:tcPr>
            <w:tcW w:w="2369" w:type="dxa"/>
            <w:tcBorders>
              <w:top w:val="single" w:sz="4" w:space="0" w:color="000000"/>
              <w:left w:val="single" w:sz="4" w:space="0" w:color="000000"/>
              <w:bottom w:val="single" w:sz="4" w:space="0" w:color="000000"/>
              <w:right w:val="single" w:sz="4" w:space="0" w:color="000000"/>
            </w:tcBorders>
          </w:tcPr>
          <w:p>
            <w:pPr/>
          </w:p>
        </w:tc>
        <w:tc>
          <w:tcPr>
            <w:tcW w:w="2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500,000.00</w:t>
            </w:r>
          </w:p>
        </w:tc>
      </w:tr>
      <w:tr>
        <w:trPr>
          <w:trHeight w:val="403" w:hRule="exact"/>
        </w:trPr>
        <w:tc>
          <w:tcPr>
            <w:tcW w:w="4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391" w:right="0"/>
              <w:jc w:val="left"/>
              <w:rPr>
                <w:rFonts w:ascii="Times New Roman" w:hAnsi="Times New Roman" w:cs="Times New Roman" w:eastAsia="Times New Roman" w:hint="default"/>
                <w:sz w:val="18"/>
                <w:szCs w:val="18"/>
              </w:rPr>
            </w:pPr>
            <w:r>
              <w:rPr>
                <w:rFonts w:ascii="Times New Roman"/>
                <w:sz w:val="18"/>
              </w:rPr>
              <w:t>3,933,973.48</w:t>
            </w:r>
          </w:p>
        </w:tc>
        <w:tc>
          <w:tcPr>
            <w:tcW w:w="2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3,934,870.49</w:t>
            </w:r>
            <w:r>
              <w:rPr>
                <w:rFonts w:ascii="Times New Roman"/>
                <w:sz w:val="18"/>
              </w:rPr>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68、投资收益" w:id="376"/>
      <w:bookmarkEnd w:id="376"/>
      <w:r>
        <w:rPr>
          <w:b w:val="0"/>
          <w:bCs w:val="0"/>
        </w:rPr>
      </w:r>
      <w:r>
        <w:rPr>
          <w:rFonts w:ascii="Times New Roman" w:hAnsi="Times New Roman" w:cs="Times New Roman" w:eastAsia="Times New Roman" w:hint="default"/>
        </w:rPr>
        <w:t>68</w:t>
      </w:r>
      <w:r>
        <w:rPr/>
        <w:t>、投资收益</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625"/>
        <w:gridCol w:w="2429"/>
        <w:gridCol w:w="2515"/>
      </w:tblGrid>
      <w:tr>
        <w:trPr>
          <w:trHeight w:val="403" w:hRule="exact"/>
        </w:trPr>
        <w:tc>
          <w:tcPr>
            <w:tcW w:w="46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2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6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5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80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46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242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-915,039.64</w:t>
            </w:r>
            <w:r>
              <w:rPr>
                <w:rFonts w:ascii="Times New Roman"/>
                <w:sz w:val="18"/>
              </w:rPr>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-4,877,783.35</w:t>
            </w:r>
            <w:r>
              <w:rPr>
                <w:rFonts w:ascii="Times New Roman"/>
                <w:sz w:val="18"/>
              </w:rPr>
            </w:r>
          </w:p>
        </w:tc>
      </w:tr>
      <w:tr>
        <w:trPr>
          <w:trHeight w:val="402" w:hRule="exact"/>
        </w:trPr>
        <w:tc>
          <w:tcPr>
            <w:tcW w:w="46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242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570,436.83</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1,069,435.14</w:t>
            </w:r>
            <w:r>
              <w:rPr>
                <w:rFonts w:ascii="Times New Roman"/>
                <w:sz w:val="18"/>
              </w:rPr>
            </w:r>
          </w:p>
        </w:tc>
      </w:tr>
      <w:tr>
        <w:trPr>
          <w:trHeight w:val="402" w:hRule="exact"/>
        </w:trPr>
        <w:tc>
          <w:tcPr>
            <w:tcW w:w="46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2429" w:type="dxa"/>
            <w:tcBorders>
              <w:top w:val="single" w:sz="4" w:space="0" w:color="000000"/>
              <w:left w:val="single" w:sz="13" w:space="0" w:color="D4D4D4"/>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1,537,500.00</w:t>
            </w:r>
            <w:r>
              <w:rPr>
                <w:rFonts w:ascii="Times New Roman"/>
                <w:sz w:val="18"/>
              </w:rPr>
            </w:r>
          </w:p>
        </w:tc>
      </w:tr>
      <w:tr>
        <w:trPr>
          <w:trHeight w:val="402" w:hRule="exact"/>
        </w:trPr>
        <w:tc>
          <w:tcPr>
            <w:tcW w:w="46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2429" w:type="dxa"/>
            <w:tcBorders>
              <w:top w:val="single" w:sz="4" w:space="0" w:color="000000"/>
              <w:left w:val="single" w:sz="13" w:space="0" w:color="D4D4D4"/>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65,449,779.62</w:t>
            </w:r>
          </w:p>
        </w:tc>
      </w:tr>
      <w:tr>
        <w:trPr>
          <w:trHeight w:val="401" w:hRule="exact"/>
        </w:trPr>
        <w:tc>
          <w:tcPr>
            <w:tcW w:w="4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其他权益工具在持有期间的投资收益</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1,438,319.35</w:t>
            </w:r>
            <w:r>
              <w:rPr>
                <w:rFonts w:ascii="Times New Roman"/>
                <w:sz w:val="18"/>
              </w:rPr>
            </w:r>
          </w:p>
        </w:tc>
        <w:tc>
          <w:tcPr>
            <w:tcW w:w="25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业绩承诺补偿款</w:t>
            </w:r>
          </w:p>
        </w:tc>
        <w:tc>
          <w:tcPr>
            <w:tcW w:w="2429" w:type="dxa"/>
            <w:tcBorders>
              <w:top w:val="single" w:sz="4" w:space="0" w:color="000000"/>
              <w:left w:val="single" w:sz="4" w:space="0" w:color="000000"/>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10,045,572.00</w:t>
            </w:r>
          </w:p>
        </w:tc>
      </w:tr>
      <w:tr>
        <w:trPr>
          <w:trHeight w:val="713" w:hRule="exact"/>
        </w:trPr>
        <w:tc>
          <w:tcPr>
            <w:tcW w:w="46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9"/>
              <w:jc w:val="left"/>
              <w:rPr>
                <w:rFonts w:ascii="宋体" w:hAnsi="宋体" w:cs="宋体" w:eastAsia="宋体" w:hint="default"/>
                <w:sz w:val="18"/>
                <w:szCs w:val="18"/>
              </w:rPr>
            </w:pPr>
            <w:r>
              <w:rPr>
                <w:rFonts w:ascii="宋体" w:hAnsi="宋体" w:cs="宋体" w:eastAsia="宋体" w:hint="default"/>
                <w:sz w:val="18"/>
                <w:szCs w:val="18"/>
              </w:rPr>
              <w:t>非同一控制下的企业合并原有股权公允价值重新计量产生 的投资收益</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-1,255,696.03</w:t>
            </w:r>
            <w:r>
              <w:rPr>
                <w:rFonts w:ascii="Times New Roman"/>
                <w:sz w:val="18"/>
              </w:rPr>
            </w:r>
          </w:p>
        </w:tc>
        <w:tc>
          <w:tcPr>
            <w:tcW w:w="25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-161,979.49</w:t>
            </w:r>
            <w:r>
              <w:rPr>
                <w:rFonts w:ascii="Times New Roman"/>
                <w:sz w:val="18"/>
              </w:rPr>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73,224,503.41</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69、净敞口套期收益" w:id="377"/>
      <w:bookmarkEnd w:id="377"/>
      <w:r>
        <w:rPr>
          <w:b w:val="0"/>
          <w:bCs w:val="0"/>
        </w:rPr>
      </w:r>
      <w:r>
        <w:rPr>
          <w:rFonts w:ascii="Times New Roman" w:hAnsi="Times New Roman" w:cs="Times New Roman" w:eastAsia="Times New Roman" w:hint="default"/>
        </w:rPr>
        <w:t>69</w:t>
      </w:r>
      <w:r>
        <w:rPr/>
        <w:t>、净敞口套期收益</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70、公允价值变动收益" w:id="378"/>
      <w:bookmarkEnd w:id="378"/>
      <w:r>
        <w:rPr>
          <w:b w:val="0"/>
          <w:bCs w:val="0"/>
        </w:rPr>
      </w:r>
      <w:r>
        <w:rPr>
          <w:rFonts w:ascii="Times New Roman" w:hAnsi="Times New Roman" w:cs="Times New Roman" w:eastAsia="Times New Roman" w:hint="default"/>
        </w:rPr>
        <w:t>70</w:t>
      </w:r>
      <w:r>
        <w:rPr/>
        <w:t>、公允价值变动收益</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71、信用减值损失" w:id="379"/>
      <w:bookmarkEnd w:id="379"/>
      <w:r>
        <w:rPr>
          <w:b w:val="0"/>
          <w:bCs w:val="0"/>
        </w:rPr>
      </w:r>
      <w:r>
        <w:rPr>
          <w:rFonts w:ascii="Times New Roman" w:hAnsi="Times New Roman" w:cs="Times New Roman" w:eastAsia="Times New Roman" w:hint="default"/>
        </w:rPr>
        <w:t>71</w:t>
      </w:r>
      <w:r>
        <w:rPr/>
        <w:t>、信用减值损失</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其他应收款坏账损失</w:t>
            </w:r>
          </w:p>
        </w:tc>
        <w:tc>
          <w:tcPr>
            <w:tcW w:w="319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-2,205,538.96</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应收账款坏账损失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-34,757,563.90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-36,963,102.86</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72、资产减值损失" w:id="380"/>
      <w:bookmarkEnd w:id="380"/>
      <w:r>
        <w:rPr>
          <w:b w:val="0"/>
          <w:bCs w:val="0"/>
        </w:rPr>
      </w:r>
      <w:r>
        <w:rPr>
          <w:rFonts w:ascii="Times New Roman" w:hAnsi="Times New Roman" w:cs="Times New Roman" w:eastAsia="Times New Roman" w:hint="default"/>
        </w:rPr>
        <w:t>72</w:t>
      </w:r>
      <w:r>
        <w:rPr/>
        <w:t>、资产减值损失</w:t>
      </w:r>
      <w:r>
        <w:rPr>
          <w:b w:val="0"/>
          <w:bCs w:val="0"/>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82" w:top="1060" w:bottom="1180" w:left="980" w:right="0"/>
        </w:sectPr>
      </w:pPr>
    </w:p>
    <w:p>
      <w:pPr>
        <w:spacing w:before="44"/>
        <w:ind w:left="152" w:right="-20" w:firstLine="0"/>
        <w:jc w:val="left"/>
        <w:rPr>
          <w:rFonts w:ascii="宋体" w:hAnsi="宋体" w:cs="宋体" w:eastAsia="宋体" w:hint="default"/>
          <w:sz w:val="18"/>
          <w:szCs w:val="18"/>
        </w:rPr>
      </w:pPr>
      <w:r>
        <w:rPr>
          <w:rFonts w:ascii="宋体" w:hAnsi="宋体" w:cs="宋体" w:eastAsia="宋体" w:hint="default"/>
          <w:sz w:val="18"/>
          <w:szCs w:val="18"/>
        </w:rPr>
        <w:t>是否已执行新收入准则</w:t>
      </w:r>
    </w:p>
    <w:p>
      <w:pPr>
        <w:spacing w:before="117"/>
        <w:ind w:left="152" w:right="-20" w:firstLine="0"/>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3"/>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1953" w:space="6874"/>
            <w:col w:w="2103"/>
          </w:cols>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3164"/>
        <w:gridCol w:w="3203"/>
        <w:gridCol w:w="3190"/>
      </w:tblGrid>
      <w:tr>
        <w:trPr>
          <w:trHeight w:val="401"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203" w:type="dxa"/>
            <w:tcBorders>
              <w:top w:val="single" w:sz="4" w:space="0" w:color="000000"/>
              <w:left w:val="single" w:sz="9" w:space="0" w:color="D4D4D4"/>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-28,941,818.68</w:t>
            </w:r>
          </w:p>
        </w:tc>
      </w:tr>
      <w:tr>
        <w:trPr>
          <w:trHeight w:val="401"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二、存货跌价损失</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-12,367,334.37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-9,737,146.86</w:t>
            </w:r>
            <w:r>
              <w:rPr>
                <w:rFonts w:ascii="Times New Roman"/>
                <w:sz w:val="18"/>
              </w:rPr>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三、可供出售金融资产减值损失</w:t>
            </w:r>
          </w:p>
        </w:tc>
        <w:tc>
          <w:tcPr>
            <w:tcW w:w="3203" w:type="dxa"/>
            <w:tcBorders>
              <w:top w:val="single" w:sz="4" w:space="0" w:color="000000"/>
              <w:left w:val="single" w:sz="9" w:space="0" w:color="D4D4D4"/>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-1,595,218.93</w:t>
            </w:r>
            <w:r>
              <w:rPr>
                <w:rFonts w:ascii="Times New Roman"/>
                <w:sz w:val="18"/>
              </w:rPr>
            </w:r>
          </w:p>
        </w:tc>
      </w:tr>
      <w:tr>
        <w:trPr>
          <w:trHeight w:val="401"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四、无形资产减值损失</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-4,201,167.70</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-1,175,170.44</w:t>
            </w:r>
            <w:r>
              <w:rPr>
                <w:rFonts w:ascii="Times New Roman"/>
                <w:sz w:val="18"/>
              </w:rPr>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-16,568,502.07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-41,449,354.91</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73、资产处置收益" w:id="381"/>
      <w:bookmarkEnd w:id="381"/>
      <w:r>
        <w:rPr>
          <w:b w:val="0"/>
          <w:bCs w:val="0"/>
        </w:rPr>
      </w:r>
      <w:r>
        <w:rPr>
          <w:rFonts w:ascii="Times New Roman" w:hAnsi="Times New Roman" w:cs="Times New Roman" w:eastAsia="Times New Roman" w:hint="default"/>
        </w:rPr>
        <w:t>73</w:t>
      </w:r>
      <w:r>
        <w:rPr/>
        <w:t>、资产处置收益</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74、营业外收入" w:id="382"/>
      <w:bookmarkEnd w:id="382"/>
      <w:r>
        <w:rPr>
          <w:b w:val="0"/>
          <w:bCs w:val="0"/>
        </w:rPr>
      </w:r>
      <w:r>
        <w:rPr>
          <w:rFonts w:ascii="Times New Roman" w:hAnsi="Times New Roman" w:cs="Times New Roman" w:eastAsia="Times New Roman" w:hint="default"/>
        </w:rPr>
        <w:t>74</w:t>
      </w:r>
      <w:r>
        <w:rPr/>
        <w:t>、营业外收入</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88"/>
        <w:gridCol w:w="2395"/>
        <w:gridCol w:w="2393"/>
        <w:gridCol w:w="2393"/>
      </w:tblGrid>
      <w:tr>
        <w:trPr>
          <w:trHeight w:val="713" w:hRule="exact"/>
        </w:trPr>
        <w:tc>
          <w:tcPr>
            <w:tcW w:w="23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74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741"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49"/>
              <w:ind w:left="1101" w:right="110" w:hanging="992"/>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非流动资产毁损报废利得</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81,890.83</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81,890.83</w:t>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违约赔偿收入</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20,000.00</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20,000.00</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369,001.60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227,354.81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369,001.60</w:t>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470,892.43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227,354.81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470,892.43</w:t>
            </w:r>
          </w:p>
        </w:tc>
      </w:tr>
    </w:tbl>
    <w:p>
      <w:pPr>
        <w:spacing w:line="360" w:lineRule="auto" w:before="49"/>
        <w:ind w:left="152" w:right="8594" w:firstLine="0"/>
        <w:jc w:val="left"/>
        <w:rPr>
          <w:rFonts w:ascii="宋体" w:hAnsi="宋体" w:cs="宋体" w:eastAsia="宋体" w:hint="default"/>
          <w:sz w:val="18"/>
          <w:szCs w:val="18"/>
        </w:rPr>
      </w:pPr>
      <w:r>
        <w:rPr>
          <w:rFonts w:ascii="宋体" w:hAnsi="宋体" w:cs="宋体" w:eastAsia="宋体" w:hint="default"/>
          <w:sz w:val="18"/>
          <w:szCs w:val="18"/>
        </w:rPr>
        <w:t>计入当期损益的政府补助： 无</w:t>
      </w:r>
    </w:p>
    <w:p>
      <w:pPr>
        <w:spacing w:line="240" w:lineRule="auto" w:before="2"/>
        <w:rPr>
          <w:rFonts w:ascii="宋体" w:hAnsi="宋体" w:cs="宋体" w:eastAsia="宋体" w:hint="default"/>
          <w:sz w:val="20"/>
          <w:szCs w:val="20"/>
        </w:rPr>
      </w:pPr>
    </w:p>
    <w:p>
      <w:pPr>
        <w:pStyle w:val="Heading4"/>
        <w:spacing w:line="240" w:lineRule="auto"/>
        <w:ind w:right="986"/>
        <w:jc w:val="left"/>
        <w:rPr>
          <w:b w:val="0"/>
          <w:bCs w:val="0"/>
        </w:rPr>
      </w:pPr>
      <w:bookmarkStart w:name="75、营业外支出" w:id="383"/>
      <w:bookmarkEnd w:id="383"/>
      <w:r>
        <w:rPr>
          <w:b w:val="0"/>
          <w:bCs w:val="0"/>
        </w:rPr>
      </w:r>
      <w:r>
        <w:rPr>
          <w:rFonts w:ascii="Times New Roman" w:hAnsi="Times New Roman" w:cs="Times New Roman" w:eastAsia="Times New Roman" w:hint="default"/>
        </w:rPr>
        <w:t>75</w:t>
      </w:r>
      <w:r>
        <w:rPr/>
        <w:t>、营业外支出</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88"/>
        <w:gridCol w:w="2395"/>
        <w:gridCol w:w="2393"/>
        <w:gridCol w:w="2393"/>
      </w:tblGrid>
      <w:tr>
        <w:trPr>
          <w:trHeight w:val="161" w:hRule="exact"/>
        </w:trPr>
        <w:tc>
          <w:tcPr>
            <w:tcW w:w="2388" w:type="dxa"/>
            <w:tcBorders>
              <w:top w:val="single" w:sz="4" w:space="0" w:color="000000"/>
              <w:left w:val="single" w:sz="4" w:space="0" w:color="000000"/>
              <w:bottom w:val="nil" w:sz="6" w:space="0" w:color="auto"/>
              <w:right w:val="single" w:sz="4" w:space="0" w:color="000000"/>
            </w:tcBorders>
            <w:shd w:val="clear" w:color="auto" w:fill="D4D4D4"/>
          </w:tcPr>
          <w:p>
            <w:pPr/>
          </w:p>
        </w:tc>
        <w:tc>
          <w:tcPr>
            <w:tcW w:w="2395" w:type="dxa"/>
            <w:tcBorders>
              <w:top w:val="single" w:sz="4" w:space="0" w:color="000000"/>
              <w:left w:val="single" w:sz="4" w:space="0" w:color="000000"/>
              <w:bottom w:val="nil" w:sz="6" w:space="0" w:color="auto"/>
              <w:right w:val="single" w:sz="4" w:space="0" w:color="000000"/>
            </w:tcBorders>
            <w:shd w:val="clear" w:color="auto" w:fill="D4D4D4"/>
          </w:tcPr>
          <w:p>
            <w:pPr/>
          </w:p>
        </w:tc>
        <w:tc>
          <w:tcPr>
            <w:tcW w:w="2393" w:type="dxa"/>
            <w:tcBorders>
              <w:top w:val="single" w:sz="4" w:space="0" w:color="000000"/>
              <w:left w:val="single" w:sz="4" w:space="0" w:color="000000"/>
              <w:bottom w:val="nil" w:sz="6" w:space="0" w:color="auto"/>
              <w:right w:val="single" w:sz="4" w:space="0" w:color="000000"/>
            </w:tcBorders>
            <w:shd w:val="clear" w:color="auto" w:fill="D4D4D4"/>
          </w:tcPr>
          <w:p>
            <w:pPr/>
          </w:p>
        </w:tc>
        <w:tc>
          <w:tcPr>
            <w:tcW w:w="2393"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1101" w:right="110" w:hanging="992"/>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1" w:hRule="exact"/>
        </w:trPr>
        <w:tc>
          <w:tcPr>
            <w:tcW w:w="2388"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5"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74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3"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741"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3" w:type="dxa"/>
            <w:vMerge/>
            <w:tcBorders>
              <w:left w:val="single" w:sz="4" w:space="0" w:color="000000"/>
              <w:right w:val="single" w:sz="4" w:space="0" w:color="000000"/>
            </w:tcBorders>
            <w:shd w:val="clear" w:color="auto" w:fill="D4D4D4"/>
          </w:tcPr>
          <w:p>
            <w:pPr/>
          </w:p>
        </w:tc>
      </w:tr>
      <w:tr>
        <w:trPr>
          <w:trHeight w:val="161" w:hRule="exact"/>
        </w:trPr>
        <w:tc>
          <w:tcPr>
            <w:tcW w:w="2388" w:type="dxa"/>
            <w:tcBorders>
              <w:top w:val="nil" w:sz="6" w:space="0" w:color="auto"/>
              <w:left w:val="single" w:sz="4" w:space="0" w:color="000000"/>
              <w:bottom w:val="single" w:sz="4" w:space="0" w:color="000000"/>
              <w:right w:val="single" w:sz="4" w:space="0" w:color="000000"/>
            </w:tcBorders>
            <w:shd w:val="clear" w:color="auto" w:fill="D4D4D4"/>
          </w:tcPr>
          <w:p>
            <w:pPr/>
          </w:p>
        </w:tc>
        <w:tc>
          <w:tcPr>
            <w:tcW w:w="2395" w:type="dxa"/>
            <w:tcBorders>
              <w:top w:val="nil" w:sz="6" w:space="0" w:color="auto"/>
              <w:left w:val="single" w:sz="4" w:space="0" w:color="000000"/>
              <w:bottom w:val="single" w:sz="4" w:space="0" w:color="000000"/>
              <w:right w:val="single" w:sz="4" w:space="0" w:color="000000"/>
            </w:tcBorders>
            <w:shd w:val="clear" w:color="auto" w:fill="D4D4D4"/>
          </w:tcPr>
          <w:p>
            <w:pPr/>
          </w:p>
        </w:tc>
        <w:tc>
          <w:tcPr>
            <w:tcW w:w="2393" w:type="dxa"/>
            <w:tcBorders>
              <w:top w:val="nil" w:sz="6" w:space="0" w:color="auto"/>
              <w:left w:val="single" w:sz="4" w:space="0" w:color="000000"/>
              <w:bottom w:val="single" w:sz="4" w:space="0" w:color="000000"/>
              <w:right w:val="single" w:sz="4" w:space="0" w:color="000000"/>
            </w:tcBorders>
            <w:shd w:val="clear" w:color="auto" w:fill="D4D4D4"/>
          </w:tcPr>
          <w:p>
            <w:pPr/>
          </w:p>
        </w:tc>
        <w:tc>
          <w:tcPr>
            <w:tcW w:w="2393" w:type="dxa"/>
            <w:vMerge/>
            <w:tcBorders>
              <w:left w:val="single" w:sz="4" w:space="0" w:color="000000"/>
              <w:bottom w:val="single" w:sz="4" w:space="0" w:color="000000"/>
              <w:right w:val="single" w:sz="4" w:space="0" w:color="000000"/>
            </w:tcBorders>
            <w:shd w:val="clear" w:color="auto" w:fill="D4D4D4"/>
          </w:tcPr>
          <w:p>
            <w:pP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95"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455,000.00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3,789,500.00</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455,000.00</w:t>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非流动资产损坏报废损失</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443,443.18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1,036,457.00</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443,443.18</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罚款支出</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223.50</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223.50</w:t>
            </w:r>
            <w:r>
              <w:rPr>
                <w:rFonts w:ascii="Times New Roman"/>
                <w:sz w:val="18"/>
              </w:rPr>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1,259,648.32</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598,720.60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1,259,648.32</w:t>
            </w:r>
            <w:r>
              <w:rPr>
                <w:rFonts w:ascii="Times New Roman"/>
                <w:sz w:val="18"/>
              </w:rPr>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2,158,315.00</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5,424,677.60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2,158,315.00</w:t>
            </w:r>
            <w:r>
              <w:rPr>
                <w:rFonts w:ascii="Times New Roman"/>
                <w:sz w:val="18"/>
              </w:rPr>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76、所得税费用" w:id="384"/>
      <w:bookmarkEnd w:id="384"/>
      <w:r>
        <w:rPr>
          <w:b w:val="0"/>
          <w:bCs w:val="0"/>
        </w:rPr>
      </w:r>
      <w:r>
        <w:rPr>
          <w:rFonts w:ascii="Times New Roman" w:hAnsi="Times New Roman" w:cs="Times New Roman" w:eastAsia="Times New Roman" w:hint="default"/>
        </w:rPr>
        <w:t>76</w:t>
      </w:r>
      <w:r>
        <w:rPr/>
        <w:t>、所得税费用</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所得税费用表" w:id="385"/>
      <w:bookmarkEnd w:id="385"/>
      <w:r>
        <w:rPr>
          <w:b w:val="0"/>
          <w:bCs w:val="0"/>
        </w:rPr>
      </w:r>
      <w:r>
        <w:rPr/>
        <w:t>（</w:t>
      </w:r>
      <w:r>
        <w:rPr>
          <w:rFonts w:ascii="Times New Roman" w:hAnsi="Times New Roman" w:cs="Times New Roman" w:eastAsia="Times New Roman" w:hint="default"/>
        </w:rPr>
        <w:t>1</w:t>
      </w:r>
      <w:r>
        <w:rPr/>
        <w:t>）所得税费用表</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3"/>
        <w:gridCol w:w="3190"/>
      </w:tblGrid>
      <w:tr>
        <w:trPr>
          <w:trHeight w:val="401"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32,415,608.26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25,387,538.66</w:t>
            </w:r>
          </w:p>
        </w:tc>
      </w:tr>
      <w:tr>
        <w:trPr>
          <w:trHeight w:val="401"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-15,362,359.86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510,045.13</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17,053,248.40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25,897,583.79</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2）会计利润与所得税费用调整过程" w:id="386"/>
      <w:bookmarkEnd w:id="386"/>
      <w:r>
        <w:rPr>
          <w:b w:val="0"/>
          <w:bCs w:val="0"/>
        </w:rPr>
      </w:r>
      <w:r>
        <w:rPr/>
        <w:t>（</w:t>
      </w:r>
      <w:r>
        <w:rPr>
          <w:rFonts w:ascii="Times New Roman" w:hAnsi="Times New Roman" w:cs="Times New Roman" w:eastAsia="Times New Roman" w:hint="default"/>
        </w:rPr>
        <w:t>2</w:t>
      </w:r>
      <w:r>
        <w:rPr/>
        <w:t>）会计利润与所得税费用调整过程</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5996"/>
        <w:gridCol w:w="3560"/>
      </w:tblGrid>
      <w:tr>
        <w:trPr>
          <w:trHeight w:val="403" w:hRule="exact"/>
        </w:trPr>
        <w:tc>
          <w:tcPr>
            <w:tcW w:w="59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5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1" w:hRule="exact"/>
        </w:trPr>
        <w:tc>
          <w:tcPr>
            <w:tcW w:w="59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356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305,762,445.54</w:t>
            </w:r>
            <w:r>
              <w:rPr>
                <w:rFonts w:ascii="Times New Roman"/>
                <w:sz w:val="18"/>
              </w:rPr>
            </w:r>
          </w:p>
        </w:tc>
      </w:tr>
      <w:tr>
        <w:trPr>
          <w:trHeight w:val="403" w:hRule="exact"/>
        </w:trPr>
        <w:tc>
          <w:tcPr>
            <w:tcW w:w="59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356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30,576,244.55</w:t>
            </w:r>
          </w:p>
        </w:tc>
      </w:tr>
      <w:tr>
        <w:trPr>
          <w:trHeight w:val="401" w:hRule="exact"/>
        </w:trPr>
        <w:tc>
          <w:tcPr>
            <w:tcW w:w="59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356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0"/>
              <w:ind w:right="19"/>
              <w:jc w:val="right"/>
              <w:rPr>
                <w:rFonts w:ascii="Arial" w:hAnsi="Arial" w:cs="Arial" w:eastAsia="Arial" w:hint="default"/>
                <w:sz w:val="18"/>
                <w:szCs w:val="18"/>
              </w:rPr>
            </w:pPr>
            <w:r>
              <w:rPr>
                <w:rFonts w:ascii="Arial"/>
                <w:spacing w:val="-1"/>
                <w:sz w:val="18"/>
              </w:rPr>
              <w:t>5,907,078.17</w:t>
            </w:r>
          </w:p>
        </w:tc>
      </w:tr>
      <w:tr>
        <w:trPr>
          <w:trHeight w:val="403" w:hRule="exact"/>
        </w:trPr>
        <w:tc>
          <w:tcPr>
            <w:tcW w:w="59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356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17,903.95</w:t>
            </w:r>
          </w:p>
        </w:tc>
      </w:tr>
      <w:tr>
        <w:trPr>
          <w:trHeight w:val="401" w:hRule="exact"/>
        </w:trPr>
        <w:tc>
          <w:tcPr>
            <w:tcW w:w="59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356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-143,831.94</w:t>
            </w:r>
            <w:r>
              <w:rPr>
                <w:rFonts w:ascii="Times New Roman"/>
                <w:sz w:val="18"/>
              </w:rPr>
            </w:r>
          </w:p>
        </w:tc>
      </w:tr>
      <w:tr>
        <w:trPr>
          <w:trHeight w:val="403" w:hRule="exact"/>
        </w:trPr>
        <w:tc>
          <w:tcPr>
            <w:tcW w:w="59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356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3,287,748.57</w:t>
            </w:r>
            <w:r>
              <w:rPr>
                <w:rFonts w:ascii="Times New Roman"/>
                <w:sz w:val="18"/>
              </w:rPr>
            </w:r>
          </w:p>
        </w:tc>
      </w:tr>
      <w:tr>
        <w:trPr>
          <w:trHeight w:val="401" w:hRule="exact"/>
        </w:trPr>
        <w:tc>
          <w:tcPr>
            <w:tcW w:w="59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使用前期未确认递延所得税资产的可抵扣亏损的影响</w:t>
            </w:r>
          </w:p>
        </w:tc>
        <w:tc>
          <w:tcPr>
            <w:tcW w:w="356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-1,031,998.15</w:t>
            </w:r>
            <w:r>
              <w:rPr>
                <w:rFonts w:ascii="Times New Roman"/>
                <w:sz w:val="18"/>
              </w:rPr>
            </w:r>
          </w:p>
        </w:tc>
      </w:tr>
      <w:tr>
        <w:trPr>
          <w:trHeight w:val="403" w:hRule="exact"/>
        </w:trPr>
        <w:tc>
          <w:tcPr>
            <w:tcW w:w="59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本期未确认递延所得税资产的可抵扣暂时性差异或可抵扣亏损的影响</w:t>
            </w:r>
          </w:p>
        </w:tc>
        <w:tc>
          <w:tcPr>
            <w:tcW w:w="3560"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3,342,300.35</w:t>
            </w:r>
            <w:r>
              <w:rPr>
                <w:rFonts w:ascii="Times New Roman"/>
                <w:sz w:val="18"/>
              </w:rPr>
            </w:r>
          </w:p>
        </w:tc>
      </w:tr>
      <w:tr>
        <w:trPr>
          <w:trHeight w:val="401" w:hRule="exact"/>
        </w:trPr>
        <w:tc>
          <w:tcPr>
            <w:tcW w:w="5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权益法核算的合营企业和联营企业损益</w:t>
            </w:r>
          </w:p>
        </w:tc>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83,042.93</w:t>
            </w:r>
          </w:p>
        </w:tc>
      </w:tr>
      <w:tr>
        <w:trPr>
          <w:trHeight w:val="403" w:hRule="exact"/>
        </w:trPr>
        <w:tc>
          <w:tcPr>
            <w:tcW w:w="5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研究开发费加成扣除的纳税影响（以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9"/>
              <w:jc w:val="right"/>
              <w:rPr>
                <w:rFonts w:ascii="Arial" w:hAnsi="Arial" w:cs="Arial" w:eastAsia="Arial" w:hint="default"/>
                <w:sz w:val="18"/>
                <w:szCs w:val="18"/>
              </w:rPr>
            </w:pPr>
            <w:r>
              <w:rPr>
                <w:rFonts w:ascii="Arial"/>
                <w:spacing w:val="-1"/>
                <w:sz w:val="18"/>
              </w:rPr>
              <w:t>-24,985,240.03</w:t>
            </w:r>
          </w:p>
        </w:tc>
      </w:tr>
      <w:tr>
        <w:trPr>
          <w:trHeight w:val="401" w:hRule="exact"/>
        </w:trPr>
        <w:tc>
          <w:tcPr>
            <w:tcW w:w="59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17,053,248.40</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line="544" w:lineRule="auto" w:before="120"/>
        <w:ind w:left="152" w:right="8857" w:firstLine="0"/>
        <w:jc w:val="left"/>
        <w:rPr>
          <w:rFonts w:ascii="宋体" w:hAnsi="宋体" w:cs="宋体" w:eastAsia="宋体" w:hint="default"/>
          <w:sz w:val="21"/>
          <w:szCs w:val="21"/>
        </w:rPr>
      </w:pPr>
      <w:bookmarkStart w:name="77、其他综合收益" w:id="387"/>
      <w:bookmarkEnd w:id="387"/>
      <w:r>
        <w:rPr/>
      </w:r>
      <w:r>
        <w:rPr>
          <w:rFonts w:ascii="Times New Roman" w:hAnsi="Times New Roman" w:cs="Times New Roman" w:eastAsia="Times New Roman" w:hint="default"/>
          <w:b/>
          <w:bCs/>
          <w:sz w:val="21"/>
          <w:szCs w:val="21"/>
        </w:rPr>
        <w:t>77</w:t>
      </w:r>
      <w:r>
        <w:rPr>
          <w:rFonts w:ascii="宋体" w:hAnsi="宋体" w:cs="宋体" w:eastAsia="宋体" w:hint="default"/>
          <w:b/>
          <w:bCs/>
          <w:sz w:val="21"/>
          <w:szCs w:val="21"/>
        </w:rPr>
        <w:t>、其他综合收益</w:t>
      </w:r>
      <w:r>
        <w:rPr>
          <w:rFonts w:ascii="宋体" w:hAnsi="宋体" w:cs="宋体" w:eastAsia="宋体" w:hint="default"/>
          <w:b/>
          <w:bCs/>
          <w:w w:val="100"/>
          <w:sz w:val="21"/>
          <w:szCs w:val="21"/>
        </w:rPr>
        <w:t> </w:t>
      </w:r>
      <w:r>
        <w:rPr>
          <w:rFonts w:ascii="宋体" w:hAnsi="宋体" w:cs="宋体" w:eastAsia="宋体" w:hint="default"/>
          <w:sz w:val="18"/>
          <w:szCs w:val="18"/>
        </w:rPr>
        <w:t>详见附注七、</w:t>
      </w:r>
      <w:r>
        <w:rPr>
          <w:rFonts w:ascii="Times New Roman" w:hAnsi="Times New Roman" w:cs="Times New Roman" w:eastAsia="Times New Roman" w:hint="default"/>
          <w:sz w:val="18"/>
          <w:szCs w:val="18"/>
        </w:rPr>
        <w:t>57</w:t>
      </w:r>
      <w:r>
        <w:rPr>
          <w:rFonts w:ascii="宋体" w:hAnsi="宋体" w:cs="宋体" w:eastAsia="宋体" w:hint="default"/>
          <w:sz w:val="18"/>
          <w:szCs w:val="18"/>
        </w:rPr>
        <w:t>。 </w:t>
      </w:r>
      <w:bookmarkStart w:name="78、现金流量表项目" w:id="388"/>
      <w:bookmarkEnd w:id="388"/>
      <w:r>
        <w:rPr>
          <w:rFonts w:ascii="宋体" w:hAnsi="宋体" w:cs="宋体" w:eastAsia="宋体" w:hint="default"/>
          <w:sz w:val="18"/>
          <w:szCs w:val="18"/>
        </w:rPr>
      </w:r>
      <w:r>
        <w:rPr>
          <w:rFonts w:ascii="Times New Roman" w:hAnsi="Times New Roman" w:cs="Times New Roman" w:eastAsia="Times New Roman" w:hint="default"/>
          <w:b/>
          <w:bCs/>
          <w:sz w:val="21"/>
          <w:szCs w:val="21"/>
        </w:rPr>
        <w:t>78</w:t>
      </w:r>
      <w:r>
        <w:rPr>
          <w:rFonts w:ascii="宋体" w:hAnsi="宋体" w:cs="宋体" w:eastAsia="宋体" w:hint="default"/>
          <w:b/>
          <w:bCs/>
          <w:sz w:val="21"/>
          <w:szCs w:val="21"/>
        </w:rPr>
        <w:t>、现金流量表项目</w:t>
      </w:r>
      <w:r>
        <w:rPr>
          <w:rFonts w:ascii="宋体" w:hAnsi="宋体" w:cs="宋体" w:eastAsia="宋体" w:hint="default"/>
          <w:sz w:val="21"/>
          <w:szCs w:val="21"/>
        </w:rPr>
      </w:r>
    </w:p>
    <w:p>
      <w:pPr>
        <w:pStyle w:val="Heading4"/>
        <w:spacing w:line="240" w:lineRule="auto" w:before="28"/>
        <w:ind w:right="986"/>
        <w:jc w:val="left"/>
        <w:rPr>
          <w:b w:val="0"/>
          <w:bCs w:val="0"/>
        </w:rPr>
      </w:pPr>
      <w:bookmarkStart w:name="（1）收到的其他与经营活动有关的现金" w:id="389"/>
      <w:bookmarkEnd w:id="389"/>
      <w:r>
        <w:rPr>
          <w:b w:val="0"/>
          <w:bCs w:val="0"/>
        </w:rPr>
      </w:r>
      <w:r>
        <w:rPr/>
        <w:t>（</w:t>
      </w:r>
      <w:r>
        <w:rPr>
          <w:rFonts w:ascii="Times New Roman" w:hAnsi="Times New Roman" w:cs="Times New Roman" w:eastAsia="Times New Roman" w:hint="default"/>
        </w:rPr>
        <w:t>1</w:t>
      </w:r>
      <w:r>
        <w:rPr/>
        <w:t>）收到的其他与经营活动有关的现金</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0"/>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收政府补助专项资金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50,084,008.78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36,895,679.16</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收到利息收入</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2,242,888.71</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1,933,507.94</w:t>
            </w:r>
            <w:r>
              <w:rPr>
                <w:rFonts w:ascii="Times New Roman"/>
                <w:sz w:val="18"/>
              </w:rPr>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收到的保证金、押金及其他往来款等</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88,043,639.59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1,070,694.83</w:t>
            </w:r>
            <w:r>
              <w:rPr>
                <w:rFonts w:ascii="Times New Roman"/>
                <w:sz w:val="18"/>
              </w:rPr>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140,370,537.08</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39,899,881.93</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收到的其他与经营活动有关的现金说明：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2）支付的其他与经营活动有关的现金" w:id="390"/>
      <w:bookmarkEnd w:id="390"/>
      <w:r>
        <w:rPr>
          <w:b w:val="0"/>
          <w:bCs w:val="0"/>
        </w:rPr>
      </w:r>
      <w:r>
        <w:rPr/>
        <w:t>（</w:t>
      </w:r>
      <w:r>
        <w:rPr>
          <w:rFonts w:ascii="Times New Roman" w:hAnsi="Times New Roman" w:cs="Times New Roman" w:eastAsia="Times New Roman" w:hint="default"/>
        </w:rPr>
        <w:t>2</w:t>
      </w:r>
      <w:r>
        <w:rPr/>
        <w:t>）支付的其他与经营活动有关的现金</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054"/>
        <w:gridCol w:w="2326"/>
        <w:gridCol w:w="3190"/>
      </w:tblGrid>
      <w:tr>
        <w:trPr>
          <w:trHeight w:val="401" w:hRule="exact"/>
        </w:trPr>
        <w:tc>
          <w:tcPr>
            <w:tcW w:w="405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07"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4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支付的期间费用</w:t>
            </w:r>
          </w:p>
        </w:tc>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211,701,460.52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130,227,382.14</w:t>
            </w:r>
            <w:r>
              <w:rPr>
                <w:rFonts w:ascii="Times New Roman"/>
                <w:sz w:val="18"/>
              </w:rPr>
            </w:r>
          </w:p>
        </w:tc>
      </w:tr>
      <w:tr>
        <w:trPr>
          <w:trHeight w:val="401" w:hRule="exact"/>
        </w:trPr>
        <w:tc>
          <w:tcPr>
            <w:tcW w:w="4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支付保证金、质保金、押金及其他往来款等</w:t>
            </w:r>
          </w:p>
        </w:tc>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66,835,172.15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34,094,937.90</w:t>
            </w:r>
          </w:p>
        </w:tc>
      </w:tr>
      <w:tr>
        <w:trPr>
          <w:trHeight w:val="403" w:hRule="exact"/>
        </w:trPr>
        <w:tc>
          <w:tcPr>
            <w:tcW w:w="405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278,536,632.67</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164,322,320.04</w:t>
            </w:r>
            <w:r>
              <w:rPr>
                <w:rFonts w:ascii="Times New Roman"/>
                <w:sz w:val="18"/>
              </w:rPr>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支付的其他与经营活动有关的现金说明：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3）收到的其他与投资活动有关的现金" w:id="391"/>
      <w:bookmarkEnd w:id="391"/>
      <w:r>
        <w:rPr>
          <w:b w:val="0"/>
          <w:bCs w:val="0"/>
        </w:rPr>
      </w:r>
      <w:r>
        <w:rPr/>
        <w:t>（</w:t>
      </w:r>
      <w:r>
        <w:rPr>
          <w:rFonts w:ascii="Times New Roman" w:hAnsi="Times New Roman" w:cs="Times New Roman" w:eastAsia="Times New Roman" w:hint="default"/>
        </w:rPr>
        <w:t>3</w:t>
      </w:r>
      <w:r>
        <w:rPr/>
        <w:t>）收到的其他与投资活动有关的现金</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114"/>
        <w:gridCol w:w="2266"/>
        <w:gridCol w:w="3190"/>
      </w:tblGrid>
      <w:tr>
        <w:trPr>
          <w:trHeight w:val="401" w:hRule="exact"/>
        </w:trPr>
        <w:tc>
          <w:tcPr>
            <w:tcW w:w="411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67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收到业绩对赌补偿款</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7,576,919.00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非同一控制下企业合并取得子公司支付的现金净额</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2,502,154.03</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11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10,079,073.03</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收到的其他与投资活动有关的现金说明：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4）支付的其他与投资活动有关的现金" w:id="392"/>
      <w:bookmarkEnd w:id="392"/>
      <w:r>
        <w:rPr>
          <w:b w:val="0"/>
          <w:bCs w:val="0"/>
        </w:rPr>
      </w:r>
      <w:r>
        <w:rPr/>
        <w:t>（</w:t>
      </w:r>
      <w:r>
        <w:rPr>
          <w:rFonts w:ascii="Times New Roman" w:hAnsi="Times New Roman" w:cs="Times New Roman" w:eastAsia="Times New Roman" w:hint="default"/>
        </w:rPr>
        <w:t>4</w:t>
      </w:r>
      <w:r>
        <w:rPr/>
        <w:t>）支付的其他与投资活动有关的现金</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5）收到的其他与筹资活动有关的现金" w:id="393"/>
      <w:bookmarkEnd w:id="393"/>
      <w:r>
        <w:rPr>
          <w:b w:val="0"/>
          <w:bCs w:val="0"/>
        </w:rPr>
      </w:r>
      <w:r>
        <w:rPr/>
        <w:t>（</w:t>
      </w:r>
      <w:r>
        <w:rPr>
          <w:rFonts w:ascii="Times New Roman" w:hAnsi="Times New Roman" w:cs="Times New Roman" w:eastAsia="Times New Roman" w:hint="default"/>
        </w:rPr>
        <w:t>5</w:t>
      </w:r>
      <w:r>
        <w:rPr/>
        <w:t>）收到的其他与筹资活动有关的现金</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0"/>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收到应付票据保证金</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5,880,800.00</w:t>
            </w:r>
            <w:r>
              <w:rPr>
                <w:rFonts w:ascii="Times New Roman"/>
                <w:sz w:val="18"/>
              </w:rPr>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5,880,800.00</w:t>
            </w:r>
            <w:r>
              <w:rPr>
                <w:rFonts w:ascii="Times New Roman"/>
                <w:sz w:val="18"/>
              </w:rPr>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收到的其他与筹资活动有关的现金说明：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6）支付的其他与筹资活动有关的现金" w:id="394"/>
      <w:bookmarkEnd w:id="394"/>
      <w:r>
        <w:rPr>
          <w:b w:val="0"/>
          <w:bCs w:val="0"/>
        </w:rPr>
      </w:r>
      <w:r>
        <w:rPr/>
        <w:t>（</w:t>
      </w:r>
      <w:r>
        <w:rPr>
          <w:rFonts w:ascii="Times New Roman" w:hAnsi="Times New Roman" w:cs="Times New Roman" w:eastAsia="Times New Roman" w:hint="default"/>
        </w:rPr>
        <w:t>6</w:t>
      </w:r>
      <w:r>
        <w:rPr/>
        <w:t>）支付的其他与筹资活动有关的现金</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6"/>
        <w:gridCol w:w="3192"/>
        <w:gridCol w:w="3190"/>
      </w:tblGrid>
      <w:tr>
        <w:trPr>
          <w:trHeight w:val="401" w:hRule="exact"/>
        </w:trPr>
        <w:tc>
          <w:tcPr>
            <w:tcW w:w="318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回购员工股权激励款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2,731,601.12</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2,179,620.00</w:t>
            </w:r>
            <w:r>
              <w:rPr>
                <w:rFonts w:ascii="Times New Roman"/>
                <w:sz w:val="18"/>
              </w:rPr>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2,731,601.12</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2,179,620.00</w:t>
            </w:r>
            <w:r>
              <w:rPr>
                <w:rFonts w:ascii="Times New Roman"/>
                <w:sz w:val="18"/>
              </w:rPr>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支付的其他与筹资活动有关的现金说明：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79、现金流量表补充资料" w:id="395"/>
      <w:bookmarkEnd w:id="395"/>
      <w:r>
        <w:rPr>
          <w:b w:val="0"/>
          <w:bCs w:val="0"/>
        </w:rPr>
      </w:r>
      <w:r>
        <w:rPr>
          <w:rFonts w:ascii="Times New Roman" w:hAnsi="Times New Roman" w:cs="Times New Roman" w:eastAsia="Times New Roman" w:hint="default"/>
        </w:rPr>
        <w:t>79</w:t>
      </w:r>
      <w:r>
        <w:rPr/>
        <w:t>、现金流量表补充资料</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现金流量表补充资料" w:id="396"/>
      <w:bookmarkEnd w:id="396"/>
      <w:r>
        <w:rPr>
          <w:b w:val="0"/>
          <w:bCs w:val="0"/>
        </w:rPr>
      </w:r>
      <w:r>
        <w:rPr/>
        <w:t>（</w:t>
      </w:r>
      <w:r>
        <w:rPr>
          <w:rFonts w:ascii="Times New Roman" w:hAnsi="Times New Roman" w:cs="Times New Roman" w:eastAsia="Times New Roman" w:hint="default"/>
        </w:rPr>
        <w:t>1</w:t>
      </w:r>
      <w:r>
        <w:rPr/>
        <w:t>）现金流量表补充资料</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5425"/>
        <w:gridCol w:w="2096"/>
        <w:gridCol w:w="2035"/>
      </w:tblGrid>
      <w:tr>
        <w:trPr>
          <w:trHeight w:val="401" w:hRule="exact"/>
        </w:trPr>
        <w:tc>
          <w:tcPr>
            <w:tcW w:w="54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20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689"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20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652"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3" w:hRule="exact"/>
        </w:trPr>
        <w:tc>
          <w:tcPr>
            <w:tcW w:w="54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20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sz w:val="18"/>
              </w:rPr>
              <w:t>--</w:t>
            </w:r>
          </w:p>
        </w:tc>
        <w:tc>
          <w:tcPr>
            <w:tcW w:w="20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54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0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288,709,197.14</w:t>
            </w:r>
            <w:r>
              <w:rPr>
                <w:rFonts w:ascii="Times New Roman"/>
                <w:sz w:val="18"/>
              </w:rPr>
            </w:r>
          </w:p>
        </w:tc>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302,096,299.58</w:t>
            </w:r>
            <w:r>
              <w:rPr>
                <w:rFonts w:ascii="Times New Roman"/>
                <w:sz w:val="18"/>
              </w:rPr>
            </w:r>
          </w:p>
        </w:tc>
      </w:tr>
      <w:tr>
        <w:trPr>
          <w:trHeight w:val="403" w:hRule="exact"/>
        </w:trPr>
        <w:tc>
          <w:tcPr>
            <w:tcW w:w="54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20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53,531,604.93</w:t>
            </w:r>
          </w:p>
        </w:tc>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41,449,354.91</w:t>
            </w:r>
          </w:p>
        </w:tc>
      </w:tr>
      <w:tr>
        <w:trPr>
          <w:trHeight w:val="401" w:hRule="exact"/>
        </w:trPr>
        <w:tc>
          <w:tcPr>
            <w:tcW w:w="54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20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39,358,803.33</w:t>
            </w:r>
            <w:r>
              <w:rPr>
                <w:rFonts w:ascii="Times New Roman"/>
                <w:sz w:val="18"/>
              </w:rPr>
            </w:r>
          </w:p>
        </w:tc>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35,957,171.72</w:t>
            </w:r>
          </w:p>
        </w:tc>
      </w:tr>
      <w:tr>
        <w:trPr>
          <w:trHeight w:val="403" w:hRule="exact"/>
        </w:trPr>
        <w:tc>
          <w:tcPr>
            <w:tcW w:w="54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0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26,453,122.00</w:t>
            </w:r>
          </w:p>
        </w:tc>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19,017,713.56</w:t>
            </w:r>
          </w:p>
        </w:tc>
      </w:tr>
      <w:tr>
        <w:trPr>
          <w:trHeight w:val="401" w:hRule="exact"/>
        </w:trPr>
        <w:tc>
          <w:tcPr>
            <w:tcW w:w="54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20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8,815,129.42</w:t>
            </w:r>
            <w:r>
              <w:rPr>
                <w:rFonts w:ascii="Times New Roman"/>
                <w:sz w:val="18"/>
              </w:rPr>
            </w:r>
          </w:p>
        </w:tc>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7,095,149.23</w:t>
            </w:r>
            <w:r>
              <w:rPr>
                <w:rFonts w:ascii="Times New Roman"/>
                <w:sz w:val="18"/>
              </w:rPr>
            </w:r>
          </w:p>
        </w:tc>
      </w:tr>
      <w:tr>
        <w:trPr>
          <w:trHeight w:val="403" w:hRule="exact"/>
        </w:trPr>
        <w:tc>
          <w:tcPr>
            <w:tcW w:w="54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固定资产报废损失（收益以“－”号填列）</w:t>
            </w:r>
          </w:p>
        </w:tc>
        <w:tc>
          <w:tcPr>
            <w:tcW w:w="20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361,552.35</w:t>
            </w:r>
          </w:p>
        </w:tc>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1,036,457.00</w:t>
            </w:r>
            <w:r>
              <w:rPr>
                <w:rFonts w:ascii="Times New Roman"/>
                <w:sz w:val="18"/>
              </w:rPr>
            </w:r>
          </w:p>
        </w:tc>
      </w:tr>
      <w:tr>
        <w:trPr>
          <w:trHeight w:val="401" w:hRule="exact"/>
        </w:trPr>
        <w:tc>
          <w:tcPr>
            <w:tcW w:w="54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财务费用（收益以“－”号填列）</w:t>
            </w:r>
          </w:p>
        </w:tc>
        <w:tc>
          <w:tcPr>
            <w:tcW w:w="20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-4,467,087.44</w:t>
            </w:r>
            <w:r>
              <w:rPr>
                <w:rFonts w:ascii="Times New Roman"/>
                <w:sz w:val="18"/>
              </w:rPr>
            </w:r>
          </w:p>
        </w:tc>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-7,753,890.32</w:t>
            </w:r>
            <w:r>
              <w:rPr>
                <w:rFonts w:ascii="Times New Roman"/>
                <w:sz w:val="18"/>
              </w:rPr>
            </w:r>
          </w:p>
        </w:tc>
      </w:tr>
      <w:tr>
        <w:trPr>
          <w:trHeight w:val="403" w:hRule="exact"/>
        </w:trPr>
        <w:tc>
          <w:tcPr>
            <w:tcW w:w="54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投资损失（收益以“－”号填列）</w:t>
            </w:r>
          </w:p>
        </w:tc>
        <w:tc>
          <w:tcPr>
            <w:tcW w:w="20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161,979.49</w:t>
            </w:r>
          </w:p>
        </w:tc>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-73,224,503.41</w:t>
            </w:r>
          </w:p>
        </w:tc>
      </w:tr>
      <w:tr>
        <w:trPr>
          <w:trHeight w:val="401" w:hRule="exact"/>
        </w:trPr>
        <w:tc>
          <w:tcPr>
            <w:tcW w:w="54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递延所得税资产减少（增加以“－”号填列）</w:t>
            </w:r>
          </w:p>
        </w:tc>
        <w:tc>
          <w:tcPr>
            <w:tcW w:w="20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-15,180,837.36</w:t>
            </w:r>
            <w:r>
              <w:rPr>
                <w:rFonts w:ascii="Times New Roman"/>
                <w:sz w:val="18"/>
              </w:rPr>
            </w:r>
          </w:p>
        </w:tc>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691,567.64</w:t>
            </w:r>
          </w:p>
        </w:tc>
      </w:tr>
      <w:tr>
        <w:trPr>
          <w:trHeight w:val="403" w:hRule="exact"/>
        </w:trPr>
        <w:tc>
          <w:tcPr>
            <w:tcW w:w="54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递延所得税负债增加（减少以“－”号填列）</w:t>
            </w:r>
          </w:p>
        </w:tc>
        <w:tc>
          <w:tcPr>
            <w:tcW w:w="20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-181,522.50</w:t>
            </w:r>
            <w:r>
              <w:rPr>
                <w:rFonts w:ascii="Times New Roman"/>
                <w:sz w:val="18"/>
              </w:rPr>
            </w:r>
          </w:p>
        </w:tc>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-181,522.50</w:t>
            </w:r>
            <w:r>
              <w:rPr>
                <w:rFonts w:ascii="Times New Roman"/>
                <w:sz w:val="18"/>
              </w:rPr>
            </w:r>
          </w:p>
        </w:tc>
      </w:tr>
      <w:tr>
        <w:trPr>
          <w:trHeight w:val="401" w:hRule="exact"/>
        </w:trPr>
        <w:tc>
          <w:tcPr>
            <w:tcW w:w="54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存货的减少（增加以“－”号填列）</w:t>
            </w:r>
          </w:p>
        </w:tc>
        <w:tc>
          <w:tcPr>
            <w:tcW w:w="20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-79,782,441.01</w:t>
            </w:r>
          </w:p>
        </w:tc>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-16,395,413.12</w:t>
            </w:r>
          </w:p>
        </w:tc>
      </w:tr>
      <w:tr>
        <w:trPr>
          <w:trHeight w:val="403" w:hRule="exact"/>
        </w:trPr>
        <w:tc>
          <w:tcPr>
            <w:tcW w:w="54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经营性应收项目的减少（增加以“－”号填列）</w:t>
            </w:r>
          </w:p>
        </w:tc>
        <w:tc>
          <w:tcPr>
            <w:tcW w:w="20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-224,857,848.37</w:t>
            </w:r>
            <w:r>
              <w:rPr>
                <w:rFonts w:ascii="Times New Roman"/>
                <w:sz w:val="18"/>
              </w:rPr>
            </w:r>
          </w:p>
        </w:tc>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-488,890,129.80</w:t>
            </w:r>
            <w:r>
              <w:rPr>
                <w:rFonts w:ascii="Times New Roman"/>
                <w:sz w:val="18"/>
              </w:rPr>
            </w:r>
          </w:p>
        </w:tc>
      </w:tr>
      <w:tr>
        <w:trPr>
          <w:trHeight w:val="401" w:hRule="exact"/>
        </w:trPr>
        <w:tc>
          <w:tcPr>
            <w:tcW w:w="54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经营性应付项目的增加（减少以“－”号填列）</w:t>
            </w:r>
          </w:p>
        </w:tc>
        <w:tc>
          <w:tcPr>
            <w:tcW w:w="20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274,175,864.00</w:t>
            </w:r>
            <w:r>
              <w:rPr>
                <w:rFonts w:ascii="Times New Roman"/>
                <w:sz w:val="18"/>
              </w:rPr>
            </w:r>
          </w:p>
        </w:tc>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239,106,378.46</w:t>
            </w:r>
            <w:r>
              <w:rPr>
                <w:rFonts w:ascii="Times New Roman"/>
                <w:sz w:val="18"/>
              </w:rPr>
            </w:r>
          </w:p>
        </w:tc>
      </w:tr>
      <w:tr>
        <w:trPr>
          <w:trHeight w:val="403" w:hRule="exact"/>
        </w:trPr>
        <w:tc>
          <w:tcPr>
            <w:tcW w:w="54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0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29,038,402.54</w:t>
            </w:r>
          </w:p>
        </w:tc>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11,844,621.72</w:t>
            </w:r>
            <w:r>
              <w:rPr>
                <w:rFonts w:ascii="Times New Roman"/>
                <w:sz w:val="18"/>
              </w:rPr>
            </w:r>
          </w:p>
        </w:tc>
      </w:tr>
      <w:tr>
        <w:trPr>
          <w:trHeight w:val="401" w:hRule="exact"/>
        </w:trPr>
        <w:tc>
          <w:tcPr>
            <w:tcW w:w="54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0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396,135,918.52</w:t>
            </w:r>
            <w:r>
              <w:rPr>
                <w:rFonts w:ascii="Times New Roman"/>
                <w:sz w:val="18"/>
              </w:rPr>
            </w:r>
          </w:p>
        </w:tc>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71,849,254.67</w:t>
            </w:r>
          </w:p>
        </w:tc>
      </w:tr>
      <w:tr>
        <w:trPr>
          <w:trHeight w:val="403" w:hRule="exact"/>
        </w:trPr>
        <w:tc>
          <w:tcPr>
            <w:tcW w:w="54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tc>
        <w:tc>
          <w:tcPr>
            <w:tcW w:w="20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sz w:val="18"/>
              </w:rPr>
              <w:t>--</w:t>
            </w:r>
          </w:p>
        </w:tc>
        <w:tc>
          <w:tcPr>
            <w:tcW w:w="20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54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20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sz w:val="18"/>
              </w:rPr>
              <w:t>--</w:t>
            </w:r>
          </w:p>
        </w:tc>
        <w:tc>
          <w:tcPr>
            <w:tcW w:w="20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54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20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795,337,757.62</w:t>
            </w:r>
            <w:r>
              <w:rPr>
                <w:rFonts w:ascii="Times New Roman"/>
                <w:sz w:val="18"/>
              </w:rPr>
            </w:r>
          </w:p>
        </w:tc>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277,134,433.78</w:t>
            </w:r>
            <w:r>
              <w:rPr>
                <w:rFonts w:ascii="Times New Roman"/>
                <w:sz w:val="18"/>
              </w:rPr>
            </w:r>
          </w:p>
        </w:tc>
      </w:tr>
      <w:tr>
        <w:trPr>
          <w:trHeight w:val="401" w:hRule="exact"/>
        </w:trPr>
        <w:tc>
          <w:tcPr>
            <w:tcW w:w="54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20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277,134,433.78</w:t>
            </w:r>
            <w:r>
              <w:rPr>
                <w:rFonts w:ascii="Times New Roman"/>
                <w:sz w:val="18"/>
              </w:rPr>
            </w:r>
          </w:p>
        </w:tc>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254,005,741.92</w:t>
            </w:r>
            <w:r>
              <w:rPr>
                <w:rFonts w:ascii="Times New Roman"/>
                <w:sz w:val="18"/>
              </w:rPr>
            </w:r>
          </w:p>
        </w:tc>
      </w:tr>
      <w:tr>
        <w:trPr>
          <w:trHeight w:val="403" w:hRule="exact"/>
        </w:trPr>
        <w:tc>
          <w:tcPr>
            <w:tcW w:w="54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0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518,203,323.84</w:t>
            </w:r>
            <w:r>
              <w:rPr>
                <w:rFonts w:ascii="Times New Roman"/>
                <w:sz w:val="18"/>
              </w:rPr>
            </w:r>
          </w:p>
        </w:tc>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23,128,691.86</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2）本期支付的取得子公司的现金净额" w:id="397"/>
      <w:bookmarkEnd w:id="397"/>
      <w:r>
        <w:rPr>
          <w:b w:val="0"/>
          <w:bCs w:val="0"/>
        </w:rPr>
      </w:r>
      <w:r>
        <w:rPr/>
        <w:t>（</w:t>
      </w:r>
      <w:r>
        <w:rPr>
          <w:rFonts w:ascii="Times New Roman" w:hAnsi="Times New Roman" w:cs="Times New Roman" w:eastAsia="Times New Roman" w:hint="default"/>
        </w:rPr>
        <w:t>2</w:t>
      </w:r>
      <w:r>
        <w:rPr/>
        <w:t>）本期支付的取得子公司的现金净额</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p>
      <w:pPr>
        <w:spacing w:line="422" w:lineRule="exact"/>
        <w:ind w:left="148"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95pt;height:21.15pt;mso-position-horizontal-relative:char;mso-position-vertical-relative:line" coordorigin="0,0" coordsize="9579,423">
            <v:group style="position:absolute;left:23;top:14;width:2;height:392" coordorigin="23,14" coordsize="2,392">
              <v:shape style="position:absolute;left:23;top:14;width:2;height:392" coordorigin="23,14" coordsize="0,392" path="m23,14l23,406e" filled="false" stroked="true" strokeweight="1.08pt" strokecolor="#d4d4d4">
                <v:path arrowok="t"/>
              </v:shape>
            </v:group>
            <v:group style="position:absolute;left:4978;top:14;width:2;height:392" coordorigin="4978,14" coordsize="2,392">
              <v:shape style="position:absolute;left:4978;top:14;width:2;height:392" coordorigin="4978,14" coordsize="0,392" path="m4978,14l4978,406e" filled="false" stroked="true" strokeweight="1.2pt" strokecolor="#d4d4d4">
                <v:path arrowok="t"/>
              </v:shape>
            </v:group>
            <v:group style="position:absolute;left:34;top:14;width:4932;height:392" coordorigin="34,14" coordsize="4932,392">
              <v:shape style="position:absolute;left:34;top:14;width:4932;height:392" coordorigin="34,14" coordsize="4932,392" path="m34,406l4966,406,4966,14,34,14,34,406xe" filled="true" fillcolor="#d4d4d4" stroked="false">
                <v:path arrowok="t"/>
                <v:fill type="solid"/>
              </v:shape>
            </v:group>
            <v:group style="position:absolute;left:5010;top:14;width:2;height:392" coordorigin="5010,14" coordsize="2,392">
              <v:shape style="position:absolute;left:5010;top:14;width:2;height:392" coordorigin="5010,14" coordsize="0,392" path="m5010,14l5010,406e" filled="false" stroked="true" strokeweight="1.08pt" strokecolor="#d4d4d4">
                <v:path arrowok="t"/>
              </v:shape>
            </v:group>
            <v:group style="position:absolute;left:9557;top:14;width:2;height:392" coordorigin="9557,14" coordsize="2,392">
              <v:shape style="position:absolute;left:9557;top:14;width:2;height:392" coordorigin="9557,14" coordsize="0,392" path="m9557,14l9557,406e" filled="false" stroked="true" strokeweight="1.2pt" strokecolor="#d4d4d4">
                <v:path arrowok="t"/>
              </v:shape>
            </v:group>
            <v:group style="position:absolute;left:5021;top:14;width:4524;height:392" coordorigin="5021,14" coordsize="4524,392">
              <v:shape style="position:absolute;left:5021;top:14;width:4524;height:392" coordorigin="5021,14" coordsize="4524,392" path="m5021,406l9545,406,9545,14,5021,14,5021,406xe" filled="true" fillcolor="#d4d4d4" stroked="false">
                <v:path arrowok="t"/>
                <v:fill type="solid"/>
              </v:shape>
            </v:group>
            <v:group style="position:absolute;left:10;top:10;width:4978;height:2" coordorigin="10,10" coordsize="4978,2">
              <v:shape style="position:absolute;left:10;top:10;width:4978;height:2" coordorigin="10,10" coordsize="4978,0" path="m10,10l4987,10e" filled="false" stroked="true" strokeweight=".48pt" strokecolor="#000000">
                <v:path arrowok="t"/>
              </v:shape>
            </v:group>
            <v:group style="position:absolute;left:4997;top:10;width:4572;height:2" coordorigin="4997,10" coordsize="4572,2">
              <v:shape style="position:absolute;left:4997;top:10;width:4572;height:2" coordorigin="4997,10" coordsize="4572,0" path="m4997,10l9569,10e" filled="false" stroked="true" strokeweight=".48pt" strokecolor="#000000">
                <v:path arrowok="t"/>
              </v:shape>
            </v:group>
            <v:group style="position:absolute;left:5;top:5;width:2;height:413" coordorigin="5,5" coordsize="2,413">
              <v:shape style="position:absolute;left:5;top:5;width:2;height:413" coordorigin="5,5" coordsize="0,413" path="m5,5l5,418e" filled="false" stroked="true" strokeweight=".48pt" strokecolor="#000000">
                <v:path arrowok="t"/>
              </v:shape>
            </v:group>
            <v:group style="position:absolute;left:10;top:413;width:4978;height:2" coordorigin="10,413" coordsize="4978,2">
              <v:shape style="position:absolute;left:10;top:413;width:4978;height:2" coordorigin="10,413" coordsize="4978,0" path="m10,413l4987,413e" filled="false" stroked="true" strokeweight=".48pt" strokecolor="#000000">
                <v:path arrowok="t"/>
              </v:shape>
            </v:group>
            <v:group style="position:absolute;left:4992;top:5;width:2;height:413" coordorigin="4992,5" coordsize="2,413">
              <v:shape style="position:absolute;left:4992;top:5;width:2;height:413" coordorigin="4992,5" coordsize="0,413" path="m4992,5l4992,418e" filled="false" stroked="true" strokeweight=".481pt" strokecolor="#000000">
                <v:path arrowok="t"/>
              </v:shape>
            </v:group>
            <v:group style="position:absolute;left:4997;top:413;width:4572;height:2" coordorigin="4997,413" coordsize="4572,2">
              <v:shape style="position:absolute;left:4997;top:413;width:4572;height:2" coordorigin="4997,413" coordsize="4572,0" path="m4997,413l9569,413e" filled="false" stroked="true" strokeweight=".48pt" strokecolor="#000000">
                <v:path arrowok="t"/>
              </v:shape>
            </v:group>
            <v:group style="position:absolute;left:9574;top:5;width:2;height:413" coordorigin="9574,5" coordsize="2,413">
              <v:shape style="position:absolute;left:9574;top:5;width:2;height:413" coordorigin="9574,5" coordsize="0,413" path="m9574,5l9574,418e" filled="false" stroked="true" strokeweight=".48pt" strokecolor="#000000">
                <v:path arrowok="t"/>
              </v:shape>
              <v:shape style="position:absolute;left:7102;top:11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group>
          </v:group>
        </w:pict>
      </w:r>
      <w:r>
        <w:rPr>
          <w:rFonts w:ascii="宋体" w:hAnsi="宋体" w:cs="宋体" w:eastAsia="宋体" w:hint="default"/>
          <w:position w:val="-7"/>
          <w:sz w:val="20"/>
          <w:szCs w:val="20"/>
        </w:rPr>
      </w:r>
    </w:p>
    <w:p>
      <w:pPr>
        <w:spacing w:after="0" w:line="422" w:lineRule="exact"/>
        <w:rPr>
          <w:rFonts w:ascii="宋体" w:hAnsi="宋体" w:cs="宋体" w:eastAsia="宋体" w:hint="default"/>
          <w:sz w:val="20"/>
          <w:szCs w:val="20"/>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4987"/>
        <w:gridCol w:w="4582"/>
      </w:tblGrid>
      <w:tr>
        <w:trPr>
          <w:trHeight w:val="402" w:hRule="exact"/>
        </w:trPr>
        <w:tc>
          <w:tcPr>
            <w:tcW w:w="49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期发生的企业合并于本期支付的现金或现金等价物</w:t>
            </w:r>
          </w:p>
        </w:tc>
        <w:tc>
          <w:tcPr>
            <w:tcW w:w="4582"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49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2"/>
              <w:ind w:left="2224" w:right="0"/>
              <w:jc w:val="left"/>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4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中检美亚（北京）科技有限公司</w:t>
            </w:r>
          </w:p>
        </w:tc>
        <w:tc>
          <w:tcPr>
            <w:tcW w:w="458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9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减：购买日子公司持有的现金及现金等价物</w:t>
            </w:r>
          </w:p>
        </w:tc>
        <w:tc>
          <w:tcPr>
            <w:tcW w:w="458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2,502,154.03</w:t>
            </w:r>
            <w:r>
              <w:rPr>
                <w:rFonts w:ascii="Times New Roman"/>
                <w:sz w:val="18"/>
              </w:rPr>
            </w:r>
          </w:p>
        </w:tc>
      </w:tr>
      <w:tr>
        <w:trPr>
          <w:trHeight w:val="401" w:hRule="exact"/>
        </w:trPr>
        <w:tc>
          <w:tcPr>
            <w:tcW w:w="49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224" w:right="0"/>
              <w:jc w:val="left"/>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4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中检美亚（北京）科技有限公司</w:t>
            </w:r>
          </w:p>
        </w:tc>
        <w:tc>
          <w:tcPr>
            <w:tcW w:w="4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2,502,154.03</w:t>
            </w:r>
            <w:r>
              <w:rPr>
                <w:rFonts w:ascii="Times New Roman"/>
                <w:sz w:val="18"/>
              </w:rPr>
            </w:r>
          </w:p>
        </w:tc>
      </w:tr>
      <w:tr>
        <w:trPr>
          <w:trHeight w:val="402" w:hRule="exact"/>
        </w:trPr>
        <w:tc>
          <w:tcPr>
            <w:tcW w:w="49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224" w:right="0"/>
              <w:jc w:val="left"/>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取得子公司支付的现金净额</w:t>
            </w:r>
          </w:p>
        </w:tc>
        <w:tc>
          <w:tcPr>
            <w:tcW w:w="4582"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-2,502,154.03</w:t>
            </w:r>
            <w:r>
              <w:rPr>
                <w:rFonts w:ascii="Times New Roman"/>
                <w:sz w:val="18"/>
              </w:rPr>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3）本期收到的处置子公司的现金净额" w:id="398"/>
      <w:bookmarkEnd w:id="398"/>
      <w:r>
        <w:rPr>
          <w:b w:val="0"/>
          <w:bCs w:val="0"/>
        </w:rPr>
      </w:r>
      <w:r>
        <w:rPr/>
        <w:t>（</w:t>
      </w:r>
      <w:r>
        <w:rPr>
          <w:rFonts w:ascii="Times New Roman" w:hAnsi="Times New Roman" w:cs="Times New Roman" w:eastAsia="Times New Roman" w:hint="default"/>
        </w:rPr>
        <w:t>3</w:t>
      </w:r>
      <w:r>
        <w:rPr/>
        <w:t>）本期收到的处置子公司的现金净额</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4）现金和现金等价物的构成" w:id="399"/>
      <w:bookmarkEnd w:id="399"/>
      <w:r>
        <w:rPr>
          <w:b w:val="0"/>
          <w:bCs w:val="0"/>
        </w:rPr>
      </w:r>
      <w:r>
        <w:rPr/>
        <w:t>（</w:t>
      </w:r>
      <w:r>
        <w:rPr>
          <w:rFonts w:ascii="Times New Roman" w:hAnsi="Times New Roman" w:cs="Times New Roman" w:eastAsia="Times New Roman" w:hint="default"/>
        </w:rPr>
        <w:t>4</w:t>
      </w:r>
      <w:r>
        <w:rPr/>
        <w:t>）现金和现金等价物的构成</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4"/>
        <w:gridCol w:w="3068"/>
        <w:gridCol w:w="3185"/>
      </w:tblGrid>
      <w:tr>
        <w:trPr>
          <w:trHeight w:val="401" w:hRule="exact"/>
        </w:trPr>
        <w:tc>
          <w:tcPr>
            <w:tcW w:w="33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3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6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795,337,757.62</w:t>
            </w:r>
            <w:r>
              <w:rPr>
                <w:rFonts w:ascii="Times New Roman"/>
                <w:sz w:val="18"/>
              </w:rPr>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277,134,433.78</w:t>
            </w:r>
            <w:r>
              <w:rPr>
                <w:rFonts w:ascii="Times New Roman"/>
                <w:sz w:val="18"/>
              </w:rPr>
            </w:r>
          </w:p>
        </w:tc>
      </w:tr>
      <w:tr>
        <w:trPr>
          <w:trHeight w:val="401" w:hRule="exact"/>
        </w:trPr>
        <w:tc>
          <w:tcPr>
            <w:tcW w:w="33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6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33,513.05</w:t>
            </w:r>
            <w:r>
              <w:rPr>
                <w:rFonts w:ascii="Times New Roman"/>
                <w:sz w:val="18"/>
              </w:rPr>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24,996.08</w:t>
            </w:r>
          </w:p>
        </w:tc>
      </w:tr>
      <w:tr>
        <w:trPr>
          <w:trHeight w:val="403" w:hRule="exact"/>
        </w:trPr>
        <w:tc>
          <w:tcPr>
            <w:tcW w:w="33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306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793,601,783.11</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276,982,409.37</w:t>
            </w:r>
            <w:r>
              <w:rPr>
                <w:rFonts w:ascii="Times New Roman"/>
                <w:sz w:val="18"/>
              </w:rPr>
            </w:r>
          </w:p>
        </w:tc>
      </w:tr>
      <w:tr>
        <w:trPr>
          <w:trHeight w:val="401" w:hRule="exact"/>
        </w:trPr>
        <w:tc>
          <w:tcPr>
            <w:tcW w:w="33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306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1,702,461.46</w:t>
            </w:r>
            <w:r>
              <w:rPr>
                <w:rFonts w:ascii="Times New Roman"/>
                <w:sz w:val="18"/>
              </w:rPr>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127,028.33</w:t>
            </w:r>
          </w:p>
        </w:tc>
      </w:tr>
      <w:tr>
        <w:trPr>
          <w:trHeight w:val="403" w:hRule="exact"/>
        </w:trPr>
        <w:tc>
          <w:tcPr>
            <w:tcW w:w="33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二、现金等价物</w:t>
            </w:r>
          </w:p>
        </w:tc>
        <w:tc>
          <w:tcPr>
            <w:tcW w:w="3068" w:type="dxa"/>
            <w:tcBorders>
              <w:top w:val="single" w:sz="4" w:space="0" w:color="000000"/>
              <w:left w:val="single" w:sz="10" w:space="0" w:color="D4D4D4"/>
              <w:bottom w:val="single" w:sz="4" w:space="0" w:color="000000"/>
              <w:right w:val="single" w:sz="4" w:space="0" w:color="000000"/>
            </w:tcBorders>
          </w:tcPr>
          <w:p>
            <w:pP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其中：三个月内到期的债券投资</w:t>
            </w:r>
          </w:p>
        </w:tc>
        <w:tc>
          <w:tcPr>
            <w:tcW w:w="3068" w:type="dxa"/>
            <w:tcBorders>
              <w:top w:val="single" w:sz="4" w:space="0" w:color="000000"/>
              <w:left w:val="single" w:sz="10" w:space="0" w:color="D4D4D4"/>
              <w:bottom w:val="single" w:sz="4" w:space="0" w:color="000000"/>
              <w:right w:val="single" w:sz="4" w:space="0" w:color="000000"/>
            </w:tcBorders>
          </w:tcPr>
          <w:p>
            <w:pP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306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795,337,757.62</w:t>
            </w:r>
            <w:r>
              <w:rPr>
                <w:rFonts w:ascii="Times New Roman"/>
                <w:sz w:val="18"/>
              </w:rPr>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277,134,433.78</w:t>
            </w:r>
            <w:r>
              <w:rPr>
                <w:rFonts w:ascii="Times New Roman"/>
                <w:sz w:val="18"/>
              </w:rPr>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80、所有者权益变动表项目注释" w:id="400"/>
      <w:bookmarkEnd w:id="400"/>
      <w:r>
        <w:rPr>
          <w:b w:val="0"/>
          <w:bCs w:val="0"/>
        </w:rPr>
      </w:r>
      <w:r>
        <w:rPr>
          <w:rFonts w:ascii="Times New Roman" w:hAnsi="Times New Roman" w:cs="Times New Roman" w:eastAsia="Times New Roman" w:hint="default"/>
        </w:rPr>
        <w:t>80</w:t>
      </w:r>
      <w:r>
        <w:rPr/>
        <w:t>、所有者权益变动表项目注释</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说明对上年期末余额进行调整的“其他”项目名称及调整金额等事项：</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81、所有权或使用权受到限制的资产" w:id="401"/>
      <w:bookmarkEnd w:id="401"/>
      <w:r>
        <w:rPr>
          <w:b w:val="0"/>
          <w:bCs w:val="0"/>
        </w:rPr>
      </w:r>
      <w:r>
        <w:rPr>
          <w:rFonts w:ascii="Times New Roman" w:hAnsi="Times New Roman" w:cs="Times New Roman" w:eastAsia="Times New Roman" w:hint="default"/>
        </w:rPr>
        <w:t>81</w:t>
      </w:r>
      <w:r>
        <w:rPr/>
        <w:t>、所有权或使用权受到限制的资产</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4"/>
        <w:gridCol w:w="3068"/>
        <w:gridCol w:w="3185"/>
      </w:tblGrid>
      <w:tr>
        <w:trPr>
          <w:trHeight w:val="403" w:hRule="exact"/>
        </w:trPr>
        <w:tc>
          <w:tcPr>
            <w:tcW w:w="33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94"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401" w:hRule="exact"/>
        </w:trPr>
        <w:tc>
          <w:tcPr>
            <w:tcW w:w="33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68"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29,358,262.74</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保函保证金及质押的定期存单</w:t>
            </w:r>
          </w:p>
        </w:tc>
      </w:tr>
      <w:tr>
        <w:trPr>
          <w:trHeight w:val="403" w:hRule="exact"/>
        </w:trPr>
        <w:tc>
          <w:tcPr>
            <w:tcW w:w="33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68" w:type="dxa"/>
            <w:tcBorders>
              <w:top w:val="single" w:sz="4" w:space="0" w:color="000000"/>
              <w:left w:val="single" w:sz="10" w:space="0" w:color="D4D4D4"/>
              <w:bottom w:val="single" w:sz="4" w:space="0" w:color="000000"/>
              <w:right w:val="single" w:sz="13" w:space="0" w:color="D4D4D4"/>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pacing w:val="-1"/>
                <w:sz w:val="18"/>
              </w:rPr>
              <w:t>29,358,262.74</w:t>
            </w:r>
          </w:p>
        </w:tc>
        <w:tc>
          <w:tcPr>
            <w:tcW w:w="318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82、外币货币性项目" w:id="402"/>
      <w:bookmarkEnd w:id="402"/>
      <w:r>
        <w:rPr>
          <w:b w:val="0"/>
          <w:bCs w:val="0"/>
        </w:rPr>
      </w:r>
      <w:r>
        <w:rPr>
          <w:rFonts w:ascii="Times New Roman" w:hAnsi="Times New Roman" w:cs="Times New Roman" w:eastAsia="Times New Roman" w:hint="default"/>
        </w:rPr>
        <w:t>82</w:t>
      </w:r>
      <w:r>
        <w:rPr/>
        <w:t>、外币货币性项目</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外币货币性项目" w:id="403"/>
      <w:bookmarkEnd w:id="403"/>
      <w:r>
        <w:rPr>
          <w:b w:val="0"/>
          <w:bCs w:val="0"/>
        </w:rPr>
      </w:r>
      <w:r>
        <w:rPr/>
        <w:t>（</w:t>
      </w:r>
      <w:r>
        <w:rPr>
          <w:rFonts w:ascii="Times New Roman" w:hAnsi="Times New Roman" w:cs="Times New Roman" w:eastAsia="Times New Roman" w:hint="default"/>
        </w:rPr>
        <w:t>1</w:t>
      </w:r>
      <w:r>
        <w:rPr/>
        <w:t>）外币货币性项目</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496"/>
        <w:gridCol w:w="2292"/>
        <w:gridCol w:w="2390"/>
        <w:gridCol w:w="2390"/>
      </w:tblGrid>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602"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23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3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79"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2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23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90" w:type="dxa"/>
            <w:tcBorders>
              <w:top w:val="single" w:sz="4" w:space="0" w:color="000000"/>
              <w:left w:val="single" w:sz="12" w:space="0" w:color="D4D4D4"/>
              <w:bottom w:val="single" w:sz="4" w:space="0" w:color="000000"/>
              <w:right w:val="single" w:sz="4" w:space="0" w:color="000000"/>
            </w:tcBorders>
          </w:tcPr>
          <w:p>
            <w:pPr/>
          </w:p>
        </w:tc>
      </w:tr>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1,468,553.07</w:t>
            </w:r>
            <w:r>
              <w:rPr>
                <w:rFonts w:ascii="Times New Roman"/>
                <w:sz w:val="18"/>
              </w:rPr>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6.9762</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10,244,919.93</w:t>
            </w: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64"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92" w:type="dxa"/>
            <w:tcBorders>
              <w:top w:val="single" w:sz="4" w:space="0" w:color="000000"/>
              <w:left w:val="single" w:sz="13" w:space="0" w:color="D4D4D4"/>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64"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1,354,977.97</w:t>
            </w:r>
            <w:r>
              <w:rPr>
                <w:rFonts w:ascii="Times New Roman"/>
                <w:sz w:val="18"/>
              </w:rPr>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0.8958</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1,213,789.27</w:t>
            </w:r>
            <w:r>
              <w:rPr>
                <w:rFonts w:ascii="Times New Roman"/>
                <w:sz w:val="18"/>
              </w:rPr>
            </w: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tcPr>
          <w:p>
            <w:pPr/>
          </w:p>
        </w:tc>
        <w:tc>
          <w:tcPr>
            <w:tcW w:w="2292"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2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23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90" w:type="dxa"/>
            <w:tcBorders>
              <w:top w:val="single" w:sz="4" w:space="0" w:color="000000"/>
              <w:left w:val="single" w:sz="12" w:space="0" w:color="D4D4D4"/>
              <w:bottom w:val="single" w:sz="4" w:space="0" w:color="000000"/>
              <w:right w:val="single" w:sz="4" w:space="0" w:color="000000"/>
            </w:tcBorders>
          </w:tcPr>
          <w:p>
            <w:pP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8,000.00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6.9762</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55,809.60</w:t>
            </w:r>
          </w:p>
        </w:tc>
      </w:tr>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64"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92" w:type="dxa"/>
            <w:tcBorders>
              <w:top w:val="single" w:sz="4" w:space="0" w:color="000000"/>
              <w:left w:val="single" w:sz="13" w:space="0" w:color="D4D4D4"/>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64"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2" w:type="dxa"/>
            <w:tcBorders>
              <w:top w:val="single" w:sz="4" w:space="0" w:color="000000"/>
              <w:left w:val="single" w:sz="13" w:space="0" w:color="D4D4D4"/>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496" w:type="dxa"/>
            <w:tcBorders>
              <w:top w:val="single" w:sz="4" w:space="0" w:color="000000"/>
              <w:left w:val="single" w:sz="4" w:space="0" w:color="000000"/>
              <w:bottom w:val="single" w:sz="4" w:space="0" w:color="000000"/>
              <w:right w:val="single" w:sz="4" w:space="0" w:color="000000"/>
            </w:tcBorders>
          </w:tcPr>
          <w:p>
            <w:pPr/>
          </w:p>
        </w:tc>
        <w:tc>
          <w:tcPr>
            <w:tcW w:w="2292"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2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23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90" w:type="dxa"/>
            <w:tcBorders>
              <w:top w:val="single" w:sz="4" w:space="0" w:color="000000"/>
              <w:left w:val="single" w:sz="12" w:space="0" w:color="D4D4D4"/>
              <w:bottom w:val="single" w:sz="4" w:space="0" w:color="000000"/>
              <w:right w:val="single" w:sz="4" w:space="0" w:color="000000"/>
            </w:tcBorders>
          </w:tcPr>
          <w:p>
            <w:pPr/>
          </w:p>
        </w:tc>
      </w:tr>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2" w:type="dxa"/>
            <w:tcBorders>
              <w:top w:val="single" w:sz="4" w:space="0" w:color="000000"/>
              <w:left w:val="single" w:sz="13" w:space="0" w:color="D4D4D4"/>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64"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92" w:type="dxa"/>
            <w:tcBorders>
              <w:top w:val="single" w:sz="4" w:space="0" w:color="000000"/>
              <w:left w:val="single" w:sz="13" w:space="0" w:color="D4D4D4"/>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64"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2" w:type="dxa"/>
            <w:tcBorders>
              <w:top w:val="single" w:sz="4" w:space="0" w:color="000000"/>
              <w:left w:val="single" w:sz="13" w:space="0" w:color="D4D4D4"/>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292"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29,484.71</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6.9762</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205,691.24</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59" w:lineRule="auto" w:before="120"/>
        <w:ind w:right="986"/>
        <w:jc w:val="left"/>
        <w:rPr>
          <w:b w:val="0"/>
          <w:bCs w:val="0"/>
        </w:rPr>
      </w:pPr>
      <w:bookmarkStart w:name="（2）境外经营实体说明，包括对于重要的境外经营实体，应披露其境外主要经营地、记账" w:id="404"/>
      <w:bookmarkEnd w:id="404"/>
      <w:r>
        <w:rPr>
          <w:b w:val="0"/>
          <w:bCs w:val="0"/>
        </w:rPr>
      </w:r>
      <w:r>
        <w:rPr/>
        <w:t>（</w:t>
      </w:r>
      <w:r>
        <w:rPr>
          <w:rFonts w:ascii="Times New Roman" w:hAnsi="Times New Roman" w:cs="Times New Roman" w:eastAsia="Times New Roman" w:hint="default"/>
        </w:rPr>
        <w:t>2</w:t>
      </w:r>
      <w:r>
        <w:rPr/>
        <w:t>）境外经营实体说明，包括对于重要的境外经营实体，应披露其境外主要经营地、记账本位币及选择</w:t>
      </w:r>
      <w:r>
        <w:rPr>
          <w:spacing w:val="-65"/>
        </w:rPr>
        <w:t> </w:t>
      </w:r>
      <w:r>
        <w:rPr>
          <w:spacing w:val="-65"/>
        </w:rPr>
      </w:r>
      <w:r>
        <w:rPr/>
        <w:t>依据，记账本位币发生变化的还应披露原因。</w:t>
      </w:r>
      <w:r>
        <w:rPr>
          <w:b w:val="0"/>
          <w:bCs w:val="0"/>
        </w:rPr>
      </w:r>
    </w:p>
    <w:p>
      <w:pPr>
        <w:spacing w:line="240" w:lineRule="auto" w:before="0"/>
        <w:rPr>
          <w:rFonts w:ascii="宋体" w:hAnsi="宋体" w:cs="宋体" w:eastAsia="宋体" w:hint="default"/>
          <w:b/>
          <w:bCs/>
          <w:sz w:val="20"/>
          <w:szCs w:val="20"/>
        </w:rPr>
      </w:pPr>
    </w:p>
    <w:p>
      <w:pPr>
        <w:spacing w:before="158"/>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19"/>
          <w:szCs w:val="19"/>
        </w:rPr>
      </w:pPr>
    </w:p>
    <w:p>
      <w:pPr>
        <w:pStyle w:val="BodyText"/>
        <w:spacing w:line="240" w:lineRule="auto" w:before="0"/>
        <w:ind w:left="572" w:right="986"/>
        <w:jc w:val="left"/>
      </w:pPr>
      <w:r>
        <w:rPr/>
        <w:t>本公司子公司香港鼎永以香港为主要经营地，其采用人民币为记账本位币。</w:t>
      </w:r>
    </w:p>
    <w:p>
      <w:pPr>
        <w:spacing w:line="240" w:lineRule="auto" w:before="0"/>
        <w:rPr>
          <w:rFonts w:ascii="宋体" w:hAnsi="宋体" w:cs="宋体" w:eastAsia="宋体" w:hint="default"/>
          <w:sz w:val="20"/>
          <w:szCs w:val="20"/>
        </w:rPr>
      </w:pPr>
    </w:p>
    <w:p>
      <w:pPr>
        <w:pStyle w:val="Heading4"/>
        <w:spacing w:line="240" w:lineRule="auto" w:before="154"/>
        <w:ind w:right="986"/>
        <w:jc w:val="left"/>
        <w:rPr>
          <w:b w:val="0"/>
          <w:bCs w:val="0"/>
        </w:rPr>
      </w:pPr>
      <w:bookmarkStart w:name="83、套期" w:id="405"/>
      <w:bookmarkEnd w:id="405"/>
      <w:r>
        <w:rPr>
          <w:b w:val="0"/>
          <w:bCs w:val="0"/>
        </w:rPr>
      </w:r>
      <w:r>
        <w:rPr>
          <w:rFonts w:ascii="Times New Roman" w:hAnsi="Times New Roman" w:cs="Times New Roman" w:eastAsia="Times New Roman" w:hint="default"/>
        </w:rPr>
        <w:t>83</w:t>
      </w:r>
      <w:r>
        <w:rPr/>
        <w:t>、套期</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按照套期类别披露套期项目及相关套期工具、被套期风险的定性和定量信息：</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84、政府补助" w:id="406"/>
      <w:bookmarkEnd w:id="406"/>
      <w:r>
        <w:rPr>
          <w:b w:val="0"/>
          <w:bCs w:val="0"/>
        </w:rPr>
      </w:r>
      <w:r>
        <w:rPr>
          <w:rFonts w:ascii="Times New Roman" w:hAnsi="Times New Roman" w:cs="Times New Roman" w:eastAsia="Times New Roman" w:hint="default"/>
        </w:rPr>
        <w:t>84</w:t>
      </w:r>
      <w:r>
        <w:rPr/>
        <w:t>、政府补助</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政府补助基本情况" w:id="407"/>
      <w:bookmarkEnd w:id="407"/>
      <w:r>
        <w:rPr>
          <w:b w:val="0"/>
          <w:bCs w:val="0"/>
        </w:rPr>
      </w:r>
      <w:r>
        <w:rPr/>
        <w:t>（</w:t>
      </w:r>
      <w:r>
        <w:rPr>
          <w:rFonts w:ascii="Times New Roman" w:hAnsi="Times New Roman" w:cs="Times New Roman" w:eastAsia="Times New Roman" w:hint="default"/>
        </w:rPr>
        <w:t>1</w:t>
      </w:r>
      <w:r>
        <w:rPr/>
        <w:t>）政府补助基本情况</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678"/>
        <w:gridCol w:w="1135"/>
        <w:gridCol w:w="1843"/>
        <w:gridCol w:w="1913"/>
      </w:tblGrid>
      <w:tr>
        <w:trPr>
          <w:trHeight w:val="401" w:hRule="exact"/>
        </w:trPr>
        <w:tc>
          <w:tcPr>
            <w:tcW w:w="467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11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84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56" w:right="0"/>
              <w:jc w:val="left"/>
              <w:rPr>
                <w:rFonts w:ascii="宋体" w:hAnsi="宋体" w:cs="宋体" w:eastAsia="宋体" w:hint="default"/>
                <w:sz w:val="18"/>
                <w:szCs w:val="18"/>
              </w:rPr>
            </w:pPr>
            <w:r>
              <w:rPr>
                <w:rFonts w:ascii="宋体" w:hAnsi="宋体" w:cs="宋体" w:eastAsia="宋体" w:hint="default"/>
                <w:sz w:val="18"/>
                <w:szCs w:val="18"/>
              </w:rPr>
              <w:t>列报项目</w:t>
            </w:r>
          </w:p>
        </w:tc>
        <w:tc>
          <w:tcPr>
            <w:tcW w:w="19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41" w:right="0"/>
              <w:jc w:val="left"/>
              <w:rPr>
                <w:rFonts w:ascii="宋体" w:hAnsi="宋体" w:cs="宋体" w:eastAsia="宋体" w:hint="default"/>
                <w:sz w:val="18"/>
                <w:szCs w:val="18"/>
              </w:rPr>
            </w:pPr>
            <w:r>
              <w:rPr>
                <w:rFonts w:ascii="宋体" w:hAnsi="宋体" w:cs="宋体" w:eastAsia="宋体" w:hint="default"/>
                <w:sz w:val="18"/>
                <w:szCs w:val="18"/>
              </w:rPr>
              <w:t>计入当期损益的金额</w:t>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软件增值税退税款</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40,919,616.39</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40,919,616.39</w:t>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企业研发经费补助</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5,348,780.00</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5,348,780.00</w:t>
            </w:r>
            <w:r>
              <w:rPr>
                <w:rFonts w:ascii="Times New Roman"/>
                <w:sz w:val="18"/>
              </w:rPr>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软件和信息服务业发展专项基金</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3,946,600.00</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3,946,600.00</w:t>
            </w:r>
            <w:r>
              <w:rPr>
                <w:rFonts w:ascii="Times New Roman"/>
                <w:sz w:val="18"/>
              </w:rPr>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国家级企业技术中心奖励</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2,000,000.00</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2,000,000.00</w:t>
            </w:r>
            <w:r>
              <w:rPr>
                <w:rFonts w:ascii="Times New Roman"/>
                <w:sz w:val="18"/>
              </w:rPr>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新技术成果转化项目，营业税和增值税奖</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1,702,393.00</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1,702,393.00</w:t>
            </w:r>
            <w:r>
              <w:rPr>
                <w:rFonts w:ascii="Times New Roman"/>
                <w:sz w:val="18"/>
              </w:rPr>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软件和信息技术服务业发展专项资金</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1,649,679.00</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1,649,679.00</w:t>
            </w:r>
            <w:r>
              <w:rPr>
                <w:rFonts w:ascii="Times New Roman"/>
                <w:sz w:val="18"/>
              </w:rPr>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厦门超级计算中心滚动支持</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6,399,998.84</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递延收益转其他收益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1,600,000.00</w:t>
            </w:r>
            <w:r>
              <w:rPr>
                <w:rFonts w:ascii="Times New Roman"/>
                <w:sz w:val="18"/>
              </w:rPr>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会议补助经费</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1,256,063.76</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1,256,063.76</w:t>
            </w:r>
            <w:r>
              <w:rPr>
                <w:rFonts w:ascii="Times New Roman"/>
                <w:sz w:val="18"/>
              </w:rPr>
            </w:r>
          </w:p>
        </w:tc>
      </w:tr>
      <w:tr>
        <w:trPr>
          <w:trHeight w:val="403" w:hRule="exact"/>
        </w:trPr>
        <w:tc>
          <w:tcPr>
            <w:tcW w:w="4678" w:type="dxa"/>
            <w:tcBorders>
              <w:top w:val="single" w:sz="4" w:space="0" w:color="000000"/>
              <w:left w:val="single" w:sz="4" w:space="0" w:color="000000"/>
              <w:bottom w:val="single" w:sz="4" w:space="0" w:color="000000"/>
              <w:right w:val="single" w:sz="13" w:space="0" w:color="FFFFFF"/>
            </w:tcBorders>
          </w:tcPr>
          <w:p>
            <w:pPr>
              <w:pStyle w:val="TableParagraph"/>
              <w:spacing w:line="240" w:lineRule="auto" w:before="49"/>
              <w:ind w:left="24" w:right="-48"/>
              <w:jc w:val="left"/>
              <w:rPr>
                <w:rFonts w:ascii="宋体" w:hAnsi="宋体" w:cs="宋体" w:eastAsia="宋体" w:hint="default"/>
                <w:sz w:val="18"/>
                <w:szCs w:val="18"/>
              </w:rPr>
            </w:pPr>
            <w:r>
              <w:rPr>
                <w:rFonts w:ascii="宋体" w:hAnsi="宋体" w:cs="宋体" w:eastAsia="宋体" w:hint="default"/>
                <w:sz w:val="18"/>
                <w:szCs w:val="18"/>
              </w:rPr>
              <w:t>厦门市工业和信息化局（国内首台智能制造装备补助资金）</w:t>
            </w:r>
          </w:p>
        </w:tc>
        <w:tc>
          <w:tcPr>
            <w:tcW w:w="1135"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1,182,000.00</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1,182,000.00</w:t>
            </w:r>
            <w:r>
              <w:rPr>
                <w:rFonts w:ascii="Times New Roman"/>
                <w:sz w:val="18"/>
              </w:rPr>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年办公场地租金补贴</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1,037,925.00</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1,037,925.00</w:t>
            </w:r>
            <w:r>
              <w:rPr>
                <w:rFonts w:ascii="Times New Roman"/>
                <w:sz w:val="18"/>
              </w:rPr>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厦门市众创空间运营补贴</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1,000,000.00</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1,000,000.00</w:t>
            </w:r>
            <w:r>
              <w:rPr>
                <w:rFonts w:ascii="Times New Roman"/>
                <w:sz w:val="18"/>
              </w:rPr>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众创空间扶持</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905,502.00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905,502.00</w:t>
            </w:r>
          </w:p>
        </w:tc>
      </w:tr>
      <w:tr>
        <w:trPr>
          <w:trHeight w:val="715"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19"/>
              <w:jc w:val="left"/>
              <w:rPr>
                <w:rFonts w:ascii="宋体" w:hAnsi="宋体" w:cs="宋体" w:eastAsia="宋体" w:hint="default"/>
                <w:sz w:val="18"/>
                <w:szCs w:val="18"/>
              </w:rPr>
            </w:pPr>
            <w:r>
              <w:rPr>
                <w:rFonts w:ascii="宋体" w:hAnsi="宋体" w:cs="宋体" w:eastAsia="宋体" w:hint="default"/>
                <w:sz w:val="18"/>
                <w:szCs w:val="18"/>
              </w:rPr>
              <w:t>厦门火炬高技术产业开发区管理委员会</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年度</w:t>
            </w:r>
            <w:r>
              <w:rPr>
                <w:rFonts w:ascii="Times New Roman" w:hAnsi="Times New Roman" w:cs="Times New Roman" w:eastAsia="Times New Roman" w:hint="default"/>
                <w:sz w:val="18"/>
                <w:szCs w:val="18"/>
              </w:rPr>
              <w:t>"</w:t>
            </w:r>
            <w:r>
              <w:rPr>
                <w:rFonts w:ascii="宋体" w:hAnsi="宋体" w:cs="宋体" w:eastAsia="宋体" w:hint="default"/>
                <w:sz w:val="18"/>
                <w:szCs w:val="18"/>
              </w:rPr>
              <w:t>鼓励企业 加大研发投入</w:t>
            </w:r>
            <w:r>
              <w:rPr>
                <w:rFonts w:ascii="Times New Roman" w:hAnsi="Times New Roman" w:cs="Times New Roman" w:eastAsia="Times New Roman" w:hint="default"/>
                <w:sz w:val="18"/>
                <w:szCs w:val="18"/>
              </w:rPr>
              <w:t>"</w:t>
            </w:r>
            <w:r>
              <w:rPr>
                <w:rFonts w:ascii="宋体" w:hAnsi="宋体" w:cs="宋体" w:eastAsia="宋体" w:hint="default"/>
                <w:sz w:val="18"/>
                <w:szCs w:val="18"/>
              </w:rPr>
              <w:t>补助</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785,100.00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785,100.00</w:t>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软件开发项目市外中标（签约）奖</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773,087.00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773,087.00</w:t>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国家科技项目配套资助资金</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611,400.00</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611,400.00</w:t>
            </w:r>
            <w:r>
              <w:rPr>
                <w:rFonts w:ascii="Times New Roman"/>
                <w:sz w:val="18"/>
              </w:rPr>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火炬瞪羚企业基金</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600,000.00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600,000.00</w:t>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软件信息企业增产增速奖励</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556,780.00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556,780.00</w:t>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稳岗补贴</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545,206.31</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545,206.31</w:t>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院士专家工作站经费补助</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500,000.00</w:t>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技术交易奖励金</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431,818.00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431,818.00</w:t>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社保补差与社保补贴</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352,244.98</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352,244.98</w:t>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高新技术企业认定奖励</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350,000.00</w:t>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国家服务业发展引导资金</w:t>
            </w:r>
            <w:r>
              <w:rPr>
                <w:rFonts w:ascii="Times New Roman" w:hAnsi="Times New Roman" w:cs="Times New Roman" w:eastAsia="Times New Roman" w:hint="default"/>
                <w:sz w:val="18"/>
                <w:szCs w:val="18"/>
              </w:rPr>
              <w:t>"</w:t>
            </w:r>
            <w:r>
              <w:rPr>
                <w:rFonts w:ascii="宋体" w:hAnsi="宋体" w:cs="宋体" w:eastAsia="宋体" w:hint="default"/>
                <w:sz w:val="18"/>
                <w:szCs w:val="18"/>
              </w:rPr>
              <w:t>电子数据存证云</w:t>
            </w:r>
            <w:r>
              <w:rPr>
                <w:rFonts w:ascii="Times New Roman" w:hAnsi="Times New Roman" w:cs="Times New Roman" w:eastAsia="Times New Roman" w:hint="default"/>
                <w:sz w:val="18"/>
                <w:szCs w:val="18"/>
              </w:rPr>
              <w:t>"</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487,677.43</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递延收益转其他收益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338,150.90</w:t>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省级企业技术中心</w:t>
            </w:r>
            <w:r>
              <w:rPr>
                <w:rFonts w:ascii="Times New Roman" w:hAnsi="Times New Roman" w:cs="Times New Roman" w:eastAsia="Times New Roman" w:hint="default"/>
                <w:sz w:val="18"/>
                <w:szCs w:val="18"/>
              </w:rPr>
              <w:t>"</w:t>
            </w:r>
            <w:r>
              <w:rPr>
                <w:rFonts w:ascii="宋体" w:hAnsi="宋体" w:cs="宋体" w:eastAsia="宋体" w:hint="default"/>
                <w:sz w:val="18"/>
                <w:szCs w:val="18"/>
              </w:rPr>
              <w:t>电子数据分析系统平台建设</w:t>
            </w:r>
            <w:r>
              <w:rPr>
                <w:rFonts w:ascii="Times New Roman" w:hAnsi="Times New Roman" w:cs="Times New Roman" w:eastAsia="Times New Roman" w:hint="default"/>
                <w:sz w:val="18"/>
                <w:szCs w:val="18"/>
              </w:rPr>
              <w:t>"</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递延收益转其他收益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300,000.00</w:t>
            </w:r>
          </w:p>
        </w:tc>
      </w:tr>
      <w:tr>
        <w:trPr>
          <w:trHeight w:val="715"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43"/>
              <w:jc w:val="left"/>
              <w:rPr>
                <w:rFonts w:ascii="宋体" w:hAnsi="宋体" w:cs="宋体" w:eastAsia="宋体" w:hint="default"/>
                <w:sz w:val="18"/>
                <w:szCs w:val="18"/>
              </w:rPr>
            </w:pPr>
            <w:r>
              <w:rPr>
                <w:rFonts w:ascii="宋体" w:hAnsi="宋体" w:cs="宋体" w:eastAsia="宋体" w:hint="default"/>
                <w:sz w:val="18"/>
                <w:szCs w:val="18"/>
              </w:rPr>
              <w:t>厦门火炬高技术产业开发区管理委员会火炬管理委员会研 补配套补贴</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293,700.00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293,700.00</w:t>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增值税加计抵减</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258,305.45</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258,305.45</w:t>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个税手续费</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240,759.30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240,759.30</w:t>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236,235.70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236,235.70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4678"/>
        <w:gridCol w:w="1135"/>
        <w:gridCol w:w="1843"/>
        <w:gridCol w:w="1913"/>
      </w:tblGrid>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年度厦门市专利技术实施与产业化项目补贴</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200,000.00</w:t>
            </w:r>
          </w:p>
        </w:tc>
      </w:tr>
      <w:tr>
        <w:trPr>
          <w:trHeight w:val="715"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1"/>
              <w:ind w:left="24" w:right="96"/>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年第二批厦门市产业转型升级专项资金（两化融合管 理体系贯标）</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200,000.00</w:t>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高价值专利组合方案奖励</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150,000.00</w:t>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基于手机云的手机综合取证系统</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106,715.14</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递延收益转其他收益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105,362.72</w:t>
            </w:r>
          </w:p>
        </w:tc>
      </w:tr>
      <w:tr>
        <w:trPr>
          <w:trHeight w:val="71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48"/>
              <w:jc w:val="left"/>
              <w:rPr>
                <w:rFonts w:ascii="宋体" w:hAnsi="宋体" w:cs="宋体" w:eastAsia="宋体" w:hint="default"/>
                <w:sz w:val="18"/>
                <w:szCs w:val="18"/>
              </w:rPr>
            </w:pPr>
            <w:r>
              <w:rPr>
                <w:rFonts w:ascii="宋体" w:hAnsi="宋体" w:cs="宋体" w:eastAsia="宋体" w:hint="default"/>
                <w:sz w:val="18"/>
                <w:szCs w:val="18"/>
              </w:rPr>
              <w:t>无锡国家高新技术产业开发区管理委员会</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年度软著软 件资质项目</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102,500.00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102,500.00</w:t>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思明区质量技术奖质量奖（工信部知识产权标杆企业）</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100,000.00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100,000.00</w:t>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互联网企业通过</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CMMI</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认证，晋升补差奖励</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100,000.00</w:t>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年高企标杆企业补助资金</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100,000.00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100,000.00</w:t>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高企标杆企业配套</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100,000.00</w:t>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基于云技术的证据链综合取证平台</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129,916.06</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递延收益转其他收益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93,574.59</w:t>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生育津贴</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92,981.68</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92,981.68</w:t>
            </w:r>
          </w:p>
        </w:tc>
      </w:tr>
      <w:tr>
        <w:trPr>
          <w:trHeight w:val="715"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1"/>
              <w:ind w:left="24" w:right="50"/>
              <w:jc w:val="left"/>
              <w:rPr>
                <w:rFonts w:ascii="宋体" w:hAnsi="宋体" w:cs="宋体" w:eastAsia="宋体" w:hint="default"/>
                <w:sz w:val="18"/>
                <w:szCs w:val="18"/>
              </w:rPr>
            </w:pPr>
            <w:r>
              <w:rPr>
                <w:rFonts w:ascii="宋体" w:hAnsi="宋体" w:cs="宋体" w:eastAsia="宋体" w:hint="default"/>
                <w:sz w:val="18"/>
                <w:szCs w:val="18"/>
              </w:rPr>
              <w:t>市商务局</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年珠海市内外经贸发展专项资金（服务贸易 发展事项）</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85,000.00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85,000.00</w:t>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中关村自主创新小微补助</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75,200.00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75,200.00</w:t>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互联网比赛活动补助奖励</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60,000.00</w:t>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市工信局付促进新一代信息技术产业发展资金</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60,000.00</w:t>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应届生社保补贴</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pacing w:val="-1"/>
                <w:sz w:val="18"/>
              </w:rPr>
              <w:t>55,019.12</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55,019.12</w:t>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劳务协作奖励</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53,500.00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53,500.00</w:t>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招工招才奖励</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35,500.00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35,500.00</w:t>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专利补贴</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19,000.00</w:t>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面向互联网的海量情报信息分析挖掘关键技术及系统</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w w:val="95"/>
                <w:sz w:val="18"/>
              </w:rPr>
              <w:t>11,694.33</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递延收益转其他收益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w w:val="95"/>
                <w:sz w:val="18"/>
              </w:rPr>
              <w:t>11,694.33</w:t>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电子取证关键技术研究</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6,800.01</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递延收益转其他收益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6,800.01</w:t>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职业见习补贴</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6,666.00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6,666.00</w:t>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高新技术产品奖励</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5,000.00</w:t>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科普教育基地补助</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5,000.00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5,000.00</w:t>
            </w: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厦门火炬高技术产业开发区管理委员会专利维护费</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720.00</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720.00</w:t>
            </w:r>
            <w:r>
              <w:rPr>
                <w:rFonts w:ascii="Times New Roman"/>
                <w:sz w:val="18"/>
              </w:rPr>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企业技术改造项目补助资金</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600,000.00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物联网实时图像识别</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3,600,000.00</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博士后工作站科技政策定额扶持资金</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1,000,000.00</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基于内容感知的智能视频浓缩设备产学研资金</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网络保密与失泄密取证系统的产业化项目</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4,000,000.00</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科技发展专项资金</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信息产业发展专项资金</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2,000,000.00</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4678"/>
        <w:gridCol w:w="1135"/>
        <w:gridCol w:w="1843"/>
        <w:gridCol w:w="1913"/>
      </w:tblGrid>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分布式电子数据取证关键技术研究项目</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中小企业技术创新基金配套项目</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800,000.00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年支持大数据示范应用资金</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年国家重点研发专项</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703,700.00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年国家重点研发专项</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845,000.00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低俗信息监测预警技术应用示范</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1,080,000.00</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国家重点研发专项</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590,800.00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年国家认定企业技术中心研发费用</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4,200,000.00</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司法大数据智能化平台</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1,133,500.00</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年国家重点研发项目联合申报</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1,630,000.00</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应用与服务一体化大数据治理研判分析平台</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900,000.00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基于网络安全大数据的态势感知智能研判系统</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450,000.00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公共安全风险防控与应急技术装备</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2,330,000.00</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年省级新型研发机构引导性项目</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8,000,000.00</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年国家重点研发专项</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698,800.00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986"/>
        <w:jc w:val="left"/>
        <w:rPr>
          <w:b w:val="0"/>
          <w:bCs w:val="0"/>
        </w:rPr>
      </w:pPr>
      <w:bookmarkStart w:name="（2）政府补助退回情况" w:id="408"/>
      <w:bookmarkEnd w:id="408"/>
      <w:r>
        <w:rPr>
          <w:b w:val="0"/>
          <w:bCs w:val="0"/>
        </w:rPr>
      </w:r>
      <w:r>
        <w:rPr/>
        <w:t>（</w:t>
      </w:r>
      <w:r>
        <w:rPr>
          <w:rFonts w:ascii="Times New Roman" w:hAnsi="Times New Roman" w:cs="Times New Roman" w:eastAsia="Times New Roman" w:hint="default"/>
        </w:rPr>
        <w:t>2</w:t>
      </w:r>
      <w:r>
        <w:rPr/>
        <w:t>）政府补助退回情况</w:t>
      </w:r>
      <w:r>
        <w:rPr>
          <w:b w:val="0"/>
          <w:bCs w:val="0"/>
        </w:rPr>
      </w:r>
    </w:p>
    <w:p>
      <w:pPr>
        <w:spacing w:line="240" w:lineRule="auto" w:before="2"/>
        <w:rPr>
          <w:rFonts w:ascii="宋体" w:hAnsi="宋体" w:cs="宋体" w:eastAsia="宋体" w:hint="default"/>
          <w:b/>
          <w:bCs/>
          <w:sz w:val="26"/>
          <w:szCs w:val="26"/>
        </w:rPr>
      </w:pPr>
    </w:p>
    <w:p>
      <w:pPr>
        <w:spacing w:line="360" w:lineRule="auto" w:before="0"/>
        <w:ind w:left="152" w:right="9221"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r>
        <w:rPr>
          <w:rFonts w:ascii="宋体" w:hAnsi="宋体" w:cs="宋体" w:eastAsia="宋体" w:hint="default"/>
          <w:sz w:val="18"/>
          <w:szCs w:val="18"/>
        </w:rPr>
        <w:t> 其他说明：</w:t>
      </w:r>
    </w:p>
    <w:p>
      <w:pPr>
        <w:spacing w:line="240" w:lineRule="auto" w:before="4"/>
        <w:rPr>
          <w:rFonts w:ascii="宋体" w:hAnsi="宋体" w:cs="宋体" w:eastAsia="宋体" w:hint="default"/>
          <w:sz w:val="20"/>
          <w:szCs w:val="20"/>
        </w:rPr>
      </w:pPr>
    </w:p>
    <w:p>
      <w:pPr>
        <w:spacing w:line="487" w:lineRule="auto" w:before="0"/>
        <w:ind w:left="152" w:right="8330" w:firstLine="0"/>
        <w:jc w:val="left"/>
        <w:rPr>
          <w:rFonts w:ascii="宋体" w:hAnsi="宋体" w:cs="宋体" w:eastAsia="宋体" w:hint="default"/>
          <w:sz w:val="21"/>
          <w:szCs w:val="21"/>
        </w:rPr>
      </w:pPr>
      <w:bookmarkStart w:name="85、其他" w:id="409"/>
      <w:bookmarkEnd w:id="409"/>
      <w:r>
        <w:rPr/>
      </w:r>
      <w:r>
        <w:rPr>
          <w:rFonts w:ascii="Times New Roman" w:hAnsi="Times New Roman" w:cs="Times New Roman" w:eastAsia="Times New Roman" w:hint="default"/>
          <w:b/>
          <w:bCs/>
          <w:sz w:val="21"/>
          <w:szCs w:val="21"/>
        </w:rPr>
        <w:t>85</w:t>
      </w:r>
      <w:r>
        <w:rPr>
          <w:rFonts w:ascii="宋体" w:hAnsi="宋体" w:cs="宋体" w:eastAsia="宋体" w:hint="default"/>
          <w:b/>
          <w:bCs/>
          <w:sz w:val="21"/>
          <w:szCs w:val="21"/>
        </w:rPr>
        <w:t>、其他</w:t>
      </w:r>
      <w:r>
        <w:rPr>
          <w:rFonts w:ascii="宋体" w:hAnsi="宋体" w:cs="宋体" w:eastAsia="宋体" w:hint="default"/>
          <w:b/>
          <w:bCs/>
          <w:w w:val="100"/>
          <w:sz w:val="21"/>
          <w:szCs w:val="21"/>
        </w:rPr>
        <w:t> </w:t>
      </w:r>
      <w:bookmarkStart w:name="八、合并范围的变更" w:id="410"/>
      <w:bookmarkEnd w:id="410"/>
      <w:r>
        <w:rPr>
          <w:rFonts w:ascii="宋体" w:hAnsi="宋体" w:cs="宋体" w:eastAsia="宋体" w:hint="default"/>
          <w:b/>
          <w:bCs/>
          <w:w w:val="100"/>
          <w:sz w:val="21"/>
          <w:szCs w:val="21"/>
        </w:rPr>
      </w:r>
      <w:r>
        <w:rPr>
          <w:rFonts w:ascii="宋体" w:hAnsi="宋体" w:cs="宋体" w:eastAsia="宋体" w:hint="default"/>
          <w:b/>
          <w:bCs/>
          <w:sz w:val="24"/>
          <w:szCs w:val="24"/>
        </w:rPr>
        <w:t>八、合并范围的变更</w:t>
      </w:r>
      <w:r>
        <w:rPr>
          <w:rFonts w:ascii="宋体" w:hAnsi="宋体" w:cs="宋体" w:eastAsia="宋体" w:hint="default"/>
          <w:b/>
          <w:bCs/>
          <w:w w:val="99"/>
          <w:sz w:val="24"/>
          <w:szCs w:val="24"/>
        </w:rPr>
        <w:t> </w:t>
      </w:r>
      <w:bookmarkStart w:name="1、非同一控制下企业合并" w:id="411"/>
      <w:bookmarkEnd w:id="411"/>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、非同一控制下企业合并</w:t>
      </w:r>
      <w:r>
        <w:rPr>
          <w:rFonts w:ascii="宋体" w:hAnsi="宋体" w:cs="宋体" w:eastAsia="宋体" w:hint="default"/>
          <w:sz w:val="21"/>
          <w:szCs w:val="21"/>
        </w:rPr>
      </w:r>
    </w:p>
    <w:p>
      <w:pPr>
        <w:pStyle w:val="Heading4"/>
        <w:spacing w:line="240" w:lineRule="auto" w:before="81"/>
        <w:ind w:right="986"/>
        <w:jc w:val="left"/>
        <w:rPr>
          <w:b w:val="0"/>
          <w:bCs w:val="0"/>
        </w:rPr>
      </w:pPr>
      <w:bookmarkStart w:name="（1）本期发生的非同一控制下企业合并" w:id="412"/>
      <w:bookmarkEnd w:id="412"/>
      <w:r>
        <w:rPr>
          <w:b w:val="0"/>
          <w:bCs w:val="0"/>
        </w:rPr>
      </w:r>
      <w:r>
        <w:rPr/>
        <w:t>（</w:t>
      </w:r>
      <w:r>
        <w:rPr>
          <w:rFonts w:ascii="Times New Roman" w:hAnsi="Times New Roman" w:cs="Times New Roman" w:eastAsia="Times New Roman" w:hint="default"/>
        </w:rPr>
        <w:t>1</w:t>
      </w:r>
      <w:r>
        <w:rPr/>
        <w:t>）本期发生的非同一控制下企业合并</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063"/>
        <w:gridCol w:w="1670"/>
        <w:gridCol w:w="1051"/>
        <w:gridCol w:w="869"/>
        <w:gridCol w:w="665"/>
        <w:gridCol w:w="1210"/>
        <w:gridCol w:w="917"/>
        <w:gridCol w:w="1063"/>
        <w:gridCol w:w="1061"/>
      </w:tblGrid>
      <w:tr>
        <w:trPr>
          <w:trHeight w:val="1025" w:hRule="exact"/>
        </w:trPr>
        <w:tc>
          <w:tcPr>
            <w:tcW w:w="106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436" w:right="74" w:hanging="360"/>
              <w:jc w:val="left"/>
              <w:rPr>
                <w:rFonts w:ascii="宋体" w:hAnsi="宋体" w:cs="宋体" w:eastAsia="宋体" w:hint="default"/>
                <w:sz w:val="18"/>
                <w:szCs w:val="18"/>
              </w:rPr>
            </w:pPr>
            <w:r>
              <w:rPr>
                <w:rFonts w:ascii="宋体" w:hAnsi="宋体" w:cs="宋体" w:eastAsia="宋体" w:hint="default"/>
                <w:sz w:val="18"/>
                <w:szCs w:val="18"/>
              </w:rPr>
              <w:t>被购买方名 称</w:t>
            </w:r>
          </w:p>
        </w:tc>
        <w:tc>
          <w:tcPr>
            <w:tcW w:w="167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股权取得时点</w:t>
            </w:r>
          </w:p>
        </w:tc>
        <w:tc>
          <w:tcPr>
            <w:tcW w:w="10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429" w:right="71" w:hanging="360"/>
              <w:jc w:val="left"/>
              <w:rPr>
                <w:rFonts w:ascii="宋体" w:hAnsi="宋体" w:cs="宋体" w:eastAsia="宋体" w:hint="default"/>
                <w:sz w:val="18"/>
                <w:szCs w:val="18"/>
              </w:rPr>
            </w:pPr>
            <w:r>
              <w:rPr>
                <w:rFonts w:ascii="宋体" w:hAnsi="宋体" w:cs="宋体" w:eastAsia="宋体" w:hint="default"/>
                <w:sz w:val="18"/>
                <w:szCs w:val="18"/>
              </w:rPr>
              <w:t>股权取得成 本</w:t>
            </w:r>
          </w:p>
        </w:tc>
        <w:tc>
          <w:tcPr>
            <w:tcW w:w="8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49" w:right="67" w:hanging="180"/>
              <w:jc w:val="left"/>
              <w:rPr>
                <w:rFonts w:ascii="宋体" w:hAnsi="宋体" w:cs="宋体" w:eastAsia="宋体" w:hint="default"/>
                <w:sz w:val="18"/>
                <w:szCs w:val="18"/>
              </w:rPr>
            </w:pPr>
            <w:r>
              <w:rPr>
                <w:rFonts w:ascii="宋体" w:hAnsi="宋体" w:cs="宋体" w:eastAsia="宋体" w:hint="default"/>
                <w:sz w:val="18"/>
                <w:szCs w:val="18"/>
              </w:rPr>
              <w:t>股权取得 比例</w:t>
            </w:r>
          </w:p>
        </w:tc>
        <w:tc>
          <w:tcPr>
            <w:tcW w:w="66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57" w:right="55"/>
              <w:jc w:val="left"/>
              <w:rPr>
                <w:rFonts w:ascii="宋体" w:hAnsi="宋体" w:cs="宋体" w:eastAsia="宋体" w:hint="default"/>
                <w:sz w:val="18"/>
                <w:szCs w:val="18"/>
              </w:rPr>
            </w:pPr>
            <w:r>
              <w:rPr>
                <w:rFonts w:ascii="宋体" w:hAnsi="宋体" w:cs="宋体" w:eastAsia="宋体" w:hint="default"/>
                <w:sz w:val="18"/>
                <w:szCs w:val="18"/>
              </w:rPr>
              <w:t>股权取 得方式</w:t>
            </w:r>
          </w:p>
        </w:tc>
        <w:tc>
          <w:tcPr>
            <w:tcW w:w="121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31" w:right="0"/>
              <w:jc w:val="left"/>
              <w:rPr>
                <w:rFonts w:ascii="宋体" w:hAnsi="宋体" w:cs="宋体" w:eastAsia="宋体" w:hint="default"/>
                <w:sz w:val="18"/>
                <w:szCs w:val="18"/>
              </w:rPr>
            </w:pPr>
            <w:r>
              <w:rPr>
                <w:rFonts w:ascii="宋体" w:hAnsi="宋体" w:cs="宋体" w:eastAsia="宋体" w:hint="default"/>
                <w:sz w:val="18"/>
                <w:szCs w:val="18"/>
              </w:rPr>
              <w:t>购买日</w:t>
            </w:r>
          </w:p>
        </w:tc>
        <w:tc>
          <w:tcPr>
            <w:tcW w:w="91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95" w:right="89"/>
              <w:jc w:val="left"/>
              <w:rPr>
                <w:rFonts w:ascii="宋体" w:hAnsi="宋体" w:cs="宋体" w:eastAsia="宋体" w:hint="default"/>
                <w:sz w:val="18"/>
                <w:szCs w:val="18"/>
              </w:rPr>
            </w:pPr>
            <w:r>
              <w:rPr>
                <w:rFonts w:ascii="宋体" w:hAnsi="宋体" w:cs="宋体" w:eastAsia="宋体" w:hint="default"/>
                <w:sz w:val="18"/>
                <w:szCs w:val="18"/>
              </w:rPr>
              <w:t>购买日的 确定依据</w:t>
            </w:r>
          </w:p>
        </w:tc>
        <w:tc>
          <w:tcPr>
            <w:tcW w:w="106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76" w:right="74"/>
              <w:jc w:val="center"/>
              <w:rPr>
                <w:rFonts w:ascii="宋体" w:hAnsi="宋体" w:cs="宋体" w:eastAsia="宋体" w:hint="default"/>
                <w:sz w:val="18"/>
                <w:szCs w:val="18"/>
              </w:rPr>
            </w:pPr>
            <w:r>
              <w:rPr>
                <w:rFonts w:ascii="宋体" w:hAnsi="宋体" w:cs="宋体" w:eastAsia="宋体" w:hint="default"/>
                <w:sz w:val="18"/>
                <w:szCs w:val="18"/>
              </w:rPr>
              <w:t>购买日至期 末被购买方 的收入</w:t>
            </w:r>
          </w:p>
        </w:tc>
        <w:tc>
          <w:tcPr>
            <w:tcW w:w="106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76" w:right="72"/>
              <w:jc w:val="both"/>
              <w:rPr>
                <w:rFonts w:ascii="宋体" w:hAnsi="宋体" w:cs="宋体" w:eastAsia="宋体" w:hint="default"/>
                <w:sz w:val="18"/>
                <w:szCs w:val="18"/>
              </w:rPr>
            </w:pPr>
            <w:r>
              <w:rPr>
                <w:rFonts w:ascii="宋体" w:hAnsi="宋体" w:cs="宋体" w:eastAsia="宋体" w:hint="default"/>
                <w:sz w:val="18"/>
                <w:szCs w:val="18"/>
              </w:rPr>
              <w:t>购买日至期 末被购买方 的净利润</w:t>
            </w:r>
          </w:p>
        </w:tc>
      </w:tr>
      <w:tr>
        <w:trPr>
          <w:trHeight w:val="403" w:hRule="exact"/>
        </w:trPr>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中检美亚</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4"/>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5,000,000.00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28.00%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c>
          <w:tcPr>
            <w:tcW w:w="1210" w:type="dxa"/>
            <w:vMerge w:val="restart"/>
            <w:tcBorders>
              <w:top w:val="single" w:sz="4" w:space="0" w:color="000000"/>
              <w:left w:val="single" w:sz="4" w:space="0" w:color="000000"/>
              <w:right w:val="single" w:sz="4" w:space="0" w:color="000000"/>
            </w:tcBorders>
          </w:tcPr>
          <w:p>
            <w:pPr>
              <w:pStyle w:val="TableParagraph"/>
              <w:spacing w:line="240" w:lineRule="auto" w:before="94"/>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p>
          <w:p>
            <w:pPr>
              <w:pStyle w:val="TableParagraph"/>
              <w:spacing w:line="240" w:lineRule="auto" w:before="62"/>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917" w:type="dxa"/>
            <w:vMerge w:val="restart"/>
            <w:tcBorders>
              <w:top w:val="single" w:sz="4" w:space="0" w:color="000000"/>
              <w:left w:val="single" w:sz="4" w:space="0" w:color="000000"/>
              <w:right w:val="single" w:sz="4" w:space="0" w:color="000000"/>
            </w:tcBorders>
          </w:tcPr>
          <w:p>
            <w:pPr>
              <w:pStyle w:val="TableParagraph"/>
              <w:spacing w:line="316" w:lineRule="auto" w:before="94"/>
              <w:ind w:left="26" w:right="158"/>
              <w:jc w:val="left"/>
              <w:rPr>
                <w:rFonts w:ascii="宋体" w:hAnsi="宋体" w:cs="宋体" w:eastAsia="宋体" w:hint="default"/>
                <w:sz w:val="18"/>
                <w:szCs w:val="18"/>
              </w:rPr>
            </w:pPr>
            <w:r>
              <w:rPr>
                <w:rFonts w:ascii="宋体" w:hAnsi="宋体" w:cs="宋体" w:eastAsia="宋体" w:hint="default"/>
                <w:sz w:val="18"/>
                <w:szCs w:val="18"/>
              </w:rPr>
              <w:t>表决权委 托协议</w:t>
            </w:r>
          </w:p>
        </w:tc>
        <w:tc>
          <w:tcPr>
            <w:tcW w:w="1063" w:type="dxa"/>
            <w:vMerge w:val="restart"/>
            <w:tcBorders>
              <w:top w:val="single" w:sz="4" w:space="0" w:color="000000"/>
              <w:left w:val="single" w:sz="4" w:space="0" w:color="000000"/>
              <w:right w:val="single" w:sz="4" w:space="0" w:color="000000"/>
            </w:tcBorders>
          </w:tcPr>
          <w:p>
            <w:pPr/>
          </w:p>
        </w:tc>
        <w:tc>
          <w:tcPr>
            <w:tcW w:w="1061" w:type="dxa"/>
            <w:vMerge w:val="restart"/>
            <w:tcBorders>
              <w:top w:val="single" w:sz="4" w:space="0" w:color="000000"/>
              <w:left w:val="single" w:sz="4" w:space="0" w:color="000000"/>
              <w:right w:val="single" w:sz="4" w:space="0" w:color="000000"/>
            </w:tcBorders>
          </w:tcPr>
          <w:p>
            <w:pPr/>
          </w:p>
        </w:tc>
      </w:tr>
      <w:tr>
        <w:trPr>
          <w:trHeight w:val="401" w:hRule="exact"/>
        </w:trPr>
        <w:tc>
          <w:tcPr>
            <w:tcW w:w="1063" w:type="dxa"/>
            <w:vMerge/>
            <w:tcBorders>
              <w:left w:val="single" w:sz="4" w:space="0" w:color="000000"/>
              <w:bottom w:val="single" w:sz="4" w:space="0" w:color="000000"/>
              <w:right w:val="single" w:sz="4" w:space="0" w:color="000000"/>
            </w:tcBorders>
          </w:tcPr>
          <w:p>
            <w:pP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4"/>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2,863,924.53</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18.00%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购买</w:t>
            </w:r>
          </w:p>
        </w:tc>
        <w:tc>
          <w:tcPr>
            <w:tcW w:w="1210" w:type="dxa"/>
            <w:vMerge/>
            <w:tcBorders>
              <w:left w:val="single" w:sz="4" w:space="0" w:color="000000"/>
              <w:bottom w:val="single" w:sz="4" w:space="0" w:color="000000"/>
              <w:right w:val="single" w:sz="4" w:space="0" w:color="000000"/>
            </w:tcBorders>
          </w:tcPr>
          <w:p>
            <w:pPr/>
          </w:p>
        </w:tc>
        <w:tc>
          <w:tcPr>
            <w:tcW w:w="917"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6"/>
        <w:rPr>
          <w:rFonts w:ascii="宋体" w:hAnsi="宋体" w:cs="宋体" w:eastAsia="宋体" w:hint="default"/>
          <w:sz w:val="19"/>
          <w:szCs w:val="19"/>
        </w:rPr>
      </w:pPr>
    </w:p>
    <w:p>
      <w:pPr>
        <w:pStyle w:val="BodyText"/>
        <w:spacing w:line="405" w:lineRule="auto" w:before="0"/>
        <w:ind w:right="986" w:firstLine="419"/>
        <w:jc w:val="left"/>
      </w:pPr>
      <w:r>
        <w:rPr>
          <w:rFonts w:ascii="宋体" w:hAnsi="宋体" w:cs="宋体" w:eastAsia="宋体" w:hint="default"/>
          <w:spacing w:val="-2"/>
        </w:rPr>
        <w:t>2019</w:t>
      </w:r>
      <w:r>
        <w:rPr>
          <w:spacing w:val="-2"/>
        </w:rPr>
        <w:t>年</w:t>
      </w:r>
      <w:r>
        <w:rPr>
          <w:rFonts w:ascii="宋体" w:hAnsi="宋体" w:cs="宋体" w:eastAsia="宋体" w:hint="default"/>
          <w:spacing w:val="-2"/>
        </w:rPr>
        <w:t>12</w:t>
      </w:r>
      <w:r>
        <w:rPr>
          <w:spacing w:val="-2"/>
        </w:rPr>
        <w:t>月，本公司与中检美亚自然人股东王志永签署了《表决权委托协议》，自然人股东王志永将</w:t>
      </w:r>
      <w:r>
        <w:rPr>
          <w:w w:val="100"/>
        </w:rPr>
        <w:t> </w:t>
      </w:r>
      <w:r>
        <w:rPr>
          <w:spacing w:val="-2"/>
        </w:rPr>
        <w:t>其持有中检美亚</w:t>
      </w:r>
      <w:r>
        <w:rPr>
          <w:rFonts w:ascii="宋体" w:hAnsi="宋体" w:cs="宋体" w:eastAsia="宋体" w:hint="default"/>
          <w:spacing w:val="-2"/>
        </w:rPr>
        <w:t>32%</w:t>
      </w:r>
      <w:r>
        <w:rPr>
          <w:spacing w:val="-2"/>
        </w:rPr>
        <w:t>的股权对应的全部表决权不可撤销地授权本公司行使，委托权</w:t>
      </w:r>
      <w:r>
        <w:rPr>
          <w:rFonts w:ascii="宋体" w:hAnsi="宋体" w:cs="宋体" w:eastAsia="宋体" w:hint="default"/>
          <w:spacing w:val="-2"/>
        </w:rPr>
        <w:t>3</w:t>
      </w:r>
      <w:r>
        <w:rPr>
          <w:spacing w:val="-2"/>
        </w:rPr>
        <w:t>年。本公司原持有中检</w:t>
      </w:r>
      <w:r>
        <w:rPr/>
      </w:r>
    </w:p>
    <w:p>
      <w:pPr>
        <w:spacing w:after="0" w:line="405"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1128"/>
        <w:jc w:val="both"/>
      </w:pPr>
      <w:r>
        <w:rPr>
          <w:spacing w:val="-2"/>
        </w:rPr>
        <w:t>美亚</w:t>
      </w:r>
      <w:r>
        <w:rPr>
          <w:rFonts w:ascii="宋体" w:hAnsi="宋体" w:cs="宋体" w:eastAsia="宋体" w:hint="default"/>
          <w:spacing w:val="-2"/>
        </w:rPr>
        <w:t>46%</w:t>
      </w:r>
      <w:r>
        <w:rPr>
          <w:spacing w:val="-2"/>
        </w:rPr>
        <w:t>的表决权（其中控股子公司美亚商鼎持有</w:t>
      </w:r>
      <w:r>
        <w:rPr>
          <w:rFonts w:ascii="宋体" w:hAnsi="宋体" w:cs="宋体" w:eastAsia="宋体" w:hint="default"/>
          <w:spacing w:val="-2"/>
        </w:rPr>
        <w:t>18%</w:t>
      </w:r>
      <w:r>
        <w:rPr>
          <w:spacing w:val="-2"/>
        </w:rPr>
        <w:t>的表决权），本次表决权委托协议签署后，本公司合</w:t>
      </w:r>
      <w:r>
        <w:rPr>
          <w:spacing w:val="-48"/>
        </w:rPr>
        <w:t> </w:t>
      </w:r>
      <w:r>
        <w:rPr>
          <w:spacing w:val="-48"/>
        </w:rPr>
      </w:r>
      <w:r>
        <w:rPr/>
        <w:t>计拥有中检美亚</w:t>
      </w:r>
      <w:r>
        <w:rPr>
          <w:rFonts w:ascii="宋体" w:hAnsi="宋体" w:cs="宋体" w:eastAsia="宋体" w:hint="default"/>
        </w:rPr>
        <w:t>78%</w:t>
      </w:r>
      <w:r>
        <w:rPr/>
        <w:t>的表决权。同时，中检美亚重组了董事会，董事会成员</w:t>
      </w:r>
      <w:r>
        <w:rPr>
          <w:rFonts w:ascii="宋体" w:hAnsi="宋体" w:cs="宋体" w:eastAsia="宋体" w:hint="default"/>
        </w:rPr>
        <w:t>5</w:t>
      </w:r>
      <w:r>
        <w:rPr/>
        <w:t>名，由本公司委派</w:t>
      </w:r>
      <w:r>
        <w:rPr>
          <w:rFonts w:ascii="宋体" w:hAnsi="宋体" w:cs="宋体" w:eastAsia="宋体" w:hint="default"/>
        </w:rPr>
        <w:t>3</w:t>
      </w:r>
      <w:r>
        <w:rPr/>
        <w:t>名，本公</w:t>
      </w:r>
      <w:r>
        <w:rPr>
          <w:spacing w:val="-24"/>
        </w:rPr>
        <w:t> </w:t>
      </w:r>
      <w:r>
        <w:rPr>
          <w:spacing w:val="-24"/>
        </w:rPr>
      </w:r>
      <w:r>
        <w:rPr>
          <w:spacing w:val="-2"/>
        </w:rPr>
        <w:t>司完成了对中检美亚的控制，公司在</w:t>
      </w:r>
      <w:r>
        <w:rPr>
          <w:rFonts w:ascii="宋体" w:hAnsi="宋体" w:cs="宋体" w:eastAsia="宋体" w:hint="default"/>
          <w:spacing w:val="-2"/>
        </w:rPr>
        <w:t>2019</w:t>
      </w:r>
      <w:r>
        <w:rPr>
          <w:spacing w:val="-2"/>
        </w:rPr>
        <w:t>年</w:t>
      </w:r>
      <w:r>
        <w:rPr>
          <w:rFonts w:ascii="宋体" w:hAnsi="宋体" w:cs="宋体" w:eastAsia="宋体" w:hint="default"/>
          <w:spacing w:val="-2"/>
        </w:rPr>
        <w:t>12</w:t>
      </w:r>
      <w:r>
        <w:rPr>
          <w:spacing w:val="-2"/>
        </w:rPr>
        <w:t>月末已拥有该公司的实质控制权，于</w:t>
      </w:r>
      <w:r>
        <w:rPr>
          <w:rFonts w:ascii="宋体" w:hAnsi="宋体" w:cs="宋体" w:eastAsia="宋体" w:hint="default"/>
          <w:spacing w:val="-2"/>
        </w:rPr>
        <w:t>2019</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日将其纳</w:t>
      </w:r>
      <w:r>
        <w:rPr>
          <w:spacing w:val="-28"/>
        </w:rPr>
        <w:t> </w:t>
      </w:r>
      <w:r>
        <w:rPr>
          <w:spacing w:val="-28"/>
        </w:rPr>
      </w:r>
      <w:r>
        <w:rPr/>
        <w:t>入合并范围。</w:t>
      </w:r>
    </w:p>
    <w:p>
      <w:pPr>
        <w:spacing w:line="240" w:lineRule="auto" w:before="8"/>
        <w:rPr>
          <w:rFonts w:ascii="宋体" w:hAnsi="宋体" w:cs="宋体" w:eastAsia="宋体" w:hint="default"/>
          <w:sz w:val="20"/>
          <w:szCs w:val="20"/>
        </w:rPr>
      </w:pPr>
    </w:p>
    <w:p>
      <w:pPr>
        <w:pStyle w:val="Heading4"/>
        <w:spacing w:line="240" w:lineRule="auto"/>
        <w:ind w:right="0"/>
        <w:jc w:val="both"/>
        <w:rPr>
          <w:b w:val="0"/>
          <w:bCs w:val="0"/>
        </w:rPr>
      </w:pPr>
      <w:bookmarkStart w:name="（2）合并成本及商誉" w:id="413"/>
      <w:bookmarkEnd w:id="413"/>
      <w:r>
        <w:rPr>
          <w:b w:val="0"/>
          <w:bCs w:val="0"/>
        </w:rPr>
      </w:r>
      <w:r>
        <w:rPr/>
        <w:t>（</w:t>
      </w:r>
      <w:r>
        <w:rPr>
          <w:rFonts w:ascii="Times New Roman" w:hAnsi="Times New Roman" w:cs="Times New Roman" w:eastAsia="Times New Roman" w:hint="default"/>
        </w:rPr>
        <w:t>2</w:t>
      </w:r>
      <w:r>
        <w:rPr/>
        <w:t>）合并成本及商誉</w:t>
      </w:r>
      <w:r>
        <w:rPr>
          <w:b w:val="0"/>
          <w:bCs w:val="0"/>
        </w:rPr>
      </w:r>
    </w:p>
    <w:p>
      <w:pPr>
        <w:spacing w:line="240" w:lineRule="auto" w:before="4"/>
        <w:rPr>
          <w:rFonts w:ascii="宋体" w:hAnsi="宋体" w:cs="宋体" w:eastAsia="宋体" w:hint="default"/>
          <w:b/>
          <w:bCs/>
          <w:sz w:val="26"/>
          <w:szCs w:val="26"/>
        </w:rPr>
      </w:pPr>
    </w:p>
    <w:p>
      <w:pPr>
        <w:spacing w:before="0"/>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760"/>
        <w:gridCol w:w="4796"/>
      </w:tblGrid>
      <w:tr>
        <w:trPr>
          <w:trHeight w:val="403"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合并成本</w:t>
            </w:r>
          </w:p>
        </w:tc>
        <w:tc>
          <w:tcPr>
            <w:tcW w:w="47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中检美亚</w:t>
            </w:r>
          </w:p>
        </w:tc>
      </w:tr>
      <w:tr>
        <w:trPr>
          <w:trHeight w:val="401"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购买日之前持有的股权于购买日的公允价值</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61,452.95</w:t>
            </w:r>
          </w:p>
        </w:tc>
      </w:tr>
      <w:tr>
        <w:trPr>
          <w:trHeight w:val="403"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合并成本合计</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61,452.95</w:t>
            </w:r>
          </w:p>
        </w:tc>
      </w:tr>
      <w:tr>
        <w:trPr>
          <w:trHeight w:val="401"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减：取得的可辨认净资产公允价值份额</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61,452.95</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合并成本公允价值的确定方法、或有对价及其变动的说明：</w:t>
      </w:r>
    </w:p>
    <w:p>
      <w:pPr>
        <w:spacing w:line="240" w:lineRule="auto" w:before="3"/>
        <w:rPr>
          <w:rFonts w:ascii="宋体" w:hAnsi="宋体" w:cs="宋体" w:eastAsia="宋体" w:hint="default"/>
          <w:sz w:val="13"/>
          <w:szCs w:val="13"/>
        </w:rPr>
      </w:pPr>
    </w:p>
    <w:p>
      <w:pPr>
        <w:pStyle w:val="BodyText"/>
        <w:spacing w:line="408" w:lineRule="auto" w:before="0"/>
        <w:ind w:right="1128" w:firstLine="463"/>
        <w:jc w:val="left"/>
      </w:pPr>
      <w:r>
        <w:rPr>
          <w:spacing w:val="-3"/>
        </w:rPr>
        <w:t>考虑中检美亚目前处于持续亏损状态、未来经营业绩具有较大的不确定性，且中检美亚的经营规模相</w:t>
      </w:r>
      <w:r>
        <w:rPr>
          <w:w w:val="100"/>
        </w:rPr>
        <w:t> </w:t>
      </w:r>
      <w:r>
        <w:rPr>
          <w:spacing w:val="-2"/>
        </w:rPr>
        <w:t>比本公司的体量较小，故本公司以资产基础法的评估结果作为中检美亚（北京）科技有限公司股东全部权</w:t>
      </w:r>
      <w:r>
        <w:rPr>
          <w:spacing w:val="-43"/>
        </w:rPr>
        <w:t> </w:t>
      </w:r>
      <w:r>
        <w:rPr>
          <w:spacing w:val="-43"/>
        </w:rPr>
      </w:r>
      <w:r>
        <w:rPr>
          <w:spacing w:val="-2"/>
        </w:rPr>
        <w:t>益的评估值，根据信嘉（北京）资产评估公司以</w:t>
      </w:r>
      <w:r>
        <w:rPr>
          <w:rFonts w:ascii="宋体" w:hAnsi="宋体" w:cs="宋体" w:eastAsia="宋体" w:hint="default"/>
          <w:spacing w:val="-2"/>
        </w:rPr>
        <w:t>2019</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日为基准日对中检美亚（北京）科技有限公</w:t>
      </w:r>
      <w:r>
        <w:rPr>
          <w:spacing w:val="-42"/>
        </w:rPr>
        <w:t> </w:t>
      </w:r>
      <w:r>
        <w:rPr>
          <w:spacing w:val="-42"/>
        </w:rPr>
      </w:r>
      <w:r>
        <w:rPr>
          <w:spacing w:val="-2"/>
        </w:rPr>
        <w:t>司股东全部权益价值进行评估并出具的《厦门市美亚柏科信息股份有限公司拟了解中检美亚（北京）科技</w:t>
      </w:r>
      <w:r>
        <w:rPr>
          <w:spacing w:val="-42"/>
        </w:rPr>
        <w:t> </w:t>
      </w:r>
      <w:r>
        <w:rPr>
          <w:spacing w:val="-42"/>
        </w:rPr>
      </w:r>
      <w:r>
        <w:rPr>
          <w:spacing w:val="-2"/>
        </w:rPr>
        <w:t>有限公司股东全部权益价值事宜资产评估报告》（信嘉评报字【</w:t>
      </w:r>
      <w:r>
        <w:rPr>
          <w:rFonts w:ascii="宋体" w:hAnsi="宋体" w:cs="宋体" w:eastAsia="宋体" w:hint="default"/>
          <w:spacing w:val="-2"/>
        </w:rPr>
        <w:t>2020</w:t>
      </w:r>
      <w:r>
        <w:rPr>
          <w:spacing w:val="-2"/>
        </w:rPr>
        <w:t>】第</w:t>
      </w:r>
      <w:r>
        <w:rPr>
          <w:rFonts w:ascii="宋体" w:hAnsi="宋体" w:cs="宋体" w:eastAsia="宋体" w:hint="default"/>
          <w:spacing w:val="-2"/>
        </w:rPr>
        <w:t>01-005</w:t>
      </w:r>
      <w:r>
        <w:rPr>
          <w:spacing w:val="-2"/>
        </w:rPr>
        <w:t>号），本公司确定的购买</w:t>
      </w:r>
      <w:r>
        <w:rPr>
          <w:spacing w:val="-38"/>
        </w:rPr>
        <w:t> </w:t>
      </w:r>
      <w:r>
        <w:rPr>
          <w:spacing w:val="-38"/>
        </w:rPr>
      </w:r>
      <w:r>
        <w:rPr/>
        <w:t>日之前持有的股权于购买日的公允价值为</w:t>
      </w:r>
      <w:r>
        <w:rPr>
          <w:rFonts w:ascii="宋体" w:hAnsi="宋体" w:cs="宋体" w:eastAsia="宋体" w:hint="default"/>
        </w:rPr>
        <w:t>61,452.95</w:t>
      </w:r>
      <w:r>
        <w:rPr/>
        <w:t>元，本公司取得的购买日可辨认净资产公允价值份额</w:t>
      </w:r>
      <w:r>
        <w:rPr>
          <w:w w:val="100"/>
        </w:rPr>
        <w:t> </w:t>
      </w:r>
      <w:r>
        <w:rPr>
          <w:rFonts w:ascii="宋体" w:hAnsi="宋体" w:cs="宋体" w:eastAsia="宋体" w:hint="default"/>
        </w:rPr>
        <w:t>61,452.95</w:t>
      </w:r>
      <w:r>
        <w:rPr/>
        <w:t>元，未产生商誉。</w:t>
      </w:r>
    </w:p>
    <w:p>
      <w:pPr>
        <w:spacing w:line="357" w:lineRule="auto" w:before="30"/>
        <w:ind w:left="152" w:right="8594" w:firstLine="0"/>
        <w:jc w:val="left"/>
        <w:rPr>
          <w:rFonts w:ascii="宋体" w:hAnsi="宋体" w:cs="宋体" w:eastAsia="宋体" w:hint="default"/>
          <w:sz w:val="18"/>
          <w:szCs w:val="18"/>
        </w:rPr>
      </w:pPr>
      <w:r>
        <w:rPr>
          <w:rFonts w:ascii="宋体" w:hAnsi="宋体" w:cs="宋体" w:eastAsia="宋体" w:hint="default"/>
          <w:sz w:val="18"/>
          <w:szCs w:val="18"/>
        </w:rPr>
        <w:t>大额商誉形成的主要原因： 其他说明：</w:t>
      </w:r>
    </w:p>
    <w:p>
      <w:pPr>
        <w:spacing w:line="240" w:lineRule="auto" w:before="6"/>
        <w:rPr>
          <w:rFonts w:ascii="宋体" w:hAnsi="宋体" w:cs="宋体" w:eastAsia="宋体" w:hint="default"/>
          <w:sz w:val="20"/>
          <w:szCs w:val="20"/>
        </w:rPr>
      </w:pPr>
    </w:p>
    <w:p>
      <w:pPr>
        <w:pStyle w:val="Heading4"/>
        <w:spacing w:line="240" w:lineRule="auto"/>
        <w:ind w:right="986"/>
        <w:jc w:val="left"/>
        <w:rPr>
          <w:b w:val="0"/>
          <w:bCs w:val="0"/>
        </w:rPr>
      </w:pPr>
      <w:bookmarkStart w:name="（3）被购买方于购买日可辨认资产、负债" w:id="414"/>
      <w:bookmarkEnd w:id="414"/>
      <w:r>
        <w:rPr>
          <w:b w:val="0"/>
          <w:bCs w:val="0"/>
        </w:rPr>
      </w:r>
      <w:r>
        <w:rPr/>
        <w:t>（</w:t>
      </w:r>
      <w:r>
        <w:rPr>
          <w:rFonts w:ascii="Times New Roman" w:hAnsi="Times New Roman" w:cs="Times New Roman" w:eastAsia="Times New Roman" w:hint="default"/>
        </w:rPr>
        <w:t>3</w:t>
      </w:r>
      <w:r>
        <w:rPr/>
        <w:t>）被购买方于购买日可辨认资产、负债</w:t>
      </w:r>
      <w:r>
        <w:rPr>
          <w:b w:val="0"/>
          <w:bCs w:val="0"/>
        </w:rPr>
      </w:r>
    </w:p>
    <w:p>
      <w:pPr>
        <w:spacing w:line="240" w:lineRule="auto" w:before="4"/>
        <w:rPr>
          <w:rFonts w:ascii="宋体" w:hAnsi="宋体" w:cs="宋体" w:eastAsia="宋体" w:hint="default"/>
          <w:b/>
          <w:bCs/>
          <w:sz w:val="26"/>
          <w:szCs w:val="26"/>
        </w:rPr>
      </w:pPr>
    </w:p>
    <w:p>
      <w:pPr>
        <w:spacing w:before="0"/>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7"/>
        <w:gridCol w:w="3200"/>
        <w:gridCol w:w="3192"/>
      </w:tblGrid>
      <w:tr>
        <w:trPr>
          <w:trHeight w:val="206" w:hRule="exact"/>
        </w:trPr>
        <w:tc>
          <w:tcPr>
            <w:tcW w:w="3167" w:type="dxa"/>
            <w:tcBorders>
              <w:top w:val="single" w:sz="4" w:space="0" w:color="000000"/>
              <w:left w:val="single" w:sz="4" w:space="0" w:color="000000"/>
              <w:bottom w:val="nil" w:sz="6" w:space="0" w:color="auto"/>
              <w:right w:val="single" w:sz="4" w:space="0" w:color="000000"/>
            </w:tcBorders>
            <w:shd w:val="clear" w:color="auto" w:fill="D4D4D4"/>
          </w:tcPr>
          <w:p>
            <w:pPr/>
          </w:p>
        </w:tc>
        <w:tc>
          <w:tcPr>
            <w:tcW w:w="6392"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left="8" w:right="0"/>
              <w:jc w:val="center"/>
              <w:rPr>
                <w:rFonts w:ascii="宋体" w:hAnsi="宋体" w:cs="宋体" w:eastAsia="宋体" w:hint="default"/>
                <w:sz w:val="18"/>
                <w:szCs w:val="18"/>
              </w:rPr>
            </w:pPr>
            <w:r>
              <w:rPr>
                <w:rFonts w:ascii="宋体" w:hAnsi="宋体" w:cs="宋体" w:eastAsia="宋体" w:hint="default"/>
                <w:sz w:val="18"/>
                <w:szCs w:val="18"/>
              </w:rPr>
              <w:t>中检美亚</w:t>
            </w:r>
          </w:p>
        </w:tc>
      </w:tr>
      <w:tr>
        <w:trPr>
          <w:trHeight w:val="192" w:hRule="exact"/>
        </w:trPr>
        <w:tc>
          <w:tcPr>
            <w:tcW w:w="3167"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6392" w:type="dxa"/>
            <w:gridSpan w:val="2"/>
            <w:vMerge/>
            <w:tcBorders>
              <w:left w:val="single" w:sz="4" w:space="0" w:color="000000"/>
              <w:bottom w:val="single" w:sz="4" w:space="0" w:color="000000"/>
              <w:right w:val="single" w:sz="4" w:space="0" w:color="000000"/>
            </w:tcBorders>
            <w:shd w:val="clear" w:color="auto" w:fill="D4D4D4"/>
          </w:tcPr>
          <w:p>
            <w:pPr/>
          </w:p>
        </w:tc>
      </w:tr>
      <w:tr>
        <w:trPr>
          <w:trHeight w:val="199" w:hRule="exact"/>
        </w:trPr>
        <w:tc>
          <w:tcPr>
            <w:tcW w:w="3167" w:type="dxa"/>
            <w:vMerge/>
            <w:tcBorders>
              <w:left w:val="single" w:sz="4" w:space="0" w:color="000000"/>
              <w:bottom w:val="nil" w:sz="6" w:space="0" w:color="auto"/>
              <w:right w:val="single" w:sz="4" w:space="0" w:color="000000"/>
            </w:tcBorders>
            <w:shd w:val="clear" w:color="auto" w:fill="D4D4D4"/>
          </w:tcPr>
          <w:p>
            <w:pPr/>
          </w:p>
        </w:tc>
        <w:tc>
          <w:tcPr>
            <w:tcW w:w="3200"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970" w:right="0"/>
              <w:jc w:val="left"/>
              <w:rPr>
                <w:rFonts w:ascii="宋体" w:hAnsi="宋体" w:cs="宋体" w:eastAsia="宋体" w:hint="default"/>
                <w:sz w:val="18"/>
                <w:szCs w:val="18"/>
              </w:rPr>
            </w:pPr>
            <w:r>
              <w:rPr>
                <w:rFonts w:ascii="宋体" w:hAnsi="宋体" w:cs="宋体" w:eastAsia="宋体" w:hint="default"/>
                <w:sz w:val="18"/>
                <w:szCs w:val="18"/>
              </w:rPr>
              <w:t>购买日公允价值</w:t>
            </w:r>
          </w:p>
        </w:tc>
        <w:tc>
          <w:tcPr>
            <w:tcW w:w="3192"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959" w:right="0"/>
              <w:jc w:val="left"/>
              <w:rPr>
                <w:rFonts w:ascii="宋体" w:hAnsi="宋体" w:cs="宋体" w:eastAsia="宋体" w:hint="default"/>
                <w:sz w:val="18"/>
                <w:szCs w:val="18"/>
              </w:rPr>
            </w:pPr>
            <w:r>
              <w:rPr>
                <w:rFonts w:ascii="宋体" w:hAnsi="宋体" w:cs="宋体" w:eastAsia="宋体" w:hint="default"/>
                <w:sz w:val="18"/>
                <w:szCs w:val="18"/>
              </w:rPr>
              <w:t>购买日账面价值</w:t>
            </w:r>
          </w:p>
        </w:tc>
      </w:tr>
      <w:tr>
        <w:trPr>
          <w:trHeight w:val="206" w:hRule="exact"/>
        </w:trPr>
        <w:tc>
          <w:tcPr>
            <w:tcW w:w="3167" w:type="dxa"/>
            <w:tcBorders>
              <w:top w:val="nil" w:sz="6" w:space="0" w:color="auto"/>
              <w:left w:val="single" w:sz="4" w:space="0" w:color="000000"/>
              <w:bottom w:val="single" w:sz="4" w:space="0" w:color="000000"/>
              <w:right w:val="single" w:sz="4" w:space="0" w:color="000000"/>
            </w:tcBorders>
            <w:shd w:val="clear" w:color="auto" w:fill="D4D4D4"/>
          </w:tcPr>
          <w:p>
            <w:pPr/>
          </w:p>
        </w:tc>
        <w:tc>
          <w:tcPr>
            <w:tcW w:w="3200" w:type="dxa"/>
            <w:vMerge/>
            <w:tcBorders>
              <w:left w:val="single" w:sz="4" w:space="0" w:color="000000"/>
              <w:bottom w:val="single" w:sz="4" w:space="0" w:color="000000"/>
              <w:right w:val="single" w:sz="4" w:space="0" w:color="000000"/>
            </w:tcBorders>
            <w:shd w:val="clear" w:color="auto" w:fill="D4D4D4"/>
          </w:tcPr>
          <w:p>
            <w:pPr/>
          </w:p>
        </w:tc>
        <w:tc>
          <w:tcPr>
            <w:tcW w:w="3192" w:type="dxa"/>
            <w:vMerge/>
            <w:tcBorders>
              <w:left w:val="single" w:sz="4" w:space="0" w:color="000000"/>
              <w:bottom w:val="single" w:sz="4" w:space="0" w:color="000000"/>
              <w:right w:val="single" w:sz="4" w:space="0" w:color="000000"/>
            </w:tcBorders>
            <w:shd w:val="clear" w:color="auto" w:fill="D4D4D4"/>
          </w:tcPr>
          <w:p>
            <w:pP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200"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2,502,154.03</w:t>
            </w:r>
            <w:r>
              <w:rPr>
                <w:rFonts w:ascii="Times New Roman"/>
                <w:sz w:val="18"/>
              </w:rPr>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2,502,154.03</w:t>
            </w:r>
            <w:r>
              <w:rPr>
                <w:rFonts w:ascii="Times New Roman"/>
                <w:sz w:val="18"/>
              </w:rPr>
            </w:r>
          </w:p>
        </w:tc>
      </w:tr>
      <w:tr>
        <w:trPr>
          <w:trHeight w:val="401"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应收款项</w:t>
            </w:r>
          </w:p>
        </w:tc>
        <w:tc>
          <w:tcPr>
            <w:tcW w:w="3200"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3,425,491.88</w:t>
            </w:r>
            <w:r>
              <w:rPr>
                <w:rFonts w:ascii="Times New Roman"/>
                <w:sz w:val="18"/>
              </w:rPr>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3,425,491.88</w:t>
            </w:r>
            <w:r>
              <w:rPr>
                <w:rFonts w:ascii="Times New Roman"/>
                <w:sz w:val="18"/>
              </w:rPr>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200"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51,965.83</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51,965.83</w:t>
            </w:r>
          </w:p>
        </w:tc>
      </w:tr>
      <w:tr>
        <w:trPr>
          <w:trHeight w:val="401"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200"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188,632.00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103,287.19</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200"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5,797,026.29</w:t>
            </w:r>
            <w:r>
              <w:rPr>
                <w:rFonts w:ascii="Times New Roman"/>
                <w:sz w:val="18"/>
              </w:rPr>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15,212.64</w:t>
            </w:r>
          </w:p>
        </w:tc>
      </w:tr>
      <w:tr>
        <w:trPr>
          <w:trHeight w:val="401"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200"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6,883.65</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6,883.65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8"/>
        <w:gridCol w:w="3190"/>
        <w:gridCol w:w="3192"/>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400,000.00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400,000.00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应付款项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10,900,608.02</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10,900,608.02</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586,715.85</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727,901.96</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727,901.96</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156,927.85</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-5,123,514.76</w:t>
            </w:r>
            <w:r>
              <w:rPr>
                <w:rFonts w:ascii="Times New Roman"/>
                <w:sz w:val="18"/>
              </w:rPr>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减：少数股东权益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95,474.90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-3,117,146.38</w:t>
            </w:r>
            <w:r>
              <w:rPr>
                <w:rFonts w:ascii="Times New Roman"/>
                <w:sz w:val="18"/>
              </w:rPr>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取得的净资产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61,452.95</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-2,006,368.38</w:t>
            </w:r>
            <w:r>
              <w:rPr>
                <w:rFonts w:ascii="Times New Roman"/>
                <w:sz w:val="18"/>
              </w:rPr>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可辨认资产、负债公允价值的确定方法：</w:t>
      </w:r>
    </w:p>
    <w:p>
      <w:pPr>
        <w:spacing w:line="240" w:lineRule="auto" w:before="1"/>
        <w:rPr>
          <w:rFonts w:ascii="宋体" w:hAnsi="宋体" w:cs="宋体" w:eastAsia="宋体" w:hint="default"/>
          <w:sz w:val="13"/>
          <w:szCs w:val="13"/>
        </w:rPr>
      </w:pPr>
    </w:p>
    <w:p>
      <w:pPr>
        <w:pStyle w:val="BodyText"/>
        <w:spacing w:line="408" w:lineRule="auto" w:before="0"/>
        <w:ind w:right="1128" w:firstLine="420"/>
        <w:jc w:val="left"/>
      </w:pPr>
      <w:r>
        <w:rPr>
          <w:spacing w:val="-2"/>
        </w:rPr>
        <w:t>考虑中检美亚目前处于持续亏损状态、未来经营业绩具有较大的不确定性，且中检美亚的经营规模相</w:t>
      </w:r>
      <w:r>
        <w:rPr>
          <w:w w:val="100"/>
        </w:rPr>
        <w:t> </w:t>
      </w:r>
      <w:r>
        <w:rPr>
          <w:spacing w:val="-2"/>
        </w:rPr>
        <w:t>比本公司的体量较小，故本公司以资产基础法的评估结果作为中检美亚（北京）科技有限公司股东全部权</w:t>
      </w:r>
      <w:r>
        <w:rPr>
          <w:spacing w:val="-46"/>
        </w:rPr>
        <w:t> </w:t>
      </w:r>
      <w:r>
        <w:rPr>
          <w:spacing w:val="-46"/>
        </w:rPr>
      </w:r>
      <w:r>
        <w:rPr>
          <w:spacing w:val="-2"/>
        </w:rPr>
        <w:t>益的评估值，根据信嘉（北京）资产评估公司以</w:t>
      </w:r>
      <w:r>
        <w:rPr>
          <w:rFonts w:ascii="宋体" w:hAnsi="宋体" w:cs="宋体" w:eastAsia="宋体" w:hint="default"/>
          <w:spacing w:val="-2"/>
        </w:rPr>
        <w:t>2019</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日为基准日对中检美亚（北京）科技有限公</w:t>
      </w:r>
      <w:r>
        <w:rPr>
          <w:spacing w:val="-42"/>
        </w:rPr>
        <w:t> </w:t>
      </w:r>
      <w:r>
        <w:rPr>
          <w:spacing w:val="-42"/>
        </w:rPr>
      </w:r>
      <w:r>
        <w:rPr>
          <w:spacing w:val="-2"/>
        </w:rPr>
        <w:t>司股东全部权益价值进行评估并出具的《厦门市美亚柏科信息股份有限公司拟了解中检美亚（北京）科技</w:t>
      </w:r>
      <w:r>
        <w:rPr>
          <w:spacing w:val="-42"/>
        </w:rPr>
        <w:t> </w:t>
      </w:r>
      <w:r>
        <w:rPr>
          <w:spacing w:val="-42"/>
        </w:rPr>
      </w:r>
      <w:r>
        <w:rPr>
          <w:spacing w:val="-2"/>
        </w:rPr>
        <w:t>有限公司股东全部权益价值事宜资产评估报告》（信嘉评报字【</w:t>
      </w:r>
      <w:r>
        <w:rPr>
          <w:rFonts w:ascii="宋体" w:hAnsi="宋体" w:cs="宋体" w:eastAsia="宋体" w:hint="default"/>
          <w:spacing w:val="-2"/>
        </w:rPr>
        <w:t>2020</w:t>
      </w:r>
      <w:r>
        <w:rPr>
          <w:spacing w:val="-2"/>
        </w:rPr>
        <w:t>】第</w:t>
      </w:r>
      <w:r>
        <w:rPr>
          <w:rFonts w:ascii="宋体" w:hAnsi="宋体" w:cs="宋体" w:eastAsia="宋体" w:hint="default"/>
          <w:spacing w:val="-2"/>
        </w:rPr>
        <w:t>01-005</w:t>
      </w:r>
      <w:r>
        <w:rPr>
          <w:spacing w:val="-2"/>
        </w:rPr>
        <w:t>号），本公司确定的购买</w:t>
      </w:r>
      <w:r>
        <w:rPr>
          <w:spacing w:val="-38"/>
        </w:rPr>
        <w:t> </w:t>
      </w:r>
      <w:r>
        <w:rPr>
          <w:spacing w:val="-38"/>
        </w:rPr>
      </w:r>
      <w:r>
        <w:rPr/>
        <w:t>日之前持有的股权于购买日的公允价值为</w:t>
      </w:r>
      <w:r>
        <w:rPr>
          <w:rFonts w:ascii="宋体" w:hAnsi="宋体" w:cs="宋体" w:eastAsia="宋体" w:hint="default"/>
        </w:rPr>
        <w:t>61,452.95</w:t>
      </w:r>
      <w:r>
        <w:rPr/>
        <w:t>元，本公司取得的购买日可辨认净资产公允价值份额</w:t>
      </w:r>
      <w:r>
        <w:rPr>
          <w:w w:val="100"/>
        </w:rPr>
        <w:t> </w:t>
      </w:r>
      <w:r>
        <w:rPr>
          <w:rFonts w:ascii="宋体" w:hAnsi="宋体" w:cs="宋体" w:eastAsia="宋体" w:hint="default"/>
        </w:rPr>
        <w:t>61,452.95</w:t>
      </w:r>
      <w:r>
        <w:rPr/>
        <w:t>元。</w:t>
      </w:r>
    </w:p>
    <w:p>
      <w:pPr>
        <w:spacing w:line="240" w:lineRule="auto" w:before="2"/>
        <w:rPr>
          <w:rFonts w:ascii="宋体" w:hAnsi="宋体" w:cs="宋体" w:eastAsia="宋体" w:hint="default"/>
          <w:sz w:val="26"/>
          <w:szCs w:val="26"/>
        </w:rPr>
      </w:pPr>
    </w:p>
    <w:p>
      <w:pPr>
        <w:spacing w:line="357" w:lineRule="auto" w:before="0"/>
        <w:ind w:left="152" w:right="7514" w:firstLine="0"/>
        <w:jc w:val="left"/>
        <w:rPr>
          <w:rFonts w:ascii="宋体" w:hAnsi="宋体" w:cs="宋体" w:eastAsia="宋体" w:hint="default"/>
          <w:sz w:val="18"/>
          <w:szCs w:val="18"/>
        </w:rPr>
      </w:pPr>
      <w:r>
        <w:rPr>
          <w:rFonts w:ascii="宋体" w:hAnsi="宋体" w:cs="宋体" w:eastAsia="宋体" w:hint="default"/>
          <w:sz w:val="18"/>
          <w:szCs w:val="18"/>
        </w:rPr>
        <w:t>企业合并中承担的被购买方的或有负债： 其他说明：</w:t>
      </w:r>
    </w:p>
    <w:p>
      <w:pPr>
        <w:spacing w:line="240" w:lineRule="auto" w:before="6"/>
        <w:rPr>
          <w:rFonts w:ascii="宋体" w:hAnsi="宋体" w:cs="宋体" w:eastAsia="宋体" w:hint="default"/>
          <w:sz w:val="20"/>
          <w:szCs w:val="20"/>
        </w:rPr>
      </w:pPr>
    </w:p>
    <w:p>
      <w:pPr>
        <w:pStyle w:val="Heading4"/>
        <w:spacing w:line="240" w:lineRule="auto"/>
        <w:ind w:right="986"/>
        <w:jc w:val="left"/>
        <w:rPr>
          <w:b w:val="0"/>
          <w:bCs w:val="0"/>
        </w:rPr>
      </w:pPr>
      <w:bookmarkStart w:name="（4）购买日之前持有的股权按照公允价值重新计量产生的利得或损失" w:id="415"/>
      <w:bookmarkEnd w:id="415"/>
      <w:r>
        <w:rPr>
          <w:b w:val="0"/>
          <w:bCs w:val="0"/>
        </w:rPr>
      </w:r>
      <w:r>
        <w:rPr/>
        <w:t>（</w:t>
      </w:r>
      <w:r>
        <w:rPr>
          <w:rFonts w:ascii="Times New Roman" w:hAnsi="Times New Roman" w:cs="Times New Roman" w:eastAsia="Times New Roman" w:hint="default"/>
        </w:rPr>
        <w:t>4</w:t>
      </w:r>
      <w:r>
        <w:rPr/>
        <w:t>）购买日之前持有的股权按照公允价值重新计量产生的利得或损失</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是否存在通过多次交易分步实现企业合并且在报告期内取得控制权的交易</w:t>
      </w:r>
    </w:p>
    <w:p>
      <w:pPr>
        <w:spacing w:before="117"/>
        <w:ind w:left="152" w:right="986" w:firstLine="0"/>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3"/>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5）购买日或合并当期期末无法合理确定合并对价或被购买方可辨认资产、负债公允价值" w:id="416"/>
      <w:bookmarkEnd w:id="416"/>
      <w:r>
        <w:rPr>
          <w:b w:val="0"/>
          <w:bCs w:val="0"/>
        </w:rPr>
      </w:r>
      <w:r>
        <w:rPr/>
        <w:t>（</w:t>
      </w:r>
      <w:r>
        <w:rPr>
          <w:rFonts w:ascii="Times New Roman" w:hAnsi="Times New Roman" w:cs="Times New Roman" w:eastAsia="Times New Roman" w:hint="default"/>
        </w:rPr>
        <w:t>5</w:t>
      </w:r>
      <w:r>
        <w:rPr/>
        <w:t>）购买日或合并当期期末无法合理确定合并对价或被购买方可辨认资产、负债公允价值的相关说明</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6）其他说明" w:id="417"/>
      <w:bookmarkEnd w:id="417"/>
      <w:r>
        <w:rPr>
          <w:b w:val="0"/>
          <w:bCs w:val="0"/>
        </w:rPr>
      </w:r>
      <w:r>
        <w:rPr/>
        <w:t>（</w:t>
      </w:r>
      <w:r>
        <w:rPr>
          <w:rFonts w:ascii="Times New Roman" w:hAnsi="Times New Roman" w:cs="Times New Roman" w:eastAsia="Times New Roman" w:hint="default"/>
        </w:rPr>
        <w:t>6</w:t>
      </w:r>
      <w:r>
        <w:rPr/>
        <w:t>）其他说明</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2、同一控制下企业合并" w:id="418"/>
      <w:bookmarkEnd w:id="418"/>
      <w:r>
        <w:rPr>
          <w:b w:val="0"/>
          <w:bCs w:val="0"/>
        </w:rPr>
      </w:r>
      <w:r>
        <w:rPr>
          <w:rFonts w:ascii="Times New Roman" w:hAnsi="Times New Roman" w:cs="Times New Roman" w:eastAsia="Times New Roman" w:hint="default"/>
        </w:rPr>
        <w:t>2</w:t>
      </w:r>
      <w:r>
        <w:rPr/>
        <w:t>、同一控制下企业合并</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3、反向购买" w:id="419"/>
      <w:bookmarkEnd w:id="419"/>
      <w:r>
        <w:rPr>
          <w:b w:val="0"/>
          <w:bCs w:val="0"/>
        </w:rPr>
      </w:r>
      <w:r>
        <w:rPr>
          <w:rFonts w:ascii="Times New Roman" w:hAnsi="Times New Roman" w:cs="Times New Roman" w:eastAsia="Times New Roman" w:hint="default"/>
        </w:rPr>
        <w:t>3</w:t>
      </w:r>
      <w:r>
        <w:rPr/>
        <w:t>、反向购买</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4、处置子公司" w:id="420"/>
      <w:bookmarkEnd w:id="420"/>
      <w:r>
        <w:rPr>
          <w:b w:val="0"/>
          <w:bCs w:val="0"/>
        </w:rPr>
      </w:r>
      <w:r>
        <w:rPr>
          <w:rFonts w:ascii="Times New Roman" w:hAnsi="Times New Roman" w:cs="Times New Roman" w:eastAsia="Times New Roman" w:hint="default"/>
        </w:rPr>
        <w:t>4</w:t>
      </w:r>
      <w:r>
        <w:rPr/>
        <w:t>、处置子公司</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是否存在单次处置对子公司投资即丧失控制权的情形</w:t>
      </w:r>
    </w:p>
    <w:p>
      <w:pPr>
        <w:spacing w:line="360" w:lineRule="auto" w:before="115"/>
        <w:ind w:left="152" w:right="4994" w:hanging="1"/>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3"/>
          <w:sz w:val="18"/>
          <w:szCs w:val="18"/>
        </w:rPr>
        <w:t> </w:t>
      </w:r>
      <w:r>
        <w:rPr>
          <w:rFonts w:ascii="宋体" w:hAnsi="宋体" w:cs="宋体" w:eastAsia="宋体" w:hint="default"/>
          <w:sz w:val="18"/>
          <w:szCs w:val="18"/>
        </w:rPr>
        <w:t>否</w:t>
      </w:r>
      <w:r>
        <w:rPr>
          <w:rFonts w:ascii="宋体" w:hAnsi="宋体" w:cs="宋体" w:eastAsia="宋体" w:hint="default"/>
          <w:sz w:val="18"/>
          <w:szCs w:val="18"/>
        </w:rPr>
        <w:t> 是否存在通过多次交易分步处置对子公司投资且在本期丧失控制权的情形</w:t>
      </w:r>
    </w:p>
    <w:p>
      <w:pPr>
        <w:spacing w:before="27"/>
        <w:ind w:left="152" w:right="986" w:firstLine="0"/>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3"/>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5、其他原因的合并范围变动" w:id="421"/>
      <w:bookmarkEnd w:id="421"/>
      <w:r>
        <w:rPr>
          <w:b w:val="0"/>
          <w:bCs w:val="0"/>
        </w:rPr>
      </w:r>
      <w:r>
        <w:rPr>
          <w:rFonts w:ascii="Times New Roman" w:hAnsi="Times New Roman" w:cs="Times New Roman" w:eastAsia="Times New Roman" w:hint="default"/>
        </w:rPr>
        <w:t>5</w:t>
      </w:r>
      <w:r>
        <w:rPr/>
        <w:t>、其他原因的合并范围变动</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说明其他原因导致的合并范围变动（如，新设子公司、清算子公司等）及其相关情况：</w:t>
      </w:r>
    </w:p>
    <w:p>
      <w:pPr>
        <w:spacing w:line="240" w:lineRule="auto" w:before="3"/>
        <w:rPr>
          <w:rFonts w:ascii="宋体" w:hAnsi="宋体" w:cs="宋体" w:eastAsia="宋体" w:hint="default"/>
          <w:sz w:val="13"/>
          <w:szCs w:val="13"/>
        </w:rPr>
      </w:pPr>
    </w:p>
    <w:p>
      <w:pPr>
        <w:pStyle w:val="BodyText"/>
        <w:spacing w:line="240" w:lineRule="auto" w:before="0"/>
        <w:ind w:left="572" w:right="986"/>
        <w:jc w:val="left"/>
      </w:pPr>
      <w:r>
        <w:rPr>
          <w:rFonts w:ascii="宋体" w:hAnsi="宋体" w:cs="宋体" w:eastAsia="宋体" w:hint="default"/>
        </w:rPr>
        <w:t>1</w:t>
      </w:r>
      <w:r>
        <w:rPr/>
        <w:t>）设立美亚信安</w:t>
      </w:r>
    </w:p>
    <w:p>
      <w:pPr>
        <w:spacing w:line="240" w:lineRule="auto" w:before="10"/>
        <w:rPr>
          <w:rFonts w:ascii="宋体" w:hAnsi="宋体" w:cs="宋体" w:eastAsia="宋体" w:hint="default"/>
          <w:sz w:val="14"/>
          <w:szCs w:val="14"/>
        </w:rPr>
      </w:pPr>
    </w:p>
    <w:p>
      <w:pPr>
        <w:pStyle w:val="BodyText"/>
        <w:spacing w:line="240" w:lineRule="auto" w:before="0"/>
        <w:ind w:left="572" w:right="986"/>
        <w:jc w:val="left"/>
      </w:pPr>
      <w:r>
        <w:rPr>
          <w:rFonts w:ascii="宋体" w:hAnsi="宋体" w:cs="宋体" w:eastAsia="宋体" w:hint="default"/>
        </w:rPr>
        <w:t>2019</w:t>
      </w:r>
      <w:r>
        <w:rPr/>
        <w:t>年</w:t>
      </w:r>
      <w:r>
        <w:rPr>
          <w:rFonts w:ascii="宋体" w:hAnsi="宋体" w:cs="宋体" w:eastAsia="宋体" w:hint="default"/>
        </w:rPr>
        <w:t>1</w:t>
      </w:r>
      <w:r>
        <w:rPr/>
        <w:t>月</w:t>
      </w:r>
      <w:r>
        <w:rPr>
          <w:rFonts w:ascii="宋体" w:hAnsi="宋体" w:cs="宋体" w:eastAsia="宋体" w:hint="default"/>
        </w:rPr>
        <w:t>10</w:t>
      </w:r>
      <w:r>
        <w:rPr/>
        <w:t>日，本公司独资设立美亚信安，注册资本为</w:t>
      </w:r>
      <w:r>
        <w:rPr>
          <w:rFonts w:ascii="宋体" w:hAnsi="宋体" w:cs="宋体" w:eastAsia="宋体" w:hint="default"/>
        </w:rPr>
        <w:t>1,000.00</w:t>
      </w:r>
      <w:r>
        <w:rPr/>
        <w:t>万元。</w:t>
      </w:r>
    </w:p>
    <w:p>
      <w:pPr>
        <w:spacing w:line="240" w:lineRule="auto" w:before="10"/>
        <w:rPr>
          <w:rFonts w:ascii="宋体" w:hAnsi="宋体" w:cs="宋体" w:eastAsia="宋体" w:hint="default"/>
          <w:sz w:val="14"/>
          <w:szCs w:val="14"/>
        </w:rPr>
      </w:pPr>
    </w:p>
    <w:p>
      <w:pPr>
        <w:pStyle w:val="BodyText"/>
        <w:spacing w:line="240" w:lineRule="auto" w:before="0"/>
        <w:ind w:left="573" w:right="986"/>
        <w:jc w:val="left"/>
      </w:pPr>
      <w:r>
        <w:rPr>
          <w:rFonts w:ascii="宋体" w:hAnsi="宋体" w:cs="宋体" w:eastAsia="宋体" w:hint="default"/>
        </w:rPr>
        <w:t>2</w:t>
      </w:r>
      <w:r>
        <w:rPr/>
        <w:t>）设立美亚秦安</w:t>
      </w:r>
    </w:p>
    <w:p>
      <w:pPr>
        <w:spacing w:line="240" w:lineRule="auto" w:before="10"/>
        <w:rPr>
          <w:rFonts w:ascii="宋体" w:hAnsi="宋体" w:cs="宋体" w:eastAsia="宋体" w:hint="default"/>
          <w:sz w:val="14"/>
          <w:szCs w:val="14"/>
        </w:rPr>
      </w:pPr>
    </w:p>
    <w:p>
      <w:pPr>
        <w:pStyle w:val="BodyText"/>
        <w:spacing w:line="240" w:lineRule="auto" w:before="0"/>
        <w:ind w:left="573" w:right="986"/>
        <w:jc w:val="left"/>
      </w:pPr>
      <w:r>
        <w:rPr>
          <w:rFonts w:ascii="宋体" w:hAnsi="宋体" w:cs="宋体" w:eastAsia="宋体" w:hint="default"/>
        </w:rPr>
        <w:t>2019</w:t>
      </w:r>
      <w:r>
        <w:rPr/>
        <w:t>年</w:t>
      </w:r>
      <w:r>
        <w:rPr>
          <w:rFonts w:ascii="宋体" w:hAnsi="宋体" w:cs="宋体" w:eastAsia="宋体" w:hint="default"/>
        </w:rPr>
        <w:t>6</w:t>
      </w:r>
      <w:r>
        <w:rPr/>
        <w:t>月</w:t>
      </w:r>
      <w:r>
        <w:rPr>
          <w:rFonts w:ascii="宋体" w:hAnsi="宋体" w:cs="宋体" w:eastAsia="宋体" w:hint="default"/>
        </w:rPr>
        <w:t>13</w:t>
      </w:r>
      <w:r>
        <w:rPr/>
        <w:t>日，本公司独资设立美亚秦安，注册资本为</w:t>
      </w:r>
      <w:r>
        <w:rPr>
          <w:rFonts w:ascii="宋体" w:hAnsi="宋体" w:cs="宋体" w:eastAsia="宋体" w:hint="default"/>
        </w:rPr>
        <w:t>1,000.00</w:t>
      </w:r>
      <w:r>
        <w:rPr/>
        <w:t>万元。</w:t>
      </w:r>
    </w:p>
    <w:p>
      <w:pPr>
        <w:spacing w:line="240" w:lineRule="auto" w:before="10"/>
        <w:rPr>
          <w:rFonts w:ascii="宋体" w:hAnsi="宋体" w:cs="宋体" w:eastAsia="宋体" w:hint="default"/>
          <w:sz w:val="14"/>
          <w:szCs w:val="14"/>
        </w:rPr>
      </w:pPr>
    </w:p>
    <w:p>
      <w:pPr>
        <w:pStyle w:val="BodyText"/>
        <w:spacing w:line="240" w:lineRule="auto" w:before="0"/>
        <w:ind w:left="573" w:right="986"/>
        <w:jc w:val="left"/>
      </w:pPr>
      <w:r>
        <w:rPr>
          <w:rFonts w:ascii="宋体" w:hAnsi="宋体" w:cs="宋体" w:eastAsia="宋体" w:hint="default"/>
        </w:rPr>
        <w:t>3</w:t>
      </w:r>
      <w:r>
        <w:rPr/>
        <w:t>）设立美亚川安</w:t>
      </w:r>
    </w:p>
    <w:p>
      <w:pPr>
        <w:spacing w:line="240" w:lineRule="auto" w:before="10"/>
        <w:rPr>
          <w:rFonts w:ascii="宋体" w:hAnsi="宋体" w:cs="宋体" w:eastAsia="宋体" w:hint="default"/>
          <w:sz w:val="14"/>
          <w:szCs w:val="14"/>
        </w:rPr>
      </w:pPr>
    </w:p>
    <w:p>
      <w:pPr>
        <w:pStyle w:val="BodyText"/>
        <w:spacing w:line="240" w:lineRule="auto" w:before="0"/>
        <w:ind w:left="573" w:right="986"/>
        <w:jc w:val="left"/>
      </w:pPr>
      <w:r>
        <w:rPr>
          <w:rFonts w:ascii="宋体" w:hAnsi="宋体" w:cs="宋体" w:eastAsia="宋体" w:hint="default"/>
        </w:rPr>
        <w:t>2019</w:t>
      </w:r>
      <w:r>
        <w:rPr/>
        <w:t>年</w:t>
      </w:r>
      <w:r>
        <w:rPr>
          <w:rFonts w:ascii="宋体" w:hAnsi="宋体" w:cs="宋体" w:eastAsia="宋体" w:hint="default"/>
        </w:rPr>
        <w:t>10</w:t>
      </w:r>
      <w:r>
        <w:rPr/>
        <w:t>月</w:t>
      </w:r>
      <w:r>
        <w:rPr>
          <w:rFonts w:ascii="宋体" w:hAnsi="宋体" w:cs="宋体" w:eastAsia="宋体" w:hint="default"/>
        </w:rPr>
        <w:t>12</w:t>
      </w:r>
      <w:r>
        <w:rPr/>
        <w:t>日，本公司独资设立美亚川安，注册资本为</w:t>
      </w:r>
      <w:r>
        <w:rPr>
          <w:rFonts w:ascii="宋体" w:hAnsi="宋体" w:cs="宋体" w:eastAsia="宋体" w:hint="default"/>
        </w:rPr>
        <w:t>800.00</w:t>
      </w:r>
      <w:r>
        <w:rPr/>
        <w:t>万元。</w:t>
      </w:r>
    </w:p>
    <w:p>
      <w:pPr>
        <w:spacing w:line="240" w:lineRule="auto" w:before="10"/>
        <w:rPr>
          <w:rFonts w:ascii="宋体" w:hAnsi="宋体" w:cs="宋体" w:eastAsia="宋体" w:hint="default"/>
          <w:sz w:val="14"/>
          <w:szCs w:val="14"/>
        </w:rPr>
      </w:pPr>
    </w:p>
    <w:p>
      <w:pPr>
        <w:pStyle w:val="BodyText"/>
        <w:spacing w:line="240" w:lineRule="auto" w:before="0"/>
        <w:ind w:left="573" w:right="986"/>
        <w:jc w:val="left"/>
      </w:pPr>
      <w:r>
        <w:rPr>
          <w:rFonts w:ascii="宋体" w:hAnsi="宋体" w:cs="宋体" w:eastAsia="宋体" w:hint="default"/>
        </w:rPr>
        <w:t>4</w:t>
      </w:r>
      <w:r>
        <w:rPr/>
        <w:t>）设立美亚陇安</w:t>
      </w:r>
    </w:p>
    <w:p>
      <w:pPr>
        <w:spacing w:line="240" w:lineRule="auto" w:before="10"/>
        <w:rPr>
          <w:rFonts w:ascii="宋体" w:hAnsi="宋体" w:cs="宋体" w:eastAsia="宋体" w:hint="default"/>
          <w:sz w:val="14"/>
          <w:szCs w:val="14"/>
        </w:rPr>
      </w:pPr>
    </w:p>
    <w:p>
      <w:pPr>
        <w:pStyle w:val="BodyText"/>
        <w:spacing w:line="240" w:lineRule="auto" w:before="0"/>
        <w:ind w:left="575" w:right="986"/>
        <w:jc w:val="left"/>
      </w:pPr>
      <w:r>
        <w:rPr>
          <w:rFonts w:ascii="宋体" w:hAnsi="宋体" w:cs="宋体" w:eastAsia="宋体" w:hint="default"/>
        </w:rPr>
        <w:t>2019</w:t>
      </w:r>
      <w:r>
        <w:rPr/>
        <w:t>年</w:t>
      </w:r>
      <w:r>
        <w:rPr>
          <w:rFonts w:ascii="宋体" w:hAnsi="宋体" w:cs="宋体" w:eastAsia="宋体" w:hint="default"/>
        </w:rPr>
        <w:t>10</w:t>
      </w:r>
      <w:r>
        <w:rPr/>
        <w:t>月</w:t>
      </w:r>
      <w:r>
        <w:rPr>
          <w:rFonts w:ascii="宋体" w:hAnsi="宋体" w:cs="宋体" w:eastAsia="宋体" w:hint="default"/>
        </w:rPr>
        <w:t>29</w:t>
      </w:r>
      <w:r>
        <w:rPr/>
        <w:t>日，本公司独资设立美亚陇安，注册资本为</w:t>
      </w:r>
      <w:r>
        <w:rPr>
          <w:rFonts w:ascii="宋体" w:hAnsi="宋体" w:cs="宋体" w:eastAsia="宋体" w:hint="default"/>
        </w:rPr>
        <w:t>1,000.00</w:t>
      </w:r>
      <w:r>
        <w:rPr/>
        <w:t>万元。</w:t>
      </w:r>
    </w:p>
    <w:p>
      <w:pPr>
        <w:spacing w:line="240" w:lineRule="auto" w:before="0"/>
        <w:rPr>
          <w:rFonts w:ascii="宋体" w:hAnsi="宋体" w:cs="宋体" w:eastAsia="宋体" w:hint="default"/>
          <w:sz w:val="20"/>
          <w:szCs w:val="20"/>
        </w:rPr>
      </w:pPr>
    </w:p>
    <w:p>
      <w:pPr>
        <w:spacing w:line="487" w:lineRule="auto" w:before="154"/>
        <w:ind w:left="152" w:right="8104" w:firstLine="0"/>
        <w:jc w:val="left"/>
        <w:rPr>
          <w:rFonts w:ascii="宋体" w:hAnsi="宋体" w:cs="宋体" w:eastAsia="宋体" w:hint="default"/>
          <w:sz w:val="21"/>
          <w:szCs w:val="21"/>
        </w:rPr>
      </w:pPr>
      <w:bookmarkStart w:name="6、其他" w:id="422"/>
      <w:bookmarkEnd w:id="422"/>
      <w:r>
        <w:rPr/>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、其他</w:t>
      </w:r>
      <w:r>
        <w:rPr>
          <w:rFonts w:ascii="宋体" w:hAnsi="宋体" w:cs="宋体" w:eastAsia="宋体" w:hint="default"/>
          <w:b/>
          <w:bCs/>
          <w:w w:val="100"/>
          <w:sz w:val="21"/>
          <w:szCs w:val="21"/>
        </w:rPr>
        <w:t> </w:t>
      </w:r>
      <w:bookmarkStart w:name="九、在其他主体中的权益" w:id="423"/>
      <w:bookmarkEnd w:id="423"/>
      <w:r>
        <w:rPr>
          <w:rFonts w:ascii="宋体" w:hAnsi="宋体" w:cs="宋体" w:eastAsia="宋体" w:hint="default"/>
          <w:b/>
          <w:bCs/>
          <w:w w:val="100"/>
          <w:sz w:val="21"/>
          <w:szCs w:val="21"/>
        </w:rPr>
      </w:r>
      <w:r>
        <w:rPr>
          <w:rFonts w:ascii="宋体" w:hAnsi="宋体" w:cs="宋体" w:eastAsia="宋体" w:hint="default"/>
          <w:b/>
          <w:bCs/>
          <w:sz w:val="24"/>
          <w:szCs w:val="24"/>
        </w:rPr>
        <w:t>九、在其他主体中的权益</w:t>
      </w:r>
      <w:r>
        <w:rPr>
          <w:rFonts w:ascii="宋体" w:hAnsi="宋体" w:cs="宋体" w:eastAsia="宋体" w:hint="default"/>
          <w:b/>
          <w:bCs/>
          <w:w w:val="99"/>
          <w:sz w:val="24"/>
          <w:szCs w:val="24"/>
        </w:rPr>
        <w:t> </w:t>
      </w:r>
      <w:bookmarkStart w:name="1、在子公司中的权益" w:id="424"/>
      <w:bookmarkEnd w:id="424"/>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、在子公司中的权益</w:t>
      </w:r>
      <w:r>
        <w:rPr>
          <w:rFonts w:ascii="宋体" w:hAnsi="宋体" w:cs="宋体" w:eastAsia="宋体" w:hint="default"/>
          <w:sz w:val="21"/>
          <w:szCs w:val="21"/>
        </w:rPr>
      </w:r>
    </w:p>
    <w:p>
      <w:pPr>
        <w:pStyle w:val="Heading4"/>
        <w:spacing w:line="240" w:lineRule="auto" w:before="81"/>
        <w:ind w:right="986"/>
        <w:jc w:val="left"/>
        <w:rPr>
          <w:b w:val="0"/>
          <w:bCs w:val="0"/>
        </w:rPr>
      </w:pPr>
      <w:bookmarkStart w:name="（1）企业集团的构成" w:id="425"/>
      <w:bookmarkEnd w:id="425"/>
      <w:r>
        <w:rPr>
          <w:b w:val="0"/>
          <w:bCs w:val="0"/>
        </w:rPr>
      </w:r>
      <w:r>
        <w:rPr/>
        <w:t>（</w:t>
      </w:r>
      <w:r>
        <w:rPr>
          <w:rFonts w:ascii="Times New Roman" w:hAnsi="Times New Roman" w:cs="Times New Roman" w:eastAsia="Times New Roman" w:hint="default"/>
        </w:rPr>
        <w:t>1</w:t>
      </w:r>
      <w:r>
        <w:rPr/>
        <w:t>）企业集团的构成</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174"/>
        <w:gridCol w:w="1006"/>
        <w:gridCol w:w="1169"/>
        <w:gridCol w:w="1320"/>
        <w:gridCol w:w="1380"/>
        <w:gridCol w:w="1397"/>
        <w:gridCol w:w="2126"/>
      </w:tblGrid>
      <w:tr>
        <w:trPr>
          <w:trHeight w:val="402" w:hRule="exact"/>
        </w:trPr>
        <w:tc>
          <w:tcPr>
            <w:tcW w:w="1174"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132"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006"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4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169"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309"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20"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29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77"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2126"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698"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2" w:hRule="exact"/>
        </w:trPr>
        <w:tc>
          <w:tcPr>
            <w:tcW w:w="1174" w:type="dxa"/>
            <w:vMerge/>
            <w:tcBorders>
              <w:left w:val="single" w:sz="4" w:space="0" w:color="000000"/>
              <w:bottom w:val="single" w:sz="4" w:space="0" w:color="000000"/>
              <w:right w:val="single" w:sz="4" w:space="0" w:color="000000"/>
            </w:tcBorders>
            <w:shd w:val="clear" w:color="auto" w:fill="D4D4D4"/>
          </w:tcPr>
          <w:p>
            <w:pPr/>
          </w:p>
        </w:tc>
        <w:tc>
          <w:tcPr>
            <w:tcW w:w="1006" w:type="dxa"/>
            <w:vMerge/>
            <w:tcBorders>
              <w:left w:val="single" w:sz="4" w:space="0" w:color="000000"/>
              <w:bottom w:val="single" w:sz="4" w:space="0" w:color="000000"/>
              <w:right w:val="single" w:sz="4" w:space="0" w:color="000000"/>
            </w:tcBorders>
            <w:shd w:val="clear" w:color="auto" w:fill="D4D4D4"/>
          </w:tcPr>
          <w:p>
            <w:pPr/>
          </w:p>
        </w:tc>
        <w:tc>
          <w:tcPr>
            <w:tcW w:w="1169" w:type="dxa"/>
            <w:vMerge/>
            <w:tcBorders>
              <w:left w:val="single" w:sz="4" w:space="0" w:color="000000"/>
              <w:bottom w:val="single" w:sz="4" w:space="0" w:color="000000"/>
              <w:right w:val="single" w:sz="4" w:space="0" w:color="000000"/>
            </w:tcBorders>
            <w:shd w:val="clear" w:color="auto" w:fill="D4D4D4"/>
          </w:tcPr>
          <w:p>
            <w:pPr/>
          </w:p>
        </w:tc>
        <w:tc>
          <w:tcPr>
            <w:tcW w:w="1320" w:type="dxa"/>
            <w:vMerge/>
            <w:tcBorders>
              <w:left w:val="single" w:sz="4" w:space="0" w:color="000000"/>
              <w:bottom w:val="single" w:sz="4" w:space="0" w:color="000000"/>
              <w:right w:val="single" w:sz="4" w:space="0" w:color="000000"/>
            </w:tcBorders>
            <w:shd w:val="clear" w:color="auto" w:fill="D4D4D4"/>
          </w:tcPr>
          <w:p>
            <w:pPr/>
          </w:p>
        </w:tc>
        <w:tc>
          <w:tcPr>
            <w:tcW w:w="138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7"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39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4"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2126" w:type="dxa"/>
            <w:vMerge/>
            <w:tcBorders>
              <w:left w:val="single" w:sz="4" w:space="0" w:color="000000"/>
              <w:bottom w:val="single" w:sz="4" w:space="0" w:color="000000"/>
              <w:right w:val="single" w:sz="4" w:space="0" w:color="000000"/>
            </w:tcBorders>
            <w:shd w:val="clear" w:color="auto" w:fill="D4D4D4"/>
          </w:tcPr>
          <w:p>
            <w:pPr/>
          </w:p>
        </w:tc>
      </w:tr>
      <w:tr>
        <w:trPr>
          <w:trHeight w:val="401" w:hRule="exact"/>
        </w:trPr>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美亚研究所</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厦门</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厦门</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100.00%</w:t>
            </w:r>
          </w:p>
        </w:tc>
        <w:tc>
          <w:tcPr>
            <w:tcW w:w="1397"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香港鼎永</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香港</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香港</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 w:right="0"/>
              <w:jc w:val="center"/>
              <w:rPr>
                <w:rFonts w:ascii="Times New Roman" w:hAnsi="Times New Roman" w:cs="Times New Roman" w:eastAsia="Times New Roman" w:hint="default"/>
                <w:sz w:val="18"/>
                <w:szCs w:val="18"/>
              </w:rPr>
            </w:pPr>
            <w:r>
              <w:rPr>
                <w:rFonts w:ascii="Times New Roman"/>
                <w:sz w:val="18"/>
              </w:rPr>
              <w:t>51.00%</w:t>
            </w:r>
          </w:p>
        </w:tc>
        <w:tc>
          <w:tcPr>
            <w:tcW w:w="1397"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401" w:hRule="exact"/>
        </w:trPr>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美亚中敏</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厦门</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厦门</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67.73%</w:t>
            </w:r>
          </w:p>
        </w:tc>
        <w:tc>
          <w:tcPr>
            <w:tcW w:w="1397"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珠海新德汇</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珠海</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珠海</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 w:right="0"/>
              <w:jc w:val="center"/>
              <w:rPr>
                <w:rFonts w:ascii="Times New Roman" w:hAnsi="Times New Roman" w:cs="Times New Roman" w:eastAsia="Times New Roman" w:hint="default"/>
                <w:sz w:val="18"/>
                <w:szCs w:val="18"/>
              </w:rPr>
            </w:pPr>
            <w:r>
              <w:rPr>
                <w:rFonts w:ascii="Times New Roman"/>
                <w:sz w:val="18"/>
              </w:rPr>
              <w:t>100.00%</w:t>
            </w:r>
          </w:p>
        </w:tc>
        <w:tc>
          <w:tcPr>
            <w:tcW w:w="1397"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非同一控制下企业合并</w:t>
            </w:r>
          </w:p>
        </w:tc>
      </w:tr>
      <w:tr>
        <w:trPr>
          <w:trHeight w:val="401" w:hRule="exact"/>
        </w:trPr>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安胜科技</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厦门</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厦门</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75.00%</w:t>
            </w:r>
          </w:p>
        </w:tc>
        <w:tc>
          <w:tcPr>
            <w:tcW w:w="1397"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武汉大千</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武汉</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武汉</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 w:right="0"/>
              <w:jc w:val="center"/>
              <w:rPr>
                <w:rFonts w:ascii="Times New Roman" w:hAnsi="Times New Roman" w:cs="Times New Roman" w:eastAsia="Times New Roman" w:hint="default"/>
                <w:sz w:val="18"/>
                <w:szCs w:val="18"/>
              </w:rPr>
            </w:pPr>
            <w:r>
              <w:rPr>
                <w:rFonts w:ascii="Times New Roman"/>
                <w:sz w:val="18"/>
              </w:rPr>
              <w:t>51.00%</w:t>
            </w:r>
          </w:p>
        </w:tc>
        <w:tc>
          <w:tcPr>
            <w:tcW w:w="1397"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非同一控制下企业合并</w:t>
            </w:r>
          </w:p>
        </w:tc>
      </w:tr>
      <w:tr>
        <w:trPr>
          <w:trHeight w:val="401" w:hRule="exact"/>
        </w:trPr>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江苏税软</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无锡</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无锡</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100.00%</w:t>
            </w:r>
          </w:p>
        </w:tc>
        <w:tc>
          <w:tcPr>
            <w:tcW w:w="1397"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非同一控制下企业合并</w:t>
            </w:r>
          </w:p>
        </w:tc>
      </w:tr>
      <w:tr>
        <w:trPr>
          <w:trHeight w:val="403" w:hRule="exact"/>
        </w:trPr>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无锡博盾</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无锡</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无锡</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80"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 w:right="0"/>
              <w:jc w:val="center"/>
              <w:rPr>
                <w:rFonts w:ascii="Times New Roman" w:hAnsi="Times New Roman" w:cs="Times New Roman" w:eastAsia="Times New Roman" w:hint="default"/>
                <w:sz w:val="18"/>
                <w:szCs w:val="18"/>
              </w:rPr>
            </w:pPr>
            <w:r>
              <w:rPr>
                <w:rFonts w:ascii="Times New Roman"/>
                <w:sz w:val="18"/>
              </w:rPr>
              <w:t>85.00%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非同一控制下企业合并</w:t>
            </w:r>
          </w:p>
        </w:tc>
      </w:tr>
    </w:tbl>
    <w:p>
      <w:pPr>
        <w:spacing w:after="0" w:line="240" w:lineRule="auto"/>
        <w:jc w:val="center"/>
        <w:rPr>
          <w:rFonts w:ascii="宋体" w:hAnsi="宋体" w:cs="宋体" w:eastAsia="宋体"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b/>
          <w:bCs/>
          <w:sz w:val="28"/>
          <w:szCs w:val="28"/>
        </w:rPr>
      </w:pPr>
    </w:p>
    <w:tbl>
      <w:tblPr>
        <w:tblW w:w="0" w:type="auto"/>
        <w:jc w:val="left"/>
        <w:tblInd w:w="148" w:type="dxa"/>
        <w:tblLayout w:type="fixed"/>
        <w:tblCellMar>
          <w:top w:w="0" w:type="dxa"/>
          <w:left w:w="0" w:type="dxa"/>
          <w:bottom w:w="0" w:type="dxa"/>
          <w:right w:w="0" w:type="dxa"/>
        </w:tblCellMar>
        <w:tblLook w:val="01E0"/>
      </w:tblPr>
      <w:tblGrid>
        <w:gridCol w:w="1174"/>
        <w:gridCol w:w="1006"/>
        <w:gridCol w:w="1169"/>
        <w:gridCol w:w="1320"/>
        <w:gridCol w:w="1380"/>
        <w:gridCol w:w="1397"/>
        <w:gridCol w:w="2126"/>
      </w:tblGrid>
      <w:tr>
        <w:trPr>
          <w:trHeight w:val="401" w:hRule="exact"/>
        </w:trPr>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美亚宏数</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10" w:right="0"/>
              <w:jc w:val="left"/>
              <w:rPr>
                <w:rFonts w:ascii="Times New Roman" w:hAnsi="Times New Roman" w:cs="Times New Roman" w:eastAsia="Times New Roman" w:hint="default"/>
                <w:sz w:val="18"/>
                <w:szCs w:val="18"/>
              </w:rPr>
            </w:pPr>
            <w:r>
              <w:rPr>
                <w:rFonts w:ascii="Times New Roman"/>
                <w:sz w:val="18"/>
              </w:rPr>
              <w:t>82.27%</w:t>
            </w:r>
          </w:p>
        </w:tc>
        <w:tc>
          <w:tcPr>
            <w:tcW w:w="1397"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国信宏数</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80"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 w:right="0"/>
              <w:jc w:val="center"/>
              <w:rPr>
                <w:rFonts w:ascii="Times New Roman" w:hAnsi="Times New Roman" w:cs="Times New Roman" w:eastAsia="Times New Roman" w:hint="default"/>
                <w:sz w:val="18"/>
                <w:szCs w:val="18"/>
              </w:rPr>
            </w:pPr>
            <w:r>
              <w:rPr>
                <w:rFonts w:ascii="Times New Roman"/>
                <w:sz w:val="18"/>
              </w:rPr>
              <w:t>78.18%</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401" w:hRule="exact"/>
        </w:trPr>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美亚智讯</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10" w:right="0"/>
              <w:jc w:val="left"/>
              <w:rPr>
                <w:rFonts w:ascii="Times New Roman" w:hAnsi="Times New Roman" w:cs="Times New Roman" w:eastAsia="Times New Roman" w:hint="default"/>
                <w:sz w:val="18"/>
                <w:szCs w:val="18"/>
              </w:rPr>
            </w:pPr>
            <w:r>
              <w:rPr>
                <w:rFonts w:ascii="Times New Roman"/>
                <w:sz w:val="18"/>
              </w:rPr>
              <w:t>58.47%</w:t>
            </w:r>
          </w:p>
        </w:tc>
        <w:tc>
          <w:tcPr>
            <w:tcW w:w="1397"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美亚商鼎</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厦门</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厦门</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10" w:right="0"/>
              <w:jc w:val="left"/>
              <w:rPr>
                <w:rFonts w:ascii="Times New Roman" w:hAnsi="Times New Roman" w:cs="Times New Roman" w:eastAsia="Times New Roman" w:hint="default"/>
                <w:sz w:val="18"/>
                <w:szCs w:val="18"/>
              </w:rPr>
            </w:pPr>
            <w:r>
              <w:rPr>
                <w:rFonts w:ascii="Times New Roman"/>
                <w:sz w:val="18"/>
              </w:rPr>
              <w:t>62.00%</w:t>
            </w:r>
          </w:p>
        </w:tc>
        <w:tc>
          <w:tcPr>
            <w:tcW w:w="1397"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401" w:hRule="exact"/>
        </w:trPr>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美亚天信</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厦门</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厦门</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4" w:right="0"/>
              <w:jc w:val="left"/>
              <w:rPr>
                <w:rFonts w:ascii="Times New Roman" w:hAnsi="Times New Roman" w:cs="Times New Roman" w:eastAsia="Times New Roman" w:hint="default"/>
                <w:sz w:val="18"/>
                <w:szCs w:val="18"/>
              </w:rPr>
            </w:pPr>
            <w:r>
              <w:rPr>
                <w:rFonts w:ascii="Times New Roman"/>
                <w:sz w:val="18"/>
              </w:rPr>
              <w:t>100.00%</w:t>
            </w:r>
          </w:p>
        </w:tc>
        <w:tc>
          <w:tcPr>
            <w:tcW w:w="1397"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美亚京安</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64" w:right="0"/>
              <w:jc w:val="left"/>
              <w:rPr>
                <w:rFonts w:ascii="Times New Roman" w:hAnsi="Times New Roman" w:cs="Times New Roman" w:eastAsia="Times New Roman" w:hint="default"/>
                <w:sz w:val="18"/>
                <w:szCs w:val="18"/>
              </w:rPr>
            </w:pPr>
            <w:r>
              <w:rPr>
                <w:rFonts w:ascii="Times New Roman"/>
                <w:sz w:val="18"/>
              </w:rPr>
              <w:t>100.00%</w:t>
            </w:r>
          </w:p>
        </w:tc>
        <w:tc>
          <w:tcPr>
            <w:tcW w:w="1397"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401" w:hRule="exact"/>
        </w:trPr>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美亚榕安</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福州</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福州</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4" w:right="0"/>
              <w:jc w:val="left"/>
              <w:rPr>
                <w:rFonts w:ascii="Times New Roman" w:hAnsi="Times New Roman" w:cs="Times New Roman" w:eastAsia="Times New Roman" w:hint="default"/>
                <w:sz w:val="18"/>
                <w:szCs w:val="18"/>
              </w:rPr>
            </w:pPr>
            <w:r>
              <w:rPr>
                <w:rFonts w:ascii="Times New Roman"/>
                <w:sz w:val="18"/>
              </w:rPr>
              <w:t>100.00%</w:t>
            </w:r>
          </w:p>
        </w:tc>
        <w:tc>
          <w:tcPr>
            <w:tcW w:w="1397"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美银智投</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厦门</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厦门</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64" w:right="0"/>
              <w:jc w:val="left"/>
              <w:rPr>
                <w:rFonts w:ascii="Times New Roman" w:hAnsi="Times New Roman" w:cs="Times New Roman" w:eastAsia="Times New Roman" w:hint="default"/>
                <w:sz w:val="18"/>
                <w:szCs w:val="18"/>
              </w:rPr>
            </w:pPr>
            <w:r>
              <w:rPr>
                <w:rFonts w:ascii="Times New Roman"/>
                <w:sz w:val="18"/>
              </w:rPr>
              <w:t>100.00%</w:t>
            </w:r>
          </w:p>
        </w:tc>
        <w:tc>
          <w:tcPr>
            <w:tcW w:w="1397"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401" w:hRule="exact"/>
        </w:trPr>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美亚亿安</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厦门</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厦门</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10" w:right="0"/>
              <w:jc w:val="left"/>
              <w:rPr>
                <w:rFonts w:ascii="Times New Roman" w:hAnsi="Times New Roman" w:cs="Times New Roman" w:eastAsia="Times New Roman" w:hint="default"/>
                <w:sz w:val="18"/>
                <w:szCs w:val="18"/>
              </w:rPr>
            </w:pPr>
            <w:r>
              <w:rPr>
                <w:rFonts w:ascii="Times New Roman"/>
                <w:sz w:val="18"/>
              </w:rPr>
              <w:t>55.00%</w:t>
            </w:r>
          </w:p>
        </w:tc>
        <w:tc>
          <w:tcPr>
            <w:tcW w:w="1397"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美亚信安</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玉溪</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玉溪</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64" w:right="0"/>
              <w:jc w:val="left"/>
              <w:rPr>
                <w:rFonts w:ascii="Times New Roman" w:hAnsi="Times New Roman" w:cs="Times New Roman" w:eastAsia="Times New Roman" w:hint="default"/>
                <w:sz w:val="18"/>
                <w:szCs w:val="18"/>
              </w:rPr>
            </w:pPr>
            <w:r>
              <w:rPr>
                <w:rFonts w:ascii="Times New Roman"/>
                <w:sz w:val="18"/>
              </w:rPr>
              <w:t>100.00%</w:t>
            </w:r>
          </w:p>
        </w:tc>
        <w:tc>
          <w:tcPr>
            <w:tcW w:w="1397"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401" w:hRule="exact"/>
        </w:trPr>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美亚秦安</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西安</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西安</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4" w:right="0"/>
              <w:jc w:val="left"/>
              <w:rPr>
                <w:rFonts w:ascii="Times New Roman" w:hAnsi="Times New Roman" w:cs="Times New Roman" w:eastAsia="Times New Roman" w:hint="default"/>
                <w:sz w:val="18"/>
                <w:szCs w:val="18"/>
              </w:rPr>
            </w:pPr>
            <w:r>
              <w:rPr>
                <w:rFonts w:ascii="Times New Roman"/>
                <w:sz w:val="18"/>
              </w:rPr>
              <w:t>100.00%</w:t>
            </w:r>
          </w:p>
        </w:tc>
        <w:tc>
          <w:tcPr>
            <w:tcW w:w="1397"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美亚陇安</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甘肃</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临夏</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64" w:right="0"/>
              <w:jc w:val="left"/>
              <w:rPr>
                <w:rFonts w:ascii="Times New Roman" w:hAnsi="Times New Roman" w:cs="Times New Roman" w:eastAsia="Times New Roman" w:hint="default"/>
                <w:sz w:val="18"/>
                <w:szCs w:val="18"/>
              </w:rPr>
            </w:pPr>
            <w:r>
              <w:rPr>
                <w:rFonts w:ascii="Times New Roman"/>
                <w:sz w:val="18"/>
              </w:rPr>
              <w:t>100.00%</w:t>
            </w:r>
          </w:p>
        </w:tc>
        <w:tc>
          <w:tcPr>
            <w:tcW w:w="1397"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401" w:hRule="exact"/>
        </w:trPr>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美亚川安</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四川</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成都</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4" w:right="0"/>
              <w:jc w:val="left"/>
              <w:rPr>
                <w:rFonts w:ascii="Times New Roman" w:hAnsi="Times New Roman" w:cs="Times New Roman" w:eastAsia="Times New Roman" w:hint="default"/>
                <w:sz w:val="18"/>
                <w:szCs w:val="18"/>
              </w:rPr>
            </w:pPr>
            <w:r>
              <w:rPr>
                <w:rFonts w:ascii="Times New Roman"/>
                <w:sz w:val="18"/>
              </w:rPr>
              <w:t>100.00%</w:t>
            </w:r>
          </w:p>
        </w:tc>
        <w:tc>
          <w:tcPr>
            <w:tcW w:w="1397"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中检美亚</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10" w:right="0"/>
              <w:jc w:val="left"/>
              <w:rPr>
                <w:rFonts w:ascii="Times New Roman" w:hAnsi="Times New Roman" w:cs="Times New Roman" w:eastAsia="Times New Roman" w:hint="default"/>
                <w:sz w:val="18"/>
                <w:szCs w:val="18"/>
              </w:rPr>
            </w:pPr>
            <w:r>
              <w:rPr>
                <w:rFonts w:ascii="Times New Roman"/>
                <w:sz w:val="18"/>
              </w:rPr>
              <w:t>28.00%</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 w:right="0"/>
              <w:jc w:val="center"/>
              <w:rPr>
                <w:rFonts w:ascii="Times New Roman" w:hAnsi="Times New Roman" w:cs="Times New Roman" w:eastAsia="Times New Roman" w:hint="default"/>
                <w:sz w:val="18"/>
                <w:szCs w:val="18"/>
              </w:rPr>
            </w:pPr>
            <w:r>
              <w:rPr>
                <w:rFonts w:ascii="Times New Roman"/>
                <w:sz w:val="18"/>
              </w:rPr>
              <w:t>18.00%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非同一控制下企业合并</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在子公司的持股比例不同于表决权比例的说明：</w:t>
      </w:r>
    </w:p>
    <w:p>
      <w:pPr>
        <w:spacing w:line="240" w:lineRule="auto" w:before="1"/>
        <w:rPr>
          <w:rFonts w:ascii="宋体" w:hAnsi="宋体" w:cs="宋体" w:eastAsia="宋体" w:hint="default"/>
          <w:sz w:val="13"/>
          <w:szCs w:val="13"/>
        </w:rPr>
      </w:pPr>
    </w:p>
    <w:p>
      <w:pPr>
        <w:pStyle w:val="BodyText"/>
        <w:spacing w:line="408" w:lineRule="auto" w:before="0"/>
        <w:ind w:right="1128" w:firstLine="420"/>
        <w:jc w:val="both"/>
      </w:pPr>
      <w:r>
        <w:rPr>
          <w:rFonts w:ascii="宋体" w:hAnsi="宋体" w:cs="宋体" w:eastAsia="宋体" w:hint="default"/>
          <w:spacing w:val="-2"/>
        </w:rPr>
        <w:t>2019</w:t>
      </w:r>
      <w:r>
        <w:rPr>
          <w:spacing w:val="-2"/>
        </w:rPr>
        <w:t>年</w:t>
      </w:r>
      <w:r>
        <w:rPr>
          <w:rFonts w:ascii="宋体" w:hAnsi="宋体" w:cs="宋体" w:eastAsia="宋体" w:hint="default"/>
          <w:spacing w:val="-2"/>
        </w:rPr>
        <w:t>12</w:t>
      </w:r>
      <w:r>
        <w:rPr>
          <w:spacing w:val="-2"/>
        </w:rPr>
        <w:t>月，本公司与中检美亚自然人股东王志永签署了《表决权委托协议》，自然人股东王志永将</w:t>
      </w:r>
      <w:r>
        <w:rPr>
          <w:w w:val="100"/>
        </w:rPr>
        <w:t> </w:t>
      </w:r>
      <w:r>
        <w:rPr>
          <w:spacing w:val="-2"/>
        </w:rPr>
        <w:t>其持有中检美亚</w:t>
      </w:r>
      <w:r>
        <w:rPr>
          <w:rFonts w:ascii="宋体" w:hAnsi="宋体" w:cs="宋体" w:eastAsia="宋体" w:hint="default"/>
          <w:spacing w:val="-2"/>
        </w:rPr>
        <w:t>32%</w:t>
      </w:r>
      <w:r>
        <w:rPr>
          <w:spacing w:val="-2"/>
        </w:rPr>
        <w:t>的股权对应的全部表决权不可撤销地授权本公司行使，委托权</w:t>
      </w:r>
      <w:r>
        <w:rPr>
          <w:rFonts w:ascii="宋体" w:hAnsi="宋体" w:cs="宋体" w:eastAsia="宋体" w:hint="default"/>
          <w:spacing w:val="-2"/>
        </w:rPr>
        <w:t>3</w:t>
      </w:r>
      <w:r>
        <w:rPr>
          <w:spacing w:val="-2"/>
        </w:rPr>
        <w:t>年。本公司原持有中检</w:t>
      </w:r>
      <w:r>
        <w:rPr>
          <w:spacing w:val="-44"/>
        </w:rPr>
        <w:t> </w:t>
      </w:r>
      <w:r>
        <w:rPr>
          <w:spacing w:val="-44"/>
        </w:rPr>
      </w:r>
      <w:r>
        <w:rPr>
          <w:spacing w:val="-2"/>
        </w:rPr>
        <w:t>美亚</w:t>
      </w:r>
      <w:r>
        <w:rPr>
          <w:rFonts w:ascii="宋体" w:hAnsi="宋体" w:cs="宋体" w:eastAsia="宋体" w:hint="default"/>
          <w:spacing w:val="-2"/>
        </w:rPr>
        <w:t>46%</w:t>
      </w:r>
      <w:r>
        <w:rPr>
          <w:spacing w:val="-2"/>
        </w:rPr>
        <w:t>的表决权（其中控股子公司美亚商鼎持有</w:t>
      </w:r>
      <w:r>
        <w:rPr>
          <w:rFonts w:ascii="宋体" w:hAnsi="宋体" w:cs="宋体" w:eastAsia="宋体" w:hint="default"/>
          <w:spacing w:val="-2"/>
        </w:rPr>
        <w:t>18%</w:t>
      </w:r>
      <w:r>
        <w:rPr>
          <w:spacing w:val="-2"/>
        </w:rPr>
        <w:t>的表决权），本次表决权委托协议签署后，本公司合</w:t>
      </w:r>
      <w:r>
        <w:rPr>
          <w:spacing w:val="-48"/>
        </w:rPr>
        <w:t> </w:t>
      </w:r>
      <w:r>
        <w:rPr>
          <w:spacing w:val="-48"/>
        </w:rPr>
      </w:r>
      <w:r>
        <w:rPr/>
        <w:t>计拥有中检美亚</w:t>
      </w:r>
      <w:r>
        <w:rPr>
          <w:rFonts w:ascii="宋体" w:hAnsi="宋体" w:cs="宋体" w:eastAsia="宋体" w:hint="default"/>
        </w:rPr>
        <w:t>78%</w:t>
      </w:r>
      <w:r>
        <w:rPr/>
        <w:t>的表决权。同时，中检美亚重组了董事会，董事会成员</w:t>
      </w:r>
      <w:r>
        <w:rPr>
          <w:rFonts w:ascii="宋体" w:hAnsi="宋体" w:cs="宋体" w:eastAsia="宋体" w:hint="default"/>
        </w:rPr>
        <w:t>5</w:t>
      </w:r>
      <w:r>
        <w:rPr/>
        <w:t>名，由本公司委派</w:t>
      </w:r>
      <w:r>
        <w:rPr>
          <w:rFonts w:ascii="宋体" w:hAnsi="宋体" w:cs="宋体" w:eastAsia="宋体" w:hint="default"/>
        </w:rPr>
        <w:t>3</w:t>
      </w:r>
      <w:r>
        <w:rPr/>
        <w:t>名，本公</w:t>
      </w:r>
      <w:r>
        <w:rPr>
          <w:spacing w:val="-24"/>
        </w:rPr>
        <w:t> </w:t>
      </w:r>
      <w:r>
        <w:rPr>
          <w:spacing w:val="-24"/>
        </w:rPr>
      </w:r>
      <w:r>
        <w:rPr/>
        <w:t>司完成了对中检美亚的控制，于</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31</w:t>
      </w:r>
      <w:r>
        <w:rPr/>
        <w:t>日将其纳入合并范围。</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8"/>
          <w:szCs w:val="18"/>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持有半数或以下表决权但仍控制被投资单位、以及持有半数以上表决权但不控制被投资单位的依据：</w:t>
      </w:r>
    </w:p>
    <w:p>
      <w:pPr>
        <w:spacing w:line="240" w:lineRule="auto" w:before="3"/>
        <w:rPr>
          <w:rFonts w:ascii="宋体" w:hAnsi="宋体" w:cs="宋体" w:eastAsia="宋体" w:hint="default"/>
          <w:sz w:val="13"/>
          <w:szCs w:val="13"/>
        </w:rPr>
      </w:pPr>
    </w:p>
    <w:p>
      <w:pPr>
        <w:pStyle w:val="BodyText"/>
        <w:spacing w:line="408" w:lineRule="auto" w:before="0"/>
        <w:ind w:right="1128" w:firstLine="420"/>
        <w:jc w:val="both"/>
      </w:pPr>
      <w:r>
        <w:rPr>
          <w:rFonts w:ascii="宋体" w:hAnsi="宋体" w:cs="宋体" w:eastAsia="宋体" w:hint="default"/>
          <w:spacing w:val="-2"/>
        </w:rPr>
        <w:t>2019</w:t>
      </w:r>
      <w:r>
        <w:rPr>
          <w:spacing w:val="-2"/>
        </w:rPr>
        <w:t>年</w:t>
      </w:r>
      <w:r>
        <w:rPr>
          <w:rFonts w:ascii="宋体" w:hAnsi="宋体" w:cs="宋体" w:eastAsia="宋体" w:hint="default"/>
          <w:spacing w:val="-2"/>
        </w:rPr>
        <w:t>12</w:t>
      </w:r>
      <w:r>
        <w:rPr>
          <w:spacing w:val="-2"/>
        </w:rPr>
        <w:t>月，本公司与中检美亚自然人股东王志永签署了《表决权委托协议》，自然人股东王志永将</w:t>
      </w:r>
      <w:r>
        <w:rPr>
          <w:w w:val="100"/>
        </w:rPr>
        <w:t> </w:t>
      </w:r>
      <w:r>
        <w:rPr>
          <w:spacing w:val="-2"/>
        </w:rPr>
        <w:t>其持有中检美亚</w:t>
      </w:r>
      <w:r>
        <w:rPr>
          <w:rFonts w:ascii="宋体" w:hAnsi="宋体" w:cs="宋体" w:eastAsia="宋体" w:hint="default"/>
          <w:spacing w:val="-2"/>
        </w:rPr>
        <w:t>32%</w:t>
      </w:r>
      <w:r>
        <w:rPr>
          <w:spacing w:val="-2"/>
        </w:rPr>
        <w:t>的股权对应的全部表决权不可撤销地授权本公司行使，委托权</w:t>
      </w:r>
      <w:r>
        <w:rPr>
          <w:rFonts w:ascii="宋体" w:hAnsi="宋体" w:cs="宋体" w:eastAsia="宋体" w:hint="default"/>
          <w:spacing w:val="-2"/>
        </w:rPr>
        <w:t>3</w:t>
      </w:r>
      <w:r>
        <w:rPr>
          <w:spacing w:val="-2"/>
        </w:rPr>
        <w:t>年。本公司原持有中检</w:t>
      </w:r>
      <w:r>
        <w:rPr>
          <w:spacing w:val="-44"/>
        </w:rPr>
        <w:t> </w:t>
      </w:r>
      <w:r>
        <w:rPr>
          <w:spacing w:val="-44"/>
        </w:rPr>
      </w:r>
      <w:r>
        <w:rPr>
          <w:spacing w:val="-2"/>
        </w:rPr>
        <w:t>美亚</w:t>
      </w:r>
      <w:r>
        <w:rPr>
          <w:rFonts w:ascii="宋体" w:hAnsi="宋体" w:cs="宋体" w:eastAsia="宋体" w:hint="default"/>
          <w:spacing w:val="-2"/>
        </w:rPr>
        <w:t>46%</w:t>
      </w:r>
      <w:r>
        <w:rPr>
          <w:spacing w:val="-2"/>
        </w:rPr>
        <w:t>的表决权（其中控股子公司美亚商鼎持有</w:t>
      </w:r>
      <w:r>
        <w:rPr>
          <w:rFonts w:ascii="宋体" w:hAnsi="宋体" w:cs="宋体" w:eastAsia="宋体" w:hint="default"/>
          <w:spacing w:val="-2"/>
        </w:rPr>
        <w:t>18%</w:t>
      </w:r>
      <w:r>
        <w:rPr>
          <w:spacing w:val="-2"/>
        </w:rPr>
        <w:t>的表决权），本次表决权委托协议签署后，本公司合</w:t>
      </w:r>
      <w:r>
        <w:rPr>
          <w:spacing w:val="-48"/>
        </w:rPr>
        <w:t> </w:t>
      </w:r>
      <w:r>
        <w:rPr>
          <w:spacing w:val="-48"/>
        </w:rPr>
      </w:r>
      <w:r>
        <w:rPr/>
        <w:t>计拥有中检美亚</w:t>
      </w:r>
      <w:r>
        <w:rPr>
          <w:rFonts w:ascii="宋体" w:hAnsi="宋体" w:cs="宋体" w:eastAsia="宋体" w:hint="default"/>
        </w:rPr>
        <w:t>78%</w:t>
      </w:r>
      <w:r>
        <w:rPr/>
        <w:t>的表决权。同时，中检美亚重组了董事会，董事会成员</w:t>
      </w:r>
      <w:r>
        <w:rPr>
          <w:rFonts w:ascii="宋体" w:hAnsi="宋体" w:cs="宋体" w:eastAsia="宋体" w:hint="default"/>
        </w:rPr>
        <w:t>5</w:t>
      </w:r>
      <w:r>
        <w:rPr/>
        <w:t>名，由本公司委派</w:t>
      </w:r>
      <w:r>
        <w:rPr>
          <w:rFonts w:ascii="宋体" w:hAnsi="宋体" w:cs="宋体" w:eastAsia="宋体" w:hint="default"/>
        </w:rPr>
        <w:t>3</w:t>
      </w:r>
      <w:r>
        <w:rPr/>
        <w:t>名，本公</w:t>
      </w:r>
      <w:r>
        <w:rPr>
          <w:spacing w:val="-24"/>
        </w:rPr>
        <w:t> </w:t>
      </w:r>
      <w:r>
        <w:rPr>
          <w:spacing w:val="-24"/>
        </w:rPr>
      </w:r>
      <w:r>
        <w:rPr/>
        <w:t>司完成了对中检美亚的控制，于</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31</w:t>
      </w:r>
      <w:r>
        <w:rPr/>
        <w:t>日将其纳入合并范围。</w:t>
      </w:r>
    </w:p>
    <w:p>
      <w:pPr>
        <w:spacing w:line="240" w:lineRule="auto" w:before="3"/>
        <w:rPr>
          <w:rFonts w:ascii="宋体" w:hAnsi="宋体" w:cs="宋体" w:eastAsia="宋体" w:hint="default"/>
          <w:sz w:val="26"/>
          <w:szCs w:val="26"/>
        </w:rPr>
      </w:pPr>
    </w:p>
    <w:p>
      <w:pPr>
        <w:spacing w:line="357" w:lineRule="auto" w:before="0"/>
        <w:ind w:left="152" w:right="6434" w:firstLine="0"/>
        <w:jc w:val="left"/>
        <w:rPr>
          <w:rFonts w:ascii="宋体" w:hAnsi="宋体" w:cs="宋体" w:eastAsia="宋体" w:hint="default"/>
          <w:sz w:val="18"/>
          <w:szCs w:val="18"/>
        </w:rPr>
      </w:pPr>
      <w:r>
        <w:rPr>
          <w:rFonts w:ascii="宋体" w:hAnsi="宋体" w:cs="宋体" w:eastAsia="宋体" w:hint="default"/>
          <w:sz w:val="18"/>
          <w:szCs w:val="18"/>
        </w:rPr>
        <w:t>对于纳入合并范围的重要的结构化主体，控制的依据： 确定公司是代理人还是委托人的依据：</w:t>
      </w:r>
    </w:p>
    <w:p>
      <w:pPr>
        <w:spacing w:before="2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2）重要的非全资子公司" w:id="426"/>
      <w:bookmarkEnd w:id="426"/>
      <w:r>
        <w:rPr>
          <w:b w:val="0"/>
          <w:bCs w:val="0"/>
        </w:rPr>
      </w:r>
      <w:r>
        <w:rPr/>
        <w:t>（</w:t>
      </w:r>
      <w:r>
        <w:rPr>
          <w:rFonts w:ascii="Times New Roman" w:hAnsi="Times New Roman" w:cs="Times New Roman" w:eastAsia="Times New Roman" w:hint="default"/>
        </w:rPr>
        <w:t>2</w:t>
      </w:r>
      <w:r>
        <w:rPr/>
        <w:t>）重要的非全资子公司</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474"/>
        <w:gridCol w:w="1966"/>
        <w:gridCol w:w="2304"/>
        <w:gridCol w:w="1913"/>
        <w:gridCol w:w="1915"/>
      </w:tblGrid>
      <w:tr>
        <w:trPr>
          <w:trHeight w:val="766" w:hRule="exact"/>
        </w:trPr>
        <w:tc>
          <w:tcPr>
            <w:tcW w:w="147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9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少数股东持股比例</w:t>
            </w:r>
          </w:p>
        </w:tc>
        <w:tc>
          <w:tcPr>
            <w:tcW w:w="23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65"/>
              <w:jc w:val="right"/>
              <w:rPr>
                <w:rFonts w:ascii="宋体" w:hAnsi="宋体" w:cs="宋体" w:eastAsia="宋体" w:hint="default"/>
                <w:sz w:val="18"/>
                <w:szCs w:val="18"/>
              </w:rPr>
            </w:pPr>
            <w:r>
              <w:rPr>
                <w:rFonts w:ascii="宋体" w:hAnsi="宋体" w:cs="宋体" w:eastAsia="宋体" w:hint="default"/>
                <w:sz w:val="18"/>
                <w:szCs w:val="18"/>
              </w:rPr>
              <w:t>本期归属于少数股东的损益</w:t>
            </w:r>
          </w:p>
        </w:tc>
        <w:tc>
          <w:tcPr>
            <w:tcW w:w="19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75"/>
              <w:ind w:left="592" w:right="48" w:hanging="540"/>
              <w:jc w:val="left"/>
              <w:rPr>
                <w:rFonts w:ascii="宋体" w:hAnsi="宋体" w:cs="宋体" w:eastAsia="宋体" w:hint="default"/>
                <w:sz w:val="18"/>
                <w:szCs w:val="18"/>
              </w:rPr>
            </w:pPr>
            <w:r>
              <w:rPr>
                <w:rFonts w:ascii="宋体" w:hAnsi="宋体" w:cs="宋体" w:eastAsia="宋体" w:hint="default"/>
                <w:sz w:val="18"/>
                <w:szCs w:val="18"/>
              </w:rPr>
              <w:t>本期向少数股东宣告分 派的股利</w:t>
            </w: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48"/>
              <w:jc w:val="right"/>
              <w:rPr>
                <w:rFonts w:ascii="宋体" w:hAnsi="宋体" w:cs="宋体" w:eastAsia="宋体" w:hint="default"/>
                <w:sz w:val="18"/>
                <w:szCs w:val="18"/>
              </w:rPr>
            </w:pPr>
            <w:r>
              <w:rPr>
                <w:rFonts w:ascii="宋体" w:hAnsi="宋体" w:cs="宋体" w:eastAsia="宋体" w:hint="default"/>
                <w:sz w:val="18"/>
                <w:szCs w:val="18"/>
              </w:rPr>
              <w:t>期末少数股东权益余额</w:t>
            </w:r>
          </w:p>
        </w:tc>
      </w:tr>
      <w:tr>
        <w:trPr>
          <w:trHeight w:val="401" w:hRule="exact"/>
        </w:trPr>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美亚中敏</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32.27%</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3,210,097.96</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13,719,843.38</w:t>
            </w:r>
          </w:p>
        </w:tc>
      </w:tr>
      <w:tr>
        <w:trPr>
          <w:trHeight w:val="403" w:hRule="exact"/>
        </w:trPr>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武汉大千</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49.00%</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-1,015,091.76</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4,738,580.97</w:t>
            </w:r>
            <w:r>
              <w:rPr>
                <w:rFonts w:ascii="Times New Roman"/>
                <w:sz w:val="18"/>
              </w:rPr>
            </w:r>
          </w:p>
        </w:tc>
      </w:tr>
      <w:tr>
        <w:trPr>
          <w:trHeight w:val="401" w:hRule="exact"/>
        </w:trPr>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安胜科技</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25.00%</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687,388.42</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9,750,181.59</w:t>
            </w:r>
            <w:r>
              <w:rPr>
                <w:rFonts w:ascii="Times New Roman"/>
                <w:sz w:val="18"/>
              </w:rPr>
            </w:r>
          </w:p>
        </w:tc>
      </w:tr>
      <w:tr>
        <w:trPr>
          <w:trHeight w:val="403" w:hRule="exact"/>
        </w:trPr>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美亚商鼎</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38.00%</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960,768.36</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8,284,038.35</w:t>
            </w:r>
            <w:r>
              <w:rPr>
                <w:rFonts w:ascii="Times New Roman"/>
                <w:sz w:val="18"/>
              </w:rPr>
            </w:r>
          </w:p>
        </w:tc>
      </w:tr>
      <w:tr>
        <w:trPr>
          <w:trHeight w:val="401" w:hRule="exact"/>
        </w:trPr>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中检美亚</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54.00%</w:t>
            </w:r>
          </w:p>
        </w:tc>
        <w:tc>
          <w:tcPr>
            <w:tcW w:w="2304"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95,474.90</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子公司少数股东的持股比例不同于表决权比例的说明：</w:t>
      </w:r>
    </w:p>
    <w:p>
      <w:pPr>
        <w:spacing w:line="240" w:lineRule="auto" w:before="3"/>
        <w:rPr>
          <w:rFonts w:ascii="宋体" w:hAnsi="宋体" w:cs="宋体" w:eastAsia="宋体" w:hint="default"/>
          <w:sz w:val="13"/>
          <w:szCs w:val="13"/>
        </w:rPr>
      </w:pPr>
    </w:p>
    <w:p>
      <w:pPr>
        <w:pStyle w:val="BodyText"/>
        <w:spacing w:line="408" w:lineRule="auto" w:before="0"/>
        <w:ind w:right="986" w:firstLine="419"/>
        <w:jc w:val="left"/>
      </w:pPr>
      <w:r>
        <w:rPr>
          <w:rFonts w:ascii="宋体" w:hAnsi="宋体" w:cs="宋体" w:eastAsia="宋体" w:hint="default"/>
          <w:spacing w:val="-2"/>
        </w:rPr>
        <w:t>2019</w:t>
      </w:r>
      <w:r>
        <w:rPr>
          <w:spacing w:val="-2"/>
        </w:rPr>
        <w:t>年</w:t>
      </w:r>
      <w:r>
        <w:rPr>
          <w:rFonts w:ascii="宋体" w:hAnsi="宋体" w:cs="宋体" w:eastAsia="宋体" w:hint="default"/>
          <w:spacing w:val="-2"/>
        </w:rPr>
        <w:t>12</w:t>
      </w:r>
      <w:r>
        <w:rPr>
          <w:spacing w:val="-2"/>
        </w:rPr>
        <w:t>月，本公司与中检美亚自然人股东王志永签署了《表决权委托协议》，自然人股东王志永将</w:t>
      </w:r>
      <w:r>
        <w:rPr>
          <w:w w:val="100"/>
        </w:rPr>
        <w:t> </w:t>
      </w:r>
      <w:r>
        <w:rPr>
          <w:spacing w:val="-2"/>
        </w:rPr>
        <w:t>其持有中检美亚</w:t>
      </w:r>
      <w:r>
        <w:rPr>
          <w:rFonts w:ascii="宋体" w:hAnsi="宋体" w:cs="宋体" w:eastAsia="宋体" w:hint="default"/>
          <w:spacing w:val="-2"/>
        </w:rPr>
        <w:t>32%</w:t>
      </w:r>
      <w:r>
        <w:rPr>
          <w:spacing w:val="-2"/>
        </w:rPr>
        <w:t>的股权对应的全部表决权不可撤销地授权本公司行使，委托权</w:t>
      </w:r>
      <w:r>
        <w:rPr>
          <w:rFonts w:ascii="宋体" w:hAnsi="宋体" w:cs="宋体" w:eastAsia="宋体" w:hint="default"/>
          <w:spacing w:val="-2"/>
        </w:rPr>
        <w:t>3</w:t>
      </w:r>
      <w:r>
        <w:rPr>
          <w:spacing w:val="-2"/>
        </w:rPr>
        <w:t>年。本公司原持有中检</w:t>
      </w:r>
      <w:r>
        <w:rPr>
          <w:spacing w:val="-44"/>
        </w:rPr>
        <w:t> </w:t>
      </w:r>
      <w:r>
        <w:rPr>
          <w:spacing w:val="-44"/>
        </w:rPr>
      </w:r>
      <w:r>
        <w:rPr>
          <w:spacing w:val="-2"/>
        </w:rPr>
        <w:t>美亚</w:t>
      </w:r>
      <w:r>
        <w:rPr>
          <w:rFonts w:ascii="宋体" w:hAnsi="宋体" w:cs="宋体" w:eastAsia="宋体" w:hint="default"/>
          <w:spacing w:val="-2"/>
        </w:rPr>
        <w:t>46%</w:t>
      </w:r>
      <w:r>
        <w:rPr>
          <w:spacing w:val="-2"/>
        </w:rPr>
        <w:t>的表决权（其中控股子公司美亚商鼎持有</w:t>
      </w:r>
      <w:r>
        <w:rPr>
          <w:rFonts w:ascii="宋体" w:hAnsi="宋体" w:cs="宋体" w:eastAsia="宋体" w:hint="default"/>
          <w:spacing w:val="-2"/>
        </w:rPr>
        <w:t>18%</w:t>
      </w:r>
      <w:r>
        <w:rPr>
          <w:spacing w:val="-2"/>
        </w:rPr>
        <w:t>的表决权），本次表决权委托协议签署后，本公司合</w:t>
      </w:r>
      <w:r>
        <w:rPr>
          <w:spacing w:val="-48"/>
        </w:rPr>
        <w:t> </w:t>
      </w:r>
      <w:r>
        <w:rPr>
          <w:spacing w:val="-48"/>
        </w:rPr>
      </w:r>
      <w:r>
        <w:rPr/>
        <w:t>计拥有中检美亚</w:t>
      </w:r>
      <w:r>
        <w:rPr>
          <w:rFonts w:ascii="宋体" w:hAnsi="宋体" w:cs="宋体" w:eastAsia="宋体" w:hint="default"/>
        </w:rPr>
        <w:t>78%</w:t>
      </w:r>
      <w:r>
        <w:rPr/>
        <w:t>的表决权。同时，中检美亚重组了董事会，董事会成员</w:t>
      </w:r>
      <w:r>
        <w:rPr>
          <w:rFonts w:ascii="宋体" w:hAnsi="宋体" w:cs="宋体" w:eastAsia="宋体" w:hint="default"/>
        </w:rPr>
        <w:t>5</w:t>
      </w:r>
      <w:r>
        <w:rPr/>
        <w:t>名，由本公司委派</w:t>
      </w:r>
      <w:r>
        <w:rPr>
          <w:rFonts w:ascii="宋体" w:hAnsi="宋体" w:cs="宋体" w:eastAsia="宋体" w:hint="default"/>
        </w:rPr>
        <w:t>3</w:t>
      </w:r>
      <w:r>
        <w:rPr/>
        <w:t>名，本公</w:t>
      </w:r>
      <w:r>
        <w:rPr>
          <w:spacing w:val="-3"/>
          <w:w w:val="100"/>
        </w:rPr>
        <w:t> </w:t>
      </w:r>
      <w:r>
        <w:rPr/>
        <w:t>司完成了对中检美亚的控制，于</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31</w:t>
      </w:r>
      <w:r>
        <w:rPr/>
        <w:t>日将其纳入合并范围。</w:t>
      </w:r>
    </w:p>
    <w:p>
      <w:pPr>
        <w:spacing w:before="110"/>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4"/>
        <w:spacing w:line="240" w:lineRule="auto"/>
        <w:ind w:right="986"/>
        <w:jc w:val="left"/>
        <w:rPr>
          <w:b w:val="0"/>
          <w:bCs w:val="0"/>
        </w:rPr>
      </w:pPr>
      <w:bookmarkStart w:name="（3）重要非全资子公司的主要财务信息" w:id="427"/>
      <w:bookmarkEnd w:id="427"/>
      <w:r>
        <w:rPr>
          <w:b w:val="0"/>
          <w:bCs w:val="0"/>
        </w:rPr>
      </w:r>
      <w:r>
        <w:rPr/>
        <w:t>（</w:t>
      </w:r>
      <w:r>
        <w:rPr>
          <w:rFonts w:ascii="Times New Roman" w:hAnsi="Times New Roman" w:cs="Times New Roman" w:eastAsia="Times New Roman" w:hint="default"/>
        </w:rPr>
        <w:t>3</w:t>
      </w:r>
      <w:r>
        <w:rPr/>
        <w:t>）重要非全资子公司的主要财务信息</w:t>
      </w:r>
      <w:r>
        <w:rPr>
          <w:b w:val="0"/>
          <w:bCs w:val="0"/>
        </w:rPr>
      </w:r>
    </w:p>
    <w:p>
      <w:pPr>
        <w:spacing w:line="240" w:lineRule="auto" w:before="4"/>
        <w:rPr>
          <w:rFonts w:ascii="宋体" w:hAnsi="宋体" w:cs="宋体" w:eastAsia="宋体" w:hint="default"/>
          <w:b/>
          <w:bCs/>
          <w:sz w:val="26"/>
          <w:szCs w:val="26"/>
        </w:rPr>
      </w:pPr>
    </w:p>
    <w:p>
      <w:pPr>
        <w:spacing w:before="0"/>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37"/>
        <w:gridCol w:w="734"/>
        <w:gridCol w:w="737"/>
        <w:gridCol w:w="737"/>
        <w:gridCol w:w="734"/>
        <w:gridCol w:w="737"/>
        <w:gridCol w:w="734"/>
        <w:gridCol w:w="734"/>
        <w:gridCol w:w="734"/>
        <w:gridCol w:w="737"/>
        <w:gridCol w:w="737"/>
        <w:gridCol w:w="734"/>
        <w:gridCol w:w="737"/>
      </w:tblGrid>
      <w:tr>
        <w:trPr>
          <w:trHeight w:val="402" w:hRule="exact"/>
        </w:trPr>
        <w:tc>
          <w:tcPr>
            <w:tcW w:w="737"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1"/>
              <w:ind w:right="0"/>
              <w:jc w:val="left"/>
              <w:rPr>
                <w:rFonts w:ascii="宋体" w:hAnsi="宋体" w:cs="宋体" w:eastAsia="宋体" w:hint="default"/>
                <w:sz w:val="19"/>
                <w:szCs w:val="19"/>
              </w:rPr>
            </w:pPr>
          </w:p>
          <w:p>
            <w:pPr>
              <w:pStyle w:val="TableParagraph"/>
              <w:spacing w:line="316" w:lineRule="auto"/>
              <w:ind w:left="182" w:right="91" w:hanging="89"/>
              <w:jc w:val="left"/>
              <w:rPr>
                <w:rFonts w:ascii="宋体" w:hAnsi="宋体" w:cs="宋体" w:eastAsia="宋体" w:hint="default"/>
                <w:sz w:val="18"/>
                <w:szCs w:val="18"/>
              </w:rPr>
            </w:pPr>
            <w:r>
              <w:rPr>
                <w:rFonts w:ascii="宋体" w:hAnsi="宋体" w:cs="宋体" w:eastAsia="宋体" w:hint="default"/>
                <w:sz w:val="18"/>
                <w:szCs w:val="18"/>
              </w:rPr>
              <w:t>子公司 名称</w:t>
            </w:r>
          </w:p>
        </w:tc>
        <w:tc>
          <w:tcPr>
            <w:tcW w:w="4414" w:type="dxa"/>
            <w:gridSpan w:val="6"/>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414" w:type="dxa"/>
            <w:gridSpan w:val="6"/>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713" w:hRule="exact"/>
        </w:trPr>
        <w:tc>
          <w:tcPr>
            <w:tcW w:w="737" w:type="dxa"/>
            <w:vMerge/>
            <w:tcBorders>
              <w:left w:val="single" w:sz="4" w:space="0" w:color="000000"/>
              <w:bottom w:val="single" w:sz="4" w:space="0" w:color="000000"/>
              <w:right w:val="single" w:sz="4" w:space="0" w:color="000000"/>
            </w:tcBorders>
            <w:shd w:val="clear" w:color="auto" w:fill="D4D4D4"/>
          </w:tcPr>
          <w:p>
            <w:pPr/>
          </w:p>
        </w:tc>
        <w:tc>
          <w:tcPr>
            <w:tcW w:w="7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73" w:right="89"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82" w:right="91" w:hanging="89"/>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73" w:right="91"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73" w:right="89"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82" w:right="91" w:hanging="89"/>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73" w:right="89" w:hanging="180"/>
              <w:jc w:val="left"/>
              <w:rPr>
                <w:rFonts w:ascii="宋体" w:hAnsi="宋体" w:cs="宋体" w:eastAsia="宋体" w:hint="default"/>
                <w:sz w:val="18"/>
                <w:szCs w:val="18"/>
              </w:rPr>
            </w:pPr>
            <w:r>
              <w:rPr>
                <w:rFonts w:ascii="宋体" w:hAnsi="宋体" w:cs="宋体" w:eastAsia="宋体" w:hint="default"/>
                <w:sz w:val="18"/>
                <w:szCs w:val="18"/>
              </w:rPr>
              <w:t>负债合 计</w:t>
            </w:r>
          </w:p>
        </w:tc>
        <w:tc>
          <w:tcPr>
            <w:tcW w:w="7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73" w:right="89"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82" w:right="89" w:hanging="89"/>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73" w:right="91"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73" w:right="91"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82" w:right="89" w:hanging="89"/>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73" w:right="91" w:hanging="180"/>
              <w:jc w:val="left"/>
              <w:rPr>
                <w:rFonts w:ascii="宋体" w:hAnsi="宋体" w:cs="宋体" w:eastAsia="宋体" w:hint="default"/>
                <w:sz w:val="18"/>
                <w:szCs w:val="18"/>
              </w:rPr>
            </w:pPr>
            <w:r>
              <w:rPr>
                <w:rFonts w:ascii="宋体" w:hAnsi="宋体" w:cs="宋体" w:eastAsia="宋体" w:hint="default"/>
                <w:sz w:val="18"/>
                <w:szCs w:val="18"/>
              </w:rPr>
              <w:t>负债合 计</w:t>
            </w:r>
          </w:p>
        </w:tc>
      </w:tr>
      <w:tr>
        <w:trPr>
          <w:trHeight w:val="715" w:hRule="exact"/>
        </w:trPr>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61"/>
              <w:jc w:val="left"/>
              <w:rPr>
                <w:rFonts w:ascii="宋体" w:hAnsi="宋体" w:cs="宋体" w:eastAsia="宋体" w:hint="default"/>
                <w:sz w:val="18"/>
                <w:szCs w:val="18"/>
              </w:rPr>
            </w:pPr>
            <w:r>
              <w:rPr>
                <w:rFonts w:ascii="宋体" w:hAnsi="宋体" w:cs="宋体" w:eastAsia="宋体" w:hint="default"/>
                <w:sz w:val="18"/>
                <w:szCs w:val="18"/>
              </w:rPr>
              <w:t>美亚中 敏</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3" w:right="0"/>
              <w:jc w:val="center"/>
              <w:rPr>
                <w:rFonts w:ascii="Times New Roman" w:hAnsi="Times New Roman" w:cs="Times New Roman" w:eastAsia="Times New Roman" w:hint="default"/>
                <w:sz w:val="18"/>
                <w:szCs w:val="18"/>
              </w:rPr>
            </w:pPr>
            <w:r>
              <w:rPr>
                <w:rFonts w:ascii="Times New Roman"/>
                <w:sz w:val="18"/>
              </w:rPr>
              <w:t>103,003,</w:t>
            </w:r>
          </w:p>
          <w:p>
            <w:pPr>
              <w:pStyle w:val="TableParagraph"/>
              <w:spacing w:line="240" w:lineRule="auto" w:before="102"/>
              <w:ind w:left="187" w:right="0"/>
              <w:jc w:val="center"/>
              <w:rPr>
                <w:rFonts w:ascii="Times New Roman" w:hAnsi="Times New Roman" w:cs="Times New Roman" w:eastAsia="Times New Roman" w:hint="default"/>
                <w:sz w:val="18"/>
                <w:szCs w:val="18"/>
              </w:rPr>
            </w:pPr>
            <w:r>
              <w:rPr>
                <w:rFonts w:ascii="Times New Roman"/>
                <w:sz w:val="18"/>
              </w:rPr>
              <w:t>437.48</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3,973,79</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8.80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1" w:right="0"/>
              <w:jc w:val="center"/>
              <w:rPr>
                <w:rFonts w:ascii="Times New Roman" w:hAnsi="Times New Roman" w:cs="Times New Roman" w:eastAsia="Times New Roman" w:hint="default"/>
                <w:sz w:val="18"/>
                <w:szCs w:val="18"/>
              </w:rPr>
            </w:pPr>
            <w:r>
              <w:rPr>
                <w:rFonts w:ascii="Times New Roman"/>
                <w:sz w:val="18"/>
              </w:rPr>
              <w:t>106,977,</w:t>
            </w:r>
          </w:p>
          <w:p>
            <w:pPr>
              <w:pStyle w:val="TableParagraph"/>
              <w:spacing w:line="240" w:lineRule="auto" w:before="102"/>
              <w:ind w:left="184" w:right="0"/>
              <w:jc w:val="center"/>
              <w:rPr>
                <w:rFonts w:ascii="Times New Roman" w:hAnsi="Times New Roman" w:cs="Times New Roman" w:eastAsia="Times New Roman" w:hint="default"/>
                <w:sz w:val="18"/>
                <w:szCs w:val="18"/>
              </w:rPr>
            </w:pPr>
            <w:r>
              <w:rPr>
                <w:rFonts w:ascii="Times New Roman"/>
                <w:sz w:val="18"/>
              </w:rPr>
              <w:t>236.28</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64,502,6</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54.67</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200,000.</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64,702,6</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54.67</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70,756,7</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97.21</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2" w:right="0"/>
              <w:jc w:val="left"/>
              <w:rPr>
                <w:rFonts w:ascii="Times New Roman" w:hAnsi="Times New Roman" w:cs="Times New Roman" w:eastAsia="Times New Roman" w:hint="default"/>
                <w:sz w:val="18"/>
                <w:szCs w:val="18"/>
              </w:rPr>
            </w:pPr>
            <w:r>
              <w:rPr>
                <w:rFonts w:ascii="Times New Roman"/>
                <w:sz w:val="18"/>
              </w:rPr>
              <w:t>5,595,71</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5.25</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76,352,5</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12.46</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4" w:right="0"/>
              <w:jc w:val="left"/>
              <w:rPr>
                <w:rFonts w:ascii="Times New Roman" w:hAnsi="Times New Roman" w:cs="Times New Roman" w:eastAsia="Times New Roman" w:hint="default"/>
                <w:sz w:val="18"/>
                <w:szCs w:val="18"/>
              </w:rPr>
            </w:pPr>
            <w:r>
              <w:rPr>
                <w:rFonts w:ascii="Times New Roman"/>
                <w:sz w:val="18"/>
              </w:rPr>
              <w:t>43,470,2</w:t>
            </w:r>
          </w:p>
          <w:p>
            <w:pPr>
              <w:pStyle w:val="TableParagraph"/>
              <w:spacing w:line="240" w:lineRule="auto" w:before="102"/>
              <w:ind w:left="299" w:right="0"/>
              <w:jc w:val="left"/>
              <w:rPr>
                <w:rFonts w:ascii="Times New Roman" w:hAnsi="Times New Roman" w:cs="Times New Roman" w:eastAsia="Times New Roman" w:hint="default"/>
                <w:sz w:val="18"/>
                <w:szCs w:val="18"/>
              </w:rPr>
            </w:pPr>
            <w:r>
              <w:rPr>
                <w:rFonts w:ascii="Times New Roman"/>
                <w:sz w:val="18"/>
              </w:rPr>
              <w:t>31.82</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200,000.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43,670,2</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31.82</w:t>
            </w:r>
          </w:p>
        </w:tc>
      </w:tr>
      <w:tr>
        <w:trPr>
          <w:trHeight w:val="713" w:hRule="exact"/>
        </w:trPr>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61"/>
              <w:jc w:val="left"/>
              <w:rPr>
                <w:rFonts w:ascii="宋体" w:hAnsi="宋体" w:cs="宋体" w:eastAsia="宋体" w:hint="default"/>
                <w:sz w:val="18"/>
                <w:szCs w:val="18"/>
              </w:rPr>
            </w:pPr>
            <w:r>
              <w:rPr>
                <w:rFonts w:ascii="宋体" w:hAnsi="宋体" w:cs="宋体" w:eastAsia="宋体" w:hint="default"/>
                <w:sz w:val="18"/>
                <w:szCs w:val="18"/>
              </w:rPr>
              <w:t>武汉大 千</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34,667,7</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69.70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1,567,06</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5.35</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36,234,8</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35.05</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26,164,2</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61.66</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400,000.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26,564,2</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61.66</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21,654,6</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43.13</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2" w:right="0"/>
              <w:jc w:val="left"/>
              <w:rPr>
                <w:rFonts w:ascii="Times New Roman" w:hAnsi="Times New Roman" w:cs="Times New Roman" w:eastAsia="Times New Roman" w:hint="default"/>
                <w:sz w:val="18"/>
                <w:szCs w:val="18"/>
              </w:rPr>
            </w:pPr>
            <w:r>
              <w:rPr>
                <w:rFonts w:ascii="Times New Roman"/>
                <w:sz w:val="18"/>
              </w:rPr>
              <w:t>3,048,32</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1.40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24,702,9</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64.53</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12,379,2</w:t>
            </w:r>
          </w:p>
          <w:p>
            <w:pPr>
              <w:pStyle w:val="TableParagraph"/>
              <w:spacing w:line="240" w:lineRule="auto" w:before="105"/>
              <w:ind w:left="299" w:right="0"/>
              <w:jc w:val="left"/>
              <w:rPr>
                <w:rFonts w:ascii="Times New Roman" w:hAnsi="Times New Roman" w:cs="Times New Roman" w:eastAsia="Times New Roman" w:hint="default"/>
                <w:sz w:val="18"/>
                <w:szCs w:val="18"/>
              </w:rPr>
            </w:pPr>
            <w:r>
              <w:rPr>
                <w:rFonts w:ascii="Times New Roman"/>
                <w:sz w:val="18"/>
              </w:rPr>
              <w:t>52.81</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581,522.</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12,960,7</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75.31</w:t>
            </w:r>
          </w:p>
        </w:tc>
      </w:tr>
      <w:tr>
        <w:trPr>
          <w:trHeight w:val="715" w:hRule="exact"/>
        </w:trPr>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61"/>
              <w:jc w:val="left"/>
              <w:rPr>
                <w:rFonts w:ascii="宋体" w:hAnsi="宋体" w:cs="宋体" w:eastAsia="宋体" w:hint="default"/>
                <w:sz w:val="18"/>
                <w:szCs w:val="18"/>
              </w:rPr>
            </w:pPr>
            <w:r>
              <w:rPr>
                <w:rFonts w:ascii="宋体" w:hAnsi="宋体" w:cs="宋体" w:eastAsia="宋体" w:hint="default"/>
                <w:sz w:val="18"/>
                <w:szCs w:val="18"/>
              </w:rPr>
              <w:t>安胜科 技</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93,950,2</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30.02</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9" w:right="0"/>
              <w:jc w:val="left"/>
              <w:rPr>
                <w:rFonts w:ascii="Times New Roman" w:hAnsi="Times New Roman" w:cs="Times New Roman" w:eastAsia="Times New Roman" w:hint="default"/>
                <w:sz w:val="18"/>
                <w:szCs w:val="18"/>
              </w:rPr>
            </w:pPr>
            <w:r>
              <w:rPr>
                <w:rFonts w:ascii="Times New Roman"/>
                <w:sz w:val="18"/>
              </w:rPr>
              <w:t>7,110,82</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7.99</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1" w:right="0"/>
              <w:jc w:val="center"/>
              <w:rPr>
                <w:rFonts w:ascii="Times New Roman" w:hAnsi="Times New Roman" w:cs="Times New Roman" w:eastAsia="Times New Roman" w:hint="default"/>
                <w:sz w:val="18"/>
                <w:szCs w:val="18"/>
              </w:rPr>
            </w:pPr>
            <w:r>
              <w:rPr>
                <w:rFonts w:ascii="Times New Roman"/>
                <w:sz w:val="18"/>
              </w:rPr>
              <w:t>101,061,</w:t>
            </w:r>
          </w:p>
          <w:p>
            <w:pPr>
              <w:pStyle w:val="TableParagraph"/>
              <w:spacing w:line="240" w:lineRule="auto" w:before="102"/>
              <w:ind w:left="184" w:right="0"/>
              <w:jc w:val="center"/>
              <w:rPr>
                <w:rFonts w:ascii="Times New Roman" w:hAnsi="Times New Roman" w:cs="Times New Roman" w:eastAsia="Times New Roman" w:hint="default"/>
                <w:sz w:val="18"/>
                <w:szCs w:val="18"/>
              </w:rPr>
            </w:pPr>
            <w:r>
              <w:rPr>
                <w:rFonts w:ascii="Times New Roman"/>
                <w:sz w:val="18"/>
              </w:rPr>
              <w:t>058.01</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60,430,3</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31.66</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1,630,00</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0.00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62,060,3</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31.66</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74,380,1</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93.03</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2" w:right="0"/>
              <w:jc w:val="left"/>
              <w:rPr>
                <w:rFonts w:ascii="Times New Roman" w:hAnsi="Times New Roman" w:cs="Times New Roman" w:eastAsia="Times New Roman" w:hint="default"/>
                <w:sz w:val="18"/>
                <w:szCs w:val="18"/>
              </w:rPr>
            </w:pPr>
            <w:r>
              <w:rPr>
                <w:rFonts w:ascii="Times New Roman"/>
                <w:sz w:val="18"/>
              </w:rPr>
              <w:t>6,162,41</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4.40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80,542,6</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07.43</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4" w:right="0"/>
              <w:jc w:val="left"/>
              <w:rPr>
                <w:rFonts w:ascii="Times New Roman" w:hAnsi="Times New Roman" w:cs="Times New Roman" w:eastAsia="Times New Roman" w:hint="default"/>
                <w:sz w:val="18"/>
                <w:szCs w:val="18"/>
              </w:rPr>
            </w:pPr>
            <w:r>
              <w:rPr>
                <w:rFonts w:ascii="Times New Roman"/>
                <w:sz w:val="18"/>
              </w:rPr>
              <w:t>44,106,0</w:t>
            </w:r>
          </w:p>
          <w:p>
            <w:pPr>
              <w:pStyle w:val="TableParagraph"/>
              <w:spacing w:line="240" w:lineRule="auto" w:before="102"/>
              <w:ind w:left="299" w:right="0"/>
              <w:jc w:val="left"/>
              <w:rPr>
                <w:rFonts w:ascii="Times New Roman" w:hAnsi="Times New Roman" w:cs="Times New Roman" w:eastAsia="Times New Roman" w:hint="default"/>
                <w:sz w:val="18"/>
                <w:szCs w:val="18"/>
              </w:rPr>
            </w:pPr>
            <w:r>
              <w:rPr>
                <w:rFonts w:ascii="Times New Roman"/>
                <w:sz w:val="18"/>
              </w:rPr>
              <w:t>26.04</w:t>
            </w: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44,106,0</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26.04</w:t>
            </w:r>
          </w:p>
        </w:tc>
      </w:tr>
      <w:tr>
        <w:trPr>
          <w:trHeight w:val="713" w:hRule="exact"/>
        </w:trPr>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61"/>
              <w:jc w:val="left"/>
              <w:rPr>
                <w:rFonts w:ascii="宋体" w:hAnsi="宋体" w:cs="宋体" w:eastAsia="宋体" w:hint="default"/>
                <w:sz w:val="18"/>
                <w:szCs w:val="18"/>
              </w:rPr>
            </w:pPr>
            <w:r>
              <w:rPr>
                <w:rFonts w:ascii="宋体" w:hAnsi="宋体" w:cs="宋体" w:eastAsia="宋体" w:hint="default"/>
                <w:sz w:val="18"/>
                <w:szCs w:val="18"/>
              </w:rPr>
              <w:t>美亚商 鼎</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33,528,9</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14.80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3,524,03</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5.45</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37,052,9</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50.25</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15,252,8</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49.36</w:t>
            </w:r>
          </w:p>
        </w:tc>
        <w:tc>
          <w:tcPr>
            <w:tcW w:w="737"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15,252,8</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49.36</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35,423,0</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34.75</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2" w:right="0"/>
              <w:jc w:val="left"/>
              <w:rPr>
                <w:rFonts w:ascii="Times New Roman" w:hAnsi="Times New Roman" w:cs="Times New Roman" w:eastAsia="Times New Roman" w:hint="default"/>
                <w:sz w:val="18"/>
                <w:szCs w:val="18"/>
              </w:rPr>
            </w:pPr>
            <w:r>
              <w:rPr>
                <w:rFonts w:ascii="Times New Roman"/>
                <w:sz w:val="18"/>
              </w:rPr>
              <w:t>3,128,53</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6.97</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38,551,5</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71.72</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19,279,8</w:t>
            </w:r>
          </w:p>
          <w:p>
            <w:pPr>
              <w:pStyle w:val="TableParagraph"/>
              <w:spacing w:line="240" w:lineRule="auto" w:before="105"/>
              <w:ind w:left="299" w:right="0"/>
              <w:jc w:val="left"/>
              <w:rPr>
                <w:rFonts w:ascii="Times New Roman" w:hAnsi="Times New Roman" w:cs="Times New Roman" w:eastAsia="Times New Roman" w:hint="default"/>
                <w:sz w:val="18"/>
                <w:szCs w:val="18"/>
              </w:rPr>
            </w:pPr>
            <w:r>
              <w:rPr>
                <w:rFonts w:ascii="Times New Roman"/>
                <w:sz w:val="18"/>
              </w:rPr>
              <w:t>08.61</w:t>
            </w: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19,279,8</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08.61</w:t>
            </w:r>
          </w:p>
        </w:tc>
      </w:tr>
      <w:tr>
        <w:trPr>
          <w:trHeight w:val="715" w:hRule="exact"/>
        </w:trPr>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61"/>
              <w:jc w:val="left"/>
              <w:rPr>
                <w:rFonts w:ascii="宋体" w:hAnsi="宋体" w:cs="宋体" w:eastAsia="宋体" w:hint="default"/>
                <w:sz w:val="18"/>
                <w:szCs w:val="18"/>
              </w:rPr>
            </w:pPr>
            <w:r>
              <w:rPr>
                <w:rFonts w:ascii="宋体" w:hAnsi="宋体" w:cs="宋体" w:eastAsia="宋体" w:hint="default"/>
                <w:sz w:val="18"/>
                <w:szCs w:val="18"/>
              </w:rPr>
              <w:t>中检美 亚</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5,986,49</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5.39</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6,385,65</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8.29</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12,372,1</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53.68</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9" w:right="0"/>
              <w:jc w:val="left"/>
              <w:rPr>
                <w:rFonts w:ascii="Times New Roman" w:hAnsi="Times New Roman" w:cs="Times New Roman" w:eastAsia="Times New Roman" w:hint="default"/>
                <w:sz w:val="18"/>
                <w:szCs w:val="18"/>
              </w:rPr>
            </w:pPr>
            <w:r>
              <w:rPr>
                <w:rFonts w:ascii="Times New Roman"/>
                <w:sz w:val="18"/>
              </w:rPr>
              <w:t>11,628,5</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09.98</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586,715.</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85</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12,215,2</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25.83</w:t>
            </w:r>
          </w:p>
        </w:tc>
        <w:tc>
          <w:tcPr>
            <w:tcW w:w="734"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bl>
    <w:p>
      <w:pPr>
        <w:spacing w:before="49"/>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0"/>
        <w:gridCol w:w="4253"/>
        <w:gridCol w:w="4255"/>
      </w:tblGrid>
      <w:tr>
        <w:trPr>
          <w:trHeight w:val="402" w:hRule="exact"/>
        </w:trPr>
        <w:tc>
          <w:tcPr>
            <w:tcW w:w="10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75"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425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5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061"/>
        <w:gridCol w:w="1061"/>
        <w:gridCol w:w="1063"/>
        <w:gridCol w:w="1063"/>
        <w:gridCol w:w="1066"/>
        <w:gridCol w:w="1063"/>
        <w:gridCol w:w="1063"/>
        <w:gridCol w:w="1063"/>
        <w:gridCol w:w="1066"/>
      </w:tblGrid>
      <w:tr>
        <w:trPr>
          <w:trHeight w:val="713" w:hRule="exact"/>
        </w:trPr>
        <w:tc>
          <w:tcPr>
            <w:tcW w:w="1061"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06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净利润</w:t>
            </w:r>
          </w:p>
        </w:tc>
        <w:tc>
          <w:tcPr>
            <w:tcW w:w="106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436" w:right="74"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59" w:right="74"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c>
          <w:tcPr>
            <w:tcW w:w="106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06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净利润</w:t>
            </w:r>
          </w:p>
        </w:tc>
        <w:tc>
          <w:tcPr>
            <w:tcW w:w="106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436" w:right="74"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59" w:right="74"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r>
      <w:tr>
        <w:trPr>
          <w:trHeight w:val="715"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美亚中敏</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202,690,434.</w:t>
            </w:r>
            <w:r>
              <w:rPr>
                <w:rFonts w:ascii="Times New Roman"/>
                <w:sz w:val="18"/>
              </w:rPr>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46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9,947,623.04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6" w:right="0"/>
              <w:jc w:val="center"/>
              <w:rPr>
                <w:rFonts w:ascii="Times New Roman" w:hAnsi="Times New Roman" w:cs="Times New Roman" w:eastAsia="Times New Roman" w:hint="default"/>
                <w:sz w:val="18"/>
                <w:szCs w:val="18"/>
              </w:rPr>
            </w:pPr>
            <w:r>
              <w:rPr>
                <w:rFonts w:ascii="Times New Roman"/>
                <w:sz w:val="18"/>
              </w:rPr>
              <w:t>9,947,623.04</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 w:right="0"/>
              <w:jc w:val="center"/>
              <w:rPr>
                <w:rFonts w:ascii="Times New Roman" w:hAnsi="Times New Roman" w:cs="Times New Roman" w:eastAsia="Times New Roman" w:hint="default"/>
                <w:sz w:val="18"/>
                <w:szCs w:val="18"/>
              </w:rPr>
            </w:pPr>
            <w:r>
              <w:rPr>
                <w:rFonts w:ascii="Times New Roman"/>
                <w:sz w:val="18"/>
              </w:rPr>
              <w:t>-3,435,633.95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169,756,449.</w:t>
            </w:r>
            <w:r>
              <w:rPr>
                <w:rFonts w:ascii="Times New Roman"/>
                <w:sz w:val="18"/>
              </w:rPr>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86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4,086,461.90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4,086,461.90</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260,897.31</w:t>
            </w:r>
          </w:p>
        </w:tc>
      </w:tr>
      <w:tr>
        <w:trPr>
          <w:trHeight w:val="713"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武汉大千</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27,237,307.3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-2,071,615.83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-2,071,615.83</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 w:right="0"/>
              <w:jc w:val="center"/>
              <w:rPr>
                <w:rFonts w:ascii="Times New Roman" w:hAnsi="Times New Roman" w:cs="Times New Roman" w:eastAsia="Times New Roman" w:hint="default"/>
                <w:sz w:val="18"/>
                <w:szCs w:val="18"/>
              </w:rPr>
            </w:pPr>
            <w:r>
              <w:rPr>
                <w:rFonts w:ascii="Times New Roman"/>
                <w:sz w:val="18"/>
              </w:rPr>
              <w:t>-2,107,091.18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9,859,759.09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-10,236,627.6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-10,236,627.6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1,653,885.93</w:t>
            </w:r>
            <w:r>
              <w:rPr>
                <w:rFonts w:ascii="Times New Roman"/>
                <w:sz w:val="18"/>
              </w:rPr>
            </w:r>
          </w:p>
        </w:tc>
      </w:tr>
      <w:tr>
        <w:trPr>
          <w:trHeight w:val="715"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安胜科技</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107,216,204.</w:t>
            </w:r>
            <w:r>
              <w:rPr>
                <w:rFonts w:ascii="Times New Roman"/>
                <w:sz w:val="18"/>
              </w:rPr>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38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2,749,553.68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2,749,553.68</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70" w:right="0"/>
              <w:jc w:val="center"/>
              <w:rPr>
                <w:rFonts w:ascii="Times New Roman" w:hAnsi="Times New Roman" w:cs="Times New Roman" w:eastAsia="Times New Roman" w:hint="default"/>
                <w:sz w:val="18"/>
                <w:szCs w:val="18"/>
              </w:rPr>
            </w:pPr>
            <w:r>
              <w:rPr>
                <w:rFonts w:ascii="Times New Roman"/>
                <w:sz w:val="18"/>
              </w:rPr>
              <w:t>7,254,917.13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102,764,441.</w:t>
            </w:r>
            <w:r>
              <w:rPr>
                <w:rFonts w:ascii="Times New Roman"/>
                <w:sz w:val="18"/>
              </w:rPr>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66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10,177,725.0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10,177,725.0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1</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-18,411,820.1</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r>
      <w:tr>
        <w:trPr>
          <w:trHeight w:val="715"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美亚商鼎</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23,497,880.6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2,528,337.78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2,528,337.78</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 w:right="0"/>
              <w:jc w:val="center"/>
              <w:rPr>
                <w:rFonts w:ascii="Times New Roman" w:hAnsi="Times New Roman" w:cs="Times New Roman" w:eastAsia="Times New Roman" w:hint="default"/>
                <w:sz w:val="18"/>
                <w:szCs w:val="18"/>
              </w:rPr>
            </w:pPr>
            <w:r>
              <w:rPr>
                <w:rFonts w:ascii="Times New Roman"/>
                <w:sz w:val="18"/>
              </w:rPr>
              <w:t>-4,940,305.08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35,190,579.0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8,872,140.44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8,872,140.44</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12,166,996.2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4）使用企业集团资产和清偿企业集团债务的重大限制" w:id="428"/>
      <w:bookmarkEnd w:id="428"/>
      <w:r>
        <w:rPr>
          <w:b w:val="0"/>
          <w:bCs w:val="0"/>
        </w:rPr>
      </w:r>
      <w:r>
        <w:rPr/>
        <w:t>（</w:t>
      </w:r>
      <w:r>
        <w:rPr>
          <w:rFonts w:ascii="Times New Roman" w:hAnsi="Times New Roman" w:cs="Times New Roman" w:eastAsia="Times New Roman" w:hint="default"/>
        </w:rPr>
        <w:t>4</w:t>
      </w:r>
      <w:r>
        <w:rPr/>
        <w:t>）使用企业集团资产和清偿企业集团债务的重大限制</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5）向纳入合并财务报表范围的结构化主体提供的财务支持或其他支持" w:id="429"/>
      <w:bookmarkEnd w:id="429"/>
      <w:r>
        <w:rPr>
          <w:b w:val="0"/>
          <w:bCs w:val="0"/>
        </w:rPr>
      </w:r>
      <w:r>
        <w:rPr/>
        <w:t>（</w:t>
      </w:r>
      <w:r>
        <w:rPr>
          <w:rFonts w:ascii="Times New Roman" w:hAnsi="Times New Roman" w:cs="Times New Roman" w:eastAsia="Times New Roman" w:hint="default"/>
        </w:rPr>
        <w:t>5</w:t>
      </w:r>
      <w:r>
        <w:rPr/>
        <w:t>）向纳入合并财务报表范围的结构化主体提供的财务支持或其他支持</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2、在子公司的所有者权益份额发生变化且仍控制子公司的交易" w:id="430"/>
      <w:bookmarkEnd w:id="430"/>
      <w:r>
        <w:rPr>
          <w:b w:val="0"/>
          <w:bCs w:val="0"/>
        </w:rPr>
      </w:r>
      <w:r>
        <w:rPr>
          <w:rFonts w:ascii="Times New Roman" w:hAnsi="Times New Roman" w:cs="Times New Roman" w:eastAsia="Times New Roman" w:hint="default"/>
        </w:rPr>
        <w:t>2</w:t>
      </w:r>
      <w:r>
        <w:rPr/>
        <w:t>、在子公司的所有者权益份额发生变化且仍控制子公司的交易</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3、在合营安排或联营企业中的权益" w:id="431"/>
      <w:bookmarkEnd w:id="431"/>
      <w:r>
        <w:rPr>
          <w:b w:val="0"/>
          <w:bCs w:val="0"/>
        </w:rPr>
      </w:r>
      <w:r>
        <w:rPr>
          <w:rFonts w:ascii="Times New Roman" w:hAnsi="Times New Roman" w:cs="Times New Roman" w:eastAsia="Times New Roman" w:hint="default"/>
        </w:rPr>
        <w:t>3</w:t>
      </w:r>
      <w:r>
        <w:rPr/>
        <w:t>、在合营安排或联营企业中的权益</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right="986"/>
        <w:jc w:val="left"/>
        <w:rPr>
          <w:b w:val="0"/>
          <w:bCs w:val="0"/>
        </w:rPr>
      </w:pPr>
      <w:bookmarkStart w:name="（1）重要的合营企业或联营企业" w:id="432"/>
      <w:bookmarkEnd w:id="432"/>
      <w:r>
        <w:rPr>
          <w:b w:val="0"/>
          <w:bCs w:val="0"/>
        </w:rPr>
      </w:r>
      <w:r>
        <w:rPr/>
        <w:t>（</w:t>
      </w:r>
      <w:r>
        <w:rPr>
          <w:rFonts w:ascii="Times New Roman" w:hAnsi="Times New Roman" w:cs="Times New Roman" w:eastAsia="Times New Roman" w:hint="default"/>
        </w:rPr>
        <w:t>1</w:t>
      </w:r>
      <w:r>
        <w:rPr/>
        <w:t>）重要的合营企业或联营企业</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3708"/>
        <w:gridCol w:w="826"/>
        <w:gridCol w:w="706"/>
        <w:gridCol w:w="960"/>
        <w:gridCol w:w="1186"/>
        <w:gridCol w:w="821"/>
        <w:gridCol w:w="1366"/>
      </w:tblGrid>
      <w:tr>
        <w:trPr>
          <w:trHeight w:val="403" w:hRule="exact"/>
        </w:trPr>
        <w:tc>
          <w:tcPr>
            <w:tcW w:w="3708"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859" w:right="0"/>
              <w:jc w:val="left"/>
              <w:rPr>
                <w:rFonts w:ascii="宋体" w:hAnsi="宋体" w:cs="宋体" w:eastAsia="宋体" w:hint="default"/>
                <w:sz w:val="18"/>
                <w:szCs w:val="18"/>
              </w:rPr>
            </w:pPr>
            <w:r>
              <w:rPr>
                <w:rFonts w:ascii="宋体" w:hAnsi="宋体" w:cs="宋体" w:eastAsia="宋体" w:hint="default"/>
                <w:sz w:val="18"/>
                <w:szCs w:val="18"/>
              </w:rPr>
              <w:t>合营企业或联营企业名称</w:t>
            </w:r>
          </w:p>
        </w:tc>
        <w:tc>
          <w:tcPr>
            <w:tcW w:w="826"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19" w:right="43" w:hanging="269"/>
              <w:jc w:val="left"/>
              <w:rPr>
                <w:rFonts w:ascii="宋体" w:hAnsi="宋体" w:cs="宋体" w:eastAsia="宋体" w:hint="default"/>
                <w:sz w:val="18"/>
                <w:szCs w:val="18"/>
              </w:rPr>
            </w:pPr>
            <w:r>
              <w:rPr>
                <w:rFonts w:ascii="宋体" w:hAnsi="宋体" w:cs="宋体" w:eastAsia="宋体" w:hint="default"/>
                <w:sz w:val="18"/>
                <w:szCs w:val="18"/>
              </w:rPr>
              <w:t>主要经营 地</w:t>
            </w:r>
          </w:p>
        </w:tc>
        <w:tc>
          <w:tcPr>
            <w:tcW w:w="706"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76"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960"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15"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006"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638"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47" w:right="47"/>
              <w:jc w:val="center"/>
              <w:rPr>
                <w:rFonts w:ascii="宋体" w:hAnsi="宋体" w:cs="宋体" w:eastAsia="宋体" w:hint="default"/>
                <w:sz w:val="18"/>
                <w:szCs w:val="18"/>
              </w:rPr>
            </w:pPr>
            <w:r>
              <w:rPr>
                <w:rFonts w:ascii="宋体" w:hAnsi="宋体" w:cs="宋体" w:eastAsia="宋体" w:hint="default"/>
                <w:sz w:val="18"/>
                <w:szCs w:val="18"/>
              </w:rPr>
              <w:t>对合营企业或联 营企业投资的会 计处理方法</w:t>
            </w:r>
          </w:p>
        </w:tc>
      </w:tr>
      <w:tr>
        <w:trPr>
          <w:trHeight w:val="624" w:hRule="exact"/>
        </w:trPr>
        <w:tc>
          <w:tcPr>
            <w:tcW w:w="3708" w:type="dxa"/>
            <w:vMerge/>
            <w:tcBorders>
              <w:left w:val="single" w:sz="4" w:space="0" w:color="000000"/>
              <w:bottom w:val="single" w:sz="4" w:space="0" w:color="000000"/>
              <w:right w:val="single" w:sz="4" w:space="0" w:color="000000"/>
            </w:tcBorders>
            <w:shd w:val="clear" w:color="auto" w:fill="D4D4D4"/>
          </w:tcPr>
          <w:p>
            <w:pPr/>
          </w:p>
        </w:tc>
        <w:tc>
          <w:tcPr>
            <w:tcW w:w="826" w:type="dxa"/>
            <w:vMerge/>
            <w:tcBorders>
              <w:left w:val="single" w:sz="4" w:space="0" w:color="000000"/>
              <w:bottom w:val="single" w:sz="4" w:space="0" w:color="000000"/>
              <w:right w:val="single" w:sz="4" w:space="0" w:color="000000"/>
            </w:tcBorders>
            <w:shd w:val="clear" w:color="auto" w:fill="D4D4D4"/>
          </w:tcPr>
          <w:p>
            <w:pPr/>
          </w:p>
        </w:tc>
        <w:tc>
          <w:tcPr>
            <w:tcW w:w="706" w:type="dxa"/>
            <w:vMerge/>
            <w:tcBorders>
              <w:left w:val="single" w:sz="4" w:space="0" w:color="000000"/>
              <w:bottom w:val="single" w:sz="4" w:space="0" w:color="000000"/>
              <w:right w:val="single" w:sz="4" w:space="0" w:color="000000"/>
            </w:tcBorders>
            <w:shd w:val="clear" w:color="auto" w:fill="D4D4D4"/>
          </w:tcPr>
          <w:p>
            <w:pPr/>
          </w:p>
        </w:tc>
        <w:tc>
          <w:tcPr>
            <w:tcW w:w="960" w:type="dxa"/>
            <w:vMerge/>
            <w:tcBorders>
              <w:left w:val="single" w:sz="4" w:space="0" w:color="000000"/>
              <w:bottom w:val="single" w:sz="4" w:space="0" w:color="000000"/>
              <w:right w:val="single" w:sz="4" w:space="0" w:color="000000"/>
            </w:tcBorders>
            <w:shd w:val="clear" w:color="auto" w:fill="D4D4D4"/>
          </w:tcPr>
          <w:p>
            <w:pPr/>
          </w:p>
        </w:tc>
        <w:tc>
          <w:tcPr>
            <w:tcW w:w="118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59"/>
              <w:ind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82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59"/>
              <w:ind w:left="225" w:right="0"/>
              <w:jc w:val="left"/>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4D4D4"/>
          </w:tcPr>
          <w:p>
            <w:pPr/>
          </w:p>
        </w:tc>
      </w:tr>
      <w:tr>
        <w:trPr>
          <w:trHeight w:val="401" w:hRule="exact"/>
        </w:trPr>
        <w:tc>
          <w:tcPr>
            <w:tcW w:w="3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厦门服云信息科技有限公司</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综合</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29.21%</w:t>
            </w:r>
          </w:p>
        </w:tc>
        <w:tc>
          <w:tcPr>
            <w:tcW w:w="821"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403" w:hRule="exact"/>
        </w:trPr>
        <w:tc>
          <w:tcPr>
            <w:tcW w:w="3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厦门正信世纪信息科技有限公司</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综合</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20.00%</w:t>
            </w:r>
          </w:p>
        </w:tc>
        <w:tc>
          <w:tcPr>
            <w:tcW w:w="821"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401" w:hRule="exact"/>
        </w:trPr>
        <w:tc>
          <w:tcPr>
            <w:tcW w:w="3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厦门市美亚梧桐投资管理有限公司</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综合</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39.20%</w:t>
            </w:r>
          </w:p>
        </w:tc>
        <w:tc>
          <w:tcPr>
            <w:tcW w:w="821"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403" w:hRule="exact"/>
        </w:trPr>
        <w:tc>
          <w:tcPr>
            <w:tcW w:w="3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沈阳城市公共安全科技有限公司</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沈阳</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沈阳</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综合</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23.39%</w:t>
            </w:r>
          </w:p>
        </w:tc>
        <w:tc>
          <w:tcPr>
            <w:tcW w:w="821"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401" w:hRule="exact"/>
        </w:trPr>
        <w:tc>
          <w:tcPr>
            <w:tcW w:w="3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北京万方智讯信息技术有限公司</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综合</w:t>
            </w:r>
          </w:p>
        </w:tc>
        <w:tc>
          <w:tcPr>
            <w:tcW w:w="1186"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5" w:right="0"/>
              <w:jc w:val="left"/>
              <w:rPr>
                <w:rFonts w:ascii="Times New Roman" w:hAnsi="Times New Roman" w:cs="Times New Roman" w:eastAsia="Times New Roman" w:hint="default"/>
                <w:sz w:val="18"/>
                <w:szCs w:val="18"/>
              </w:rPr>
            </w:pPr>
            <w:r>
              <w:rPr>
                <w:rFonts w:ascii="Times New Roman"/>
                <w:sz w:val="18"/>
              </w:rPr>
              <w:t>36.00%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403" w:hRule="exact"/>
        </w:trPr>
        <w:tc>
          <w:tcPr>
            <w:tcW w:w="3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厦门市柏科晔济投资管理合伙企业</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综合</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20.00%</w:t>
            </w:r>
          </w:p>
        </w:tc>
        <w:tc>
          <w:tcPr>
            <w:tcW w:w="821"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401" w:hRule="exact"/>
        </w:trPr>
        <w:tc>
          <w:tcPr>
            <w:tcW w:w="3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厦门本思信息服务有限公司</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综合</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24.50%</w:t>
            </w:r>
          </w:p>
        </w:tc>
        <w:tc>
          <w:tcPr>
            <w:tcW w:w="821"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403" w:hRule="exact"/>
        </w:trPr>
        <w:tc>
          <w:tcPr>
            <w:tcW w:w="3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安徽华图信息科技有限公司</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合肥</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合肥</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综合</w:t>
            </w:r>
          </w:p>
        </w:tc>
        <w:tc>
          <w:tcPr>
            <w:tcW w:w="1186"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5" w:right="0"/>
              <w:jc w:val="left"/>
              <w:rPr>
                <w:rFonts w:ascii="Times New Roman" w:hAnsi="Times New Roman" w:cs="Times New Roman" w:eastAsia="Times New Roman" w:hint="default"/>
                <w:sz w:val="18"/>
                <w:szCs w:val="18"/>
              </w:rPr>
            </w:pPr>
            <w:r>
              <w:rPr>
                <w:rFonts w:ascii="Times New Roman"/>
                <w:sz w:val="18"/>
              </w:rPr>
              <w:t>20.00%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401" w:hRule="exact"/>
        </w:trPr>
        <w:tc>
          <w:tcPr>
            <w:tcW w:w="3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中检万诚通联科技（北京）有限公司</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综合</w:t>
            </w:r>
          </w:p>
        </w:tc>
        <w:tc>
          <w:tcPr>
            <w:tcW w:w="1186"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5" w:right="0"/>
              <w:jc w:val="left"/>
              <w:rPr>
                <w:rFonts w:ascii="Times New Roman" w:hAnsi="Times New Roman" w:cs="Times New Roman" w:eastAsia="Times New Roman" w:hint="default"/>
                <w:sz w:val="18"/>
                <w:szCs w:val="18"/>
              </w:rPr>
            </w:pPr>
            <w:r>
              <w:rPr>
                <w:rFonts w:ascii="Times New Roman"/>
                <w:sz w:val="18"/>
              </w:rPr>
              <w:t>35.00%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权益法</w:t>
            </w:r>
          </w:p>
        </w:tc>
      </w:tr>
    </w:tbl>
    <w:p>
      <w:pPr>
        <w:spacing w:after="0" w:line="240"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9"/>
        <w:rPr>
          <w:rFonts w:ascii="宋体" w:hAnsi="宋体" w:cs="宋体" w:eastAsia="宋体" w:hint="default"/>
          <w:b/>
          <w:bCs/>
          <w:sz w:val="25"/>
          <w:szCs w:val="25"/>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在合营企业或联营企业的持股比例不同于表决权比例的说明：</w:t>
      </w:r>
    </w:p>
    <w:p>
      <w:pPr>
        <w:spacing w:before="117"/>
        <w:ind w:left="152" w:right="986" w:firstLine="0"/>
        <w:jc w:val="left"/>
        <w:rPr>
          <w:rFonts w:ascii="宋体" w:hAnsi="宋体" w:cs="宋体" w:eastAsia="宋体" w:hint="default"/>
          <w:sz w:val="18"/>
          <w:szCs w:val="18"/>
        </w:rPr>
      </w:pPr>
      <w:r>
        <w:rPr>
          <w:rFonts w:ascii="宋体" w:hAnsi="宋体" w:cs="宋体" w:eastAsia="宋体" w:hint="default"/>
          <w:sz w:val="18"/>
          <w:szCs w:val="18"/>
        </w:rPr>
        <w:t>持有</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以下表决权但具有重大影响，或者持有</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或以上表决权但不具有重大影响的依据：</w:t>
      </w:r>
    </w:p>
    <w:p>
      <w:pPr>
        <w:spacing w:line="240" w:lineRule="auto" w:before="13"/>
        <w:rPr>
          <w:rFonts w:ascii="宋体" w:hAnsi="宋体" w:cs="宋体" w:eastAsia="宋体" w:hint="default"/>
          <w:sz w:val="25"/>
          <w:szCs w:val="25"/>
        </w:rPr>
      </w:pPr>
    </w:p>
    <w:p>
      <w:pPr>
        <w:pStyle w:val="Heading4"/>
        <w:spacing w:line="240" w:lineRule="auto"/>
        <w:ind w:right="986"/>
        <w:jc w:val="left"/>
        <w:rPr>
          <w:b w:val="0"/>
          <w:bCs w:val="0"/>
        </w:rPr>
      </w:pPr>
      <w:bookmarkStart w:name="（2）重要合营企业的主要财务信息" w:id="433"/>
      <w:bookmarkEnd w:id="433"/>
      <w:r>
        <w:rPr>
          <w:b w:val="0"/>
          <w:bCs w:val="0"/>
        </w:rPr>
      </w:r>
      <w:r>
        <w:rPr/>
        <w:t>（</w:t>
      </w:r>
      <w:r>
        <w:rPr>
          <w:rFonts w:ascii="Times New Roman" w:hAnsi="Times New Roman" w:cs="Times New Roman" w:eastAsia="Times New Roman" w:hint="default"/>
        </w:rPr>
        <w:t>2</w:t>
      </w:r>
      <w:r>
        <w:rPr/>
        <w:t>）重要合营企业的主要财务信息</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3）重要联营企业的主要财务信息" w:id="434"/>
      <w:bookmarkEnd w:id="434"/>
      <w:r>
        <w:rPr>
          <w:b w:val="0"/>
          <w:bCs w:val="0"/>
        </w:rPr>
      </w:r>
      <w:r>
        <w:rPr/>
        <w:t>（</w:t>
      </w:r>
      <w:r>
        <w:rPr>
          <w:rFonts w:ascii="Times New Roman" w:hAnsi="Times New Roman" w:cs="Times New Roman" w:eastAsia="Times New Roman" w:hint="default"/>
        </w:rPr>
        <w:t>3</w:t>
      </w:r>
      <w:r>
        <w:rPr/>
        <w:t>）重要联营企业的主要财务信息</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040"/>
        <w:gridCol w:w="1074"/>
        <w:gridCol w:w="1063"/>
        <w:gridCol w:w="1063"/>
        <w:gridCol w:w="1063"/>
        <w:gridCol w:w="1063"/>
        <w:gridCol w:w="1061"/>
        <w:gridCol w:w="1063"/>
        <w:gridCol w:w="1063"/>
      </w:tblGrid>
      <w:tr>
        <w:trPr>
          <w:trHeight w:val="403" w:hRule="exact"/>
        </w:trPr>
        <w:tc>
          <w:tcPr>
            <w:tcW w:w="1040"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4264" w:type="dxa"/>
            <w:gridSpan w:val="4"/>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97"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4250" w:type="dxa"/>
            <w:gridSpan w:val="4"/>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86"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317" w:hRule="exact"/>
        </w:trPr>
        <w:tc>
          <w:tcPr>
            <w:tcW w:w="1040" w:type="dxa"/>
            <w:tcBorders>
              <w:top w:val="single" w:sz="4" w:space="0" w:color="000000"/>
              <w:left w:val="single" w:sz="4" w:space="0" w:color="000000"/>
              <w:bottom w:val="nil" w:sz="6" w:space="0" w:color="auto"/>
              <w:right w:val="single" w:sz="4" w:space="0" w:color="000000"/>
            </w:tcBorders>
            <w:shd w:val="clear" w:color="auto" w:fill="D4D4D4"/>
          </w:tcPr>
          <w:p>
            <w:pPr/>
          </w:p>
        </w:tc>
        <w:tc>
          <w:tcPr>
            <w:tcW w:w="1074"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87" w:right="74"/>
              <w:jc w:val="center"/>
              <w:rPr>
                <w:rFonts w:ascii="宋体" w:hAnsi="宋体" w:cs="宋体" w:eastAsia="宋体" w:hint="default"/>
                <w:sz w:val="18"/>
                <w:szCs w:val="18"/>
              </w:rPr>
            </w:pPr>
            <w:r>
              <w:rPr>
                <w:rFonts w:ascii="宋体" w:hAnsi="宋体" w:cs="宋体" w:eastAsia="宋体" w:hint="default"/>
                <w:sz w:val="18"/>
                <w:szCs w:val="18"/>
              </w:rPr>
              <w:t>厦门服云信 息科技有限 公司</w:t>
            </w:r>
          </w:p>
        </w:tc>
        <w:tc>
          <w:tcPr>
            <w:tcW w:w="1063"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76" w:right="74"/>
              <w:jc w:val="both"/>
              <w:rPr>
                <w:rFonts w:ascii="宋体" w:hAnsi="宋体" w:cs="宋体" w:eastAsia="宋体" w:hint="default"/>
                <w:sz w:val="18"/>
                <w:szCs w:val="18"/>
              </w:rPr>
            </w:pPr>
            <w:r>
              <w:rPr>
                <w:rFonts w:ascii="宋体" w:hAnsi="宋体" w:cs="宋体" w:eastAsia="宋体" w:hint="default"/>
                <w:sz w:val="18"/>
                <w:szCs w:val="18"/>
              </w:rPr>
              <w:t>厦门市美亚 梧桐投资管 理有限公司</w:t>
            </w:r>
          </w:p>
        </w:tc>
        <w:tc>
          <w:tcPr>
            <w:tcW w:w="1063"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76" w:right="74"/>
              <w:jc w:val="both"/>
              <w:rPr>
                <w:rFonts w:ascii="宋体" w:hAnsi="宋体" w:cs="宋体" w:eastAsia="宋体" w:hint="default"/>
                <w:sz w:val="18"/>
                <w:szCs w:val="18"/>
              </w:rPr>
            </w:pPr>
            <w:r>
              <w:rPr>
                <w:rFonts w:ascii="宋体" w:hAnsi="宋体" w:cs="宋体" w:eastAsia="宋体" w:hint="default"/>
                <w:sz w:val="18"/>
                <w:szCs w:val="18"/>
              </w:rPr>
              <w:t>沈阳城市公 共安全技术 有限公司</w:t>
            </w:r>
          </w:p>
        </w:tc>
        <w:tc>
          <w:tcPr>
            <w:tcW w:w="1063"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76" w:right="74"/>
              <w:jc w:val="center"/>
              <w:rPr>
                <w:rFonts w:ascii="宋体" w:hAnsi="宋体" w:cs="宋体" w:eastAsia="宋体" w:hint="default"/>
                <w:sz w:val="18"/>
                <w:szCs w:val="18"/>
              </w:rPr>
            </w:pPr>
            <w:r>
              <w:rPr>
                <w:rFonts w:ascii="宋体" w:hAnsi="宋体" w:cs="宋体" w:eastAsia="宋体" w:hint="default"/>
                <w:sz w:val="18"/>
                <w:szCs w:val="18"/>
              </w:rPr>
              <w:t>安徽华图信 息科技有限 公司</w:t>
            </w:r>
          </w:p>
        </w:tc>
        <w:tc>
          <w:tcPr>
            <w:tcW w:w="1063"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76" w:right="74"/>
              <w:jc w:val="center"/>
              <w:rPr>
                <w:rFonts w:ascii="宋体" w:hAnsi="宋体" w:cs="宋体" w:eastAsia="宋体" w:hint="default"/>
                <w:sz w:val="18"/>
                <w:szCs w:val="18"/>
              </w:rPr>
            </w:pPr>
            <w:r>
              <w:rPr>
                <w:rFonts w:ascii="宋体" w:hAnsi="宋体" w:cs="宋体" w:eastAsia="宋体" w:hint="default"/>
                <w:sz w:val="18"/>
                <w:szCs w:val="18"/>
              </w:rPr>
              <w:t>厦门服云信 息科技有限 公司</w:t>
            </w:r>
          </w:p>
        </w:tc>
        <w:tc>
          <w:tcPr>
            <w:tcW w:w="1061"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76" w:right="72"/>
              <w:jc w:val="both"/>
              <w:rPr>
                <w:rFonts w:ascii="宋体" w:hAnsi="宋体" w:cs="宋体" w:eastAsia="宋体" w:hint="default"/>
                <w:sz w:val="18"/>
                <w:szCs w:val="18"/>
              </w:rPr>
            </w:pPr>
            <w:r>
              <w:rPr>
                <w:rFonts w:ascii="宋体" w:hAnsi="宋体" w:cs="宋体" w:eastAsia="宋体" w:hint="default"/>
                <w:sz w:val="18"/>
                <w:szCs w:val="18"/>
              </w:rPr>
              <w:t>厦门市美亚 梧桐投资管 理有限公司</w:t>
            </w:r>
          </w:p>
        </w:tc>
        <w:tc>
          <w:tcPr>
            <w:tcW w:w="1063"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79" w:right="72"/>
              <w:jc w:val="both"/>
              <w:rPr>
                <w:rFonts w:ascii="宋体" w:hAnsi="宋体" w:cs="宋体" w:eastAsia="宋体" w:hint="default"/>
                <w:sz w:val="18"/>
                <w:szCs w:val="18"/>
              </w:rPr>
            </w:pPr>
            <w:r>
              <w:rPr>
                <w:rFonts w:ascii="宋体" w:hAnsi="宋体" w:cs="宋体" w:eastAsia="宋体" w:hint="default"/>
                <w:sz w:val="18"/>
                <w:szCs w:val="18"/>
              </w:rPr>
              <w:t>沈阳城市公 共安全技术 有限公司</w:t>
            </w:r>
          </w:p>
        </w:tc>
        <w:tc>
          <w:tcPr>
            <w:tcW w:w="1063"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76" w:right="74"/>
              <w:jc w:val="center"/>
              <w:rPr>
                <w:rFonts w:ascii="宋体" w:hAnsi="宋体" w:cs="宋体" w:eastAsia="宋体" w:hint="default"/>
                <w:sz w:val="18"/>
                <w:szCs w:val="18"/>
              </w:rPr>
            </w:pPr>
            <w:r>
              <w:rPr>
                <w:rFonts w:ascii="宋体" w:hAnsi="宋体" w:cs="宋体" w:eastAsia="宋体" w:hint="default"/>
                <w:sz w:val="18"/>
                <w:szCs w:val="18"/>
              </w:rPr>
              <w:t>安徽华图信 息科技有限 公司</w:t>
            </w:r>
          </w:p>
        </w:tc>
      </w:tr>
      <w:tr>
        <w:trPr>
          <w:trHeight w:val="391" w:hRule="exact"/>
        </w:trPr>
        <w:tc>
          <w:tcPr>
            <w:tcW w:w="1040" w:type="dxa"/>
            <w:tcBorders>
              <w:top w:val="nil" w:sz="6" w:space="0" w:color="auto"/>
              <w:left w:val="single" w:sz="4" w:space="0" w:color="000000"/>
              <w:bottom w:val="nil" w:sz="6" w:space="0" w:color="auto"/>
              <w:right w:val="single" w:sz="4" w:space="0" w:color="000000"/>
            </w:tcBorders>
            <w:shd w:val="clear" w:color="auto" w:fill="D4D4D4"/>
          </w:tcPr>
          <w:p>
            <w:pPr/>
          </w:p>
        </w:tc>
        <w:tc>
          <w:tcPr>
            <w:tcW w:w="1074" w:type="dxa"/>
            <w:vMerge/>
            <w:tcBorders>
              <w:left w:val="single" w:sz="4" w:space="0" w:color="000000"/>
              <w:right w:val="single" w:sz="4" w:space="0" w:color="000000"/>
            </w:tcBorders>
            <w:shd w:val="clear" w:color="auto" w:fill="D4D4D4"/>
          </w:tcPr>
          <w:p>
            <w:pPr/>
          </w:p>
        </w:tc>
        <w:tc>
          <w:tcPr>
            <w:tcW w:w="1063" w:type="dxa"/>
            <w:vMerge/>
            <w:tcBorders>
              <w:left w:val="single" w:sz="4" w:space="0" w:color="000000"/>
              <w:right w:val="single" w:sz="4" w:space="0" w:color="000000"/>
            </w:tcBorders>
            <w:shd w:val="clear" w:color="auto" w:fill="D4D4D4"/>
          </w:tcPr>
          <w:p>
            <w:pPr/>
          </w:p>
        </w:tc>
        <w:tc>
          <w:tcPr>
            <w:tcW w:w="1063" w:type="dxa"/>
            <w:vMerge/>
            <w:tcBorders>
              <w:left w:val="single" w:sz="4" w:space="0" w:color="000000"/>
              <w:right w:val="single" w:sz="4" w:space="0" w:color="000000"/>
            </w:tcBorders>
            <w:shd w:val="clear" w:color="auto" w:fill="D4D4D4"/>
          </w:tcPr>
          <w:p>
            <w:pPr/>
          </w:p>
        </w:tc>
        <w:tc>
          <w:tcPr>
            <w:tcW w:w="1063" w:type="dxa"/>
            <w:vMerge/>
            <w:tcBorders>
              <w:left w:val="single" w:sz="4" w:space="0" w:color="000000"/>
              <w:right w:val="single" w:sz="4" w:space="0" w:color="000000"/>
            </w:tcBorders>
            <w:shd w:val="clear" w:color="auto" w:fill="D4D4D4"/>
          </w:tcPr>
          <w:p>
            <w:pPr/>
          </w:p>
        </w:tc>
        <w:tc>
          <w:tcPr>
            <w:tcW w:w="1063" w:type="dxa"/>
            <w:vMerge/>
            <w:tcBorders>
              <w:left w:val="single" w:sz="4" w:space="0" w:color="000000"/>
              <w:right w:val="single" w:sz="4" w:space="0" w:color="000000"/>
            </w:tcBorders>
            <w:shd w:val="clear" w:color="auto" w:fill="D4D4D4"/>
          </w:tcPr>
          <w:p>
            <w:pPr/>
          </w:p>
        </w:tc>
        <w:tc>
          <w:tcPr>
            <w:tcW w:w="1061" w:type="dxa"/>
            <w:vMerge/>
            <w:tcBorders>
              <w:left w:val="single" w:sz="4" w:space="0" w:color="000000"/>
              <w:right w:val="single" w:sz="4" w:space="0" w:color="000000"/>
            </w:tcBorders>
            <w:shd w:val="clear" w:color="auto" w:fill="D4D4D4"/>
          </w:tcPr>
          <w:p>
            <w:pPr/>
          </w:p>
        </w:tc>
        <w:tc>
          <w:tcPr>
            <w:tcW w:w="1063" w:type="dxa"/>
            <w:vMerge/>
            <w:tcBorders>
              <w:left w:val="single" w:sz="4" w:space="0" w:color="000000"/>
              <w:right w:val="single" w:sz="4" w:space="0" w:color="000000"/>
            </w:tcBorders>
            <w:shd w:val="clear" w:color="auto" w:fill="D4D4D4"/>
          </w:tcPr>
          <w:p>
            <w:pPr/>
          </w:p>
        </w:tc>
        <w:tc>
          <w:tcPr>
            <w:tcW w:w="1063" w:type="dxa"/>
            <w:vMerge/>
            <w:tcBorders>
              <w:left w:val="single" w:sz="4" w:space="0" w:color="000000"/>
              <w:right w:val="single" w:sz="4" w:space="0" w:color="000000"/>
            </w:tcBorders>
            <w:shd w:val="clear" w:color="auto" w:fill="D4D4D4"/>
          </w:tcPr>
          <w:p>
            <w:pPr/>
          </w:p>
        </w:tc>
      </w:tr>
      <w:tr>
        <w:trPr>
          <w:trHeight w:val="317" w:hRule="exact"/>
        </w:trPr>
        <w:tc>
          <w:tcPr>
            <w:tcW w:w="1040" w:type="dxa"/>
            <w:tcBorders>
              <w:top w:val="nil" w:sz="6" w:space="0" w:color="auto"/>
              <w:left w:val="single" w:sz="4" w:space="0" w:color="000000"/>
              <w:bottom w:val="single" w:sz="4" w:space="0" w:color="000000"/>
              <w:right w:val="single" w:sz="4" w:space="0" w:color="000000"/>
            </w:tcBorders>
            <w:shd w:val="clear" w:color="auto" w:fill="D4D4D4"/>
          </w:tcPr>
          <w:p>
            <w:pPr/>
          </w:p>
        </w:tc>
        <w:tc>
          <w:tcPr>
            <w:tcW w:w="1074" w:type="dxa"/>
            <w:vMerge/>
            <w:tcBorders>
              <w:left w:val="single" w:sz="4" w:space="0" w:color="000000"/>
              <w:bottom w:val="single" w:sz="4" w:space="0" w:color="000000"/>
              <w:right w:val="single" w:sz="4" w:space="0" w:color="000000"/>
            </w:tcBorders>
            <w:shd w:val="clear" w:color="auto" w:fill="D4D4D4"/>
          </w:tcPr>
          <w:p>
            <w:pPr/>
          </w:p>
        </w:tc>
        <w:tc>
          <w:tcPr>
            <w:tcW w:w="1063" w:type="dxa"/>
            <w:vMerge/>
            <w:tcBorders>
              <w:left w:val="single" w:sz="4" w:space="0" w:color="000000"/>
              <w:bottom w:val="single" w:sz="4" w:space="0" w:color="000000"/>
              <w:right w:val="single" w:sz="4" w:space="0" w:color="000000"/>
            </w:tcBorders>
            <w:shd w:val="clear" w:color="auto" w:fill="D4D4D4"/>
          </w:tcPr>
          <w:p>
            <w:pPr/>
          </w:p>
        </w:tc>
        <w:tc>
          <w:tcPr>
            <w:tcW w:w="1063" w:type="dxa"/>
            <w:vMerge/>
            <w:tcBorders>
              <w:left w:val="single" w:sz="4" w:space="0" w:color="000000"/>
              <w:bottom w:val="single" w:sz="4" w:space="0" w:color="000000"/>
              <w:right w:val="single" w:sz="4" w:space="0" w:color="000000"/>
            </w:tcBorders>
            <w:shd w:val="clear" w:color="auto" w:fill="D4D4D4"/>
          </w:tcPr>
          <w:p>
            <w:pPr/>
          </w:p>
        </w:tc>
        <w:tc>
          <w:tcPr>
            <w:tcW w:w="1063" w:type="dxa"/>
            <w:vMerge/>
            <w:tcBorders>
              <w:left w:val="single" w:sz="4" w:space="0" w:color="000000"/>
              <w:bottom w:val="single" w:sz="4" w:space="0" w:color="000000"/>
              <w:right w:val="single" w:sz="4" w:space="0" w:color="000000"/>
            </w:tcBorders>
            <w:shd w:val="clear" w:color="auto" w:fill="D4D4D4"/>
          </w:tcPr>
          <w:p>
            <w:pPr/>
          </w:p>
        </w:tc>
        <w:tc>
          <w:tcPr>
            <w:tcW w:w="1063" w:type="dxa"/>
            <w:vMerge/>
            <w:tcBorders>
              <w:left w:val="single" w:sz="4" w:space="0" w:color="000000"/>
              <w:bottom w:val="single" w:sz="4" w:space="0" w:color="000000"/>
              <w:right w:val="single" w:sz="4" w:space="0" w:color="000000"/>
            </w:tcBorders>
            <w:shd w:val="clear" w:color="auto" w:fill="D4D4D4"/>
          </w:tcPr>
          <w:p>
            <w:pPr/>
          </w:p>
        </w:tc>
        <w:tc>
          <w:tcPr>
            <w:tcW w:w="1061" w:type="dxa"/>
            <w:vMerge/>
            <w:tcBorders>
              <w:left w:val="single" w:sz="4" w:space="0" w:color="000000"/>
              <w:bottom w:val="single" w:sz="4" w:space="0" w:color="000000"/>
              <w:right w:val="single" w:sz="4" w:space="0" w:color="000000"/>
            </w:tcBorders>
            <w:shd w:val="clear" w:color="auto" w:fill="D4D4D4"/>
          </w:tcPr>
          <w:p>
            <w:pPr/>
          </w:p>
        </w:tc>
        <w:tc>
          <w:tcPr>
            <w:tcW w:w="1063" w:type="dxa"/>
            <w:vMerge/>
            <w:tcBorders>
              <w:left w:val="single" w:sz="4" w:space="0" w:color="000000"/>
              <w:bottom w:val="single" w:sz="4" w:space="0" w:color="000000"/>
              <w:right w:val="single" w:sz="4" w:space="0" w:color="000000"/>
            </w:tcBorders>
            <w:shd w:val="clear" w:color="auto" w:fill="D4D4D4"/>
          </w:tcPr>
          <w:p>
            <w:pPr/>
          </w:p>
        </w:tc>
        <w:tc>
          <w:tcPr>
            <w:tcW w:w="1063" w:type="dxa"/>
            <w:vMerge/>
            <w:tcBorders>
              <w:left w:val="single" w:sz="4" w:space="0" w:color="000000"/>
              <w:bottom w:val="single" w:sz="4" w:space="0" w:color="000000"/>
              <w:right w:val="single" w:sz="4" w:space="0" w:color="000000"/>
            </w:tcBorders>
            <w:shd w:val="clear" w:color="auto" w:fill="D4D4D4"/>
          </w:tcPr>
          <w:p>
            <w:pPr/>
          </w:p>
        </w:tc>
      </w:tr>
      <w:tr>
        <w:trPr>
          <w:trHeight w:val="163" w:hRule="exact"/>
        </w:trPr>
        <w:tc>
          <w:tcPr>
            <w:tcW w:w="1040" w:type="dxa"/>
            <w:tcBorders>
              <w:top w:val="single" w:sz="4" w:space="0" w:color="000000"/>
              <w:left w:val="single" w:sz="4" w:space="0" w:color="000000"/>
              <w:bottom w:val="nil" w:sz="6" w:space="0" w:color="auto"/>
              <w:right w:val="single" w:sz="4" w:space="0" w:color="000000"/>
            </w:tcBorders>
            <w:shd w:val="clear" w:color="auto" w:fill="D4D4D4"/>
          </w:tcPr>
          <w:p>
            <w:pPr/>
          </w:p>
        </w:tc>
        <w:tc>
          <w:tcPr>
            <w:tcW w:w="1074" w:type="dxa"/>
            <w:vMerge w:val="restart"/>
            <w:tcBorders>
              <w:top w:val="single" w:sz="4" w:space="0" w:color="000000"/>
              <w:left w:val="single" w:sz="9" w:space="0" w:color="D4D4D4"/>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46,783,215.0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3,851,022.28</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5,938,560.45</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6,944,322.50</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42,469,048.9</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7</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8,248,472.11</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6" w:right="0"/>
              <w:jc w:val="left"/>
              <w:rPr>
                <w:rFonts w:ascii="Times New Roman" w:hAnsi="Times New Roman" w:cs="Times New Roman" w:eastAsia="Times New Roman" w:hint="default"/>
                <w:sz w:val="18"/>
                <w:szCs w:val="18"/>
              </w:rPr>
            </w:pPr>
            <w:r>
              <w:rPr>
                <w:rFonts w:ascii="Times New Roman"/>
                <w:sz w:val="18"/>
              </w:rPr>
              <w:t>5,116,372.72</w:t>
            </w:r>
          </w:p>
        </w:tc>
        <w:tc>
          <w:tcPr>
            <w:tcW w:w="1063" w:type="dxa"/>
            <w:vMerge w:val="restart"/>
            <w:tcBorders>
              <w:top w:val="single" w:sz="4" w:space="0" w:color="000000"/>
              <w:left w:val="single" w:sz="4" w:space="0" w:color="000000"/>
              <w:right w:val="single" w:sz="4" w:space="0" w:color="000000"/>
            </w:tcBorders>
          </w:tcPr>
          <w:p>
            <w:pPr/>
          </w:p>
        </w:tc>
      </w:tr>
      <w:tr>
        <w:trPr>
          <w:trHeight w:val="391" w:hRule="exact"/>
        </w:trPr>
        <w:tc>
          <w:tcPr>
            <w:tcW w:w="1040"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074" w:type="dxa"/>
            <w:vMerge/>
            <w:tcBorders>
              <w:left w:val="single" w:sz="9" w:space="0" w:color="D4D4D4"/>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r>
      <w:tr>
        <w:trPr>
          <w:trHeight w:val="161" w:hRule="exact"/>
        </w:trPr>
        <w:tc>
          <w:tcPr>
            <w:tcW w:w="1040" w:type="dxa"/>
            <w:tcBorders>
              <w:top w:val="nil" w:sz="6" w:space="0" w:color="auto"/>
              <w:left w:val="single" w:sz="4" w:space="0" w:color="000000"/>
              <w:bottom w:val="single" w:sz="4" w:space="0" w:color="000000"/>
              <w:right w:val="single" w:sz="4" w:space="0" w:color="000000"/>
            </w:tcBorders>
            <w:shd w:val="clear" w:color="auto" w:fill="D4D4D4"/>
          </w:tcPr>
          <w:p>
            <w:pPr/>
          </w:p>
        </w:tc>
        <w:tc>
          <w:tcPr>
            <w:tcW w:w="1074" w:type="dxa"/>
            <w:vMerge/>
            <w:tcBorders>
              <w:left w:val="single" w:sz="9" w:space="0" w:color="D4D4D4"/>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r>
      <w:tr>
        <w:trPr>
          <w:trHeight w:val="401" w:hRule="exact"/>
        </w:trPr>
        <w:tc>
          <w:tcPr>
            <w:tcW w:w="104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074"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1,014,463.91</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184,496.58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56,342.06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center"/>
              <w:rPr>
                <w:rFonts w:ascii="Times New Roman" w:hAnsi="Times New Roman" w:cs="Times New Roman" w:eastAsia="Times New Roman" w:hint="default"/>
                <w:sz w:val="18"/>
                <w:szCs w:val="18"/>
              </w:rPr>
            </w:pPr>
            <w:r>
              <w:rPr>
                <w:rFonts w:ascii="Times New Roman"/>
                <w:sz w:val="18"/>
              </w:rPr>
              <w:t>1,211,783.68</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285,051.56</w:t>
            </w: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63" w:hRule="exact"/>
        </w:trPr>
        <w:tc>
          <w:tcPr>
            <w:tcW w:w="1040" w:type="dxa"/>
            <w:tcBorders>
              <w:top w:val="single" w:sz="4" w:space="0" w:color="000000"/>
              <w:left w:val="single" w:sz="4" w:space="0" w:color="000000"/>
              <w:bottom w:val="nil" w:sz="6" w:space="0" w:color="auto"/>
              <w:right w:val="single" w:sz="4" w:space="0" w:color="000000"/>
            </w:tcBorders>
            <w:shd w:val="clear" w:color="auto" w:fill="D4D4D4"/>
          </w:tcPr>
          <w:p>
            <w:pPr/>
          </w:p>
        </w:tc>
        <w:tc>
          <w:tcPr>
            <w:tcW w:w="1074" w:type="dxa"/>
            <w:vMerge w:val="restart"/>
            <w:tcBorders>
              <w:top w:val="single" w:sz="4" w:space="0" w:color="000000"/>
              <w:left w:val="single" w:sz="9" w:space="0" w:color="D4D4D4"/>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47,797,678.9</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1</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3,851,022.28</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6,123,057.03</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7,000,664.56</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43,680,832.6</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5</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8,248,472.11</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5,401,424.28</w:t>
            </w:r>
          </w:p>
        </w:tc>
        <w:tc>
          <w:tcPr>
            <w:tcW w:w="1063" w:type="dxa"/>
            <w:vMerge w:val="restart"/>
            <w:tcBorders>
              <w:top w:val="single" w:sz="4" w:space="0" w:color="000000"/>
              <w:left w:val="single" w:sz="4" w:space="0" w:color="000000"/>
              <w:right w:val="single" w:sz="4" w:space="0" w:color="000000"/>
            </w:tcBorders>
          </w:tcPr>
          <w:p>
            <w:pPr/>
          </w:p>
        </w:tc>
      </w:tr>
      <w:tr>
        <w:trPr>
          <w:trHeight w:val="391" w:hRule="exact"/>
        </w:trPr>
        <w:tc>
          <w:tcPr>
            <w:tcW w:w="1040"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1074" w:type="dxa"/>
            <w:vMerge/>
            <w:tcBorders>
              <w:left w:val="single" w:sz="9" w:space="0" w:color="D4D4D4"/>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r>
      <w:tr>
        <w:trPr>
          <w:trHeight w:val="161" w:hRule="exact"/>
        </w:trPr>
        <w:tc>
          <w:tcPr>
            <w:tcW w:w="1040" w:type="dxa"/>
            <w:tcBorders>
              <w:top w:val="nil" w:sz="6" w:space="0" w:color="auto"/>
              <w:left w:val="single" w:sz="4" w:space="0" w:color="000000"/>
              <w:bottom w:val="single" w:sz="4" w:space="0" w:color="000000"/>
              <w:right w:val="single" w:sz="4" w:space="0" w:color="000000"/>
            </w:tcBorders>
            <w:shd w:val="clear" w:color="auto" w:fill="D4D4D4"/>
          </w:tcPr>
          <w:p>
            <w:pPr/>
          </w:p>
        </w:tc>
        <w:tc>
          <w:tcPr>
            <w:tcW w:w="1074" w:type="dxa"/>
            <w:vMerge/>
            <w:tcBorders>
              <w:left w:val="single" w:sz="9" w:space="0" w:color="D4D4D4"/>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r>
      <w:tr>
        <w:trPr>
          <w:trHeight w:val="161" w:hRule="exact"/>
        </w:trPr>
        <w:tc>
          <w:tcPr>
            <w:tcW w:w="1040" w:type="dxa"/>
            <w:tcBorders>
              <w:top w:val="single" w:sz="4" w:space="0" w:color="000000"/>
              <w:left w:val="single" w:sz="4" w:space="0" w:color="000000"/>
              <w:bottom w:val="nil" w:sz="6" w:space="0" w:color="auto"/>
              <w:right w:val="single" w:sz="4" w:space="0" w:color="000000"/>
            </w:tcBorders>
            <w:shd w:val="clear" w:color="auto" w:fill="D4D4D4"/>
          </w:tcPr>
          <w:p>
            <w:pPr/>
          </w:p>
        </w:tc>
        <w:tc>
          <w:tcPr>
            <w:tcW w:w="1074" w:type="dxa"/>
            <w:vMerge w:val="restart"/>
            <w:tcBorders>
              <w:top w:val="single" w:sz="4" w:space="0" w:color="000000"/>
              <w:left w:val="single" w:sz="9" w:space="0" w:color="D4D4D4"/>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14,883,758.2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2,022,728.37</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5,710,993.11</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1,840,084.89</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11,421,825.9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5,834,029.08</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4,217,061.47</w:t>
            </w:r>
          </w:p>
        </w:tc>
        <w:tc>
          <w:tcPr>
            <w:tcW w:w="1063" w:type="dxa"/>
            <w:vMerge w:val="restart"/>
            <w:tcBorders>
              <w:top w:val="single" w:sz="4" w:space="0" w:color="000000"/>
              <w:left w:val="single" w:sz="4" w:space="0" w:color="000000"/>
              <w:right w:val="single" w:sz="4" w:space="0" w:color="000000"/>
            </w:tcBorders>
          </w:tcPr>
          <w:p>
            <w:pPr/>
          </w:p>
        </w:tc>
      </w:tr>
      <w:tr>
        <w:trPr>
          <w:trHeight w:val="391" w:hRule="exact"/>
        </w:trPr>
        <w:tc>
          <w:tcPr>
            <w:tcW w:w="1040"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074" w:type="dxa"/>
            <w:vMerge/>
            <w:tcBorders>
              <w:left w:val="single" w:sz="9" w:space="0" w:color="D4D4D4"/>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r>
      <w:tr>
        <w:trPr>
          <w:trHeight w:val="161" w:hRule="exact"/>
        </w:trPr>
        <w:tc>
          <w:tcPr>
            <w:tcW w:w="1040" w:type="dxa"/>
            <w:tcBorders>
              <w:top w:val="nil" w:sz="6" w:space="0" w:color="auto"/>
              <w:left w:val="single" w:sz="4" w:space="0" w:color="000000"/>
              <w:bottom w:val="single" w:sz="4" w:space="0" w:color="000000"/>
              <w:right w:val="single" w:sz="4" w:space="0" w:color="000000"/>
            </w:tcBorders>
            <w:shd w:val="clear" w:color="auto" w:fill="D4D4D4"/>
          </w:tcPr>
          <w:p>
            <w:pPr/>
          </w:p>
        </w:tc>
        <w:tc>
          <w:tcPr>
            <w:tcW w:w="1074" w:type="dxa"/>
            <w:vMerge/>
            <w:tcBorders>
              <w:left w:val="single" w:sz="9" w:space="0" w:color="D4D4D4"/>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r>
      <w:tr>
        <w:trPr>
          <w:trHeight w:val="163" w:hRule="exact"/>
        </w:trPr>
        <w:tc>
          <w:tcPr>
            <w:tcW w:w="1040" w:type="dxa"/>
            <w:tcBorders>
              <w:top w:val="single" w:sz="4" w:space="0" w:color="000000"/>
              <w:left w:val="single" w:sz="4" w:space="0" w:color="000000"/>
              <w:bottom w:val="nil" w:sz="6" w:space="0" w:color="auto"/>
              <w:right w:val="single" w:sz="4" w:space="0" w:color="000000"/>
            </w:tcBorders>
            <w:shd w:val="clear" w:color="auto" w:fill="D4D4D4"/>
          </w:tcPr>
          <w:p>
            <w:pPr/>
          </w:p>
        </w:tc>
        <w:tc>
          <w:tcPr>
            <w:tcW w:w="1074" w:type="dxa"/>
            <w:vMerge w:val="restart"/>
            <w:tcBorders>
              <w:top w:val="single" w:sz="4" w:space="0" w:color="000000"/>
              <w:left w:val="single" w:sz="9" w:space="0" w:color="D4D4D4"/>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14,883,758.2</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9</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2,022,728.37</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5,710,993.11</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1,840,084.89</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11,421,825.9</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7</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5,834,029.08</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4,217,061.47</w:t>
            </w:r>
          </w:p>
        </w:tc>
        <w:tc>
          <w:tcPr>
            <w:tcW w:w="1063" w:type="dxa"/>
            <w:vMerge w:val="restart"/>
            <w:tcBorders>
              <w:top w:val="single" w:sz="4" w:space="0" w:color="000000"/>
              <w:left w:val="single" w:sz="4" w:space="0" w:color="000000"/>
              <w:right w:val="single" w:sz="4" w:space="0" w:color="000000"/>
            </w:tcBorders>
          </w:tcPr>
          <w:p>
            <w:pPr/>
          </w:p>
        </w:tc>
      </w:tr>
      <w:tr>
        <w:trPr>
          <w:trHeight w:val="391" w:hRule="exact"/>
        </w:trPr>
        <w:tc>
          <w:tcPr>
            <w:tcW w:w="1040"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074" w:type="dxa"/>
            <w:vMerge/>
            <w:tcBorders>
              <w:left w:val="single" w:sz="9" w:space="0" w:color="D4D4D4"/>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r>
      <w:tr>
        <w:trPr>
          <w:trHeight w:val="161" w:hRule="exact"/>
        </w:trPr>
        <w:tc>
          <w:tcPr>
            <w:tcW w:w="1040" w:type="dxa"/>
            <w:tcBorders>
              <w:top w:val="nil" w:sz="6" w:space="0" w:color="auto"/>
              <w:left w:val="single" w:sz="4" w:space="0" w:color="000000"/>
              <w:bottom w:val="single" w:sz="4" w:space="0" w:color="000000"/>
              <w:right w:val="single" w:sz="4" w:space="0" w:color="000000"/>
            </w:tcBorders>
            <w:shd w:val="clear" w:color="auto" w:fill="D4D4D4"/>
          </w:tcPr>
          <w:p>
            <w:pPr/>
          </w:p>
        </w:tc>
        <w:tc>
          <w:tcPr>
            <w:tcW w:w="1074" w:type="dxa"/>
            <w:vMerge/>
            <w:tcBorders>
              <w:left w:val="single" w:sz="9" w:space="0" w:color="D4D4D4"/>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r>
      <w:tr>
        <w:trPr>
          <w:trHeight w:val="161" w:hRule="exact"/>
        </w:trPr>
        <w:tc>
          <w:tcPr>
            <w:tcW w:w="1040" w:type="dxa"/>
            <w:tcBorders>
              <w:top w:val="single" w:sz="4" w:space="0" w:color="000000"/>
              <w:left w:val="single" w:sz="4" w:space="0" w:color="000000"/>
              <w:bottom w:val="nil" w:sz="6" w:space="0" w:color="auto"/>
              <w:right w:val="single" w:sz="4" w:space="0" w:color="000000"/>
            </w:tcBorders>
            <w:shd w:val="clear" w:color="auto" w:fill="D4D4D4"/>
          </w:tcPr>
          <w:p>
            <w:pPr/>
          </w:p>
        </w:tc>
        <w:tc>
          <w:tcPr>
            <w:tcW w:w="1074" w:type="dxa"/>
            <w:vMerge w:val="restart"/>
            <w:tcBorders>
              <w:top w:val="single" w:sz="4" w:space="0" w:color="000000"/>
              <w:left w:val="single" w:sz="9" w:space="0" w:color="D4D4D4"/>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32,913,920.6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1,828,293.91</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0" w:right="0"/>
              <w:jc w:val="left"/>
              <w:rPr>
                <w:rFonts w:ascii="Times New Roman" w:hAnsi="Times New Roman" w:cs="Times New Roman" w:eastAsia="Times New Roman" w:hint="default"/>
                <w:sz w:val="18"/>
                <w:szCs w:val="18"/>
              </w:rPr>
            </w:pPr>
            <w:r>
              <w:rPr>
                <w:rFonts w:ascii="Times New Roman"/>
                <w:sz w:val="18"/>
              </w:rPr>
              <w:t>412,063.92</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5,160,579.67</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32,259,006.6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2,414,443.03</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1,184,362.81</w:t>
            </w:r>
          </w:p>
        </w:tc>
        <w:tc>
          <w:tcPr>
            <w:tcW w:w="1063" w:type="dxa"/>
            <w:vMerge w:val="restart"/>
            <w:tcBorders>
              <w:top w:val="single" w:sz="4" w:space="0" w:color="000000"/>
              <w:left w:val="single" w:sz="4" w:space="0" w:color="000000"/>
              <w:right w:val="single" w:sz="4" w:space="0" w:color="000000"/>
            </w:tcBorders>
          </w:tcPr>
          <w:p>
            <w:pPr/>
          </w:p>
        </w:tc>
      </w:tr>
      <w:tr>
        <w:trPr>
          <w:trHeight w:val="391" w:hRule="exact"/>
        </w:trPr>
        <w:tc>
          <w:tcPr>
            <w:tcW w:w="1040"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074" w:type="dxa"/>
            <w:vMerge/>
            <w:tcBorders>
              <w:left w:val="single" w:sz="9" w:space="0" w:color="D4D4D4"/>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r>
      <w:tr>
        <w:trPr>
          <w:trHeight w:val="161" w:hRule="exact"/>
        </w:trPr>
        <w:tc>
          <w:tcPr>
            <w:tcW w:w="1040" w:type="dxa"/>
            <w:tcBorders>
              <w:top w:val="nil" w:sz="6" w:space="0" w:color="auto"/>
              <w:left w:val="single" w:sz="4" w:space="0" w:color="000000"/>
              <w:bottom w:val="single" w:sz="4" w:space="0" w:color="000000"/>
              <w:right w:val="single" w:sz="4" w:space="0" w:color="000000"/>
            </w:tcBorders>
            <w:shd w:val="clear" w:color="auto" w:fill="D4D4D4"/>
          </w:tcPr>
          <w:p>
            <w:pPr/>
          </w:p>
        </w:tc>
        <w:tc>
          <w:tcPr>
            <w:tcW w:w="1074" w:type="dxa"/>
            <w:vMerge/>
            <w:tcBorders>
              <w:left w:val="single" w:sz="9" w:space="0" w:color="D4D4D4"/>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r>
      <w:tr>
        <w:trPr>
          <w:trHeight w:val="715" w:hRule="exact"/>
        </w:trPr>
        <w:tc>
          <w:tcPr>
            <w:tcW w:w="104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1"/>
              <w:ind w:left="12" w:right="116"/>
              <w:jc w:val="left"/>
              <w:rPr>
                <w:rFonts w:ascii="宋体" w:hAnsi="宋体" w:cs="宋体" w:eastAsia="宋体" w:hint="default"/>
                <w:sz w:val="18"/>
                <w:szCs w:val="18"/>
              </w:rPr>
            </w:pPr>
            <w:r>
              <w:rPr>
                <w:rFonts w:ascii="宋体" w:hAnsi="宋体" w:cs="宋体" w:eastAsia="宋体" w:hint="default"/>
                <w:sz w:val="18"/>
                <w:szCs w:val="18"/>
              </w:rPr>
              <w:t>归属于母公 司股东权益</w:t>
            </w:r>
          </w:p>
        </w:tc>
        <w:tc>
          <w:tcPr>
            <w:tcW w:w="1074"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32,913,920.6</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1,828,293.91</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412,063.92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5,160,579.67</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32,259,006.6</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8</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2,414,443.03</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1,184,362.81</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04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2" w:right="116"/>
              <w:jc w:val="both"/>
              <w:rPr>
                <w:rFonts w:ascii="宋体" w:hAnsi="宋体" w:cs="宋体" w:eastAsia="宋体" w:hint="default"/>
                <w:sz w:val="18"/>
                <w:szCs w:val="18"/>
              </w:rPr>
            </w:pPr>
            <w:r>
              <w:rPr>
                <w:rFonts w:ascii="宋体" w:hAnsi="宋体" w:cs="宋体" w:eastAsia="宋体" w:hint="default"/>
                <w:sz w:val="18"/>
                <w:szCs w:val="18"/>
              </w:rPr>
              <w:t>按持股比例 计算的净资 产份额</w:t>
            </w:r>
          </w:p>
        </w:tc>
        <w:tc>
          <w:tcPr>
            <w:tcW w:w="1074"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9,614,156.21</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716,702.98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96,381.75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1,032,115.93</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9,422,855.85</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946,461.68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277,022.46</w:t>
            </w: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04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商誉</w:t>
            </w:r>
          </w:p>
        </w:tc>
        <w:tc>
          <w:tcPr>
            <w:tcW w:w="1074" w:type="dxa"/>
            <w:tcBorders>
              <w:top w:val="single" w:sz="4" w:space="0" w:color="000000"/>
              <w:left w:val="single" w:sz="12" w:space="0" w:color="D4D4D4"/>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1,129,746.03</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3,174,650.43</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596,722.67</w:t>
            </w: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04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2" w:right="116"/>
              <w:jc w:val="both"/>
              <w:rPr>
                <w:rFonts w:ascii="宋体" w:hAnsi="宋体" w:cs="宋体" w:eastAsia="宋体" w:hint="default"/>
                <w:sz w:val="18"/>
                <w:szCs w:val="18"/>
              </w:rPr>
            </w:pPr>
            <w:r>
              <w:rPr>
                <w:rFonts w:ascii="宋体" w:hAnsi="宋体" w:cs="宋体" w:eastAsia="宋体" w:hint="default"/>
                <w:sz w:val="18"/>
                <w:szCs w:val="18"/>
              </w:rPr>
              <w:t>对联营企业 权益投资的 账面价值</w:t>
            </w:r>
          </w:p>
        </w:tc>
        <w:tc>
          <w:tcPr>
            <w:tcW w:w="1074"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9,614,156.21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716,702.98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1,226,127.78</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4,206,766.36</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9,422,855.85</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946,461.68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873,745.13</w:t>
            </w: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63" w:hRule="exact"/>
        </w:trPr>
        <w:tc>
          <w:tcPr>
            <w:tcW w:w="1040" w:type="dxa"/>
            <w:tcBorders>
              <w:top w:val="single" w:sz="4" w:space="0" w:color="000000"/>
              <w:left w:val="single" w:sz="4" w:space="0" w:color="000000"/>
              <w:bottom w:val="nil" w:sz="6" w:space="0" w:color="auto"/>
              <w:right w:val="single" w:sz="4" w:space="0" w:color="000000"/>
            </w:tcBorders>
            <w:shd w:val="clear" w:color="auto" w:fill="D4D4D4"/>
          </w:tcPr>
          <w:p>
            <w:pPr/>
          </w:p>
        </w:tc>
        <w:tc>
          <w:tcPr>
            <w:tcW w:w="1074" w:type="dxa"/>
            <w:vMerge w:val="restart"/>
            <w:tcBorders>
              <w:top w:val="single" w:sz="4" w:space="0" w:color="000000"/>
              <w:left w:val="single" w:sz="9" w:space="0" w:color="D4D4D4"/>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45,983,966.9</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3,471,226.11</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20" w:right="0"/>
              <w:jc w:val="left"/>
              <w:rPr>
                <w:rFonts w:ascii="Times New Roman" w:hAnsi="Times New Roman" w:cs="Times New Roman" w:eastAsia="Times New Roman" w:hint="default"/>
                <w:sz w:val="18"/>
                <w:szCs w:val="18"/>
              </w:rPr>
            </w:pPr>
            <w:r>
              <w:rPr>
                <w:rFonts w:ascii="Times New Roman"/>
                <w:sz w:val="18"/>
              </w:rPr>
              <w:t>125,943.40</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9,090,700.34</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32,716,170.6</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4,628,301.48</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14" w:right="0"/>
              <w:jc w:val="left"/>
              <w:rPr>
                <w:rFonts w:ascii="Times New Roman" w:hAnsi="Times New Roman" w:cs="Times New Roman" w:eastAsia="Times New Roman" w:hint="default"/>
                <w:sz w:val="18"/>
                <w:szCs w:val="18"/>
              </w:rPr>
            </w:pPr>
            <w:r>
              <w:rPr>
                <w:rFonts w:ascii="Times New Roman"/>
                <w:sz w:val="18"/>
              </w:rPr>
              <w:t>20,754.72</w:t>
            </w:r>
          </w:p>
        </w:tc>
        <w:tc>
          <w:tcPr>
            <w:tcW w:w="1063" w:type="dxa"/>
            <w:vMerge w:val="restart"/>
            <w:tcBorders>
              <w:top w:val="single" w:sz="4" w:space="0" w:color="000000"/>
              <w:left w:val="single" w:sz="4" w:space="0" w:color="000000"/>
              <w:right w:val="single" w:sz="4" w:space="0" w:color="000000"/>
            </w:tcBorders>
          </w:tcPr>
          <w:p>
            <w:pPr/>
          </w:p>
        </w:tc>
      </w:tr>
      <w:tr>
        <w:trPr>
          <w:trHeight w:val="391" w:hRule="exact"/>
        </w:trPr>
        <w:tc>
          <w:tcPr>
            <w:tcW w:w="1040"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74" w:type="dxa"/>
            <w:vMerge/>
            <w:tcBorders>
              <w:left w:val="single" w:sz="9" w:space="0" w:color="D4D4D4"/>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r>
      <w:tr>
        <w:trPr>
          <w:trHeight w:val="161" w:hRule="exact"/>
        </w:trPr>
        <w:tc>
          <w:tcPr>
            <w:tcW w:w="1040" w:type="dxa"/>
            <w:tcBorders>
              <w:top w:val="nil" w:sz="6" w:space="0" w:color="auto"/>
              <w:left w:val="single" w:sz="4" w:space="0" w:color="000000"/>
              <w:bottom w:val="single" w:sz="4" w:space="0" w:color="000000"/>
              <w:right w:val="single" w:sz="4" w:space="0" w:color="000000"/>
            </w:tcBorders>
            <w:shd w:val="clear" w:color="auto" w:fill="D4D4D4"/>
          </w:tcPr>
          <w:p>
            <w:pPr/>
          </w:p>
        </w:tc>
        <w:tc>
          <w:tcPr>
            <w:tcW w:w="1074" w:type="dxa"/>
            <w:vMerge/>
            <w:tcBorders>
              <w:left w:val="single" w:sz="9" w:space="0" w:color="D4D4D4"/>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r>
      <w:tr>
        <w:trPr>
          <w:trHeight w:val="401" w:hRule="exact"/>
        </w:trPr>
        <w:tc>
          <w:tcPr>
            <w:tcW w:w="104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74"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654,913.94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-586,119.12</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-1,941,698.89</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1,033,831.81</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-3,319,445.86</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-1,487,940.68</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-3,097,611.36</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04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1"/>
              <w:ind w:left="12" w:right="116"/>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74"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654,913.94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-586,119.12</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-1,941,698.89</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1,033,831.81</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-3,319,445.86</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-1,487,940.68</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-3,097,611.36</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4）不重要的合营企业和联营企业的汇总财务信息" w:id="435"/>
      <w:bookmarkEnd w:id="435"/>
      <w:r>
        <w:rPr>
          <w:b w:val="0"/>
          <w:bCs w:val="0"/>
        </w:rPr>
      </w:r>
      <w:r>
        <w:rPr/>
        <w:t>（</w:t>
      </w:r>
      <w:r>
        <w:rPr>
          <w:rFonts w:ascii="Times New Roman" w:hAnsi="Times New Roman" w:cs="Times New Roman" w:eastAsia="Times New Roman" w:hint="default"/>
        </w:rPr>
        <w:t>4</w:t>
      </w:r>
      <w:r>
        <w:rPr/>
        <w:t>）不重要的合营企业和联营企业的汇总财务信息</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1"/>
        <w:gridCol w:w="3071"/>
        <w:gridCol w:w="3185"/>
      </w:tblGrid>
      <w:tr>
        <w:trPr>
          <w:trHeight w:val="403" w:hRule="exact"/>
        </w:trPr>
        <w:tc>
          <w:tcPr>
            <w:tcW w:w="3301"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30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699"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8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53"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1" w:hRule="exact"/>
        </w:trPr>
        <w:tc>
          <w:tcPr>
            <w:tcW w:w="33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30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33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33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30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33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投资账面价值合计</w:t>
            </w:r>
          </w:p>
        </w:tc>
        <w:tc>
          <w:tcPr>
            <w:tcW w:w="3071"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4,897,687.06</w:t>
            </w:r>
            <w:r>
              <w:rPr>
                <w:rFonts w:ascii="Times New Roman"/>
                <w:sz w:val="18"/>
              </w:rPr>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3,516,329.52</w:t>
            </w:r>
            <w:r>
              <w:rPr>
                <w:rFonts w:ascii="Times New Roman"/>
                <w:sz w:val="18"/>
              </w:rPr>
            </w:r>
          </w:p>
        </w:tc>
      </w:tr>
      <w:tr>
        <w:trPr>
          <w:trHeight w:val="401" w:hRule="exact"/>
        </w:trPr>
        <w:tc>
          <w:tcPr>
            <w:tcW w:w="33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33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净利润</w:t>
            </w:r>
          </w:p>
        </w:tc>
        <w:tc>
          <w:tcPr>
            <w:tcW w:w="3071"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-526,493.48</w:t>
            </w:r>
            <w:r>
              <w:rPr>
                <w:rFonts w:ascii="Times New Roman"/>
                <w:sz w:val="18"/>
              </w:rPr>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-3,324,076.47</w:t>
            </w:r>
            <w:r>
              <w:rPr>
                <w:rFonts w:ascii="Times New Roman"/>
                <w:sz w:val="18"/>
              </w:rPr>
            </w:r>
          </w:p>
        </w:tc>
      </w:tr>
      <w:tr>
        <w:trPr>
          <w:trHeight w:val="401" w:hRule="exact"/>
        </w:trPr>
        <w:tc>
          <w:tcPr>
            <w:tcW w:w="33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综合收益总额</w:t>
            </w:r>
          </w:p>
        </w:tc>
        <w:tc>
          <w:tcPr>
            <w:tcW w:w="3071"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-526,493.48</w:t>
            </w:r>
            <w:r>
              <w:rPr>
                <w:rFonts w:ascii="Times New Roman"/>
                <w:sz w:val="18"/>
              </w:rPr>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-3,324,076.47</w:t>
            </w:r>
            <w:r>
              <w:rPr>
                <w:rFonts w:ascii="Times New Roman"/>
                <w:sz w:val="18"/>
              </w:rPr>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5）合营企业或联营企业向本公司转移资金的能力存在重大限制的说明" w:id="436"/>
      <w:bookmarkEnd w:id="436"/>
      <w:r>
        <w:rPr>
          <w:b w:val="0"/>
          <w:bCs w:val="0"/>
        </w:rPr>
      </w:r>
      <w:r>
        <w:rPr/>
        <w:t>（</w:t>
      </w:r>
      <w:r>
        <w:rPr>
          <w:rFonts w:ascii="Times New Roman" w:hAnsi="Times New Roman" w:cs="Times New Roman" w:eastAsia="Times New Roman" w:hint="default"/>
        </w:rPr>
        <w:t>5</w:t>
      </w:r>
      <w:r>
        <w:rPr/>
        <w:t>）合营企业或联营企业向本公司转移资金的能力存在重大限制的说明</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6）合营企业或联营企业发生的超额亏损" w:id="437"/>
      <w:bookmarkEnd w:id="437"/>
      <w:r>
        <w:rPr>
          <w:b w:val="0"/>
          <w:bCs w:val="0"/>
        </w:rPr>
      </w:r>
      <w:r>
        <w:rPr/>
        <w:t>（</w:t>
      </w:r>
      <w:r>
        <w:rPr>
          <w:rFonts w:ascii="Times New Roman" w:hAnsi="Times New Roman" w:cs="Times New Roman" w:eastAsia="Times New Roman" w:hint="default"/>
        </w:rPr>
        <w:t>6</w:t>
      </w:r>
      <w:r>
        <w:rPr/>
        <w:t>）合营企业或联营企业发生的超额亏损</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0"/>
        <w:gridCol w:w="2393"/>
        <w:gridCol w:w="2390"/>
        <w:gridCol w:w="2395"/>
      </w:tblGrid>
      <w:tr>
        <w:trPr>
          <w:trHeight w:val="713" w:hRule="exact"/>
        </w:trPr>
        <w:tc>
          <w:tcPr>
            <w:tcW w:w="23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9" w:right="0"/>
              <w:jc w:val="left"/>
              <w:rPr>
                <w:rFonts w:ascii="宋体" w:hAnsi="宋体" w:cs="宋体" w:eastAsia="宋体" w:hint="default"/>
                <w:sz w:val="18"/>
                <w:szCs w:val="18"/>
              </w:rPr>
            </w:pPr>
            <w:r>
              <w:rPr>
                <w:rFonts w:ascii="宋体" w:hAnsi="宋体" w:cs="宋体" w:eastAsia="宋体" w:hint="default"/>
                <w:sz w:val="18"/>
                <w:szCs w:val="18"/>
              </w:rPr>
              <w:t>合营企业或联营企业名称</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1101" w:right="110" w:hanging="992"/>
              <w:jc w:val="left"/>
              <w:rPr>
                <w:rFonts w:ascii="宋体" w:hAnsi="宋体" w:cs="宋体" w:eastAsia="宋体" w:hint="default"/>
                <w:sz w:val="18"/>
                <w:szCs w:val="18"/>
              </w:rPr>
            </w:pPr>
            <w:r>
              <w:rPr>
                <w:rFonts w:ascii="宋体" w:hAnsi="宋体" w:cs="宋体" w:eastAsia="宋体" w:hint="default"/>
                <w:sz w:val="18"/>
                <w:szCs w:val="18"/>
              </w:rPr>
              <w:t>累积未确认前期累计认的损 失</w:t>
            </w:r>
          </w:p>
        </w:tc>
        <w:tc>
          <w:tcPr>
            <w:tcW w:w="23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650" w:right="19" w:hanging="627"/>
              <w:jc w:val="left"/>
              <w:rPr>
                <w:rFonts w:ascii="宋体" w:hAnsi="宋体" w:cs="宋体" w:eastAsia="宋体" w:hint="default"/>
                <w:sz w:val="18"/>
                <w:szCs w:val="18"/>
              </w:rPr>
            </w:pPr>
            <w:r>
              <w:rPr>
                <w:rFonts w:ascii="宋体" w:hAnsi="宋体" w:cs="宋体" w:eastAsia="宋体" w:hint="default"/>
                <w:sz w:val="18"/>
                <w:szCs w:val="18"/>
              </w:rPr>
              <w:t>本期未确认的损失（或本期分 享的净利润）</w:t>
            </w:r>
          </w:p>
        </w:tc>
        <w:tc>
          <w:tcPr>
            <w:tcW w:w="23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本期末累积未确认的损失</w:t>
            </w:r>
          </w:p>
        </w:tc>
      </w:tr>
      <w:tr>
        <w:trPr>
          <w:trHeight w:val="715"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94"/>
              <w:jc w:val="left"/>
              <w:rPr>
                <w:rFonts w:ascii="宋体" w:hAnsi="宋体" w:cs="宋体" w:eastAsia="宋体" w:hint="default"/>
                <w:sz w:val="18"/>
                <w:szCs w:val="18"/>
              </w:rPr>
            </w:pPr>
            <w:r>
              <w:rPr>
                <w:rFonts w:ascii="宋体" w:hAnsi="宋体" w:cs="宋体" w:eastAsia="宋体" w:hint="default"/>
                <w:sz w:val="18"/>
                <w:szCs w:val="18"/>
              </w:rPr>
              <w:t>北京万方智讯信息技术有限 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88" w:right="0"/>
              <w:jc w:val="left"/>
              <w:rPr>
                <w:rFonts w:ascii="Times New Roman" w:hAnsi="Times New Roman" w:cs="Times New Roman" w:eastAsia="Times New Roman" w:hint="default"/>
                <w:sz w:val="18"/>
                <w:szCs w:val="18"/>
              </w:rPr>
            </w:pPr>
            <w:r>
              <w:rPr>
                <w:rFonts w:ascii="Times New Roman"/>
                <w:sz w:val="18"/>
              </w:rPr>
              <w:t>-251,755.28</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87" w:right="0"/>
              <w:jc w:val="left"/>
              <w:rPr>
                <w:rFonts w:ascii="Times New Roman" w:hAnsi="Times New Roman" w:cs="Times New Roman" w:eastAsia="Times New Roman" w:hint="default"/>
                <w:sz w:val="18"/>
                <w:szCs w:val="18"/>
              </w:rPr>
            </w:pPr>
            <w:r>
              <w:rPr>
                <w:rFonts w:ascii="Times New Roman"/>
                <w:sz w:val="18"/>
              </w:rPr>
              <w:t>-577,557.72</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90" w:right="0"/>
              <w:jc w:val="left"/>
              <w:rPr>
                <w:rFonts w:ascii="Times New Roman" w:hAnsi="Times New Roman" w:cs="Times New Roman" w:eastAsia="Times New Roman" w:hint="default"/>
                <w:sz w:val="18"/>
                <w:szCs w:val="18"/>
              </w:rPr>
            </w:pPr>
            <w:r>
              <w:rPr>
                <w:rFonts w:ascii="Times New Roman"/>
                <w:sz w:val="18"/>
              </w:rPr>
              <w:t>-829,313.00</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7）与合营企业投资相关的未确认承诺" w:id="438"/>
      <w:bookmarkEnd w:id="438"/>
      <w:r>
        <w:rPr>
          <w:b w:val="0"/>
          <w:bCs w:val="0"/>
        </w:rPr>
      </w:r>
      <w:r>
        <w:rPr/>
        <w:t>（</w:t>
      </w:r>
      <w:r>
        <w:rPr>
          <w:rFonts w:ascii="Times New Roman" w:hAnsi="Times New Roman" w:cs="Times New Roman" w:eastAsia="Times New Roman" w:hint="default"/>
        </w:rPr>
        <w:t>7</w:t>
      </w:r>
      <w:r>
        <w:rPr/>
        <w:t>）与合营企业投资相关的未确认承诺</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8）与合营企业或联营企业投资相关的或有负债" w:id="439"/>
      <w:bookmarkEnd w:id="439"/>
      <w:r>
        <w:rPr>
          <w:b w:val="0"/>
          <w:bCs w:val="0"/>
        </w:rPr>
      </w:r>
      <w:r>
        <w:rPr/>
        <w:t>（</w:t>
      </w:r>
      <w:r>
        <w:rPr>
          <w:rFonts w:ascii="Times New Roman" w:hAnsi="Times New Roman" w:cs="Times New Roman" w:eastAsia="Times New Roman" w:hint="default"/>
        </w:rPr>
        <w:t>8</w:t>
      </w:r>
      <w:r>
        <w:rPr/>
        <w:t>）与合营企业或联营企业投资相关的或有负债</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4、重要的共同经营" w:id="440"/>
      <w:bookmarkEnd w:id="440"/>
      <w:r>
        <w:rPr>
          <w:b w:val="0"/>
          <w:bCs w:val="0"/>
        </w:rPr>
      </w:r>
      <w:r>
        <w:rPr>
          <w:rFonts w:ascii="Times New Roman" w:hAnsi="Times New Roman" w:cs="Times New Roman" w:eastAsia="Times New Roman" w:hint="default"/>
        </w:rPr>
        <w:t>4</w:t>
      </w:r>
      <w:r>
        <w:rPr/>
        <w:t>、重要的共同经营</w:t>
      </w:r>
      <w:r>
        <w:rPr>
          <w:b w:val="0"/>
          <w:bCs w:val="0"/>
        </w:rPr>
      </w:r>
    </w:p>
    <w:p>
      <w:pPr>
        <w:spacing w:line="240" w:lineRule="auto" w:before="7"/>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595"/>
        <w:gridCol w:w="1596"/>
        <w:gridCol w:w="1594"/>
        <w:gridCol w:w="1594"/>
        <w:gridCol w:w="1594"/>
        <w:gridCol w:w="1583"/>
      </w:tblGrid>
      <w:tr>
        <w:trPr>
          <w:trHeight w:val="403" w:hRule="exact"/>
        </w:trPr>
        <w:tc>
          <w:tcPr>
            <w:tcW w:w="1595"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253" w:right="0"/>
              <w:jc w:val="left"/>
              <w:rPr>
                <w:rFonts w:ascii="宋体" w:hAnsi="宋体" w:cs="宋体" w:eastAsia="宋体" w:hint="default"/>
                <w:sz w:val="18"/>
                <w:szCs w:val="18"/>
              </w:rPr>
            </w:pPr>
            <w:r>
              <w:rPr>
                <w:rFonts w:ascii="宋体" w:hAnsi="宋体" w:cs="宋体" w:eastAsia="宋体" w:hint="default"/>
                <w:sz w:val="18"/>
                <w:szCs w:val="18"/>
              </w:rPr>
              <w:t>共同经营名称</w:t>
            </w:r>
          </w:p>
        </w:tc>
        <w:tc>
          <w:tcPr>
            <w:tcW w:w="1596"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594"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523"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3176"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753"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r>
              <w:rPr>
                <w:rFonts w:ascii="宋体" w:hAnsi="宋体" w:cs="宋体" w:eastAsia="宋体" w:hint="default"/>
                <w:sz w:val="18"/>
                <w:szCs w:val="18"/>
              </w:rPr>
              <w:t>享有的份额</w:t>
            </w:r>
          </w:p>
        </w:tc>
      </w:tr>
      <w:tr>
        <w:trPr>
          <w:trHeight w:val="401" w:hRule="exact"/>
        </w:trPr>
        <w:tc>
          <w:tcPr>
            <w:tcW w:w="1595" w:type="dxa"/>
            <w:vMerge/>
            <w:tcBorders>
              <w:left w:val="single" w:sz="4" w:space="0" w:color="000000"/>
              <w:bottom w:val="single" w:sz="4" w:space="0" w:color="000000"/>
              <w:right w:val="single" w:sz="4" w:space="0" w:color="000000"/>
            </w:tcBorders>
            <w:shd w:val="clear" w:color="auto" w:fill="D4D4D4"/>
          </w:tcPr>
          <w:p>
            <w:pPr/>
          </w:p>
        </w:tc>
        <w:tc>
          <w:tcPr>
            <w:tcW w:w="1596" w:type="dxa"/>
            <w:vMerge/>
            <w:tcBorders>
              <w:left w:val="single" w:sz="4" w:space="0" w:color="000000"/>
              <w:bottom w:val="single" w:sz="4" w:space="0" w:color="000000"/>
              <w:right w:val="single" w:sz="4" w:space="0" w:color="000000"/>
            </w:tcBorders>
            <w:shd w:val="clear" w:color="auto" w:fill="D4D4D4"/>
          </w:tcPr>
          <w:p>
            <w:pPr/>
          </w:p>
        </w:tc>
        <w:tc>
          <w:tcPr>
            <w:tcW w:w="1594" w:type="dxa"/>
            <w:vMerge/>
            <w:tcBorders>
              <w:left w:val="single" w:sz="4" w:space="0" w:color="000000"/>
              <w:bottom w:val="single" w:sz="4" w:space="0" w:color="000000"/>
              <w:right w:val="single" w:sz="4" w:space="0" w:color="000000"/>
            </w:tcBorders>
            <w:shd w:val="clear" w:color="auto" w:fill="D4D4D4"/>
          </w:tcPr>
          <w:p>
            <w:pPr/>
          </w:p>
        </w:tc>
        <w:tc>
          <w:tcPr>
            <w:tcW w:w="1594" w:type="dxa"/>
            <w:vMerge/>
            <w:tcBorders>
              <w:left w:val="single" w:sz="4" w:space="0" w:color="000000"/>
              <w:bottom w:val="single" w:sz="4" w:space="0" w:color="000000"/>
              <w:right w:val="single" w:sz="4" w:space="0" w:color="000000"/>
            </w:tcBorders>
            <w:shd w:val="clear" w:color="auto" w:fill="D4D4D4"/>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5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间接</w:t>
            </w:r>
          </w:p>
        </w:tc>
      </w:tr>
    </w:tbl>
    <w:p>
      <w:pPr>
        <w:spacing w:line="360" w:lineRule="auto" w:before="49"/>
        <w:ind w:left="152" w:right="5534" w:firstLine="0"/>
        <w:jc w:val="left"/>
        <w:rPr>
          <w:rFonts w:ascii="宋体" w:hAnsi="宋体" w:cs="宋体" w:eastAsia="宋体" w:hint="default"/>
          <w:sz w:val="18"/>
          <w:szCs w:val="18"/>
        </w:rPr>
      </w:pPr>
      <w:r>
        <w:rPr>
          <w:rFonts w:ascii="宋体" w:hAnsi="宋体" w:cs="宋体" w:eastAsia="宋体" w:hint="default"/>
          <w:sz w:val="18"/>
          <w:szCs w:val="18"/>
        </w:rPr>
        <w:t>在共同经营中的持股比例或享有的份额不同于表决权比例的说明： 共同经营为单独主体的，分类为共同经营的依据：</w:t>
      </w:r>
    </w:p>
    <w:p>
      <w:pPr>
        <w:spacing w:before="25"/>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5、在未纳入合并财务报表范围的结构化主体中的权益" w:id="441"/>
      <w:bookmarkEnd w:id="441"/>
      <w:r>
        <w:rPr>
          <w:b w:val="0"/>
          <w:bCs w:val="0"/>
        </w:rPr>
      </w:r>
      <w:r>
        <w:rPr>
          <w:rFonts w:ascii="Times New Roman" w:hAnsi="Times New Roman" w:cs="Times New Roman" w:eastAsia="Times New Roman" w:hint="default"/>
        </w:rPr>
        <w:t>5</w:t>
      </w:r>
      <w:r>
        <w:rPr/>
        <w:t>、在未纳入合并财务报表范围的结构化主体中的权益</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未纳入合并财务报表范围的结构化主体的相关说明：</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0"/>
        <w:jc w:val="both"/>
        <w:rPr>
          <w:b w:val="0"/>
          <w:bCs w:val="0"/>
        </w:rPr>
      </w:pPr>
      <w:bookmarkStart w:name="6、其他" w:id="442"/>
      <w:bookmarkEnd w:id="442"/>
      <w:r>
        <w:rPr>
          <w:b w:val="0"/>
          <w:bCs w:val="0"/>
        </w:rPr>
      </w:r>
      <w:r>
        <w:rPr>
          <w:rFonts w:ascii="Times New Roman" w:hAnsi="Times New Roman" w:cs="Times New Roman" w:eastAsia="Times New Roman" w:hint="default"/>
        </w:rPr>
        <w:t>6</w:t>
      </w:r>
      <w:r>
        <w:rPr/>
        <w:t>、其他</w:t>
      </w:r>
      <w:r>
        <w:rPr>
          <w:b w:val="0"/>
          <w:bCs w:val="0"/>
        </w:rPr>
      </w:r>
    </w:p>
    <w:p>
      <w:pPr>
        <w:spacing w:line="240" w:lineRule="auto" w:before="10"/>
        <w:rPr>
          <w:rFonts w:ascii="宋体" w:hAnsi="宋体" w:cs="宋体" w:eastAsia="宋体" w:hint="default"/>
          <w:b/>
          <w:bCs/>
          <w:sz w:val="22"/>
          <w:szCs w:val="22"/>
        </w:rPr>
      </w:pPr>
    </w:p>
    <w:p>
      <w:pPr>
        <w:pStyle w:val="Heading2"/>
        <w:spacing w:line="240" w:lineRule="auto"/>
        <w:ind w:right="0"/>
        <w:jc w:val="both"/>
        <w:rPr>
          <w:b w:val="0"/>
          <w:bCs w:val="0"/>
        </w:rPr>
      </w:pPr>
      <w:bookmarkStart w:name="十、与金融工具相关的风险" w:id="443"/>
      <w:bookmarkEnd w:id="443"/>
      <w:r>
        <w:rPr>
          <w:b w:val="0"/>
          <w:bCs w:val="0"/>
        </w:rPr>
      </w:r>
      <w:r>
        <w:rPr/>
        <w:t>十、与金融工具相关的风险</w:t>
      </w:r>
      <w:r>
        <w:rPr>
          <w:b w:val="0"/>
          <w:bCs w:val="0"/>
        </w:rPr>
      </w:r>
    </w:p>
    <w:p>
      <w:pPr>
        <w:spacing w:line="240" w:lineRule="auto" w:before="8"/>
        <w:rPr>
          <w:rFonts w:ascii="宋体" w:hAnsi="宋体" w:cs="宋体" w:eastAsia="宋体" w:hint="default"/>
          <w:b/>
          <w:bCs/>
          <w:sz w:val="30"/>
          <w:szCs w:val="30"/>
        </w:rPr>
      </w:pPr>
    </w:p>
    <w:p>
      <w:pPr>
        <w:pStyle w:val="BodyText"/>
        <w:spacing w:line="408" w:lineRule="auto" w:before="0"/>
        <w:ind w:right="986" w:firstLine="419"/>
        <w:jc w:val="left"/>
      </w:pPr>
      <w:r>
        <w:rPr>
          <w:spacing w:val="-5"/>
        </w:rPr>
        <w:t>本集团的主要金融工具包括货币资金、应收账款、应收票据、应收利息、其他应收款、其他流动资产、</w:t>
      </w:r>
      <w:r>
        <w:rPr>
          <w:w w:val="100"/>
        </w:rPr>
        <w:t> </w:t>
      </w:r>
      <w:r>
        <w:rPr>
          <w:spacing w:val="-2"/>
        </w:rPr>
        <w:t>其他权益工具、应付账款、应付票据、其他应付款。各项金融工具的详细情况已于相关附注内披露。与这</w:t>
      </w:r>
      <w:r>
        <w:rPr>
          <w:spacing w:val="-43"/>
        </w:rPr>
        <w:t> </w:t>
      </w:r>
      <w:r>
        <w:rPr>
          <w:spacing w:val="-43"/>
        </w:rPr>
      </w:r>
      <w:r>
        <w:rPr>
          <w:spacing w:val="-2"/>
        </w:rPr>
        <w:t>些金融工具有关的风险，以及本集团为降低这些风险所采取的风险管理政策如下所述。本集团管理层对这</w:t>
      </w:r>
      <w:r>
        <w:rPr>
          <w:spacing w:val="-42"/>
        </w:rPr>
        <w:t> </w:t>
      </w:r>
      <w:r>
        <w:rPr>
          <w:spacing w:val="-42"/>
        </w:rPr>
      </w:r>
      <w:r>
        <w:rPr/>
        <w:t>些风险敞口进行管理和监控以确保将上述风险控制在限定的范围之内。</w:t>
      </w:r>
    </w:p>
    <w:p>
      <w:pPr>
        <w:pStyle w:val="BodyText"/>
        <w:spacing w:line="408" w:lineRule="auto"/>
        <w:ind w:left="573" w:right="986"/>
        <w:jc w:val="left"/>
      </w:pPr>
      <w:r>
        <w:rPr>
          <w:rFonts w:ascii="宋体" w:hAnsi="宋体" w:cs="宋体" w:eastAsia="宋体" w:hint="default"/>
        </w:rPr>
        <w:t>1</w:t>
      </w:r>
      <w:r>
        <w:rPr/>
        <w:t>、风险管理目标和政策</w:t>
      </w:r>
      <w:r>
        <w:rPr>
          <w:w w:val="100"/>
        </w:rPr>
        <w:t> </w:t>
      </w:r>
      <w:r>
        <w:rPr>
          <w:spacing w:val="-2"/>
        </w:rPr>
        <w:t>本集团从事风险管理的目标是在风险和收益之间取得适当的平衡，力求降低金融风险对本集团财务业</w:t>
      </w:r>
    </w:p>
    <w:p>
      <w:pPr>
        <w:pStyle w:val="BodyText"/>
        <w:spacing w:line="408" w:lineRule="auto"/>
        <w:ind w:right="1128"/>
        <w:jc w:val="both"/>
      </w:pPr>
      <w:r>
        <w:rPr>
          <w:spacing w:val="-2"/>
        </w:rPr>
        <w:t>绩的不利影响。基于该风险管理目标，本集团已制定风险管理政策以辨别和分析本集团所面临的风险，设</w:t>
      </w:r>
      <w:r>
        <w:rPr>
          <w:spacing w:val="-43"/>
        </w:rPr>
        <w:t> </w:t>
      </w:r>
      <w:r>
        <w:rPr>
          <w:spacing w:val="-43"/>
        </w:rPr>
      </w:r>
      <w:r>
        <w:rPr>
          <w:spacing w:val="-2"/>
        </w:rPr>
        <w:t>定适当的风险可接受水平并设计相应的内部控制程序，以监控本集团的风险水平。本集团会定期审阅这些</w:t>
      </w:r>
      <w:r>
        <w:rPr>
          <w:spacing w:val="-42"/>
        </w:rPr>
        <w:t> </w:t>
      </w:r>
      <w:r>
        <w:rPr>
          <w:spacing w:val="-42"/>
        </w:rPr>
      </w:r>
      <w:r>
        <w:rPr>
          <w:spacing w:val="-2"/>
        </w:rPr>
        <w:t>风险管理政策及有关内部控制系统，以适应市场情况或本集团经营活动的改变。本集团的内部审计部门也</w:t>
      </w:r>
      <w:r>
        <w:rPr>
          <w:spacing w:val="-42"/>
        </w:rPr>
        <w:t> </w:t>
      </w:r>
      <w:r>
        <w:rPr>
          <w:spacing w:val="-42"/>
        </w:rPr>
      </w:r>
      <w:r>
        <w:rPr/>
        <w:t>定期或随机检查内部控制系统的执行是否符合风险管理政策。</w:t>
      </w:r>
    </w:p>
    <w:p>
      <w:pPr>
        <w:pStyle w:val="BodyText"/>
        <w:spacing w:line="408" w:lineRule="auto"/>
        <w:ind w:right="986" w:firstLine="420"/>
        <w:jc w:val="left"/>
      </w:pPr>
      <w:r>
        <w:rPr>
          <w:spacing w:val="-2"/>
        </w:rPr>
        <w:t>本集团的金融工具导致的主要风险是信用风险、流动性风险、市场风险（包括利率风险、汇率风险和</w:t>
      </w:r>
      <w:r>
        <w:rPr>
          <w:w w:val="100"/>
        </w:rPr>
        <w:t> </w:t>
      </w:r>
      <w:r>
        <w:rPr/>
        <w:t>商品价格风险</w:t>
      </w:r>
      <w:r>
        <w:rPr>
          <w:rFonts w:ascii="宋体" w:hAnsi="宋体" w:cs="宋体" w:eastAsia="宋体" w:hint="default"/>
        </w:rPr>
        <w:t>/</w:t>
      </w:r>
      <w:r>
        <w:rPr/>
        <w:t>权益工具价格风险）。</w:t>
      </w:r>
    </w:p>
    <w:p>
      <w:pPr>
        <w:pStyle w:val="BodyText"/>
        <w:spacing w:line="408" w:lineRule="auto"/>
        <w:ind w:right="1126" w:firstLine="420"/>
        <w:jc w:val="both"/>
      </w:pPr>
      <w:r>
        <w:rPr>
          <w:spacing w:val="-2"/>
        </w:rPr>
        <w:t>董事会负责规划并建立本集团的风险管理架构，指定本集团的风险管理政策和相关指引并监督风险管</w:t>
      </w:r>
      <w:r>
        <w:rPr>
          <w:w w:val="100"/>
        </w:rPr>
        <w:t> </w:t>
      </w:r>
      <w:r>
        <w:rPr>
          <w:spacing w:val="-2"/>
        </w:rPr>
        <w:t>理措施的执行情况。本集团已制定风险管理政策以识别和分析本集团所面临的风险，这些风险管理政策对</w:t>
      </w:r>
      <w:r>
        <w:rPr>
          <w:spacing w:val="-42"/>
        </w:rPr>
        <w:t> </w:t>
      </w:r>
      <w:r>
        <w:rPr>
          <w:spacing w:val="-42"/>
        </w:rPr>
      </w:r>
      <w:r>
        <w:rPr>
          <w:spacing w:val="-2"/>
        </w:rPr>
        <w:t>特定风险进行了明确规定，涵盖了信用风险、流动性风险和市场风险管理等诸多方面。本集团定期评估市</w:t>
      </w:r>
      <w:r>
        <w:rPr>
          <w:spacing w:val="-45"/>
        </w:rPr>
        <w:t> </w:t>
      </w:r>
      <w:r>
        <w:rPr>
          <w:spacing w:val="-45"/>
        </w:rPr>
      </w:r>
      <w:r>
        <w:rPr>
          <w:spacing w:val="-2"/>
        </w:rPr>
        <w:t>场环境及本集团经营活动的变化以决定是否对风险管理政策及系统进行更新。本集团的风险管理由风险管</w:t>
      </w:r>
      <w:r>
        <w:rPr>
          <w:spacing w:val="-43"/>
        </w:rPr>
        <w:t> </w:t>
      </w:r>
      <w:r>
        <w:rPr>
          <w:spacing w:val="-43"/>
        </w:rPr>
      </w:r>
      <w:r>
        <w:rPr>
          <w:spacing w:val="-2"/>
        </w:rPr>
        <w:t>理委员会按照董事会批准的政策开展。风险管理委员会通过与本集团其他业务部门的紧密合作来识别、评</w:t>
      </w:r>
      <w:r>
        <w:rPr>
          <w:spacing w:val="-42"/>
        </w:rPr>
        <w:t> </w:t>
      </w:r>
      <w:r>
        <w:rPr>
          <w:spacing w:val="-42"/>
        </w:rPr>
      </w:r>
      <w:r>
        <w:rPr>
          <w:spacing w:val="-2"/>
        </w:rPr>
        <w:t>价和规避相关风险。本集团内部审计部门就风险管理控制及程序进行定期的审核，并将审核结果上报本集</w:t>
      </w:r>
      <w:r>
        <w:rPr>
          <w:spacing w:val="-42"/>
        </w:rPr>
        <w:t> </w:t>
      </w:r>
      <w:r>
        <w:rPr>
          <w:spacing w:val="-42"/>
        </w:rPr>
      </w:r>
      <w:r>
        <w:rPr/>
        <w:t>团的审计委员会。</w:t>
      </w:r>
    </w:p>
    <w:p>
      <w:pPr>
        <w:pStyle w:val="BodyText"/>
        <w:spacing w:line="408" w:lineRule="auto"/>
        <w:ind w:right="986" w:firstLine="420"/>
        <w:jc w:val="left"/>
      </w:pPr>
      <w:r>
        <w:rPr>
          <w:spacing w:val="-2"/>
        </w:rPr>
        <w:t>本集团通过适当的多样化投资及业务组合来分散金融工具风险，并通过制定相应的风险管理政策减少</w:t>
      </w:r>
      <w:r>
        <w:rPr>
          <w:w w:val="100"/>
        </w:rPr>
        <w:t> </w:t>
      </w:r>
      <w:r>
        <w:rPr/>
        <w:t>集中于任何单一行业、特定地区或特定交易对手方的风险。</w:t>
      </w:r>
    </w:p>
    <w:p>
      <w:pPr>
        <w:pStyle w:val="BodyText"/>
        <w:spacing w:line="408" w:lineRule="auto" w:before="166"/>
        <w:ind w:left="573" w:right="2114" w:hanging="106"/>
        <w:jc w:val="left"/>
      </w:pPr>
      <w:r>
        <w:rPr/>
        <w:t>（</w:t>
      </w:r>
      <w:r>
        <w:rPr>
          <w:rFonts w:ascii="宋体" w:hAnsi="宋体" w:cs="宋体" w:eastAsia="宋体" w:hint="default"/>
        </w:rPr>
        <w:t>1</w:t>
      </w:r>
      <w:r>
        <w:rPr/>
        <w:t>）信用风险</w:t>
      </w:r>
      <w:r>
        <w:rPr>
          <w:spacing w:val="-3"/>
          <w:w w:val="100"/>
        </w:rPr>
        <w:t> </w:t>
      </w:r>
      <w:r>
        <w:rPr/>
        <w:t>信用风险，是指交易对手方未能履行合同义务而导致本集团产生财务损失的风险。</w:t>
      </w:r>
      <w:r>
        <w:rPr>
          <w:w w:val="100"/>
        </w:rPr>
        <w:t> </w:t>
      </w:r>
      <w:r>
        <w:rPr>
          <w:spacing w:val="-2"/>
        </w:rPr>
        <w:t>本集团对信用风险按组合分类进行管理。信用风险主要产生于银行存款和应收款项等。</w:t>
      </w:r>
    </w:p>
    <w:p>
      <w:pPr>
        <w:pStyle w:val="BodyText"/>
        <w:spacing w:line="408" w:lineRule="auto"/>
        <w:ind w:right="986" w:firstLine="420"/>
        <w:jc w:val="left"/>
      </w:pPr>
      <w:r>
        <w:rPr>
          <w:spacing w:val="-2"/>
        </w:rPr>
        <w:t>本集团银行存款主要存放于国有银行和其它大中型上市银行，本集团预期银行存款不存在重大的信用</w:t>
      </w:r>
      <w:r>
        <w:rPr>
          <w:w w:val="100"/>
        </w:rPr>
        <w:t> </w:t>
      </w:r>
      <w:r>
        <w:rPr/>
        <w:t>风险。</w:t>
      </w:r>
    </w:p>
    <w:p>
      <w:pPr>
        <w:pStyle w:val="BodyText"/>
        <w:spacing w:line="240" w:lineRule="auto"/>
        <w:ind w:left="573" w:right="986"/>
        <w:jc w:val="left"/>
      </w:pPr>
      <w:r>
        <w:rPr/>
        <w:t>对于应收款项，本集团设定相关政策以控制信用风险敞口。本集团基于对债务人的财务状况、外部评</w:t>
      </w:r>
    </w:p>
    <w:p>
      <w:pPr>
        <w:spacing w:after="0" w:line="240"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left="212" w:right="1128"/>
        <w:jc w:val="both"/>
      </w:pPr>
      <w:r>
        <w:rPr>
          <w:spacing w:val="-2"/>
        </w:rPr>
        <w:t>级、从第三方获取担保的可能性、信用记录及其它因素诸如目前市场状况等评估债务人的信用资质并设置</w:t>
      </w:r>
      <w:r>
        <w:rPr>
          <w:spacing w:val="-42"/>
        </w:rPr>
        <w:t> </w:t>
      </w:r>
      <w:r>
        <w:rPr>
          <w:spacing w:val="-42"/>
        </w:rPr>
      </w:r>
      <w:r>
        <w:rPr>
          <w:spacing w:val="-2"/>
        </w:rPr>
        <w:t>相应欠款额度与信用期限。本集团会定期对债务人信用记录进行监控，对于信用记录不良的债务人，本集</w:t>
      </w:r>
      <w:r>
        <w:rPr>
          <w:spacing w:val="-43"/>
        </w:rPr>
        <w:t> </w:t>
      </w:r>
      <w:r>
        <w:rPr>
          <w:spacing w:val="-43"/>
        </w:rPr>
      </w:r>
      <w:r>
        <w:rPr/>
        <w:t>团会采用书面催款、缩短信用期或取消信用期等方式，以确保本集团的整体信用风险在可控的范围内。</w:t>
      </w:r>
    </w:p>
    <w:p>
      <w:pPr>
        <w:pStyle w:val="BodyText"/>
        <w:spacing w:line="408" w:lineRule="auto"/>
        <w:ind w:left="212" w:right="1029" w:firstLine="420"/>
        <w:jc w:val="left"/>
      </w:pPr>
      <w:r>
        <w:rPr>
          <w:spacing w:val="-2"/>
        </w:rPr>
        <w:t>本集团所承受的最大信用风险敞口为资产负债表中每项金融资产的账面金额。本集团没有提供任何其</w:t>
      </w:r>
      <w:r>
        <w:rPr>
          <w:w w:val="100"/>
        </w:rPr>
        <w:t> </w:t>
      </w:r>
      <w:r>
        <w:rPr/>
        <w:t>他可能令本集团承受信用风险的担保。</w:t>
      </w:r>
    </w:p>
    <w:p>
      <w:pPr>
        <w:pStyle w:val="BodyText"/>
        <w:spacing w:line="240" w:lineRule="auto"/>
        <w:ind w:left="632" w:right="1029"/>
        <w:jc w:val="left"/>
      </w:pPr>
      <w:r>
        <w:rPr/>
        <w:t>本集团应收账款中，期末欠款金额前五大客户的应收账款占本集团应收账款总额的</w:t>
      </w:r>
      <w:r>
        <w:rPr>
          <w:rFonts w:ascii="宋体" w:hAnsi="宋体" w:cs="宋体" w:eastAsia="宋体" w:hint="default"/>
        </w:rPr>
        <w:t>18.02%</w:t>
      </w:r>
      <w:r>
        <w:rPr/>
        <w:t>（</w:t>
      </w:r>
      <w:r>
        <w:rPr>
          <w:rFonts w:ascii="宋体" w:hAnsi="宋体" w:cs="宋体" w:eastAsia="宋体" w:hint="default"/>
        </w:rPr>
        <w:t>2018</w:t>
      </w:r>
      <w:r>
        <w:rPr/>
        <w:t>年：</w:t>
      </w:r>
    </w:p>
    <w:p>
      <w:pPr>
        <w:spacing w:line="240" w:lineRule="auto" w:before="10"/>
        <w:rPr>
          <w:rFonts w:ascii="宋体" w:hAnsi="宋体" w:cs="宋体" w:eastAsia="宋体" w:hint="default"/>
          <w:sz w:val="14"/>
          <w:szCs w:val="14"/>
        </w:rPr>
      </w:pPr>
    </w:p>
    <w:p>
      <w:pPr>
        <w:pStyle w:val="BodyText"/>
        <w:spacing w:line="240" w:lineRule="auto" w:before="0"/>
        <w:ind w:left="213" w:right="0"/>
        <w:jc w:val="both"/>
        <w:rPr>
          <w:rFonts w:ascii="宋体" w:hAnsi="宋体" w:cs="宋体" w:eastAsia="宋体" w:hint="default"/>
        </w:rPr>
      </w:pPr>
      <w:r>
        <w:rPr>
          <w:rFonts w:ascii="宋体" w:hAnsi="宋体" w:cs="宋体" w:eastAsia="宋体" w:hint="default"/>
        </w:rPr>
        <w:t>20.59%</w:t>
      </w:r>
      <w:r>
        <w:rPr/>
        <w:t>）；本集团其他应收款中，欠款金额前五大公司的其他应收款占本集团其他应收款总额的</w:t>
      </w:r>
      <w:r>
        <w:rPr>
          <w:rFonts w:ascii="宋体" w:hAnsi="宋体" w:cs="宋体" w:eastAsia="宋体" w:hint="default"/>
        </w:rPr>
        <w:t>21.35%</w:t>
      </w:r>
    </w:p>
    <w:p>
      <w:pPr>
        <w:spacing w:line="240" w:lineRule="auto" w:before="10"/>
        <w:rPr>
          <w:rFonts w:ascii="宋体" w:hAnsi="宋体" w:cs="宋体" w:eastAsia="宋体" w:hint="default"/>
          <w:sz w:val="14"/>
          <w:szCs w:val="14"/>
        </w:rPr>
      </w:pPr>
    </w:p>
    <w:p>
      <w:pPr>
        <w:pStyle w:val="BodyText"/>
        <w:spacing w:line="240" w:lineRule="auto" w:before="0"/>
        <w:ind w:left="107" w:right="1029"/>
        <w:jc w:val="left"/>
      </w:pPr>
      <w:r>
        <w:rPr/>
        <w:t>（</w:t>
      </w:r>
      <w:r>
        <w:rPr>
          <w:rFonts w:ascii="宋体" w:hAnsi="宋体" w:cs="宋体" w:eastAsia="宋体" w:hint="default"/>
        </w:rPr>
        <w:t>2018</w:t>
      </w:r>
      <w:r>
        <w:rPr/>
        <w:t>年：</w:t>
      </w:r>
      <w:r>
        <w:rPr>
          <w:rFonts w:ascii="宋体" w:hAnsi="宋体" w:cs="宋体" w:eastAsia="宋体" w:hint="default"/>
        </w:rPr>
        <w:t>26.96%</w:t>
      </w:r>
      <w:r>
        <w:rPr/>
        <w:t>）。</w:t>
      </w:r>
    </w:p>
    <w:p>
      <w:pPr>
        <w:spacing w:line="240" w:lineRule="auto" w:before="10"/>
        <w:rPr>
          <w:rFonts w:ascii="宋体" w:hAnsi="宋体" w:cs="宋体" w:eastAsia="宋体" w:hint="default"/>
          <w:sz w:val="14"/>
          <w:szCs w:val="14"/>
        </w:rPr>
      </w:pPr>
    </w:p>
    <w:p>
      <w:pPr>
        <w:pStyle w:val="BodyText"/>
        <w:spacing w:line="408" w:lineRule="auto" w:before="0"/>
        <w:ind w:left="633" w:right="1029" w:hanging="106"/>
        <w:jc w:val="left"/>
      </w:pPr>
      <w:r>
        <w:rPr/>
        <w:t>（</w:t>
      </w:r>
      <w:r>
        <w:rPr>
          <w:rFonts w:ascii="宋体" w:hAnsi="宋体" w:cs="宋体" w:eastAsia="宋体" w:hint="default"/>
        </w:rPr>
        <w:t>2</w:t>
      </w:r>
      <w:r>
        <w:rPr/>
        <w:t>）流动性风险</w:t>
      </w:r>
      <w:r>
        <w:rPr>
          <w:spacing w:val="-102"/>
        </w:rPr>
        <w:t> </w:t>
      </w:r>
      <w:r>
        <w:rPr>
          <w:spacing w:val="-102"/>
        </w:rPr>
      </w:r>
      <w:r>
        <w:rPr>
          <w:spacing w:val="2"/>
        </w:rPr>
        <w:t>流动性风险，是指本集团在履行以交付现金或其他金融资产的方式结算的义务时发生资金短缺的风</w:t>
      </w:r>
    </w:p>
    <w:p>
      <w:pPr>
        <w:pStyle w:val="BodyText"/>
        <w:spacing w:line="240" w:lineRule="auto"/>
        <w:ind w:left="213" w:right="0"/>
        <w:jc w:val="both"/>
      </w:pPr>
      <w:r>
        <w:rPr/>
        <w:t>险。</w:t>
      </w:r>
    </w:p>
    <w:p>
      <w:pPr>
        <w:spacing w:line="240" w:lineRule="auto" w:before="10"/>
        <w:rPr>
          <w:rFonts w:ascii="宋体" w:hAnsi="宋体" w:cs="宋体" w:eastAsia="宋体" w:hint="default"/>
          <w:sz w:val="14"/>
          <w:szCs w:val="14"/>
        </w:rPr>
      </w:pPr>
    </w:p>
    <w:p>
      <w:pPr>
        <w:pStyle w:val="BodyText"/>
        <w:spacing w:line="408" w:lineRule="auto" w:before="0"/>
        <w:ind w:left="213" w:right="1029" w:firstLine="420"/>
        <w:jc w:val="left"/>
      </w:pPr>
      <w:r>
        <w:rPr/>
        <w:t>管理流动风险时，本集团保持管理层认为充分的现金及现金等价物并对其进行监控，以满足本集团经</w:t>
      </w:r>
      <w:r>
        <w:rPr>
          <w:w w:val="100"/>
        </w:rPr>
        <w:t> </w:t>
      </w:r>
      <w:r>
        <w:rPr>
          <w:spacing w:val="-5"/>
        </w:rPr>
        <w:t>营需要，并降低现金流量波动的影响。本集团管理层对银行借款的使用情况进行监控并确保遵守借款协议。</w:t>
      </w:r>
      <w:r>
        <w:rPr>
          <w:spacing w:val="-4"/>
        </w:rPr>
        <w:t> </w:t>
      </w:r>
      <w:r>
        <w:rPr>
          <w:spacing w:val="-4"/>
        </w:rPr>
      </w:r>
      <w:r>
        <w:rPr/>
        <w:t>同时从主要金融机构获得提供足够备用资金的承诺，以满足短期和长期的资金需求。</w:t>
      </w:r>
    </w:p>
    <w:p>
      <w:pPr>
        <w:pStyle w:val="BodyText"/>
        <w:spacing w:line="240" w:lineRule="auto"/>
        <w:ind w:left="633" w:right="1029"/>
        <w:jc w:val="left"/>
      </w:pPr>
      <w:r>
        <w:rPr/>
        <w:t>期末本集团持有的金融负债按未折现剩余合同现金流量的到期期限分析如下：</w:t>
      </w:r>
    </w:p>
    <w:p>
      <w:pPr>
        <w:spacing w:line="240" w:lineRule="auto" w:before="11"/>
        <w:rPr>
          <w:rFonts w:ascii="宋体" w:hAnsi="宋体" w:cs="宋体" w:eastAsia="宋体" w:hint="default"/>
          <w:sz w:val="9"/>
          <w:szCs w:val="9"/>
        </w:rPr>
      </w:pPr>
    </w:p>
    <w:tbl>
      <w:tblPr>
        <w:tblW w:w="0" w:type="auto"/>
        <w:jc w:val="left"/>
        <w:tblInd w:w="546" w:type="dxa"/>
        <w:tblLayout w:type="fixed"/>
        <w:tblCellMar>
          <w:top w:w="0" w:type="dxa"/>
          <w:left w:w="0" w:type="dxa"/>
          <w:bottom w:w="0" w:type="dxa"/>
          <w:right w:w="0" w:type="dxa"/>
        </w:tblCellMar>
        <w:tblLook w:val="01E0"/>
      </w:tblPr>
      <w:tblGrid>
        <w:gridCol w:w="2158"/>
        <w:gridCol w:w="1416"/>
        <w:gridCol w:w="1274"/>
        <w:gridCol w:w="1277"/>
        <w:gridCol w:w="239"/>
        <w:gridCol w:w="1180"/>
        <w:gridCol w:w="1418"/>
      </w:tblGrid>
      <w:tr>
        <w:trPr>
          <w:trHeight w:val="341" w:hRule="exact"/>
        </w:trPr>
        <w:tc>
          <w:tcPr>
            <w:tcW w:w="2158" w:type="dxa"/>
            <w:vMerge w:val="restart"/>
            <w:tcBorders>
              <w:top w:val="single" w:sz="4" w:space="0" w:color="000000"/>
              <w:left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54"/>
                <w:sz w:val="18"/>
                <w:szCs w:val="18"/>
              </w:rPr>
              <w:t> </w:t>
            </w:r>
            <w:r>
              <w:rPr>
                <w:rFonts w:ascii="宋体" w:hAnsi="宋体" w:cs="宋体" w:eastAsia="宋体" w:hint="default"/>
                <w:sz w:val="18"/>
                <w:szCs w:val="18"/>
              </w:rPr>
              <w:t>目</w:t>
            </w:r>
          </w:p>
        </w:tc>
        <w:tc>
          <w:tcPr>
            <w:tcW w:w="6804"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期末金额</w:t>
            </w:r>
          </w:p>
        </w:tc>
      </w:tr>
      <w:tr>
        <w:trPr>
          <w:trHeight w:val="343" w:hRule="exact"/>
        </w:trPr>
        <w:tc>
          <w:tcPr>
            <w:tcW w:w="2158" w:type="dxa"/>
            <w:vMerge/>
            <w:tcBorders>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38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1</w:t>
            </w:r>
            <w:r>
              <w:rPr>
                <w:rFonts w:ascii="宋体" w:hAnsi="宋体" w:cs="宋体" w:eastAsia="宋体" w:hint="default"/>
                <w:sz w:val="18"/>
                <w:szCs w:val="18"/>
              </w:rPr>
              <w:t>至</w:t>
            </w:r>
            <w:r>
              <w:rPr>
                <w:rFonts w:ascii="Times New Roman" w:hAnsi="Times New Roman" w:cs="Times New Roman" w:eastAsia="Times New Roman" w:hint="default"/>
                <w:spacing w:val="1"/>
                <w:sz w:val="18"/>
                <w:szCs w:val="18"/>
              </w:rPr>
              <w:t>2</w:t>
            </w:r>
            <w:r>
              <w:rPr>
                <w:rFonts w:ascii="宋体" w:hAnsi="宋体" w:cs="宋体" w:eastAsia="宋体" w:hint="default"/>
                <w:spacing w:val="-15"/>
                <w:sz w:val="18"/>
                <w:szCs w:val="18"/>
              </w:rPr>
              <w:t>年</w:t>
            </w:r>
            <w:r>
              <w:rPr>
                <w:rFonts w:ascii="宋体" w:hAnsi="宋体" w:cs="宋体" w:eastAsia="宋体" w:hint="default"/>
                <w:sz w:val="18"/>
                <w:szCs w:val="18"/>
              </w:rPr>
              <w:t>（</w:t>
            </w:r>
            <w:r>
              <w:rPr>
                <w:rFonts w:ascii="宋体" w:hAnsi="宋体" w:cs="宋体" w:eastAsia="宋体" w:hint="default"/>
                <w:spacing w:val="-1"/>
                <w:sz w:val="18"/>
                <w:szCs w:val="18"/>
              </w:rPr>
              <w:t>含</w:t>
            </w:r>
            <w:r>
              <w:rPr>
                <w:rFonts w:ascii="Arial" w:hAnsi="Arial" w:cs="Arial" w:eastAsia="Arial" w:hint="default"/>
                <w:w w:val="99"/>
                <w:sz w:val="18"/>
                <w:szCs w:val="18"/>
              </w:rPr>
              <w:t>2</w:t>
            </w:r>
            <w:r>
              <w:rPr>
                <w:rFonts w:ascii="宋体" w:hAnsi="宋体" w:cs="宋体" w:eastAsia="宋体" w:hint="default"/>
                <w:sz w:val="18"/>
                <w:szCs w:val="18"/>
              </w:rPr>
              <w:t>年</w:t>
            </w:r>
            <w:r>
              <w:rPr>
                <w:rFonts w:ascii="宋体" w:hAnsi="宋体" w:cs="宋体" w:eastAsia="宋体" w:hint="default"/>
                <w:spacing w:val="-72"/>
                <w:sz w:val="18"/>
                <w:szCs w:val="18"/>
              </w:rPr>
              <w:t>）</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至</w:t>
            </w:r>
            <w:r>
              <w:rPr>
                <w:rFonts w:ascii="Times New Roman" w:hAnsi="Times New Roman" w:cs="Times New Roman" w:eastAsia="Times New Roman" w:hint="default"/>
                <w:sz w:val="18"/>
                <w:szCs w:val="18"/>
              </w:rPr>
              <w:t>3</w:t>
            </w:r>
            <w:r>
              <w:rPr>
                <w:rFonts w:ascii="宋体" w:hAnsi="宋体" w:cs="宋体" w:eastAsia="宋体" w:hint="default"/>
                <w:sz w:val="18"/>
                <w:szCs w:val="18"/>
              </w:rPr>
              <w:t>年（含</w:t>
            </w:r>
            <w:r>
              <w:rPr>
                <w:rFonts w:ascii="Arial" w:hAnsi="Arial" w:cs="Arial" w:eastAsia="Arial" w:hint="default"/>
                <w:sz w:val="18"/>
                <w:szCs w:val="18"/>
              </w:rPr>
              <w:t>3</w:t>
            </w:r>
            <w:r>
              <w:rPr>
                <w:rFonts w:ascii="宋体" w:hAnsi="宋体" w:cs="宋体" w:eastAsia="宋体" w:hint="default"/>
                <w:sz w:val="18"/>
                <w:szCs w:val="18"/>
              </w:rPr>
              <w:t>年</w:t>
            </w:r>
          </w:p>
        </w:tc>
        <w:tc>
          <w:tcPr>
            <w:tcW w:w="23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0"/>
              <w:ind w:left="-101" w:right="0"/>
              <w:jc w:val="left"/>
              <w:rPr>
                <w:rFonts w:ascii="宋体" w:hAnsi="宋体" w:cs="宋体" w:eastAsia="宋体" w:hint="default"/>
                <w:sz w:val="18"/>
                <w:szCs w:val="18"/>
              </w:rPr>
            </w:pPr>
            <w:r>
              <w:rPr>
                <w:rFonts w:ascii="宋体" w:hAnsi="宋体" w:cs="宋体" w:eastAsia="宋体" w:hint="default"/>
                <w:sz w:val="18"/>
                <w:szCs w:val="18"/>
              </w:rPr>
              <w:t>）</w:t>
            </w:r>
          </w:p>
        </w:tc>
        <w:tc>
          <w:tcPr>
            <w:tcW w:w="118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5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年以上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51" w:right="0"/>
              <w:jc w:val="left"/>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54"/>
                <w:sz w:val="18"/>
                <w:szCs w:val="18"/>
              </w:rPr>
              <w:t> </w:t>
            </w:r>
            <w:r>
              <w:rPr>
                <w:rFonts w:ascii="宋体" w:hAnsi="宋体" w:cs="宋体" w:eastAsia="宋体" w:hint="default"/>
                <w:sz w:val="18"/>
                <w:szCs w:val="18"/>
              </w:rPr>
              <w:t>计</w:t>
            </w:r>
          </w:p>
        </w:tc>
      </w:tr>
      <w:tr>
        <w:trPr>
          <w:trHeight w:val="341" w:hRule="exact"/>
        </w:trPr>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141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8" w:type="dxa"/>
            <w:gridSpan w:val="2"/>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343" w:hRule="exact"/>
        </w:trPr>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187,360,543.40</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8" w:type="dxa"/>
            <w:gridSpan w:val="2"/>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187,360,543.40</w:t>
            </w:r>
            <w:r>
              <w:rPr>
                <w:rFonts w:ascii="Times New Roman"/>
                <w:sz w:val="18"/>
              </w:rPr>
            </w:r>
          </w:p>
        </w:tc>
      </w:tr>
      <w:tr>
        <w:trPr>
          <w:trHeight w:val="341" w:hRule="exact"/>
        </w:trPr>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3"/>
              <w:jc w:val="right"/>
              <w:rPr>
                <w:rFonts w:ascii="Arial" w:hAnsi="Arial" w:cs="Arial" w:eastAsia="Arial" w:hint="default"/>
                <w:sz w:val="18"/>
                <w:szCs w:val="18"/>
              </w:rPr>
            </w:pPr>
            <w:r>
              <w:rPr>
                <w:rFonts w:ascii="Arial"/>
                <w:spacing w:val="-1"/>
                <w:sz w:val="18"/>
              </w:rPr>
              <w:t>221,986,877.38</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right"/>
              <w:rPr>
                <w:rFonts w:ascii="Arial" w:hAnsi="Arial" w:cs="Arial" w:eastAsia="Arial" w:hint="default"/>
                <w:sz w:val="18"/>
                <w:szCs w:val="18"/>
              </w:rPr>
            </w:pPr>
            <w:r>
              <w:rPr>
                <w:rFonts w:ascii="Arial"/>
                <w:spacing w:val="-1"/>
                <w:sz w:val="18"/>
              </w:rPr>
              <w:t>21,267,236.74</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18" w:type="dxa"/>
            <w:gridSpan w:val="2"/>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243,254,114.12</w:t>
            </w:r>
            <w:r>
              <w:rPr>
                <w:rFonts w:ascii="Times New Roman"/>
                <w:sz w:val="18"/>
              </w:rPr>
            </w:r>
          </w:p>
        </w:tc>
      </w:tr>
      <w:tr>
        <w:trPr>
          <w:trHeight w:val="343" w:hRule="exact"/>
        </w:trPr>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145,539,356.05</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8" w:type="dxa"/>
            <w:gridSpan w:val="2"/>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145,539,356.05</w:t>
            </w:r>
            <w:r>
              <w:rPr>
                <w:rFonts w:ascii="Times New Roman"/>
                <w:sz w:val="18"/>
              </w:rPr>
            </w:r>
          </w:p>
        </w:tc>
      </w:tr>
      <w:tr>
        <w:trPr>
          <w:trHeight w:val="629" w:hRule="exact"/>
        </w:trPr>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47"/>
              <w:jc w:val="right"/>
              <w:rPr>
                <w:rFonts w:ascii="Arial" w:hAnsi="Arial" w:cs="Arial" w:eastAsia="Arial" w:hint="default"/>
                <w:sz w:val="18"/>
                <w:szCs w:val="18"/>
              </w:rPr>
            </w:pPr>
            <w:r>
              <w:rPr>
                <w:rFonts w:ascii="Arial"/>
                <w:spacing w:val="-1"/>
                <w:sz w:val="18"/>
              </w:rPr>
              <w:t>69,244,364.46</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24,234,889.50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24,234,889.50</w:t>
            </w:r>
          </w:p>
        </w:tc>
        <w:tc>
          <w:tcPr>
            <w:tcW w:w="1418" w:type="dxa"/>
            <w:gridSpan w:val="2"/>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117,489,143.46</w:t>
            </w:r>
            <w:r>
              <w:rPr>
                <w:rFonts w:ascii="Times New Roman"/>
                <w:sz w:val="18"/>
              </w:rPr>
            </w:r>
          </w:p>
        </w:tc>
      </w:tr>
      <w:tr>
        <w:trPr>
          <w:trHeight w:val="343" w:hRule="exact"/>
        </w:trPr>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1,585,849.29</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8" w:type="dxa"/>
            <w:gridSpan w:val="2"/>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1,585,849.29</w:t>
            </w:r>
            <w:r>
              <w:rPr>
                <w:rFonts w:ascii="Times New Roman"/>
                <w:sz w:val="18"/>
              </w:rPr>
            </w:r>
          </w:p>
        </w:tc>
      </w:tr>
      <w:tr>
        <w:trPr>
          <w:trHeight w:val="341" w:hRule="exact"/>
        </w:trPr>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41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1,641,966.96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1,723,234.73</w:t>
            </w:r>
            <w:r>
              <w:rPr>
                <w:rFonts w:ascii="Times New Roman"/>
                <w:sz w:val="18"/>
              </w:rPr>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369" w:right="0"/>
              <w:jc w:val="left"/>
              <w:rPr>
                <w:rFonts w:ascii="Times New Roman" w:hAnsi="Times New Roman" w:cs="Times New Roman" w:eastAsia="Times New Roman" w:hint="default"/>
                <w:sz w:val="18"/>
                <w:szCs w:val="18"/>
              </w:rPr>
            </w:pPr>
            <w:r>
              <w:rPr>
                <w:rFonts w:ascii="Times New Roman"/>
                <w:sz w:val="18"/>
              </w:rPr>
              <w:t>12,096,782.88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3"/>
              <w:jc w:val="right"/>
              <w:rPr>
                <w:rFonts w:ascii="Times New Roman" w:hAnsi="Times New Roman" w:cs="Times New Roman" w:eastAsia="Times New Roman" w:hint="default"/>
                <w:sz w:val="18"/>
                <w:szCs w:val="18"/>
              </w:rPr>
            </w:pPr>
            <w:r>
              <w:rPr>
                <w:rFonts w:ascii="Times New Roman"/>
                <w:spacing w:val="-1"/>
                <w:sz w:val="18"/>
              </w:rPr>
              <w:t>15,461,984.57</w:t>
            </w:r>
          </w:p>
        </w:tc>
      </w:tr>
      <w:tr>
        <w:trPr>
          <w:trHeight w:val="343" w:hRule="exact"/>
        </w:trPr>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
              <w:jc w:val="right"/>
              <w:rPr>
                <w:rFonts w:ascii="Arial" w:hAnsi="Arial" w:cs="Arial" w:eastAsia="Arial" w:hint="default"/>
                <w:sz w:val="18"/>
                <w:szCs w:val="18"/>
              </w:rPr>
            </w:pPr>
            <w:r>
              <w:rPr>
                <w:rFonts w:ascii="Arial"/>
                <w:spacing w:val="-1"/>
                <w:sz w:val="18"/>
              </w:rPr>
              <w:t>625,716,990.58</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right"/>
              <w:rPr>
                <w:rFonts w:ascii="Arial" w:hAnsi="Arial" w:cs="Arial" w:eastAsia="Arial" w:hint="default"/>
                <w:sz w:val="18"/>
                <w:szCs w:val="18"/>
              </w:rPr>
            </w:pPr>
            <w:r>
              <w:rPr>
                <w:rFonts w:ascii="Arial"/>
                <w:spacing w:val="-1"/>
                <w:sz w:val="18"/>
              </w:rPr>
              <w:t>47,144,093.20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3"/>
              <w:jc w:val="right"/>
              <w:rPr>
                <w:rFonts w:ascii="Times New Roman" w:hAnsi="Times New Roman" w:cs="Times New Roman" w:eastAsia="Times New Roman" w:hint="default"/>
                <w:sz w:val="18"/>
                <w:szCs w:val="18"/>
              </w:rPr>
            </w:pPr>
            <w:r>
              <w:rPr>
                <w:rFonts w:ascii="Times New Roman"/>
                <w:spacing w:val="-1"/>
                <w:sz w:val="18"/>
              </w:rPr>
              <w:t>25,958,124.23</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367" w:right="0"/>
              <w:jc w:val="left"/>
              <w:rPr>
                <w:rFonts w:ascii="Times New Roman" w:hAnsi="Times New Roman" w:cs="Times New Roman" w:eastAsia="Times New Roman" w:hint="default"/>
                <w:sz w:val="18"/>
                <w:szCs w:val="18"/>
              </w:rPr>
            </w:pPr>
            <w:r>
              <w:rPr>
                <w:rFonts w:ascii="Times New Roman"/>
                <w:sz w:val="18"/>
              </w:rPr>
              <w:t>12,096,782.88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4"/>
              <w:jc w:val="right"/>
              <w:rPr>
                <w:rFonts w:ascii="Times New Roman" w:hAnsi="Times New Roman" w:cs="Times New Roman" w:eastAsia="Times New Roman" w:hint="default"/>
                <w:sz w:val="18"/>
                <w:szCs w:val="18"/>
              </w:rPr>
            </w:pPr>
            <w:r>
              <w:rPr>
                <w:rFonts w:ascii="Times New Roman"/>
                <w:spacing w:val="-1"/>
                <w:sz w:val="18"/>
              </w:rPr>
              <w:t>710,915,990.89</w:t>
            </w:r>
            <w:r>
              <w:rPr>
                <w:rFonts w:ascii="Times New Roman"/>
                <w:sz w:val="18"/>
              </w:rPr>
            </w:r>
          </w:p>
        </w:tc>
      </w:tr>
    </w:tbl>
    <w:p>
      <w:pPr>
        <w:spacing w:line="240" w:lineRule="auto" w:before="6"/>
        <w:rPr>
          <w:rFonts w:ascii="宋体" w:hAnsi="宋体" w:cs="宋体" w:eastAsia="宋体" w:hint="default"/>
          <w:sz w:val="5"/>
          <w:szCs w:val="5"/>
        </w:rPr>
      </w:pPr>
    </w:p>
    <w:p>
      <w:pPr>
        <w:pStyle w:val="BodyText"/>
        <w:spacing w:line="240" w:lineRule="auto" w:before="36"/>
        <w:ind w:left="632" w:right="1029"/>
        <w:jc w:val="left"/>
      </w:pPr>
      <w:r>
        <w:rPr/>
        <w:t>期初本集团持有的金融负债按未折现剩余合同现金流量的到期期限分析如下：</w:t>
      </w:r>
    </w:p>
    <w:p>
      <w:pPr>
        <w:spacing w:line="240" w:lineRule="auto" w:before="10"/>
        <w:rPr>
          <w:rFonts w:ascii="宋体" w:hAnsi="宋体" w:cs="宋体" w:eastAsia="宋体" w:hint="default"/>
          <w:sz w:val="3"/>
          <w:szCs w:val="3"/>
        </w:rPr>
      </w:pPr>
    </w:p>
    <w:tbl>
      <w:tblPr>
        <w:tblW w:w="0" w:type="auto"/>
        <w:jc w:val="left"/>
        <w:tblInd w:w="575" w:type="dxa"/>
        <w:tblLayout w:type="fixed"/>
        <w:tblCellMar>
          <w:top w:w="0" w:type="dxa"/>
          <w:left w:w="0" w:type="dxa"/>
          <w:bottom w:w="0" w:type="dxa"/>
          <w:right w:w="0" w:type="dxa"/>
        </w:tblCellMar>
        <w:tblLook w:val="01E0"/>
      </w:tblPr>
      <w:tblGrid>
        <w:gridCol w:w="2155"/>
        <w:gridCol w:w="1418"/>
        <w:gridCol w:w="1418"/>
        <w:gridCol w:w="1274"/>
        <w:gridCol w:w="216"/>
        <w:gridCol w:w="1109"/>
        <w:gridCol w:w="1313"/>
      </w:tblGrid>
      <w:tr>
        <w:trPr>
          <w:trHeight w:val="341" w:hRule="exact"/>
        </w:trPr>
        <w:tc>
          <w:tcPr>
            <w:tcW w:w="2155" w:type="dxa"/>
            <w:vMerge w:val="restart"/>
            <w:tcBorders>
              <w:top w:val="single" w:sz="4" w:space="0" w:color="000000"/>
              <w:left w:val="single" w:sz="4" w:space="0" w:color="000000"/>
              <w:right w:val="single" w:sz="4" w:space="0" w:color="000000"/>
            </w:tcBorders>
          </w:tcPr>
          <w:p>
            <w:pPr>
              <w:pStyle w:val="TableParagraph"/>
              <w:spacing w:line="240" w:lineRule="auto" w:before="17"/>
              <w:ind w:left="4" w:right="0"/>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54"/>
                <w:sz w:val="18"/>
                <w:szCs w:val="18"/>
              </w:rPr>
              <w:t> </w:t>
            </w:r>
            <w:r>
              <w:rPr>
                <w:rFonts w:ascii="宋体" w:hAnsi="宋体" w:cs="宋体" w:eastAsia="宋体" w:hint="default"/>
                <w:sz w:val="18"/>
                <w:szCs w:val="18"/>
              </w:rPr>
              <w:t>目</w:t>
            </w:r>
          </w:p>
        </w:tc>
        <w:tc>
          <w:tcPr>
            <w:tcW w:w="6749"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期初金额</w:t>
            </w:r>
          </w:p>
        </w:tc>
      </w:tr>
      <w:tr>
        <w:trPr>
          <w:trHeight w:val="343" w:hRule="exact"/>
        </w:trPr>
        <w:tc>
          <w:tcPr>
            <w:tcW w:w="2155" w:type="dxa"/>
            <w:vMerge/>
            <w:tcBorders>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3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至</w:t>
            </w:r>
            <w:r>
              <w:rPr>
                <w:rFonts w:ascii="Times New Roman" w:hAnsi="Times New Roman" w:cs="Times New Roman" w:eastAsia="Times New Roman" w:hint="default"/>
                <w:sz w:val="18"/>
                <w:szCs w:val="18"/>
              </w:rPr>
              <w:t>2</w:t>
            </w:r>
            <w:r>
              <w:rPr>
                <w:rFonts w:ascii="宋体" w:hAnsi="宋体" w:cs="宋体" w:eastAsia="宋体" w:hint="default"/>
                <w:sz w:val="18"/>
                <w:szCs w:val="18"/>
              </w:rPr>
              <w:t>年（含</w:t>
            </w:r>
            <w:r>
              <w:rPr>
                <w:rFonts w:ascii="Arial" w:hAnsi="Arial" w:cs="Arial" w:eastAsia="Arial" w:hint="default"/>
                <w:sz w:val="18"/>
                <w:szCs w:val="18"/>
              </w:rPr>
              <w:t>2</w:t>
            </w:r>
            <w:r>
              <w:rPr>
                <w:rFonts w:ascii="宋体" w:hAnsi="宋体" w:cs="宋体" w:eastAsia="宋体" w:hint="default"/>
                <w:sz w:val="18"/>
                <w:szCs w:val="18"/>
              </w:rPr>
              <w:t>年）</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至</w:t>
            </w:r>
            <w:r>
              <w:rPr>
                <w:rFonts w:ascii="Times New Roman" w:hAnsi="Times New Roman" w:cs="Times New Roman" w:eastAsia="Times New Roman" w:hint="default"/>
                <w:sz w:val="18"/>
                <w:szCs w:val="18"/>
              </w:rPr>
              <w:t>3</w:t>
            </w:r>
            <w:r>
              <w:rPr>
                <w:rFonts w:ascii="宋体" w:hAnsi="宋体" w:cs="宋体" w:eastAsia="宋体" w:hint="default"/>
                <w:sz w:val="18"/>
                <w:szCs w:val="18"/>
              </w:rPr>
              <w:t>年（含</w:t>
            </w:r>
            <w:r>
              <w:rPr>
                <w:rFonts w:ascii="Arial" w:hAnsi="Arial" w:cs="Arial" w:eastAsia="Arial" w:hint="default"/>
                <w:sz w:val="18"/>
                <w:szCs w:val="18"/>
              </w:rPr>
              <w:t>3</w:t>
            </w:r>
            <w:r>
              <w:rPr>
                <w:rFonts w:ascii="宋体" w:hAnsi="宋体" w:cs="宋体" w:eastAsia="宋体" w:hint="default"/>
                <w:sz w:val="18"/>
                <w:szCs w:val="18"/>
              </w:rPr>
              <w:t>年</w:t>
            </w:r>
          </w:p>
        </w:tc>
        <w:tc>
          <w:tcPr>
            <w:tcW w:w="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0"/>
              <w:ind w:left="-101" w:right="0"/>
              <w:jc w:val="left"/>
              <w:rPr>
                <w:rFonts w:ascii="宋体" w:hAnsi="宋体" w:cs="宋体" w:eastAsia="宋体" w:hint="default"/>
                <w:sz w:val="18"/>
                <w:szCs w:val="18"/>
              </w:rPr>
            </w:pPr>
            <w:r>
              <w:rPr>
                <w:rFonts w:ascii="宋体" w:hAnsi="宋体" w:cs="宋体" w:eastAsia="宋体" w:hint="default"/>
                <w:sz w:val="18"/>
                <w:szCs w:val="18"/>
              </w:rPr>
              <w:t>）</w:t>
            </w:r>
          </w:p>
        </w:tc>
        <w:tc>
          <w:tcPr>
            <w:tcW w:w="11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3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年以上</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00" w:right="0"/>
              <w:jc w:val="left"/>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54"/>
                <w:sz w:val="18"/>
                <w:szCs w:val="18"/>
              </w:rPr>
              <w:t> </w:t>
            </w:r>
            <w:r>
              <w:rPr>
                <w:rFonts w:ascii="宋体" w:hAnsi="宋体" w:cs="宋体" w:eastAsia="宋体" w:hint="default"/>
                <w:sz w:val="18"/>
                <w:szCs w:val="18"/>
              </w:rPr>
              <w:t>计</w:t>
            </w:r>
          </w:p>
        </w:tc>
      </w:tr>
      <w:tr>
        <w:trPr>
          <w:trHeight w:val="341" w:hRule="exact"/>
        </w:trPr>
        <w:tc>
          <w:tcPr>
            <w:tcW w:w="2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25"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r>
      <w:tr>
        <w:trPr>
          <w:trHeight w:val="343" w:hRule="exact"/>
        </w:trPr>
        <w:tc>
          <w:tcPr>
            <w:tcW w:w="2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right"/>
              <w:rPr>
                <w:rFonts w:ascii="Times New Roman" w:hAnsi="Times New Roman" w:cs="Times New Roman" w:eastAsia="Times New Roman" w:hint="default"/>
                <w:sz w:val="18"/>
                <w:szCs w:val="18"/>
              </w:rPr>
            </w:pPr>
            <w:r>
              <w:rPr>
                <w:rFonts w:ascii="Times New Roman"/>
                <w:spacing w:val="-1"/>
                <w:sz w:val="18"/>
              </w:rPr>
              <w:t>78,812,370.00</w:t>
            </w:r>
            <w:r>
              <w:rPr>
                <w:rFonts w:ascii="Times New Roman"/>
                <w:sz w:val="18"/>
              </w:rPr>
            </w:r>
          </w:p>
        </w:tc>
        <w:tc>
          <w:tcPr>
            <w:tcW w:w="141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25"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78,812,370.00</w:t>
            </w:r>
          </w:p>
        </w:tc>
      </w:tr>
      <w:tr>
        <w:trPr>
          <w:trHeight w:val="341" w:hRule="exact"/>
        </w:trPr>
        <w:tc>
          <w:tcPr>
            <w:tcW w:w="2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137,903,947.46</w:t>
            </w:r>
            <w:r>
              <w:rPr>
                <w:rFonts w:ascii="Times New Roman"/>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20,951,380.39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451" w:right="-1"/>
              <w:jc w:val="left"/>
              <w:rPr>
                <w:rFonts w:ascii="Times New Roman" w:hAnsi="Times New Roman" w:cs="Times New Roman" w:eastAsia="Times New Roman" w:hint="default"/>
                <w:sz w:val="18"/>
                <w:szCs w:val="18"/>
              </w:rPr>
            </w:pPr>
            <w:r>
              <w:rPr>
                <w:rFonts w:ascii="Times New Roman"/>
                <w:sz w:val="18"/>
              </w:rPr>
              <w:t>728,991.45</w:t>
            </w:r>
          </w:p>
        </w:tc>
        <w:tc>
          <w:tcPr>
            <w:tcW w:w="1325"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159,584,319.30</w:t>
            </w:r>
            <w:r>
              <w:rPr>
                <w:rFonts w:ascii="Times New Roman"/>
                <w:sz w:val="18"/>
              </w:rPr>
            </w:r>
          </w:p>
        </w:tc>
      </w:tr>
      <w:tr>
        <w:trPr>
          <w:trHeight w:val="343" w:hRule="exact"/>
        </w:trPr>
        <w:tc>
          <w:tcPr>
            <w:tcW w:w="2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112,794,692.63</w:t>
            </w:r>
            <w:r>
              <w:rPr>
                <w:rFonts w:ascii="Times New Roman"/>
                <w:sz w:val="18"/>
              </w:rPr>
            </w:r>
          </w:p>
        </w:tc>
        <w:tc>
          <w:tcPr>
            <w:tcW w:w="141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25"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112,794,692.63</w:t>
            </w:r>
            <w:r>
              <w:rPr>
                <w:rFonts w:ascii="Times New Roman"/>
                <w:sz w:val="18"/>
              </w:rPr>
            </w:r>
          </w:p>
        </w:tc>
      </w:tr>
      <w:tr>
        <w:trPr>
          <w:trHeight w:val="341" w:hRule="exact"/>
        </w:trPr>
        <w:tc>
          <w:tcPr>
            <w:tcW w:w="2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25,531,503.29</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35,797,423.20</w:t>
            </w:r>
          </w:p>
        </w:tc>
        <w:tc>
          <w:tcPr>
            <w:tcW w:w="1274" w:type="dxa"/>
            <w:tcBorders>
              <w:top w:val="single" w:sz="4" w:space="0" w:color="000000"/>
              <w:left w:val="single" w:sz="4" w:space="0" w:color="000000"/>
              <w:bottom w:val="single" w:sz="4" w:space="0" w:color="000000"/>
              <w:right w:val="single" w:sz="4" w:space="0" w:color="000000"/>
            </w:tcBorders>
          </w:tcPr>
          <w:p>
            <w:pPr/>
          </w:p>
        </w:tc>
        <w:tc>
          <w:tcPr>
            <w:tcW w:w="1325"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61,328,926.49</w:t>
            </w:r>
          </w:p>
        </w:tc>
      </w:tr>
      <w:tr>
        <w:trPr>
          <w:trHeight w:val="343" w:hRule="exact"/>
        </w:trPr>
        <w:tc>
          <w:tcPr>
            <w:tcW w:w="2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1,514,216.67</w:t>
            </w:r>
            <w:r>
              <w:rPr>
                <w:rFonts w:ascii="Times New Roman"/>
                <w:sz w:val="18"/>
              </w:rPr>
            </w:r>
          </w:p>
        </w:tc>
        <w:tc>
          <w:tcPr>
            <w:tcW w:w="141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25"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1,514,216.67</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20" w:right="0"/>
        </w:sectPr>
      </w:pPr>
    </w:p>
    <w:p>
      <w:pPr>
        <w:spacing w:line="240" w:lineRule="auto" w:before="6"/>
        <w:rPr>
          <w:rFonts w:ascii="宋体" w:hAnsi="宋体" w:cs="宋体" w:eastAsia="宋体" w:hint="default"/>
          <w:sz w:val="28"/>
          <w:szCs w:val="28"/>
        </w:rPr>
      </w:pPr>
    </w:p>
    <w:tbl>
      <w:tblPr>
        <w:tblW w:w="0" w:type="auto"/>
        <w:jc w:val="left"/>
        <w:tblInd w:w="515" w:type="dxa"/>
        <w:tblLayout w:type="fixed"/>
        <w:tblCellMar>
          <w:top w:w="0" w:type="dxa"/>
          <w:left w:w="0" w:type="dxa"/>
          <w:bottom w:w="0" w:type="dxa"/>
          <w:right w:w="0" w:type="dxa"/>
        </w:tblCellMar>
        <w:tblLook w:val="01E0"/>
      </w:tblPr>
      <w:tblGrid>
        <w:gridCol w:w="2155"/>
        <w:gridCol w:w="1418"/>
        <w:gridCol w:w="1418"/>
        <w:gridCol w:w="1274"/>
        <w:gridCol w:w="1325"/>
        <w:gridCol w:w="1313"/>
      </w:tblGrid>
      <w:tr>
        <w:trPr>
          <w:trHeight w:val="343" w:hRule="exact"/>
        </w:trPr>
        <w:tc>
          <w:tcPr>
            <w:tcW w:w="2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1,560,999.34</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1,639,229.71</w:t>
            </w:r>
            <w:r>
              <w:rPr>
                <w:rFonts w:ascii="Times New Roman"/>
                <w:sz w:val="18"/>
              </w:rPr>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13,823,723.40</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17,023,952.45</w:t>
            </w:r>
          </w:p>
        </w:tc>
      </w:tr>
      <w:tr>
        <w:trPr>
          <w:trHeight w:val="341" w:hRule="exact"/>
        </w:trPr>
        <w:tc>
          <w:tcPr>
            <w:tcW w:w="2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278" w:right="0"/>
              <w:jc w:val="left"/>
              <w:rPr>
                <w:rFonts w:ascii="Times New Roman" w:hAnsi="Times New Roman" w:cs="Times New Roman" w:eastAsia="Times New Roman" w:hint="default"/>
                <w:sz w:val="18"/>
                <w:szCs w:val="18"/>
              </w:rPr>
            </w:pPr>
            <w:r>
              <w:rPr>
                <w:rFonts w:ascii="Times New Roman"/>
                <w:sz w:val="18"/>
              </w:rPr>
              <w:t>356,556,730.05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58,309,802.93</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2,368,221.16</w:t>
            </w:r>
            <w:r>
              <w:rPr>
                <w:rFonts w:ascii="Times New Roman"/>
                <w:sz w:val="18"/>
              </w:rPr>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13,823,723.40</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431,058,477.54</w:t>
            </w:r>
            <w:r>
              <w:rPr>
                <w:rFonts w:ascii="Times New Roman"/>
                <w:sz w:val="18"/>
              </w:rPr>
            </w:r>
          </w:p>
        </w:tc>
      </w:tr>
    </w:tbl>
    <w:p>
      <w:pPr>
        <w:spacing w:line="240" w:lineRule="auto" w:before="4"/>
        <w:rPr>
          <w:rFonts w:ascii="宋体" w:hAnsi="宋体" w:cs="宋体" w:eastAsia="宋体" w:hint="default"/>
          <w:sz w:val="11"/>
          <w:szCs w:val="11"/>
        </w:rPr>
      </w:pPr>
    </w:p>
    <w:p>
      <w:pPr>
        <w:pStyle w:val="BodyText"/>
        <w:spacing w:line="408" w:lineRule="auto" w:before="36"/>
        <w:ind w:right="986" w:firstLine="420"/>
        <w:jc w:val="left"/>
      </w:pPr>
      <w:r>
        <w:rPr>
          <w:spacing w:val="-2"/>
        </w:rPr>
        <w:t>上表中披露的金融负债金额为未经折现的合同现金流量，因而可能与资产负债表中的账面金额有所不</w:t>
      </w:r>
      <w:r>
        <w:rPr>
          <w:w w:val="100"/>
        </w:rPr>
        <w:t> </w:t>
      </w:r>
      <w:r>
        <w:rPr/>
        <w:t>同。</w:t>
      </w:r>
    </w:p>
    <w:p>
      <w:pPr>
        <w:pStyle w:val="BodyText"/>
        <w:spacing w:line="408" w:lineRule="auto"/>
        <w:ind w:left="572" w:right="986" w:hanging="106"/>
        <w:jc w:val="left"/>
      </w:pPr>
      <w:r>
        <w:rPr/>
        <w:t>（</w:t>
      </w:r>
      <w:r>
        <w:rPr>
          <w:rFonts w:ascii="宋体" w:hAnsi="宋体" w:cs="宋体" w:eastAsia="宋体" w:hint="default"/>
        </w:rPr>
        <w:t>3</w:t>
      </w:r>
      <w:r>
        <w:rPr/>
        <w:t>）市场风险</w:t>
      </w:r>
      <w:r>
        <w:rPr>
          <w:spacing w:val="-3"/>
          <w:w w:val="100"/>
        </w:rPr>
        <w:t> </w:t>
      </w:r>
      <w:r>
        <w:rPr>
          <w:spacing w:val="-2"/>
        </w:rPr>
        <w:t>金融工具的市场风险，是指金融工具的公允价值或未来现金流量因市场价格变动而发生波动的风险，</w:t>
      </w:r>
    </w:p>
    <w:p>
      <w:pPr>
        <w:pStyle w:val="BodyText"/>
        <w:spacing w:line="240" w:lineRule="auto"/>
        <w:ind w:right="986"/>
        <w:jc w:val="left"/>
      </w:pPr>
      <w:r>
        <w:rPr/>
        <w:t>包括利率风险、汇率风险和其他价格风险。</w:t>
      </w:r>
    </w:p>
    <w:p>
      <w:pPr>
        <w:spacing w:line="240" w:lineRule="auto" w:before="10"/>
        <w:rPr>
          <w:rFonts w:ascii="宋体" w:hAnsi="宋体" w:cs="宋体" w:eastAsia="宋体" w:hint="default"/>
          <w:sz w:val="14"/>
          <w:szCs w:val="14"/>
        </w:rPr>
      </w:pPr>
    </w:p>
    <w:p>
      <w:pPr>
        <w:pStyle w:val="BodyText"/>
        <w:spacing w:line="408" w:lineRule="auto" w:before="0"/>
        <w:ind w:left="572" w:right="986" w:firstLine="146"/>
        <w:jc w:val="left"/>
      </w:pPr>
      <w:r>
        <w:rPr/>
        <w:t>①利率风险</w:t>
      </w:r>
      <w:r>
        <w:rPr>
          <w:w w:val="100"/>
        </w:rPr>
        <w:t> </w:t>
      </w:r>
      <w:r>
        <w:rPr>
          <w:spacing w:val="-2"/>
        </w:rPr>
        <w:t>利率风险，是指金融工具的公允价值或未来现金流量因市场利率变动而发生波动的风险。利率风险可</w:t>
      </w:r>
    </w:p>
    <w:p>
      <w:pPr>
        <w:pStyle w:val="BodyText"/>
        <w:spacing w:line="408" w:lineRule="auto"/>
        <w:ind w:left="572" w:right="986" w:hanging="421"/>
        <w:jc w:val="left"/>
      </w:pPr>
      <w:r>
        <w:rPr/>
        <w:t>源于已确认的计息金融工具和未确认的金融工具（如某些贷款承诺）。</w:t>
      </w:r>
      <w:r>
        <w:rPr>
          <w:w w:val="100"/>
        </w:rPr>
        <w:t> </w:t>
      </w:r>
      <w:r>
        <w:rPr/>
        <w:t>本集团的利率风险主要产生于长期银行借款，利率为浮动利率。</w:t>
      </w:r>
      <w:r>
        <w:rPr>
          <w:w w:val="100"/>
        </w:rPr>
        <w:t> </w:t>
      </w:r>
      <w:r>
        <w:rPr>
          <w:spacing w:val="-2"/>
        </w:rPr>
        <w:t>本集团密切关注利率变动对本集团利率风险的影响。本集团目前并未采取利率对冲政策，但管理层负</w:t>
      </w:r>
    </w:p>
    <w:p>
      <w:pPr>
        <w:pStyle w:val="BodyText"/>
        <w:spacing w:line="408" w:lineRule="auto"/>
        <w:ind w:right="986"/>
        <w:jc w:val="left"/>
      </w:pPr>
      <w:r>
        <w:rPr>
          <w:spacing w:val="-2"/>
        </w:rPr>
        <w:t>责监控利率风险，并将于需要时考虑对冲重大利率风险。由于定期存款为短期存款，故银行存款的公允价</w:t>
      </w:r>
      <w:r>
        <w:rPr>
          <w:spacing w:val="-44"/>
        </w:rPr>
        <w:t> </w:t>
      </w:r>
      <w:r>
        <w:rPr>
          <w:spacing w:val="-44"/>
        </w:rPr>
      </w:r>
      <w:r>
        <w:rPr/>
        <w:t>值利率风险并不重大。</w:t>
      </w:r>
    </w:p>
    <w:p>
      <w:pPr>
        <w:pStyle w:val="BodyText"/>
        <w:spacing w:line="240" w:lineRule="auto"/>
        <w:ind w:left="572" w:right="986"/>
        <w:jc w:val="left"/>
      </w:pPr>
      <w:r>
        <w:rPr/>
        <w:t>本集团持有的计息金融负债如下（单位：人民币元）：</w:t>
      </w:r>
    </w:p>
    <w:p>
      <w:pPr>
        <w:spacing w:line="240" w:lineRule="auto" w:before="11"/>
        <w:rPr>
          <w:rFonts w:ascii="宋体" w:hAnsi="宋体" w:cs="宋体" w:eastAsia="宋体" w:hint="default"/>
          <w:sz w:val="9"/>
          <w:szCs w:val="9"/>
        </w:rPr>
      </w:pPr>
    </w:p>
    <w:tbl>
      <w:tblPr>
        <w:tblW w:w="0" w:type="auto"/>
        <w:jc w:val="left"/>
        <w:tblInd w:w="517" w:type="dxa"/>
        <w:tblLayout w:type="fixed"/>
        <w:tblCellMar>
          <w:top w:w="0" w:type="dxa"/>
          <w:left w:w="0" w:type="dxa"/>
          <w:bottom w:w="0" w:type="dxa"/>
          <w:right w:w="0" w:type="dxa"/>
        </w:tblCellMar>
        <w:tblLook w:val="01E0"/>
      </w:tblPr>
      <w:tblGrid>
        <w:gridCol w:w="2902"/>
        <w:gridCol w:w="2899"/>
        <w:gridCol w:w="3098"/>
      </w:tblGrid>
      <w:tr>
        <w:trPr>
          <w:trHeight w:val="343" w:hRule="exact"/>
        </w:trPr>
        <w:tc>
          <w:tcPr>
            <w:tcW w:w="2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193"/>
              <w:jc w:val="right"/>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54"/>
                <w:sz w:val="18"/>
                <w:szCs w:val="18"/>
              </w:rPr>
              <w:t> </w:t>
            </w:r>
            <w:r>
              <w:rPr>
                <w:rFonts w:ascii="宋体" w:hAnsi="宋体" w:cs="宋体" w:eastAsia="宋体" w:hint="default"/>
                <w:sz w:val="18"/>
                <w:szCs w:val="18"/>
              </w:rPr>
              <w:t>目</w:t>
            </w:r>
          </w:p>
        </w:tc>
        <w:tc>
          <w:tcPr>
            <w:tcW w:w="2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341" w:hRule="exact"/>
        </w:trPr>
        <w:tc>
          <w:tcPr>
            <w:tcW w:w="2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2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17,022,983.90</w:t>
            </w:r>
          </w:p>
        </w:tc>
        <w:tc>
          <w:tcPr>
            <w:tcW w:w="3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18,510,454.86</w:t>
            </w:r>
          </w:p>
        </w:tc>
      </w:tr>
      <w:tr>
        <w:trPr>
          <w:trHeight w:val="343" w:hRule="exact"/>
        </w:trPr>
        <w:tc>
          <w:tcPr>
            <w:tcW w:w="2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其中：长期借款</w:t>
            </w:r>
          </w:p>
        </w:tc>
        <w:tc>
          <w:tcPr>
            <w:tcW w:w="2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17,022,983.90</w:t>
            </w:r>
          </w:p>
        </w:tc>
        <w:tc>
          <w:tcPr>
            <w:tcW w:w="3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18,510,454.86</w:t>
            </w:r>
          </w:p>
        </w:tc>
      </w:tr>
      <w:tr>
        <w:trPr>
          <w:trHeight w:val="341" w:hRule="exact"/>
        </w:trPr>
        <w:tc>
          <w:tcPr>
            <w:tcW w:w="2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193"/>
              <w:jc w:val="right"/>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54"/>
                <w:sz w:val="18"/>
                <w:szCs w:val="18"/>
              </w:rPr>
              <w:t> </w:t>
            </w:r>
            <w:r>
              <w:rPr>
                <w:rFonts w:ascii="宋体" w:hAnsi="宋体" w:cs="宋体" w:eastAsia="宋体" w:hint="default"/>
                <w:sz w:val="18"/>
                <w:szCs w:val="18"/>
              </w:rPr>
              <w:t>计</w:t>
            </w:r>
          </w:p>
        </w:tc>
        <w:tc>
          <w:tcPr>
            <w:tcW w:w="2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17,022,983.90</w:t>
            </w:r>
          </w:p>
        </w:tc>
        <w:tc>
          <w:tcPr>
            <w:tcW w:w="3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18,510,454.86</w:t>
            </w:r>
          </w:p>
        </w:tc>
      </w:tr>
    </w:tbl>
    <w:p>
      <w:pPr>
        <w:spacing w:line="240" w:lineRule="auto" w:before="4"/>
        <w:rPr>
          <w:rFonts w:ascii="宋体" w:hAnsi="宋体" w:cs="宋体" w:eastAsia="宋体" w:hint="default"/>
          <w:sz w:val="11"/>
          <w:szCs w:val="11"/>
        </w:rPr>
      </w:pPr>
    </w:p>
    <w:p>
      <w:pPr>
        <w:pStyle w:val="BodyText"/>
        <w:spacing w:line="408" w:lineRule="auto" w:before="36"/>
        <w:ind w:right="986" w:firstLine="419"/>
        <w:jc w:val="left"/>
      </w:pPr>
      <w:r>
        <w:rPr>
          <w:spacing w:val="-2"/>
        </w:rPr>
        <w:t>于</w:t>
      </w:r>
      <w:r>
        <w:rPr>
          <w:rFonts w:ascii="宋体" w:hAnsi="宋体" w:cs="宋体" w:eastAsia="宋体" w:hint="default"/>
          <w:spacing w:val="-2"/>
        </w:rPr>
        <w:t>2019</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日，如果以浮动利率计算的借款利率上升或下降</w:t>
      </w:r>
      <w:r>
        <w:rPr>
          <w:rFonts w:ascii="宋体" w:hAnsi="宋体" w:cs="宋体" w:eastAsia="宋体" w:hint="default"/>
          <w:spacing w:val="-2"/>
        </w:rPr>
        <w:t>50</w:t>
      </w:r>
      <w:r>
        <w:rPr>
          <w:spacing w:val="-2"/>
        </w:rPr>
        <w:t>个基点，而其它因素保持不变，本</w:t>
      </w:r>
      <w:r>
        <w:rPr>
          <w:w w:val="100"/>
        </w:rPr>
        <w:t> </w:t>
      </w:r>
      <w:r>
        <w:rPr/>
        <w:t>集团的净利润及股东权益将减少或增加约</w:t>
      </w:r>
      <w:r>
        <w:rPr>
          <w:rFonts w:ascii="宋体" w:hAnsi="宋体" w:cs="宋体" w:eastAsia="宋体" w:hint="default"/>
        </w:rPr>
        <w:t>76,603.43</w:t>
      </w:r>
      <w:r>
        <w:rPr/>
        <w:t>元。</w:t>
      </w:r>
    </w:p>
    <w:p>
      <w:pPr>
        <w:pStyle w:val="BodyText"/>
        <w:spacing w:line="408" w:lineRule="auto"/>
        <w:ind w:left="573" w:right="986" w:firstLine="146"/>
        <w:jc w:val="left"/>
      </w:pPr>
      <w:r>
        <w:rPr/>
        <w:t>②汇率风险</w:t>
      </w:r>
      <w:r>
        <w:rPr>
          <w:w w:val="100"/>
        </w:rPr>
        <w:t> </w:t>
      </w:r>
      <w:r>
        <w:rPr>
          <w:spacing w:val="-2"/>
        </w:rPr>
        <w:t>汇率风险，是指金融工具的公允价值或未来现金流量因外汇汇率变动而发生波动的风险。汇率风险可</w:t>
      </w:r>
    </w:p>
    <w:p>
      <w:pPr>
        <w:pStyle w:val="BodyText"/>
        <w:spacing w:line="408" w:lineRule="auto"/>
        <w:ind w:left="573" w:right="986" w:hanging="421"/>
        <w:jc w:val="left"/>
      </w:pPr>
      <w:r>
        <w:rPr/>
        <w:t>源于以记账本位币之外的外币进行计价的金融工具。</w:t>
      </w:r>
      <w:r>
        <w:rPr>
          <w:w w:val="100"/>
        </w:rPr>
        <w:t> </w:t>
      </w:r>
      <w:r>
        <w:rPr>
          <w:spacing w:val="-2"/>
        </w:rPr>
        <w:t>本集团的主要经营位于中国境内，主要业务以人民币结算。因此，本集团所承担的外汇变动市场风险</w:t>
      </w:r>
    </w:p>
    <w:p>
      <w:pPr>
        <w:pStyle w:val="BodyText"/>
        <w:spacing w:line="240" w:lineRule="auto"/>
        <w:ind w:right="986"/>
        <w:jc w:val="left"/>
      </w:pPr>
      <w:r>
        <w:rPr/>
        <w:t>不重大。</w:t>
      </w:r>
    </w:p>
    <w:p>
      <w:pPr>
        <w:spacing w:line="240" w:lineRule="auto" w:before="10"/>
        <w:rPr>
          <w:rFonts w:ascii="宋体" w:hAnsi="宋体" w:cs="宋体" w:eastAsia="宋体" w:hint="default"/>
          <w:sz w:val="14"/>
          <w:szCs w:val="14"/>
        </w:rPr>
      </w:pPr>
    </w:p>
    <w:p>
      <w:pPr>
        <w:pStyle w:val="BodyText"/>
        <w:spacing w:line="240" w:lineRule="auto" w:before="0"/>
        <w:ind w:left="572" w:right="986"/>
        <w:jc w:val="left"/>
      </w:pPr>
      <w:r>
        <w:rPr/>
        <w:t>本集团期末外币金融资产和外币金融负债列示见本附注项目注释其他之外币货币性项目说明。</w:t>
      </w:r>
    </w:p>
    <w:p>
      <w:pPr>
        <w:spacing w:line="240" w:lineRule="auto" w:before="10"/>
        <w:rPr>
          <w:rFonts w:ascii="宋体" w:hAnsi="宋体" w:cs="宋体" w:eastAsia="宋体" w:hint="default"/>
          <w:sz w:val="14"/>
          <w:szCs w:val="14"/>
        </w:rPr>
      </w:pPr>
    </w:p>
    <w:p>
      <w:pPr>
        <w:pStyle w:val="BodyText"/>
        <w:spacing w:line="408" w:lineRule="auto" w:before="0"/>
        <w:ind w:left="572" w:right="986" w:firstLine="146"/>
        <w:jc w:val="left"/>
      </w:pPr>
      <w:r>
        <w:rPr/>
        <w:t>③其他价格风险</w:t>
      </w:r>
      <w:r>
        <w:rPr>
          <w:w w:val="100"/>
        </w:rPr>
        <w:t> </w:t>
      </w:r>
      <w:r>
        <w:rPr>
          <w:spacing w:val="-2"/>
        </w:rPr>
        <w:t>其他价格风险，是指汇率风险和利率风险以外的市场价格变动而发生波动的风险，无论这些变动是由</w:t>
      </w:r>
    </w:p>
    <w:p>
      <w:pPr>
        <w:pStyle w:val="BodyText"/>
        <w:spacing w:line="408" w:lineRule="auto"/>
        <w:ind w:right="986"/>
        <w:jc w:val="left"/>
      </w:pPr>
      <w:r>
        <w:rPr>
          <w:spacing w:val="-2"/>
        </w:rPr>
        <w:t>于与单项金融工具或其发行方有关的因素而引起的，还是由于与市场内交易的所有类似金融工具有关的因</w:t>
      </w:r>
      <w:r>
        <w:rPr>
          <w:spacing w:val="-43"/>
        </w:rPr>
        <w:t> </w:t>
      </w:r>
      <w:r>
        <w:rPr>
          <w:spacing w:val="-43"/>
        </w:rPr>
      </w:r>
      <w:r>
        <w:rPr/>
        <w:t>素而引起的。其他价格风险可源于商品价格或权益工具价格等的变化。</w:t>
      </w:r>
    </w:p>
    <w:p>
      <w:pPr>
        <w:spacing w:after="0" w:line="408" w:lineRule="auto"/>
        <w:jc w:val="left"/>
        <w:sectPr>
          <w:pgSz w:w="11910" w:h="16840"/>
          <w:pgMar w:header="745" w:footer="982" w:top="1060" w:bottom="1180" w:left="980" w:right="0"/>
        </w:sectPr>
      </w:pPr>
    </w:p>
    <w:p>
      <w:pPr>
        <w:spacing w:line="240" w:lineRule="auto" w:before="0"/>
        <w:rPr>
          <w:rFonts w:ascii="宋体" w:hAnsi="宋体" w:cs="宋体" w:eastAsia="宋体" w:hint="default"/>
          <w:sz w:val="20"/>
          <w:szCs w:val="20"/>
        </w:rPr>
      </w:pPr>
    </w:p>
    <w:p>
      <w:pPr>
        <w:pStyle w:val="BodyText"/>
        <w:spacing w:line="408" w:lineRule="auto" w:before="175"/>
        <w:ind w:right="1128" w:firstLine="420"/>
        <w:jc w:val="both"/>
      </w:pPr>
      <w:r>
        <w:rPr>
          <w:spacing w:val="-2"/>
        </w:rPr>
        <w:t>本集团持有的分类为其他权益工具投资的金融资产在资产负债表日以公允价值计量。因此，本集团承</w:t>
      </w:r>
      <w:r>
        <w:rPr>
          <w:w w:val="100"/>
        </w:rPr>
        <w:t> </w:t>
      </w:r>
      <w:r>
        <w:rPr/>
        <w:t>担着证券市场变动的风险。</w:t>
      </w:r>
    </w:p>
    <w:p>
      <w:pPr>
        <w:pStyle w:val="BodyText"/>
        <w:spacing w:line="408" w:lineRule="auto"/>
        <w:ind w:right="1127" w:firstLine="420"/>
        <w:jc w:val="both"/>
      </w:pPr>
      <w:r>
        <w:rPr>
          <w:spacing w:val="-2"/>
        </w:rPr>
        <w:t>本集团密切关注价格变动对本集团权益证券投资价格风险的影响。本集团目前并未采取任何措施规避</w:t>
      </w:r>
      <w:r>
        <w:rPr>
          <w:w w:val="100"/>
        </w:rPr>
        <w:t> </w:t>
      </w:r>
      <w:r>
        <w:rPr>
          <w:spacing w:val="-2"/>
        </w:rPr>
        <w:t>其他价格风险。但管理层负责监控其他价格风险，并将于需要时考虑采取持有多种权益证券组合的方式降</w:t>
      </w:r>
      <w:r>
        <w:rPr>
          <w:spacing w:val="-42"/>
        </w:rPr>
        <w:t> </w:t>
      </w:r>
      <w:r>
        <w:rPr>
          <w:spacing w:val="-42"/>
        </w:rPr>
      </w:r>
      <w:r>
        <w:rPr/>
        <w:t>低权益证券投资的价格风险。</w:t>
      </w:r>
    </w:p>
    <w:p>
      <w:pPr>
        <w:pStyle w:val="BodyText"/>
        <w:spacing w:line="408" w:lineRule="auto"/>
        <w:ind w:right="1132" w:firstLine="419"/>
        <w:jc w:val="both"/>
      </w:pPr>
      <w:r>
        <w:rPr>
          <w:spacing w:val="-2"/>
        </w:rPr>
        <w:t>在其他变量不变的情况下，权益证券投资价格本年</w:t>
      </w:r>
      <w:r>
        <w:rPr>
          <w:rFonts w:ascii="宋体" w:hAnsi="宋体" w:cs="宋体" w:eastAsia="宋体" w:hint="default"/>
          <w:spacing w:val="-2"/>
        </w:rPr>
        <w:t>5%</w:t>
      </w:r>
      <w:r>
        <w:rPr>
          <w:spacing w:val="-2"/>
        </w:rPr>
        <w:t>的变动对本集团当期损益及其他综合收益的税后</w:t>
      </w:r>
      <w:r>
        <w:rPr>
          <w:spacing w:val="-3"/>
          <w:w w:val="100"/>
        </w:rPr>
        <w:t> </w:t>
      </w:r>
      <w:r>
        <w:rPr/>
        <w:t>影响如下：</w:t>
      </w:r>
    </w:p>
    <w:tbl>
      <w:tblPr>
        <w:tblW w:w="0" w:type="auto"/>
        <w:jc w:val="left"/>
        <w:tblInd w:w="517" w:type="dxa"/>
        <w:tblLayout w:type="fixed"/>
        <w:tblCellMar>
          <w:top w:w="0" w:type="dxa"/>
          <w:left w:w="0" w:type="dxa"/>
          <w:bottom w:w="0" w:type="dxa"/>
          <w:right w:w="0" w:type="dxa"/>
        </w:tblCellMar>
        <w:tblLook w:val="01E0"/>
      </w:tblPr>
      <w:tblGrid>
        <w:gridCol w:w="2762"/>
        <w:gridCol w:w="1536"/>
        <w:gridCol w:w="1534"/>
        <w:gridCol w:w="1534"/>
        <w:gridCol w:w="1534"/>
      </w:tblGrid>
      <w:tr>
        <w:trPr>
          <w:trHeight w:val="341" w:hRule="exact"/>
        </w:trPr>
        <w:tc>
          <w:tcPr>
            <w:tcW w:w="2762" w:type="dxa"/>
            <w:vMerge w:val="restart"/>
            <w:tcBorders>
              <w:top w:val="single" w:sz="4" w:space="0" w:color="000000"/>
              <w:left w:val="single" w:sz="4" w:space="0" w:color="000000"/>
              <w:right w:val="single" w:sz="4" w:space="0" w:color="000000"/>
            </w:tcBorders>
          </w:tcPr>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54"/>
                <w:sz w:val="18"/>
                <w:szCs w:val="18"/>
              </w:rPr>
              <w:t> </w:t>
            </w:r>
            <w:r>
              <w:rPr>
                <w:rFonts w:ascii="宋体" w:hAnsi="宋体" w:cs="宋体" w:eastAsia="宋体" w:hint="default"/>
                <w:sz w:val="18"/>
                <w:szCs w:val="18"/>
              </w:rPr>
              <w:t>目</w:t>
            </w:r>
          </w:p>
        </w:tc>
        <w:tc>
          <w:tcPr>
            <w:tcW w:w="30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631" w:right="0"/>
              <w:jc w:val="left"/>
              <w:rPr>
                <w:rFonts w:ascii="宋体" w:hAnsi="宋体" w:cs="宋体" w:eastAsia="宋体" w:hint="default"/>
                <w:sz w:val="18"/>
                <w:szCs w:val="18"/>
              </w:rPr>
            </w:pPr>
            <w:r>
              <w:rPr>
                <w:rFonts w:ascii="宋体" w:hAnsi="宋体" w:cs="宋体" w:eastAsia="宋体" w:hint="default"/>
                <w:sz w:val="18"/>
                <w:szCs w:val="18"/>
              </w:rPr>
              <w:t>税后利润上升（下降）</w:t>
            </w:r>
          </w:p>
        </w:tc>
        <w:tc>
          <w:tcPr>
            <w:tcW w:w="30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448" w:right="0"/>
              <w:jc w:val="left"/>
              <w:rPr>
                <w:rFonts w:ascii="宋体" w:hAnsi="宋体" w:cs="宋体" w:eastAsia="宋体" w:hint="default"/>
                <w:sz w:val="18"/>
                <w:szCs w:val="18"/>
              </w:rPr>
            </w:pPr>
            <w:r>
              <w:rPr>
                <w:rFonts w:ascii="宋体" w:hAnsi="宋体" w:cs="宋体" w:eastAsia="宋体" w:hint="default"/>
                <w:sz w:val="18"/>
                <w:szCs w:val="18"/>
              </w:rPr>
              <w:t>其他综合收益上升（下降）</w:t>
            </w:r>
          </w:p>
        </w:tc>
      </w:tr>
      <w:tr>
        <w:trPr>
          <w:trHeight w:val="343" w:hRule="exact"/>
        </w:trPr>
        <w:tc>
          <w:tcPr>
            <w:tcW w:w="2762" w:type="dxa"/>
            <w:vMerge/>
            <w:tcBorders>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494" w:right="0"/>
              <w:jc w:val="left"/>
              <w:rPr>
                <w:rFonts w:ascii="宋体" w:hAnsi="宋体" w:cs="宋体" w:eastAsia="宋体" w:hint="default"/>
                <w:sz w:val="18"/>
                <w:szCs w:val="18"/>
              </w:rPr>
            </w:pPr>
            <w:r>
              <w:rPr>
                <w:rFonts w:ascii="宋体" w:hAnsi="宋体" w:cs="宋体" w:eastAsia="宋体" w:hint="default"/>
                <w:sz w:val="18"/>
                <w:szCs w:val="18"/>
              </w:rPr>
              <w:t>本年数</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491" w:right="0"/>
              <w:jc w:val="left"/>
              <w:rPr>
                <w:rFonts w:ascii="宋体" w:hAnsi="宋体" w:cs="宋体" w:eastAsia="宋体" w:hint="default"/>
                <w:sz w:val="18"/>
                <w:szCs w:val="18"/>
              </w:rPr>
            </w:pPr>
            <w:r>
              <w:rPr>
                <w:rFonts w:ascii="宋体" w:hAnsi="宋体" w:cs="宋体" w:eastAsia="宋体" w:hint="default"/>
                <w:sz w:val="18"/>
                <w:szCs w:val="18"/>
              </w:rPr>
              <w:t>上年数</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491" w:right="0"/>
              <w:jc w:val="left"/>
              <w:rPr>
                <w:rFonts w:ascii="宋体" w:hAnsi="宋体" w:cs="宋体" w:eastAsia="宋体" w:hint="default"/>
                <w:sz w:val="18"/>
                <w:szCs w:val="18"/>
              </w:rPr>
            </w:pPr>
            <w:r>
              <w:rPr>
                <w:rFonts w:ascii="宋体" w:hAnsi="宋体" w:cs="宋体" w:eastAsia="宋体" w:hint="default"/>
                <w:sz w:val="18"/>
                <w:szCs w:val="18"/>
              </w:rPr>
              <w:t>本年数</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494" w:right="0"/>
              <w:jc w:val="left"/>
              <w:rPr>
                <w:rFonts w:ascii="宋体" w:hAnsi="宋体" w:cs="宋体" w:eastAsia="宋体" w:hint="default"/>
                <w:sz w:val="18"/>
                <w:szCs w:val="18"/>
              </w:rPr>
            </w:pPr>
            <w:r>
              <w:rPr>
                <w:rFonts w:ascii="宋体" w:hAnsi="宋体" w:cs="宋体" w:eastAsia="宋体" w:hint="default"/>
                <w:sz w:val="18"/>
                <w:szCs w:val="18"/>
              </w:rPr>
              <w:t>上年数</w:t>
            </w:r>
          </w:p>
        </w:tc>
      </w:tr>
      <w:tr>
        <w:trPr>
          <w:trHeight w:val="341" w:hRule="exact"/>
        </w:trPr>
        <w:tc>
          <w:tcPr>
            <w:tcW w:w="2762"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4" w:right="0"/>
              <w:jc w:val="left"/>
              <w:rPr>
                <w:rFonts w:ascii="宋体" w:hAnsi="宋体" w:cs="宋体" w:eastAsia="宋体" w:hint="default"/>
                <w:sz w:val="18"/>
                <w:szCs w:val="18"/>
              </w:rPr>
            </w:pPr>
            <w:r>
              <w:rPr>
                <w:rFonts w:ascii="宋体" w:hAnsi="宋体" w:cs="宋体" w:eastAsia="宋体" w:hint="default"/>
                <w:sz w:val="18"/>
                <w:szCs w:val="18"/>
              </w:rPr>
              <w:t>因权益证券投资价格上升</w:t>
            </w:r>
          </w:p>
        </w:tc>
        <w:tc>
          <w:tcPr>
            <w:tcW w:w="153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484" w:right="0"/>
              <w:jc w:val="left"/>
              <w:rPr>
                <w:rFonts w:ascii="Times New Roman" w:hAnsi="Times New Roman" w:cs="Times New Roman" w:eastAsia="Times New Roman" w:hint="default"/>
                <w:sz w:val="18"/>
                <w:szCs w:val="18"/>
              </w:rPr>
            </w:pPr>
            <w:r>
              <w:rPr>
                <w:rFonts w:ascii="Times New Roman"/>
                <w:sz w:val="18"/>
              </w:rPr>
              <w:t>12,546,570.33</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right"/>
              <w:rPr>
                <w:rFonts w:ascii="Times New Roman" w:hAnsi="Times New Roman" w:cs="Times New Roman" w:eastAsia="Times New Roman" w:hint="default"/>
                <w:sz w:val="18"/>
                <w:szCs w:val="18"/>
              </w:rPr>
            </w:pPr>
            <w:r>
              <w:rPr>
                <w:rFonts w:ascii="Times New Roman"/>
                <w:spacing w:val="-1"/>
                <w:sz w:val="18"/>
              </w:rPr>
              <w:t>8,071,626.91</w:t>
            </w:r>
            <w:r>
              <w:rPr>
                <w:rFonts w:ascii="Times New Roman"/>
                <w:sz w:val="18"/>
              </w:rPr>
            </w:r>
          </w:p>
        </w:tc>
      </w:tr>
      <w:tr>
        <w:trPr>
          <w:trHeight w:val="343" w:hRule="exact"/>
        </w:trPr>
        <w:tc>
          <w:tcPr>
            <w:tcW w:w="2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4" w:right="0"/>
              <w:jc w:val="left"/>
              <w:rPr>
                <w:rFonts w:ascii="宋体" w:hAnsi="宋体" w:cs="宋体" w:eastAsia="宋体" w:hint="default"/>
                <w:sz w:val="18"/>
                <w:szCs w:val="18"/>
              </w:rPr>
            </w:pPr>
            <w:r>
              <w:rPr>
                <w:rFonts w:ascii="宋体" w:hAnsi="宋体" w:cs="宋体" w:eastAsia="宋体" w:hint="default"/>
                <w:sz w:val="18"/>
                <w:szCs w:val="18"/>
              </w:rPr>
              <w:t>因权益证券投资价格下降</w:t>
            </w:r>
          </w:p>
        </w:tc>
        <w:tc>
          <w:tcPr>
            <w:tcW w:w="153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424" w:right="0"/>
              <w:jc w:val="left"/>
              <w:rPr>
                <w:rFonts w:ascii="Times New Roman" w:hAnsi="Times New Roman" w:cs="Times New Roman" w:eastAsia="Times New Roman" w:hint="default"/>
                <w:sz w:val="18"/>
                <w:szCs w:val="18"/>
              </w:rPr>
            </w:pPr>
            <w:r>
              <w:rPr>
                <w:rFonts w:ascii="Times New Roman"/>
                <w:sz w:val="18"/>
              </w:rPr>
              <w:t>-12,546,570.33</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right"/>
              <w:rPr>
                <w:rFonts w:ascii="Times New Roman" w:hAnsi="Times New Roman" w:cs="Times New Roman" w:eastAsia="Times New Roman" w:hint="default"/>
                <w:sz w:val="18"/>
                <w:szCs w:val="18"/>
              </w:rPr>
            </w:pPr>
            <w:r>
              <w:rPr>
                <w:rFonts w:ascii="Times New Roman"/>
                <w:spacing w:val="-1"/>
                <w:sz w:val="18"/>
              </w:rPr>
              <w:t>-8,071,626.91</w:t>
            </w:r>
            <w:r>
              <w:rPr>
                <w:rFonts w:ascii="Times New Roman"/>
                <w:sz w:val="18"/>
              </w:rPr>
            </w:r>
          </w:p>
        </w:tc>
      </w:tr>
    </w:tbl>
    <w:p>
      <w:pPr>
        <w:spacing w:line="240" w:lineRule="auto" w:before="12"/>
        <w:rPr>
          <w:rFonts w:ascii="宋体" w:hAnsi="宋体" w:cs="宋体" w:eastAsia="宋体" w:hint="default"/>
          <w:sz w:val="9"/>
          <w:szCs w:val="9"/>
        </w:rPr>
      </w:pPr>
    </w:p>
    <w:p>
      <w:pPr>
        <w:pStyle w:val="BodyText"/>
        <w:spacing w:line="386" w:lineRule="auto" w:before="36"/>
        <w:ind w:left="572" w:right="986"/>
        <w:jc w:val="left"/>
      </w:pPr>
      <w:r>
        <w:rPr>
          <w:rFonts w:ascii="Times New Roman" w:hAnsi="Times New Roman" w:cs="Times New Roman" w:eastAsia="Times New Roman" w:hint="default"/>
        </w:rPr>
        <w:t>2</w:t>
      </w:r>
      <w:r>
        <w:rPr/>
        <w:t>、资本管理</w:t>
      </w:r>
      <w:r>
        <w:rPr>
          <w:spacing w:val="-3"/>
          <w:w w:val="100"/>
        </w:rPr>
        <w:t> </w:t>
      </w:r>
      <w:r>
        <w:rPr>
          <w:spacing w:val="-2"/>
        </w:rPr>
        <w:t>本集团资本管理政策的目标是为了保障本集团能够持续经营，从而为股东提供回报，并使其他利益相</w:t>
      </w:r>
    </w:p>
    <w:p>
      <w:pPr>
        <w:pStyle w:val="BodyText"/>
        <w:spacing w:line="408" w:lineRule="auto" w:before="65"/>
        <w:ind w:left="572" w:right="986" w:hanging="421"/>
        <w:jc w:val="left"/>
      </w:pPr>
      <w:r>
        <w:rPr/>
        <w:t>关者获益，同时维持最佳的资本结构以降低资本成本。</w:t>
      </w:r>
      <w:r>
        <w:rPr>
          <w:w w:val="100"/>
        </w:rPr>
        <w:t> </w:t>
      </w:r>
      <w:r>
        <w:rPr>
          <w:spacing w:val="-2"/>
        </w:rPr>
        <w:t>为了维持或调整资本结构，本集团可能会调整支付给股东的股利金额、向股东返还资本、发行新股或</w:t>
      </w:r>
    </w:p>
    <w:p>
      <w:pPr>
        <w:pStyle w:val="BodyText"/>
        <w:spacing w:line="408" w:lineRule="auto"/>
        <w:ind w:left="572" w:right="986" w:hanging="420"/>
        <w:jc w:val="left"/>
      </w:pPr>
      <w:r>
        <w:rPr/>
        <w:t>出售资产以减低债务。</w:t>
      </w:r>
      <w:r>
        <w:rPr>
          <w:w w:val="100"/>
        </w:rPr>
        <w:t> </w:t>
      </w:r>
      <w:r>
        <w:rPr>
          <w:spacing w:val="-2"/>
        </w:rPr>
        <w:t>本集团以资产负债率（即总负债除以总资产）为基础对资本结构进行监控。于</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日，本集</w:t>
      </w:r>
      <w:r>
        <w:rPr/>
      </w:r>
    </w:p>
    <w:p>
      <w:pPr>
        <w:pStyle w:val="BodyText"/>
        <w:spacing w:line="240" w:lineRule="auto" w:before="14"/>
        <w:ind w:right="986"/>
        <w:jc w:val="left"/>
      </w:pPr>
      <w:r>
        <w:rPr/>
        <w:t>团的资产负债率为</w:t>
      </w:r>
      <w:r>
        <w:rPr>
          <w:rFonts w:ascii="Times New Roman" w:hAnsi="Times New Roman" w:cs="Times New Roman" w:eastAsia="Times New Roman" w:hint="default"/>
        </w:rPr>
        <w:t>28.94%</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w:t>
      </w:r>
      <w:r>
        <w:rPr>
          <w:rFonts w:ascii="Times New Roman" w:hAnsi="Times New Roman" w:cs="Times New Roman" w:eastAsia="Times New Roman" w:hint="default"/>
        </w:rPr>
        <w:t>25.</w:t>
      </w:r>
      <w:r>
        <w:rPr>
          <w:rFonts w:ascii="宋体" w:hAnsi="宋体" w:cs="宋体" w:eastAsia="宋体" w:hint="default"/>
        </w:rPr>
        <w:t>29</w:t>
      </w:r>
      <w:r>
        <w:rPr>
          <w:rFonts w:ascii="Times New Roman" w:hAnsi="Times New Roman" w:cs="Times New Roman" w:eastAsia="Times New Roman" w:hint="default"/>
        </w:rPr>
        <w:t>%</w:t>
      </w:r>
      <w:r>
        <w:rPr/>
        <w:t>）。</w:t>
      </w:r>
    </w:p>
    <w:p>
      <w:pPr>
        <w:spacing w:line="240" w:lineRule="auto" w:before="9"/>
        <w:rPr>
          <w:rFonts w:ascii="宋体" w:hAnsi="宋体" w:cs="宋体" w:eastAsia="宋体" w:hint="default"/>
          <w:sz w:val="28"/>
          <w:szCs w:val="28"/>
        </w:rPr>
      </w:pPr>
    </w:p>
    <w:p>
      <w:pPr>
        <w:pStyle w:val="Heading2"/>
        <w:spacing w:line="240" w:lineRule="auto"/>
        <w:ind w:right="986"/>
        <w:jc w:val="left"/>
        <w:rPr>
          <w:b w:val="0"/>
          <w:bCs w:val="0"/>
        </w:rPr>
      </w:pPr>
      <w:bookmarkStart w:name="十一、公允价值的披露" w:id="444"/>
      <w:bookmarkEnd w:id="444"/>
      <w:r>
        <w:rPr>
          <w:b w:val="0"/>
          <w:bCs w:val="0"/>
        </w:rPr>
      </w:r>
      <w:r>
        <w:rPr/>
        <w:t>十一、公允价值的披露</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6"/>
        <w:jc w:val="left"/>
        <w:rPr>
          <w:b w:val="0"/>
          <w:bCs w:val="0"/>
        </w:rPr>
      </w:pPr>
      <w:bookmarkStart w:name="1、以公允价值计量的资产和负债的期末公允价值" w:id="445"/>
      <w:bookmarkEnd w:id="445"/>
      <w:r>
        <w:rPr>
          <w:b w:val="0"/>
          <w:bCs w:val="0"/>
        </w:rPr>
      </w:r>
      <w:r>
        <w:rPr>
          <w:rFonts w:ascii="Times New Roman" w:hAnsi="Times New Roman" w:cs="Times New Roman" w:eastAsia="Times New Roman" w:hint="default"/>
        </w:rPr>
        <w:t>1</w:t>
      </w:r>
      <w:r>
        <w:rPr/>
        <w:t>、以公允价值计量的资产和负债的期末公允价值</w:t>
      </w:r>
      <w:r>
        <w:rPr>
          <w:b w:val="0"/>
          <w:bCs w:val="0"/>
        </w:rPr>
      </w:r>
    </w:p>
    <w:p>
      <w:pPr>
        <w:spacing w:line="240" w:lineRule="auto" w:before="2"/>
        <w:rPr>
          <w:rFonts w:ascii="宋体" w:hAnsi="宋体" w:cs="宋体" w:eastAsia="宋体" w:hint="default"/>
          <w:b/>
          <w:bCs/>
          <w:sz w:val="26"/>
          <w:szCs w:val="26"/>
        </w:rPr>
      </w:pPr>
    </w:p>
    <w:p>
      <w:pPr>
        <w:spacing w:before="0"/>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783"/>
        <w:gridCol w:w="2351"/>
        <w:gridCol w:w="1500"/>
        <w:gridCol w:w="1471"/>
        <w:gridCol w:w="1466"/>
      </w:tblGrid>
      <w:tr>
        <w:trPr>
          <w:trHeight w:val="396" w:hRule="exact"/>
        </w:trPr>
        <w:tc>
          <w:tcPr>
            <w:tcW w:w="2783" w:type="dxa"/>
            <w:tcBorders>
              <w:top w:val="single" w:sz="4" w:space="0" w:color="000000"/>
              <w:left w:val="single" w:sz="4" w:space="0" w:color="000000"/>
              <w:bottom w:val="nil" w:sz="6" w:space="0" w:color="auto"/>
              <w:right w:val="single" w:sz="4" w:space="0" w:color="000000"/>
            </w:tcBorders>
            <w:shd w:val="clear" w:color="auto" w:fill="D4D4D4"/>
          </w:tcPr>
          <w:p>
            <w:pPr/>
          </w:p>
        </w:tc>
        <w:tc>
          <w:tcPr>
            <w:tcW w:w="6788" w:type="dxa"/>
            <w:gridSpan w:val="4"/>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期末公允价值</w:t>
            </w:r>
          </w:p>
        </w:tc>
      </w:tr>
      <w:tr>
        <w:trPr>
          <w:trHeight w:val="168" w:hRule="exact"/>
        </w:trPr>
        <w:tc>
          <w:tcPr>
            <w:tcW w:w="2783"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15"/>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51" w:type="dxa"/>
            <w:tcBorders>
              <w:top w:val="single" w:sz="4" w:space="0" w:color="000000"/>
              <w:left w:val="single" w:sz="4" w:space="0" w:color="000000"/>
              <w:bottom w:val="nil" w:sz="6" w:space="0" w:color="auto"/>
              <w:right w:val="single" w:sz="4" w:space="0" w:color="000000"/>
            </w:tcBorders>
            <w:shd w:val="clear" w:color="auto" w:fill="D4D4D4"/>
          </w:tcPr>
          <w:p>
            <w:pPr/>
          </w:p>
        </w:tc>
        <w:tc>
          <w:tcPr>
            <w:tcW w:w="1500" w:type="dxa"/>
            <w:vMerge w:val="restart"/>
            <w:tcBorders>
              <w:top w:val="single" w:sz="4" w:space="0" w:color="000000"/>
              <w:left w:val="single" w:sz="4" w:space="0" w:color="000000"/>
              <w:right w:val="single" w:sz="4" w:space="0" w:color="000000"/>
            </w:tcBorders>
            <w:shd w:val="clear" w:color="auto" w:fill="D4D4D4"/>
          </w:tcPr>
          <w:p>
            <w:pPr>
              <w:pStyle w:val="TableParagraph"/>
              <w:spacing w:line="314" w:lineRule="auto" w:before="56"/>
              <w:ind w:left="566" w:right="23" w:hanging="540"/>
              <w:jc w:val="left"/>
              <w:rPr>
                <w:rFonts w:ascii="宋体" w:hAnsi="宋体" w:cs="宋体" w:eastAsia="宋体" w:hint="default"/>
                <w:sz w:val="18"/>
                <w:szCs w:val="18"/>
              </w:rPr>
            </w:pPr>
            <w:r>
              <w:rPr>
                <w:rFonts w:ascii="宋体" w:hAnsi="宋体" w:cs="宋体" w:eastAsia="宋体" w:hint="default"/>
                <w:sz w:val="18"/>
                <w:szCs w:val="18"/>
              </w:rPr>
              <w:t>第二层次公允价值 计量</w:t>
            </w:r>
          </w:p>
        </w:tc>
        <w:tc>
          <w:tcPr>
            <w:tcW w:w="1471" w:type="dxa"/>
            <w:vMerge w:val="restart"/>
            <w:tcBorders>
              <w:top w:val="single" w:sz="4" w:space="0" w:color="000000"/>
              <w:left w:val="single" w:sz="4" w:space="0" w:color="000000"/>
              <w:right w:val="single" w:sz="4" w:space="0" w:color="000000"/>
            </w:tcBorders>
            <w:shd w:val="clear" w:color="auto" w:fill="D4D4D4"/>
          </w:tcPr>
          <w:p>
            <w:pPr>
              <w:pStyle w:val="TableParagraph"/>
              <w:spacing w:line="314" w:lineRule="auto" w:before="56"/>
              <w:ind w:left="460" w:right="98" w:hanging="360"/>
              <w:jc w:val="left"/>
              <w:rPr>
                <w:rFonts w:ascii="宋体" w:hAnsi="宋体" w:cs="宋体" w:eastAsia="宋体" w:hint="default"/>
                <w:sz w:val="18"/>
                <w:szCs w:val="18"/>
              </w:rPr>
            </w:pPr>
            <w:r>
              <w:rPr>
                <w:rFonts w:ascii="宋体" w:hAnsi="宋体" w:cs="宋体" w:eastAsia="宋体" w:hint="default"/>
                <w:sz w:val="18"/>
                <w:szCs w:val="18"/>
              </w:rPr>
              <w:t>第三层次公允价 值计量</w:t>
            </w:r>
          </w:p>
        </w:tc>
        <w:tc>
          <w:tcPr>
            <w:tcW w:w="1466" w:type="dxa"/>
            <w:tcBorders>
              <w:top w:val="single" w:sz="4" w:space="0" w:color="000000"/>
              <w:left w:val="single" w:sz="4" w:space="0" w:color="000000"/>
              <w:bottom w:val="nil" w:sz="6" w:space="0" w:color="auto"/>
              <w:right w:val="single" w:sz="4" w:space="0" w:color="000000"/>
            </w:tcBorders>
            <w:shd w:val="clear" w:color="auto" w:fill="D4D4D4"/>
          </w:tcPr>
          <w:p>
            <w:pPr/>
          </w:p>
        </w:tc>
      </w:tr>
      <w:tr>
        <w:trPr>
          <w:trHeight w:val="190" w:hRule="exact"/>
        </w:trPr>
        <w:tc>
          <w:tcPr>
            <w:tcW w:w="2783" w:type="dxa"/>
            <w:vMerge/>
            <w:tcBorders>
              <w:left w:val="single" w:sz="4" w:space="0" w:color="000000"/>
              <w:bottom w:val="nil" w:sz="6" w:space="0" w:color="auto"/>
              <w:right w:val="single" w:sz="4" w:space="0" w:color="000000"/>
            </w:tcBorders>
            <w:shd w:val="clear" w:color="auto" w:fill="D4D4D4"/>
          </w:tcPr>
          <w:p>
            <w:pPr/>
          </w:p>
        </w:tc>
        <w:tc>
          <w:tcPr>
            <w:tcW w:w="2351"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277" w:right="0"/>
              <w:jc w:val="left"/>
              <w:rPr>
                <w:rFonts w:ascii="宋体" w:hAnsi="宋体" w:cs="宋体" w:eastAsia="宋体" w:hint="default"/>
                <w:sz w:val="18"/>
                <w:szCs w:val="18"/>
              </w:rPr>
            </w:pPr>
            <w:r>
              <w:rPr>
                <w:rFonts w:ascii="宋体" w:hAnsi="宋体" w:cs="宋体" w:eastAsia="宋体" w:hint="default"/>
                <w:sz w:val="18"/>
                <w:szCs w:val="18"/>
              </w:rPr>
              <w:t>第一层次公允价值计量</w:t>
            </w:r>
          </w:p>
        </w:tc>
        <w:tc>
          <w:tcPr>
            <w:tcW w:w="1500" w:type="dxa"/>
            <w:vMerge/>
            <w:tcBorders>
              <w:left w:val="single" w:sz="4" w:space="0" w:color="000000"/>
              <w:right w:val="single" w:sz="4" w:space="0" w:color="000000"/>
            </w:tcBorders>
            <w:shd w:val="clear" w:color="auto" w:fill="D4D4D4"/>
          </w:tcPr>
          <w:p>
            <w:pPr/>
          </w:p>
        </w:tc>
        <w:tc>
          <w:tcPr>
            <w:tcW w:w="1471" w:type="dxa"/>
            <w:vMerge/>
            <w:tcBorders>
              <w:left w:val="single" w:sz="4" w:space="0" w:color="000000"/>
              <w:right w:val="single" w:sz="4" w:space="0" w:color="000000"/>
            </w:tcBorders>
            <w:shd w:val="clear" w:color="auto" w:fill="D4D4D4"/>
          </w:tcPr>
          <w:p>
            <w:pPr/>
          </w:p>
        </w:tc>
        <w:tc>
          <w:tcPr>
            <w:tcW w:w="1466"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202" w:hRule="exact"/>
        </w:trPr>
        <w:tc>
          <w:tcPr>
            <w:tcW w:w="2783" w:type="dxa"/>
            <w:vMerge w:val="restart"/>
            <w:tcBorders>
              <w:top w:val="nil" w:sz="6" w:space="0" w:color="auto"/>
              <w:left w:val="single" w:sz="4" w:space="0" w:color="000000"/>
              <w:right w:val="single" w:sz="4" w:space="0" w:color="000000"/>
            </w:tcBorders>
            <w:shd w:val="clear" w:color="auto" w:fill="D4D4D4"/>
          </w:tcPr>
          <w:p>
            <w:pPr/>
          </w:p>
        </w:tc>
        <w:tc>
          <w:tcPr>
            <w:tcW w:w="2351" w:type="dxa"/>
            <w:vMerge/>
            <w:tcBorders>
              <w:left w:val="single" w:sz="4" w:space="0" w:color="000000"/>
              <w:bottom w:val="nil" w:sz="6" w:space="0" w:color="auto"/>
              <w:right w:val="single" w:sz="4" w:space="0" w:color="000000"/>
            </w:tcBorders>
            <w:shd w:val="clear" w:color="auto" w:fill="D4D4D4"/>
          </w:tcPr>
          <w:p>
            <w:pPr/>
          </w:p>
        </w:tc>
        <w:tc>
          <w:tcPr>
            <w:tcW w:w="1500" w:type="dxa"/>
            <w:vMerge/>
            <w:tcBorders>
              <w:left w:val="single" w:sz="4" w:space="0" w:color="000000"/>
              <w:right w:val="single" w:sz="4" w:space="0" w:color="000000"/>
            </w:tcBorders>
            <w:shd w:val="clear" w:color="auto" w:fill="D4D4D4"/>
          </w:tcPr>
          <w:p>
            <w:pPr/>
          </w:p>
        </w:tc>
        <w:tc>
          <w:tcPr>
            <w:tcW w:w="1471" w:type="dxa"/>
            <w:vMerge/>
            <w:tcBorders>
              <w:left w:val="single" w:sz="4" w:space="0" w:color="000000"/>
              <w:right w:val="single" w:sz="4" w:space="0" w:color="000000"/>
            </w:tcBorders>
            <w:shd w:val="clear" w:color="auto" w:fill="D4D4D4"/>
          </w:tcPr>
          <w:p>
            <w:pPr/>
          </w:p>
        </w:tc>
        <w:tc>
          <w:tcPr>
            <w:tcW w:w="1466" w:type="dxa"/>
            <w:vMerge/>
            <w:tcBorders>
              <w:left w:val="single" w:sz="4" w:space="0" w:color="000000"/>
              <w:bottom w:val="nil" w:sz="6" w:space="0" w:color="auto"/>
              <w:right w:val="single" w:sz="4" w:space="0" w:color="000000"/>
            </w:tcBorders>
            <w:shd w:val="clear" w:color="auto" w:fill="D4D4D4"/>
          </w:tcPr>
          <w:p>
            <w:pPr/>
          </w:p>
        </w:tc>
      </w:tr>
      <w:tr>
        <w:trPr>
          <w:trHeight w:val="161" w:hRule="exact"/>
        </w:trPr>
        <w:tc>
          <w:tcPr>
            <w:tcW w:w="2783" w:type="dxa"/>
            <w:vMerge/>
            <w:tcBorders>
              <w:left w:val="single" w:sz="4" w:space="0" w:color="000000"/>
              <w:bottom w:val="single" w:sz="4" w:space="0" w:color="000000"/>
              <w:right w:val="single" w:sz="4" w:space="0" w:color="000000"/>
            </w:tcBorders>
            <w:shd w:val="clear" w:color="auto" w:fill="D4D4D4"/>
          </w:tcPr>
          <w:p>
            <w:pPr/>
          </w:p>
        </w:tc>
        <w:tc>
          <w:tcPr>
            <w:tcW w:w="2351" w:type="dxa"/>
            <w:tcBorders>
              <w:top w:val="nil" w:sz="6" w:space="0" w:color="auto"/>
              <w:left w:val="single" w:sz="4" w:space="0" w:color="000000"/>
              <w:bottom w:val="single" w:sz="4" w:space="0" w:color="000000"/>
              <w:right w:val="single" w:sz="4" w:space="0" w:color="000000"/>
            </w:tcBorders>
            <w:shd w:val="clear" w:color="auto" w:fill="D4D4D4"/>
          </w:tcPr>
          <w:p>
            <w:pPr/>
          </w:p>
        </w:tc>
        <w:tc>
          <w:tcPr>
            <w:tcW w:w="1500" w:type="dxa"/>
            <w:vMerge/>
            <w:tcBorders>
              <w:left w:val="single" w:sz="4" w:space="0" w:color="000000"/>
              <w:bottom w:val="single" w:sz="4" w:space="0" w:color="000000"/>
              <w:right w:val="single" w:sz="4" w:space="0" w:color="000000"/>
            </w:tcBorders>
            <w:shd w:val="clear" w:color="auto" w:fill="D4D4D4"/>
          </w:tcPr>
          <w:p>
            <w:pPr/>
          </w:p>
        </w:tc>
        <w:tc>
          <w:tcPr>
            <w:tcW w:w="1471" w:type="dxa"/>
            <w:vMerge/>
            <w:tcBorders>
              <w:left w:val="single" w:sz="4" w:space="0" w:color="000000"/>
              <w:bottom w:val="single" w:sz="4" w:space="0" w:color="000000"/>
              <w:right w:val="single" w:sz="4" w:space="0" w:color="000000"/>
            </w:tcBorders>
            <w:shd w:val="clear" w:color="auto" w:fill="D4D4D4"/>
          </w:tcPr>
          <w:p>
            <w:pPr/>
          </w:p>
        </w:tc>
        <w:tc>
          <w:tcPr>
            <w:tcW w:w="1466" w:type="dxa"/>
            <w:tcBorders>
              <w:top w:val="nil" w:sz="6" w:space="0" w:color="auto"/>
              <w:left w:val="single" w:sz="4" w:space="0" w:color="000000"/>
              <w:bottom w:val="single" w:sz="4" w:space="0" w:color="000000"/>
              <w:right w:val="single" w:sz="4" w:space="0" w:color="000000"/>
            </w:tcBorders>
            <w:shd w:val="clear" w:color="auto" w:fill="D4D4D4"/>
          </w:tcPr>
          <w:p>
            <w:pPr/>
          </w:p>
        </w:tc>
      </w:tr>
      <w:tr>
        <w:trPr>
          <w:trHeight w:val="401" w:hRule="exact"/>
        </w:trPr>
        <w:tc>
          <w:tcPr>
            <w:tcW w:w="27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一、持续的公允价值计量</w:t>
            </w:r>
          </w:p>
        </w:tc>
        <w:tc>
          <w:tcPr>
            <w:tcW w:w="23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117" w:right="0"/>
              <w:jc w:val="left"/>
              <w:rPr>
                <w:rFonts w:ascii="Times New Roman" w:hAnsi="Times New Roman" w:cs="Times New Roman" w:eastAsia="Times New Roman" w:hint="default"/>
                <w:sz w:val="18"/>
                <w:szCs w:val="18"/>
              </w:rPr>
            </w:pPr>
            <w:r>
              <w:rPr>
                <w:rFonts w:ascii="Times New Roman"/>
                <w:sz w:val="18"/>
              </w:rPr>
              <w:t>--</w:t>
            </w:r>
          </w:p>
        </w:tc>
        <w:tc>
          <w:tcPr>
            <w:tcW w:w="150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14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4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27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（三）其他权益工具投资</w:t>
            </w:r>
          </w:p>
        </w:tc>
        <w:tc>
          <w:tcPr>
            <w:tcW w:w="2351"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3"/>
              <w:ind w:left="1186" w:right="0"/>
              <w:jc w:val="left"/>
              <w:rPr>
                <w:rFonts w:ascii="Times New Roman" w:hAnsi="Times New Roman" w:cs="Times New Roman" w:eastAsia="Times New Roman" w:hint="default"/>
                <w:sz w:val="18"/>
                <w:szCs w:val="18"/>
              </w:rPr>
            </w:pPr>
            <w:r>
              <w:rPr>
                <w:rFonts w:ascii="Times New Roman"/>
                <w:sz w:val="18"/>
              </w:rPr>
              <w:t>278,812,674.00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43" w:right="0"/>
              <w:jc w:val="left"/>
              <w:rPr>
                <w:rFonts w:ascii="Times New Roman" w:hAnsi="Times New Roman" w:cs="Times New Roman" w:eastAsia="Times New Roman" w:hint="default"/>
                <w:sz w:val="18"/>
                <w:szCs w:val="18"/>
              </w:rPr>
            </w:pPr>
            <w:r>
              <w:rPr>
                <w:rFonts w:ascii="Times New Roman"/>
                <w:sz w:val="18"/>
              </w:rPr>
              <w:t>104,715,679.61</w:t>
            </w:r>
          </w:p>
        </w:tc>
        <w:tc>
          <w:tcPr>
            <w:tcW w:w="1471" w:type="dxa"/>
            <w:tcBorders>
              <w:top w:val="single" w:sz="4" w:space="0" w:color="000000"/>
              <w:left w:val="single" w:sz="4" w:space="0" w:color="000000"/>
              <w:bottom w:val="single" w:sz="4" w:space="0" w:color="000000"/>
              <w:right w:val="single" w:sz="4" w:space="0" w:color="000000"/>
            </w:tcBorders>
          </w:tcPr>
          <w:p>
            <w:pP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383,528,353.61</w:t>
            </w:r>
            <w:r>
              <w:rPr>
                <w:rFonts w:ascii="Times New Roman"/>
                <w:sz w:val="18"/>
              </w:rPr>
            </w:r>
          </w:p>
        </w:tc>
      </w:tr>
      <w:tr>
        <w:trPr>
          <w:trHeight w:val="401" w:hRule="exact"/>
        </w:trPr>
        <w:tc>
          <w:tcPr>
            <w:tcW w:w="27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二、非持续的公允价值计量</w:t>
            </w:r>
          </w:p>
        </w:tc>
        <w:tc>
          <w:tcPr>
            <w:tcW w:w="23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117" w:right="0"/>
              <w:jc w:val="left"/>
              <w:rPr>
                <w:rFonts w:ascii="Times New Roman" w:hAnsi="Times New Roman" w:cs="Times New Roman" w:eastAsia="Times New Roman" w:hint="default"/>
                <w:sz w:val="18"/>
                <w:szCs w:val="18"/>
              </w:rPr>
            </w:pPr>
            <w:r>
              <w:rPr>
                <w:rFonts w:ascii="Times New Roman"/>
                <w:sz w:val="18"/>
              </w:rPr>
              <w:t>--</w:t>
            </w:r>
          </w:p>
        </w:tc>
        <w:tc>
          <w:tcPr>
            <w:tcW w:w="150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14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4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r>
        <w:trPr>
          <w:trHeight w:val="715"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47"/>
              <w:jc w:val="left"/>
              <w:rPr>
                <w:rFonts w:ascii="宋体" w:hAnsi="宋体" w:cs="宋体" w:eastAsia="宋体" w:hint="default"/>
                <w:sz w:val="18"/>
                <w:szCs w:val="18"/>
              </w:rPr>
            </w:pPr>
            <w:r>
              <w:rPr>
                <w:rFonts w:ascii="宋体" w:hAnsi="宋体" w:cs="宋体" w:eastAsia="宋体" w:hint="default"/>
                <w:sz w:val="18"/>
                <w:szCs w:val="18"/>
              </w:rPr>
              <w:t>非同一控制下企业合并中取得的被 购买方各项可辨认资产</w:t>
            </w:r>
          </w:p>
        </w:tc>
        <w:tc>
          <w:tcPr>
            <w:tcW w:w="2351"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90,366,780.51</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90,366,780.51</w:t>
            </w:r>
          </w:p>
        </w:tc>
      </w:tr>
      <w:tr>
        <w:trPr>
          <w:trHeight w:val="403" w:hRule="exact"/>
        </w:trPr>
        <w:tc>
          <w:tcPr>
            <w:tcW w:w="27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非持续以公允价值计量的资产总额</w:t>
            </w:r>
          </w:p>
        </w:tc>
        <w:tc>
          <w:tcPr>
            <w:tcW w:w="2351"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90,366,780.51</w:t>
            </w:r>
            <w:r>
              <w:rPr>
                <w:rFonts w:ascii="Times New Roman"/>
                <w:sz w:val="18"/>
              </w:rPr>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90,366,780.51</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2794"/>
        <w:gridCol w:w="2340"/>
        <w:gridCol w:w="1500"/>
        <w:gridCol w:w="1471"/>
        <w:gridCol w:w="1466"/>
      </w:tblGrid>
      <w:tr>
        <w:trPr>
          <w:trHeight w:val="713" w:hRule="exact"/>
        </w:trPr>
        <w:tc>
          <w:tcPr>
            <w:tcW w:w="2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9"/>
              <w:jc w:val="left"/>
              <w:rPr>
                <w:rFonts w:ascii="宋体" w:hAnsi="宋体" w:cs="宋体" w:eastAsia="宋体" w:hint="default"/>
                <w:sz w:val="18"/>
                <w:szCs w:val="18"/>
              </w:rPr>
            </w:pPr>
            <w:r>
              <w:rPr>
                <w:rFonts w:ascii="宋体" w:hAnsi="宋体" w:cs="宋体" w:eastAsia="宋体" w:hint="default"/>
                <w:sz w:val="18"/>
                <w:szCs w:val="18"/>
              </w:rPr>
              <w:t>非同一控制下企业合并中取得的被 购买方各项可辨认负债</w:t>
            </w:r>
          </w:p>
        </w:tc>
        <w:tc>
          <w:tcPr>
            <w:tcW w:w="234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25,703,577.87</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25,703,577.87</w:t>
            </w:r>
          </w:p>
        </w:tc>
      </w:tr>
      <w:tr>
        <w:trPr>
          <w:trHeight w:val="403" w:hRule="exact"/>
        </w:trPr>
        <w:tc>
          <w:tcPr>
            <w:tcW w:w="27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非持续以公允价值计量的负债总额</w:t>
            </w:r>
          </w:p>
        </w:tc>
        <w:tc>
          <w:tcPr>
            <w:tcW w:w="234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25,703,577.87</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25,703,577.87</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2、持续和非持续第一层次公允价值计量项目市价的确定依据" w:id="446"/>
      <w:bookmarkEnd w:id="446"/>
      <w:r>
        <w:rPr>
          <w:b w:val="0"/>
          <w:bCs w:val="0"/>
        </w:rPr>
      </w:r>
      <w:r>
        <w:rPr>
          <w:rFonts w:ascii="Times New Roman" w:hAnsi="Times New Roman" w:cs="Times New Roman" w:eastAsia="Times New Roman" w:hint="default"/>
        </w:rPr>
        <w:t>2</w:t>
      </w:r>
      <w:r>
        <w:rPr/>
        <w:t>、持续和非持续第一层次公允价值计量项目市价的确定依据</w:t>
      </w:r>
      <w:r>
        <w:rPr>
          <w:b w:val="0"/>
          <w:bCs w:val="0"/>
        </w:rPr>
      </w:r>
    </w:p>
    <w:p>
      <w:pPr>
        <w:spacing w:line="240" w:lineRule="auto" w:before="8"/>
        <w:rPr>
          <w:rFonts w:ascii="宋体" w:hAnsi="宋体" w:cs="宋体" w:eastAsia="宋体" w:hint="default"/>
          <w:b/>
          <w:bCs/>
          <w:sz w:val="30"/>
          <w:szCs w:val="30"/>
        </w:rPr>
      </w:pPr>
    </w:p>
    <w:p>
      <w:pPr>
        <w:pStyle w:val="BodyText"/>
        <w:spacing w:line="408" w:lineRule="auto" w:before="0"/>
        <w:ind w:right="986"/>
        <w:jc w:val="left"/>
      </w:pPr>
      <w:r>
        <w:rPr>
          <w:spacing w:val="-2"/>
        </w:rPr>
        <w:t>第一层次公允价值计量为深圳市中新赛克科技股份有限公司在深交所上市，本公司持有的股权按公允价值</w:t>
      </w:r>
      <w:r>
        <w:rPr>
          <w:spacing w:val="-42"/>
        </w:rPr>
        <w:t> </w:t>
      </w:r>
      <w:r>
        <w:rPr>
          <w:spacing w:val="-42"/>
        </w:rPr>
      </w:r>
      <w:r>
        <w:rPr/>
        <w:t>计量。</w:t>
      </w:r>
    </w:p>
    <w:p>
      <w:pPr>
        <w:spacing w:line="240" w:lineRule="auto" w:before="6"/>
        <w:rPr>
          <w:rFonts w:ascii="宋体" w:hAnsi="宋体" w:cs="宋体" w:eastAsia="宋体" w:hint="default"/>
          <w:sz w:val="26"/>
          <w:szCs w:val="26"/>
        </w:rPr>
      </w:pPr>
    </w:p>
    <w:p>
      <w:pPr>
        <w:pStyle w:val="Heading4"/>
        <w:spacing w:line="240" w:lineRule="auto"/>
        <w:ind w:right="986"/>
        <w:jc w:val="left"/>
        <w:rPr>
          <w:b w:val="0"/>
          <w:bCs w:val="0"/>
        </w:rPr>
      </w:pPr>
      <w:bookmarkStart w:name="3、持续和非持续第二层次公允价值计量项目，采用的估值技术和重要参数的定性及定量信" w:id="447"/>
      <w:bookmarkEnd w:id="447"/>
      <w:r>
        <w:rPr>
          <w:b w:val="0"/>
          <w:bCs w:val="0"/>
        </w:rPr>
      </w:r>
      <w:r>
        <w:rPr>
          <w:rFonts w:ascii="Times New Roman" w:hAnsi="Times New Roman" w:cs="Times New Roman" w:eastAsia="Times New Roman" w:hint="default"/>
        </w:rPr>
        <w:t>3</w:t>
      </w:r>
      <w:r>
        <w:rPr/>
        <w:t>、持续和非持续第二层次公允价值计量项目，采用的估值技术和重要参数的定性及定量信息</w:t>
      </w:r>
      <w:r>
        <w:rPr>
          <w:b w:val="0"/>
          <w:bCs w:val="0"/>
        </w:rPr>
      </w:r>
    </w:p>
    <w:p>
      <w:pPr>
        <w:spacing w:line="240" w:lineRule="auto" w:before="0"/>
        <w:rPr>
          <w:rFonts w:ascii="宋体" w:hAnsi="宋体" w:cs="宋体" w:eastAsia="宋体" w:hint="default"/>
          <w:b/>
          <w:bCs/>
          <w:sz w:val="22"/>
          <w:szCs w:val="22"/>
        </w:rPr>
      </w:pPr>
    </w:p>
    <w:p>
      <w:pPr>
        <w:pStyle w:val="BodyText"/>
        <w:spacing w:line="408" w:lineRule="auto" w:before="189"/>
        <w:ind w:right="986" w:firstLine="420"/>
        <w:jc w:val="left"/>
      </w:pPr>
      <w:r>
        <w:rPr/>
        <w:t>第二层次公允价值计量为公司持有的非上市公司的股权，如被投资公司在接近报告日进行了股权融</w:t>
      </w:r>
      <w:r>
        <w:rPr>
          <w:w w:val="100"/>
        </w:rPr>
        <w:t> </w:t>
      </w:r>
      <w:r>
        <w:rPr>
          <w:spacing w:val="-2"/>
        </w:rPr>
        <w:t>资，本公司以此次融资价格作为公允价值；如被投资公司在接近报告日无可参考的股权融资价格，本公司</w:t>
      </w:r>
      <w:r>
        <w:rPr>
          <w:spacing w:val="-44"/>
        </w:rPr>
        <w:t> </w:t>
      </w:r>
      <w:r>
        <w:rPr>
          <w:spacing w:val="-44"/>
        </w:rPr>
      </w:r>
      <w:r>
        <w:rPr/>
        <w:t>以按照权益法核算的结果或投资成本作为公允价值。</w:t>
      </w:r>
    </w:p>
    <w:p>
      <w:pPr>
        <w:spacing w:line="240" w:lineRule="auto" w:before="6"/>
        <w:rPr>
          <w:rFonts w:ascii="宋体" w:hAnsi="宋体" w:cs="宋体" w:eastAsia="宋体" w:hint="default"/>
          <w:sz w:val="26"/>
          <w:szCs w:val="26"/>
        </w:rPr>
      </w:pPr>
    </w:p>
    <w:p>
      <w:pPr>
        <w:pStyle w:val="Heading4"/>
        <w:spacing w:line="240" w:lineRule="auto"/>
        <w:ind w:right="986"/>
        <w:jc w:val="left"/>
        <w:rPr>
          <w:b w:val="0"/>
          <w:bCs w:val="0"/>
        </w:rPr>
      </w:pPr>
      <w:bookmarkStart w:name="4、持续和非持续第三层次公允价值计量项目，采用的估值技术和重要参数的定性及定量信" w:id="448"/>
      <w:bookmarkEnd w:id="448"/>
      <w:r>
        <w:rPr>
          <w:b w:val="0"/>
          <w:bCs w:val="0"/>
        </w:rPr>
      </w:r>
      <w:r>
        <w:rPr>
          <w:rFonts w:ascii="Times New Roman" w:hAnsi="Times New Roman" w:cs="Times New Roman" w:eastAsia="Times New Roman" w:hint="default"/>
        </w:rPr>
        <w:t>4</w:t>
      </w:r>
      <w:r>
        <w:rPr/>
        <w:t>、持续和非持续第三层次公允价值计量项目，采用的估值技术和重要参数的定性及定量信息</w:t>
      </w:r>
      <w:r>
        <w:rPr>
          <w:b w:val="0"/>
          <w:bCs w:val="0"/>
        </w:rPr>
      </w:r>
    </w:p>
    <w:p>
      <w:pPr>
        <w:spacing w:line="240" w:lineRule="auto" w:before="0"/>
        <w:rPr>
          <w:rFonts w:ascii="宋体" w:hAnsi="宋体" w:cs="宋体" w:eastAsia="宋体" w:hint="default"/>
          <w:b/>
          <w:bCs/>
          <w:sz w:val="22"/>
          <w:szCs w:val="22"/>
        </w:rPr>
      </w:pPr>
    </w:p>
    <w:p>
      <w:pPr>
        <w:pStyle w:val="BodyText"/>
        <w:spacing w:line="386" w:lineRule="auto" w:before="189"/>
        <w:ind w:right="986" w:firstLine="420"/>
        <w:jc w:val="left"/>
      </w:pPr>
      <w:r>
        <w:rPr>
          <w:spacing w:val="-2"/>
        </w:rPr>
        <w:t>第三层次公允价值计量为</w:t>
      </w:r>
      <w:r>
        <w:rPr>
          <w:rFonts w:ascii="Times New Roman" w:hAnsi="Times New Roman" w:cs="Times New Roman" w:eastAsia="Times New Roman" w:hint="default"/>
          <w:spacing w:val="-2"/>
        </w:rPr>
        <w:t>2015</w:t>
      </w:r>
      <w:r>
        <w:rPr>
          <w:spacing w:val="-2"/>
        </w:rPr>
        <w:t>年及本期本公司通过非同一控制下企业合并中取得的被购买方各项可</w:t>
      </w:r>
      <w:r>
        <w:rPr>
          <w:w w:val="100"/>
        </w:rPr>
        <w:t> </w:t>
      </w:r>
      <w:r>
        <w:rPr/>
        <w:t>辨认资产、负债。</w:t>
      </w:r>
    </w:p>
    <w:p>
      <w:pPr>
        <w:spacing w:line="240" w:lineRule="auto" w:before="0"/>
        <w:rPr>
          <w:rFonts w:ascii="宋体" w:hAnsi="宋体" w:cs="宋体" w:eastAsia="宋体" w:hint="default"/>
          <w:sz w:val="22"/>
          <w:szCs w:val="22"/>
        </w:rPr>
      </w:pPr>
    </w:p>
    <w:p>
      <w:pPr>
        <w:pStyle w:val="Heading4"/>
        <w:spacing w:line="240" w:lineRule="auto"/>
        <w:ind w:right="986"/>
        <w:jc w:val="left"/>
        <w:rPr>
          <w:b w:val="0"/>
          <w:bCs w:val="0"/>
        </w:rPr>
      </w:pPr>
      <w:bookmarkStart w:name="5、持续的第三层次公允价值计量项目，期初与期末账面价值间的调节信息及不可观察参数" w:id="449"/>
      <w:bookmarkEnd w:id="449"/>
      <w:r>
        <w:rPr>
          <w:b w:val="0"/>
          <w:bCs w:val="0"/>
        </w:rPr>
      </w:r>
      <w:r>
        <w:rPr>
          <w:rFonts w:ascii="Times New Roman" w:hAnsi="Times New Roman" w:cs="Times New Roman" w:eastAsia="Times New Roman" w:hint="default"/>
        </w:rPr>
        <w:t>5</w:t>
      </w:r>
      <w:r>
        <w:rPr/>
        <w:t>、持续的第三层次公允价值计量项目，期初与期末账面价值间的调节信息及不可观察参数敏感性分析</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6、持续的公允价值计量项目，本期内发生各层级之间转换的，转换的原因及确定转换时点" w:id="450"/>
      <w:bookmarkEnd w:id="450"/>
      <w:r>
        <w:rPr>
          <w:b w:val="0"/>
          <w:bCs w:val="0"/>
        </w:rPr>
      </w:r>
      <w:r>
        <w:rPr>
          <w:rFonts w:ascii="Times New Roman" w:hAnsi="Times New Roman" w:cs="Times New Roman" w:eastAsia="Times New Roman" w:hint="default"/>
        </w:rPr>
        <w:t>6</w:t>
      </w:r>
      <w:r>
        <w:rPr/>
        <w:t>、持续的公允价值计量项目，本期内发生各层级之间转换的，转换的原因及确定转换时点的政策</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7、本期内发生的估值技术变更及变更原因" w:id="451"/>
      <w:bookmarkEnd w:id="451"/>
      <w:r>
        <w:rPr>
          <w:b w:val="0"/>
          <w:bCs w:val="0"/>
        </w:rPr>
      </w:r>
      <w:r>
        <w:rPr>
          <w:rFonts w:ascii="Times New Roman" w:hAnsi="Times New Roman" w:cs="Times New Roman" w:eastAsia="Times New Roman" w:hint="default"/>
        </w:rPr>
        <w:t>7</w:t>
      </w:r>
      <w:r>
        <w:rPr/>
        <w:t>、本期内发生的估值技术变更及变更原因</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692" w:lineRule="exact" w:before="47"/>
        <w:ind w:left="572" w:right="986" w:hanging="420"/>
        <w:jc w:val="left"/>
        <w:rPr>
          <w:rFonts w:ascii="宋体" w:hAnsi="宋体" w:cs="宋体" w:eastAsia="宋体" w:hint="default"/>
          <w:sz w:val="21"/>
          <w:szCs w:val="21"/>
        </w:rPr>
      </w:pPr>
      <w:bookmarkStart w:name="8、不以公允价值计量的金融资产和金融负债的公允价值情况" w:id="452"/>
      <w:bookmarkEnd w:id="452"/>
      <w:r>
        <w:rPr/>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、不以公允价值计量的金融资产和金融负债的公允价值情况</w:t>
      </w:r>
      <w:r>
        <w:rPr>
          <w:rFonts w:ascii="宋体" w:hAnsi="宋体" w:cs="宋体" w:eastAsia="宋体" w:hint="default"/>
          <w:b/>
          <w:bCs/>
          <w:w w:val="100"/>
          <w:sz w:val="21"/>
          <w:szCs w:val="21"/>
        </w:rPr>
        <w:t> </w:t>
      </w:r>
      <w:r>
        <w:rPr>
          <w:rFonts w:ascii="宋体" w:hAnsi="宋体" w:cs="宋体" w:eastAsia="宋体" w:hint="default"/>
          <w:spacing w:val="-2"/>
          <w:sz w:val="21"/>
          <w:szCs w:val="21"/>
        </w:rPr>
        <w:t>本集团以摊余成本计量的金融资产和金融负债主要包括：货币资金、应收票据及应收账款、其他应收</w:t>
      </w:r>
    </w:p>
    <w:p>
      <w:pPr>
        <w:pStyle w:val="BodyText"/>
        <w:spacing w:line="240" w:lineRule="auto" w:before="84"/>
        <w:ind w:right="986"/>
        <w:jc w:val="left"/>
      </w:pPr>
      <w:r>
        <w:rPr/>
        <w:t>款、应付票据及应付账款、其他应付款等。</w:t>
      </w:r>
    </w:p>
    <w:p>
      <w:pPr>
        <w:spacing w:after="0" w:line="240" w:lineRule="auto"/>
        <w:jc w:val="left"/>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9、其他" w:id="453"/>
      <w:bookmarkEnd w:id="453"/>
      <w:r>
        <w:rPr>
          <w:b w:val="0"/>
          <w:bCs w:val="0"/>
        </w:rPr>
      </w:r>
      <w:r>
        <w:rPr>
          <w:rFonts w:ascii="Times New Roman" w:hAnsi="Times New Roman" w:cs="Times New Roman" w:eastAsia="Times New Roman" w:hint="default"/>
        </w:rPr>
        <w:t>9</w:t>
      </w:r>
      <w:r>
        <w:rPr/>
        <w:t>、其他</w:t>
      </w:r>
      <w:r>
        <w:rPr>
          <w:b w:val="0"/>
          <w:bCs w:val="0"/>
        </w:rPr>
      </w:r>
    </w:p>
    <w:p>
      <w:pPr>
        <w:spacing w:line="240" w:lineRule="auto" w:before="10"/>
        <w:rPr>
          <w:rFonts w:ascii="宋体" w:hAnsi="宋体" w:cs="宋体" w:eastAsia="宋体" w:hint="default"/>
          <w:b/>
          <w:bCs/>
          <w:sz w:val="24"/>
          <w:szCs w:val="24"/>
        </w:rPr>
      </w:pPr>
    </w:p>
    <w:p>
      <w:pPr>
        <w:pStyle w:val="BodyText"/>
        <w:spacing w:line="240" w:lineRule="auto" w:before="0"/>
        <w:ind w:left="572" w:right="986"/>
        <w:jc w:val="left"/>
      </w:pPr>
      <w:r>
        <w:rPr/>
        <w:t>本集团不以公允价值计量的金融资产和金融负债的账面价值与公允价值相差很小。</w:t>
      </w:r>
    </w:p>
    <w:p>
      <w:pPr>
        <w:spacing w:line="240" w:lineRule="auto" w:before="11"/>
        <w:rPr>
          <w:rFonts w:ascii="宋体" w:hAnsi="宋体" w:cs="宋体" w:eastAsia="宋体" w:hint="default"/>
          <w:sz w:val="23"/>
          <w:szCs w:val="23"/>
        </w:rPr>
      </w:pPr>
    </w:p>
    <w:p>
      <w:pPr>
        <w:pStyle w:val="Heading2"/>
        <w:spacing w:line="240" w:lineRule="auto"/>
        <w:ind w:right="986"/>
        <w:jc w:val="left"/>
        <w:rPr>
          <w:b w:val="0"/>
          <w:bCs w:val="0"/>
        </w:rPr>
      </w:pPr>
      <w:bookmarkStart w:name="十二、关联方及关联交易" w:id="454"/>
      <w:bookmarkEnd w:id="454"/>
      <w:r>
        <w:rPr>
          <w:b w:val="0"/>
          <w:bCs w:val="0"/>
        </w:rPr>
      </w:r>
      <w:r>
        <w:rPr/>
        <w:t>十二、关联方及关联交易</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986"/>
        <w:jc w:val="left"/>
        <w:rPr>
          <w:b w:val="0"/>
          <w:bCs w:val="0"/>
        </w:rPr>
      </w:pPr>
      <w:bookmarkStart w:name="1、本企业的母公司情况" w:id="455"/>
      <w:bookmarkEnd w:id="455"/>
      <w:r>
        <w:rPr>
          <w:b w:val="0"/>
          <w:bCs w:val="0"/>
        </w:rPr>
      </w:r>
      <w:r>
        <w:rPr>
          <w:rFonts w:ascii="Times New Roman" w:hAnsi="Times New Roman" w:cs="Times New Roman" w:eastAsia="Times New Roman" w:hint="default"/>
        </w:rPr>
        <w:t>1</w:t>
      </w:r>
      <w:r>
        <w:rPr/>
        <w:t>、本企业的母公司情况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998"/>
        <w:gridCol w:w="854"/>
        <w:gridCol w:w="1094"/>
        <w:gridCol w:w="1500"/>
        <w:gridCol w:w="2237"/>
        <w:gridCol w:w="1871"/>
      </w:tblGrid>
      <w:tr>
        <w:trPr>
          <w:trHeight w:val="713" w:hRule="exact"/>
        </w:trPr>
        <w:tc>
          <w:tcPr>
            <w:tcW w:w="19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543" w:right="0"/>
              <w:jc w:val="left"/>
              <w:rPr>
                <w:rFonts w:ascii="宋体" w:hAnsi="宋体" w:cs="宋体" w:eastAsia="宋体" w:hint="default"/>
                <w:sz w:val="18"/>
                <w:szCs w:val="18"/>
              </w:rPr>
            </w:pPr>
            <w:r>
              <w:rPr>
                <w:rFonts w:ascii="宋体" w:hAnsi="宋体" w:cs="宋体" w:eastAsia="宋体" w:hint="default"/>
                <w:sz w:val="18"/>
                <w:szCs w:val="18"/>
              </w:rPr>
              <w:t>母公司名称</w:t>
            </w:r>
          </w:p>
        </w:tc>
        <w:tc>
          <w:tcPr>
            <w:tcW w:w="85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53"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0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50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388"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22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9"/>
              <w:jc w:val="right"/>
              <w:rPr>
                <w:rFonts w:ascii="宋体" w:hAnsi="宋体" w:cs="宋体" w:eastAsia="宋体" w:hint="default"/>
                <w:sz w:val="18"/>
                <w:szCs w:val="18"/>
              </w:rPr>
            </w:pPr>
            <w:r>
              <w:rPr>
                <w:rFonts w:ascii="宋体" w:hAnsi="宋体" w:cs="宋体" w:eastAsia="宋体" w:hint="default"/>
                <w:sz w:val="18"/>
                <w:szCs w:val="18"/>
              </w:rPr>
              <w:t>母公司对本企业的持股比例</w:t>
            </w:r>
          </w:p>
        </w:tc>
        <w:tc>
          <w:tcPr>
            <w:tcW w:w="18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49"/>
              <w:ind w:left="667" w:right="23" w:hanging="632"/>
              <w:jc w:val="left"/>
              <w:rPr>
                <w:rFonts w:ascii="宋体" w:hAnsi="宋体" w:cs="宋体" w:eastAsia="宋体" w:hint="default"/>
                <w:sz w:val="18"/>
                <w:szCs w:val="18"/>
              </w:rPr>
            </w:pPr>
            <w:r>
              <w:rPr>
                <w:rFonts w:ascii="宋体" w:hAnsi="宋体" w:cs="宋体" w:eastAsia="宋体" w:hint="default"/>
                <w:sz w:val="18"/>
                <w:szCs w:val="18"/>
              </w:rPr>
              <w:t>母公司对本企业的表决 权比例</w:t>
            </w:r>
          </w:p>
        </w:tc>
      </w:tr>
      <w:tr>
        <w:trPr>
          <w:trHeight w:val="403" w:hRule="exact"/>
        </w:trPr>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国投智能科技有限公司</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国有企业</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200,000.00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15.61%</w:t>
            </w:r>
          </w:p>
        </w:tc>
        <w:tc>
          <w:tcPr>
            <w:tcW w:w="1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3"/>
              <w:jc w:val="right"/>
              <w:rPr>
                <w:rFonts w:ascii="Times New Roman" w:hAnsi="Times New Roman" w:cs="Times New Roman" w:eastAsia="Times New Roman" w:hint="default"/>
                <w:sz w:val="18"/>
                <w:szCs w:val="18"/>
              </w:rPr>
            </w:pPr>
            <w:r>
              <w:rPr>
                <w:rFonts w:ascii="Times New Roman"/>
                <w:sz w:val="18"/>
              </w:rPr>
              <w:t>22.33%</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本企业的母公司情况的说明</w:t>
      </w:r>
    </w:p>
    <w:p>
      <w:pPr>
        <w:spacing w:line="240" w:lineRule="auto" w:before="4"/>
        <w:rPr>
          <w:rFonts w:ascii="宋体" w:hAnsi="宋体" w:cs="宋体" w:eastAsia="宋体" w:hint="default"/>
          <w:sz w:val="19"/>
          <w:szCs w:val="19"/>
        </w:rPr>
      </w:pPr>
    </w:p>
    <w:p>
      <w:pPr>
        <w:pStyle w:val="BodyText"/>
        <w:spacing w:line="408" w:lineRule="auto" w:before="0"/>
        <w:ind w:right="1126" w:firstLine="403"/>
        <w:jc w:val="both"/>
      </w:pPr>
      <w:r>
        <w:rPr>
          <w:spacing w:val="-2"/>
        </w:rPr>
        <w:t>国投智能经营范围：智能科技、物联网科技、计算机科技、环保科技、电子科技、能源科技领域内的</w:t>
      </w:r>
      <w:r>
        <w:rPr>
          <w:spacing w:val="-3"/>
          <w:w w:val="100"/>
        </w:rPr>
        <w:t> </w:t>
      </w:r>
      <w:r>
        <w:rPr>
          <w:spacing w:val="-2"/>
        </w:rPr>
        <w:t>技术开发、技术咨询、技术服务、技术转让，网络科技、网络工程、电子商务（不得从事金融业务）、企</w:t>
      </w:r>
      <w:r>
        <w:rPr>
          <w:spacing w:val="-43"/>
        </w:rPr>
        <w:t> </w:t>
      </w:r>
      <w:r>
        <w:rPr>
          <w:spacing w:val="-43"/>
        </w:rPr>
      </w:r>
      <w:r>
        <w:rPr/>
        <w:t>业管理咨询，通讯建设工程施工，项目投资，投资管理，投资咨询，企业策划，资产管理，电信业务。</w:t>
      </w:r>
    </w:p>
    <w:p>
      <w:pPr>
        <w:spacing w:line="240" w:lineRule="auto" w:before="2"/>
        <w:rPr>
          <w:rFonts w:ascii="宋体" w:hAnsi="宋体" w:cs="宋体" w:eastAsia="宋体" w:hint="default"/>
          <w:sz w:val="26"/>
          <w:szCs w:val="26"/>
        </w:rPr>
      </w:pPr>
    </w:p>
    <w:p>
      <w:pPr>
        <w:spacing w:line="360" w:lineRule="auto" w:before="0"/>
        <w:ind w:left="152" w:right="7874" w:firstLine="0"/>
        <w:jc w:val="left"/>
        <w:rPr>
          <w:rFonts w:ascii="宋体" w:hAnsi="宋体" w:cs="宋体" w:eastAsia="宋体" w:hint="default"/>
          <w:sz w:val="18"/>
          <w:szCs w:val="18"/>
        </w:rPr>
      </w:pPr>
      <w:r>
        <w:rPr>
          <w:rFonts w:ascii="宋体" w:hAnsi="宋体" w:cs="宋体" w:eastAsia="宋体" w:hint="default"/>
          <w:sz w:val="18"/>
          <w:szCs w:val="18"/>
        </w:rPr>
        <w:t>本企业最终控制方是国务院国资委。 其他说明：</w:t>
      </w:r>
    </w:p>
    <w:p>
      <w:pPr>
        <w:pStyle w:val="BodyText"/>
        <w:spacing w:line="408" w:lineRule="auto" w:before="81"/>
        <w:ind w:right="1128" w:firstLine="420"/>
        <w:jc w:val="both"/>
      </w:pPr>
      <w:r>
        <w:rPr>
          <w:rFonts w:ascii="宋体" w:hAnsi="宋体" w:cs="宋体" w:eastAsia="宋体" w:hint="default"/>
        </w:rPr>
        <w:t>2019</w:t>
      </w:r>
      <w:r>
        <w:rPr/>
        <w:t>年</w:t>
      </w:r>
      <w:r>
        <w:rPr>
          <w:rFonts w:ascii="宋体" w:hAnsi="宋体" w:cs="宋体" w:eastAsia="宋体" w:hint="default"/>
        </w:rPr>
        <w:t>3</w:t>
      </w:r>
      <w:r>
        <w:rPr/>
        <w:t>月</w:t>
      </w:r>
      <w:r>
        <w:rPr>
          <w:rFonts w:ascii="宋体" w:hAnsi="宋体" w:cs="宋体" w:eastAsia="宋体" w:hint="default"/>
        </w:rPr>
        <w:t>29</w:t>
      </w:r>
      <w:r>
        <w:rPr/>
        <w:t>日，公司实际控制人郭永芳、滕达及股东李国林、卓桂英、刘冬颖、苏学武、韦玉荣与</w:t>
      </w:r>
      <w:r>
        <w:rPr>
          <w:w w:val="100"/>
        </w:rPr>
        <w:t> </w:t>
      </w:r>
      <w:r>
        <w:rPr>
          <w:spacing w:val="-2"/>
        </w:rPr>
        <w:t>国投智能科技有限公司（以下简称“国投智能”）签署了《股份转让协议》，通过协议转让方式，向国投</w:t>
      </w:r>
      <w:r>
        <w:rPr>
          <w:spacing w:val="-42"/>
        </w:rPr>
        <w:t> </w:t>
      </w:r>
      <w:r>
        <w:rPr>
          <w:spacing w:val="-42"/>
        </w:rPr>
      </w:r>
      <w:r>
        <w:rPr/>
        <w:t>智能转让美亚柏科合计</w:t>
      </w:r>
      <w:r>
        <w:rPr>
          <w:rFonts w:ascii="宋体" w:hAnsi="宋体" w:cs="宋体" w:eastAsia="宋体" w:hint="default"/>
        </w:rPr>
        <w:t>125,475,942</w:t>
      </w:r>
      <w:r>
        <w:rPr/>
        <w:t>股的股份，占本公司总股本的</w:t>
      </w:r>
      <w:r>
        <w:rPr>
          <w:rFonts w:ascii="宋体" w:hAnsi="宋体" w:cs="宋体" w:eastAsia="宋体" w:hint="default"/>
        </w:rPr>
        <w:t>15.79%</w:t>
      </w:r>
      <w:r>
        <w:rPr/>
        <w:t>。同时股东李国林、刘冬颖与国</w:t>
      </w:r>
      <w:r>
        <w:rPr>
          <w:spacing w:val="-29"/>
        </w:rPr>
        <w:t> </w:t>
      </w:r>
      <w:r>
        <w:rPr>
          <w:spacing w:val="-29"/>
        </w:rPr>
      </w:r>
      <w:r>
        <w:rPr>
          <w:spacing w:val="-2"/>
        </w:rPr>
        <w:t>投智能签署了《表决权委托协议》，李国林，刘冬颖另将其各自持有的</w:t>
      </w:r>
      <w:r>
        <w:rPr>
          <w:rFonts w:ascii="宋体" w:hAnsi="宋体" w:cs="宋体" w:eastAsia="宋体" w:hint="default"/>
          <w:spacing w:val="-2"/>
        </w:rPr>
        <w:t>27,024,316</w:t>
      </w:r>
      <w:r>
        <w:rPr>
          <w:spacing w:val="-2"/>
        </w:rPr>
        <w:t>股表决权不可撤销的委</w:t>
      </w:r>
      <w:r>
        <w:rPr>
          <w:spacing w:val="-43"/>
        </w:rPr>
        <w:t> </w:t>
      </w:r>
      <w:r>
        <w:rPr>
          <w:spacing w:val="-43"/>
        </w:rPr>
      </w:r>
      <w:r>
        <w:rPr/>
        <w:t>托给国投智能行使。</w:t>
      </w:r>
      <w:r>
        <w:rPr>
          <w:rFonts w:ascii="宋体" w:hAnsi="宋体" w:cs="宋体" w:eastAsia="宋体" w:hint="default"/>
        </w:rPr>
        <w:t>2019</w:t>
      </w:r>
      <w:r>
        <w:rPr/>
        <w:t>年</w:t>
      </w:r>
      <w:r>
        <w:rPr>
          <w:rFonts w:ascii="宋体" w:hAnsi="宋体" w:cs="宋体" w:eastAsia="宋体" w:hint="default"/>
        </w:rPr>
        <w:t>6</w:t>
      </w:r>
      <w:r>
        <w:rPr/>
        <w:t>月</w:t>
      </w:r>
      <w:r>
        <w:rPr>
          <w:rFonts w:ascii="宋体" w:hAnsi="宋体" w:cs="宋体" w:eastAsia="宋体" w:hint="default"/>
        </w:rPr>
        <w:t>10</w:t>
      </w:r>
      <w:r>
        <w:rPr/>
        <w:t>日，该事项获得国家市场监督管理总局批复。</w:t>
      </w:r>
      <w:r>
        <w:rPr>
          <w:rFonts w:ascii="宋体" w:hAnsi="宋体" w:cs="宋体" w:eastAsia="宋体" w:hint="default"/>
        </w:rPr>
        <w:t>2019</w:t>
      </w:r>
      <w:r>
        <w:rPr/>
        <w:t>年</w:t>
      </w:r>
      <w:r>
        <w:rPr>
          <w:rFonts w:ascii="宋体" w:hAnsi="宋体" w:cs="宋体" w:eastAsia="宋体" w:hint="default"/>
        </w:rPr>
        <w:t>7</w:t>
      </w:r>
      <w:r>
        <w:rPr/>
        <w:t>月</w:t>
      </w:r>
      <w:r>
        <w:rPr>
          <w:rFonts w:ascii="宋体" w:hAnsi="宋体" w:cs="宋体" w:eastAsia="宋体" w:hint="default"/>
        </w:rPr>
        <w:t>4</w:t>
      </w:r>
      <w:r>
        <w:rPr/>
        <w:t>日，该事项获</w:t>
      </w:r>
      <w:r>
        <w:rPr>
          <w:spacing w:val="-30"/>
        </w:rPr>
        <w:t> </w:t>
      </w:r>
      <w:r>
        <w:rPr>
          <w:spacing w:val="-30"/>
        </w:rPr>
      </w:r>
      <w:r>
        <w:rPr/>
        <w:t>得国务院国资委批复。</w:t>
      </w:r>
      <w:r>
        <w:rPr>
          <w:rFonts w:ascii="宋体" w:hAnsi="宋体" w:cs="宋体" w:eastAsia="宋体" w:hint="default"/>
        </w:rPr>
        <w:t>2019</w:t>
      </w:r>
      <w:r>
        <w:rPr/>
        <w:t>年</w:t>
      </w:r>
      <w:r>
        <w:rPr>
          <w:rFonts w:ascii="宋体" w:hAnsi="宋体" w:cs="宋体" w:eastAsia="宋体" w:hint="default"/>
        </w:rPr>
        <w:t>7</w:t>
      </w:r>
      <w:r>
        <w:rPr/>
        <w:t>月</w:t>
      </w:r>
      <w:r>
        <w:rPr>
          <w:rFonts w:ascii="宋体" w:hAnsi="宋体" w:cs="宋体" w:eastAsia="宋体" w:hint="default"/>
        </w:rPr>
        <w:t>17</w:t>
      </w:r>
      <w:r>
        <w:rPr/>
        <w:t>日，上述协议转让股份完成过户登记手续。</w:t>
      </w:r>
    </w:p>
    <w:p>
      <w:pPr>
        <w:spacing w:line="240" w:lineRule="auto" w:before="8"/>
        <w:rPr>
          <w:rFonts w:ascii="宋体" w:hAnsi="宋体" w:cs="宋体" w:eastAsia="宋体" w:hint="default"/>
          <w:sz w:val="20"/>
          <w:szCs w:val="20"/>
        </w:rPr>
      </w:pPr>
    </w:p>
    <w:p>
      <w:pPr>
        <w:spacing w:line="547" w:lineRule="auto" w:before="0"/>
        <w:ind w:left="152" w:right="6794" w:hanging="1"/>
        <w:jc w:val="left"/>
        <w:rPr>
          <w:rFonts w:ascii="宋体" w:hAnsi="宋体" w:cs="宋体" w:eastAsia="宋体" w:hint="default"/>
          <w:sz w:val="21"/>
          <w:szCs w:val="21"/>
        </w:rPr>
      </w:pPr>
      <w:bookmarkStart w:name="2、本企业的子公司情况" w:id="456"/>
      <w:bookmarkEnd w:id="456"/>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、本企业的子公司情况</w:t>
      </w:r>
      <w:r>
        <w:rPr>
          <w:rFonts w:ascii="宋体" w:hAnsi="宋体" w:cs="宋体" w:eastAsia="宋体" w:hint="default"/>
          <w:b/>
          <w:bCs/>
          <w:w w:val="100"/>
          <w:sz w:val="21"/>
          <w:szCs w:val="21"/>
        </w:rPr>
        <w:t> </w:t>
      </w:r>
      <w:r>
        <w:rPr>
          <w:rFonts w:ascii="宋体" w:hAnsi="宋体" w:cs="宋体" w:eastAsia="宋体" w:hint="default"/>
          <w:sz w:val="18"/>
          <w:szCs w:val="18"/>
        </w:rPr>
        <w:t>本企业子公司的情况详见附注九、</w:t>
      </w:r>
      <w:r>
        <w:rPr>
          <w:rFonts w:ascii="Times New Roman" w:hAnsi="Times New Roman" w:cs="Times New Roman" w:eastAsia="Times New Roman" w:hint="default"/>
          <w:sz w:val="18"/>
          <w:szCs w:val="18"/>
        </w:rPr>
        <w:t>1</w:t>
      </w:r>
      <w:r>
        <w:rPr>
          <w:rFonts w:ascii="宋体" w:hAnsi="宋体" w:cs="宋体" w:eastAsia="宋体" w:hint="default"/>
          <w:sz w:val="18"/>
          <w:szCs w:val="18"/>
        </w:rPr>
        <w:t>。 </w:t>
      </w:r>
      <w:bookmarkStart w:name="3、本企业合营和联营企业情况" w:id="457"/>
      <w:bookmarkEnd w:id="457"/>
      <w:r>
        <w:rPr>
          <w:rFonts w:ascii="宋体" w:hAnsi="宋体" w:cs="宋体" w:eastAsia="宋体" w:hint="default"/>
          <w:sz w:val="18"/>
          <w:szCs w:val="18"/>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、本企业合营和联营企业情况</w:t>
      </w:r>
      <w:r>
        <w:rPr>
          <w:rFonts w:ascii="宋体" w:hAnsi="宋体" w:cs="宋体" w:eastAsia="宋体" w:hint="default"/>
          <w:sz w:val="21"/>
          <w:szCs w:val="21"/>
        </w:rPr>
      </w:r>
    </w:p>
    <w:p>
      <w:pPr>
        <w:spacing w:line="340" w:lineRule="auto" w:before="44"/>
        <w:ind w:left="152" w:right="2294" w:firstLine="0"/>
        <w:jc w:val="left"/>
        <w:rPr>
          <w:rFonts w:ascii="宋体" w:hAnsi="宋体" w:cs="宋体" w:eastAsia="宋体" w:hint="default"/>
          <w:sz w:val="18"/>
          <w:szCs w:val="18"/>
        </w:rPr>
      </w:pPr>
      <w:r>
        <w:rPr>
          <w:rFonts w:ascii="宋体" w:hAnsi="宋体" w:cs="宋体" w:eastAsia="宋体" w:hint="default"/>
          <w:sz w:val="18"/>
          <w:szCs w:val="18"/>
        </w:rPr>
        <w:t>本企业重要的合营或联营企业详见附注九、</w:t>
      </w:r>
      <w:r>
        <w:rPr>
          <w:rFonts w:ascii="Times New Roman" w:hAnsi="Times New Roman" w:cs="Times New Roman" w:eastAsia="Times New Roman" w:hint="default"/>
          <w:sz w:val="18"/>
          <w:szCs w:val="18"/>
        </w:rPr>
        <w:t>3</w:t>
      </w:r>
      <w:r>
        <w:rPr>
          <w:rFonts w:ascii="宋体" w:hAnsi="宋体" w:cs="宋体" w:eastAsia="宋体" w:hint="default"/>
          <w:sz w:val="18"/>
          <w:szCs w:val="18"/>
        </w:rPr>
        <w:t>。 本期与本公司发生关联方交易，或前期与本公司发生关联方交易形成余额的其他合营或联营企业情况如下：</w:t>
      </w:r>
    </w:p>
    <w:p>
      <w:pPr>
        <w:spacing w:line="240" w:lineRule="auto" w:before="7"/>
        <w:rPr>
          <w:rFonts w:ascii="宋体" w:hAnsi="宋体" w:cs="宋体" w:eastAsia="宋体" w:hint="default"/>
          <w:sz w:val="2"/>
          <w:szCs w:val="2"/>
        </w:rPr>
      </w:pPr>
    </w:p>
    <w:tbl>
      <w:tblPr>
        <w:tblW w:w="0" w:type="auto"/>
        <w:jc w:val="left"/>
        <w:tblInd w:w="148" w:type="dxa"/>
        <w:tblLayout w:type="fixed"/>
        <w:tblCellMar>
          <w:top w:w="0" w:type="dxa"/>
          <w:left w:w="0" w:type="dxa"/>
          <w:bottom w:w="0" w:type="dxa"/>
          <w:right w:w="0" w:type="dxa"/>
        </w:tblCellMar>
        <w:tblLook w:val="01E0"/>
      </w:tblPr>
      <w:tblGrid>
        <w:gridCol w:w="4783"/>
        <w:gridCol w:w="4786"/>
      </w:tblGrid>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576" w:right="0"/>
              <w:jc w:val="left"/>
              <w:rPr>
                <w:rFonts w:ascii="宋体" w:hAnsi="宋体" w:cs="宋体" w:eastAsia="宋体" w:hint="default"/>
                <w:sz w:val="18"/>
                <w:szCs w:val="18"/>
              </w:rPr>
            </w:pPr>
            <w:r>
              <w:rPr>
                <w:rFonts w:ascii="宋体" w:hAnsi="宋体" w:cs="宋体" w:eastAsia="宋体" w:hint="default"/>
                <w:sz w:val="18"/>
                <w:szCs w:val="18"/>
              </w:rPr>
              <w:t>合营或联营企业名称</w:t>
            </w:r>
          </w:p>
        </w:tc>
        <w:tc>
          <w:tcPr>
            <w:tcW w:w="478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与本企业关系</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厦门服云信息科技有限公司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本公司持有</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29.21%</w:t>
            </w:r>
            <w:r>
              <w:rPr>
                <w:rFonts w:ascii="宋体" w:hAnsi="宋体" w:cs="宋体" w:eastAsia="宋体" w:hint="default"/>
                <w:sz w:val="18"/>
                <w:szCs w:val="18"/>
              </w:rPr>
              <w:t>股权</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厦门市美亚梧桐投资管理有限公司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本公司持有</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39.20%</w:t>
            </w:r>
            <w:r>
              <w:rPr>
                <w:rFonts w:ascii="宋体" w:hAnsi="宋体" w:cs="宋体" w:eastAsia="宋体" w:hint="default"/>
                <w:sz w:val="18"/>
                <w:szCs w:val="18"/>
              </w:rPr>
              <w:t>股权</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厦门正信世纪信息科技有限公司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本公司持有</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20.00%</w:t>
            </w:r>
            <w:r>
              <w:rPr>
                <w:rFonts w:ascii="宋体" w:hAnsi="宋体" w:cs="宋体" w:eastAsia="宋体" w:hint="default"/>
                <w:sz w:val="18"/>
                <w:szCs w:val="18"/>
              </w:rPr>
              <w:t>股权</w:t>
            </w:r>
          </w:p>
        </w:tc>
      </w:tr>
    </w:tbl>
    <w:p>
      <w:pPr>
        <w:spacing w:after="0" w:line="240"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4783"/>
        <w:gridCol w:w="4786"/>
      </w:tblGrid>
      <w:tr>
        <w:trPr>
          <w:trHeight w:val="71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67"/>
              <w:jc w:val="left"/>
              <w:rPr>
                <w:rFonts w:ascii="宋体" w:hAnsi="宋体" w:cs="宋体" w:eastAsia="宋体" w:hint="default"/>
                <w:sz w:val="18"/>
                <w:szCs w:val="18"/>
              </w:rPr>
            </w:pPr>
            <w:r>
              <w:rPr>
                <w:rFonts w:ascii="宋体" w:hAnsi="宋体" w:cs="宋体" w:eastAsia="宋体" w:hint="default"/>
                <w:sz w:val="18"/>
                <w:szCs w:val="18"/>
              </w:rPr>
              <w:t>中检美亚（北京）科技有限公司（曾用名：北京万诚信用评 价有限公司）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本公司持有</w:t>
            </w:r>
            <w:r>
              <w:rPr>
                <w:rFonts w:ascii="宋体" w:hAnsi="宋体" w:cs="宋体" w:eastAsia="宋体" w:hint="default"/>
                <w:spacing w:val="-38"/>
                <w:sz w:val="18"/>
                <w:szCs w:val="18"/>
              </w:rPr>
              <w:t> </w:t>
            </w:r>
            <w:r>
              <w:rPr>
                <w:rFonts w:ascii="Times New Roman" w:hAnsi="Times New Roman" w:cs="Times New Roman" w:eastAsia="Times New Roman" w:hint="default"/>
                <w:spacing w:val="-4"/>
                <w:sz w:val="18"/>
                <w:szCs w:val="18"/>
              </w:rPr>
              <w:t>28.00%</w:t>
            </w:r>
            <w:r>
              <w:rPr>
                <w:rFonts w:ascii="宋体" w:hAnsi="宋体" w:cs="宋体" w:eastAsia="宋体" w:hint="default"/>
                <w:spacing w:val="-4"/>
                <w:sz w:val="18"/>
                <w:szCs w:val="18"/>
              </w:rPr>
              <w:t>股权，本公司子公司美亚商鼎持有</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18.00%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股权</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北京万方智讯信息技术有限公司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本公司子公司美亚智讯持有</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36.00%</w:t>
            </w:r>
            <w:r>
              <w:rPr>
                <w:rFonts w:ascii="宋体" w:hAnsi="宋体" w:cs="宋体" w:eastAsia="宋体" w:hint="default"/>
                <w:sz w:val="18"/>
                <w:szCs w:val="18"/>
              </w:rPr>
              <w:t>股权</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沈阳城市公共安全科技有限公司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本公司持有</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23.39%</w:t>
            </w:r>
            <w:r>
              <w:rPr>
                <w:rFonts w:ascii="宋体" w:hAnsi="宋体" w:cs="宋体" w:eastAsia="宋体" w:hint="default"/>
                <w:sz w:val="18"/>
                <w:szCs w:val="18"/>
              </w:rPr>
              <w:t>股权</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安徽华图信息科技有限公司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本公司子公司美银智投持有</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20.00%</w:t>
            </w:r>
            <w:r>
              <w:rPr>
                <w:rFonts w:ascii="宋体" w:hAnsi="宋体" w:cs="宋体" w:eastAsia="宋体" w:hint="default"/>
                <w:sz w:val="18"/>
                <w:szCs w:val="18"/>
              </w:rPr>
              <w:t>股权</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其他说明：中检美亚（北京）科技有限公司于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日纳入本集团合并范围。</w:t>
      </w:r>
    </w:p>
    <w:p>
      <w:pPr>
        <w:spacing w:line="240" w:lineRule="auto" w:before="13"/>
        <w:rPr>
          <w:rFonts w:ascii="宋体" w:hAnsi="宋体" w:cs="宋体" w:eastAsia="宋体" w:hint="default"/>
          <w:sz w:val="25"/>
          <w:szCs w:val="25"/>
        </w:rPr>
      </w:pPr>
    </w:p>
    <w:p>
      <w:pPr>
        <w:pStyle w:val="Heading4"/>
        <w:spacing w:line="240" w:lineRule="auto"/>
        <w:ind w:right="986"/>
        <w:jc w:val="left"/>
        <w:rPr>
          <w:b w:val="0"/>
          <w:bCs w:val="0"/>
        </w:rPr>
      </w:pPr>
      <w:bookmarkStart w:name="4、其他关联方情况" w:id="458"/>
      <w:bookmarkEnd w:id="458"/>
      <w:r>
        <w:rPr>
          <w:b w:val="0"/>
          <w:bCs w:val="0"/>
        </w:rPr>
      </w:r>
      <w:r>
        <w:rPr>
          <w:rFonts w:ascii="Times New Roman" w:hAnsi="Times New Roman" w:cs="Times New Roman" w:eastAsia="Times New Roman" w:hint="default"/>
        </w:rPr>
        <w:t>4</w:t>
      </w:r>
      <w:r>
        <w:rPr/>
        <w:t>、其他关联方情况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3588"/>
        <w:gridCol w:w="5981"/>
      </w:tblGrid>
      <w:tr>
        <w:trPr>
          <w:trHeight w:val="402" w:hRule="exact"/>
        </w:trPr>
        <w:tc>
          <w:tcPr>
            <w:tcW w:w="35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159" w:right="0"/>
              <w:jc w:val="left"/>
              <w:rPr>
                <w:rFonts w:ascii="宋体" w:hAnsi="宋体" w:cs="宋体" w:eastAsia="宋体" w:hint="default"/>
                <w:sz w:val="18"/>
                <w:szCs w:val="18"/>
              </w:rPr>
            </w:pPr>
            <w:r>
              <w:rPr>
                <w:rFonts w:ascii="宋体" w:hAnsi="宋体" w:cs="宋体" w:eastAsia="宋体" w:hint="default"/>
                <w:sz w:val="18"/>
                <w:szCs w:val="18"/>
              </w:rPr>
              <w:t>其他关联方名称</w:t>
            </w:r>
          </w:p>
        </w:tc>
        <w:tc>
          <w:tcPr>
            <w:tcW w:w="59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401"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杭州攀克网络技术有限公司</w:t>
            </w:r>
          </w:p>
        </w:tc>
        <w:tc>
          <w:tcPr>
            <w:tcW w:w="5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本公司持有</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10.71%</w:t>
            </w:r>
            <w:r>
              <w:rPr>
                <w:rFonts w:ascii="宋体" w:hAnsi="宋体" w:cs="宋体" w:eastAsia="宋体" w:hint="default"/>
                <w:sz w:val="18"/>
                <w:szCs w:val="18"/>
              </w:rPr>
              <w:t>股权</w:t>
            </w:r>
          </w:p>
        </w:tc>
      </w:tr>
      <w:tr>
        <w:trPr>
          <w:trHeight w:val="403"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福建宏创科技信息有限公司</w:t>
            </w:r>
          </w:p>
        </w:tc>
        <w:tc>
          <w:tcPr>
            <w:tcW w:w="5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本公司持有</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18.00%</w:t>
            </w:r>
            <w:r>
              <w:rPr>
                <w:rFonts w:ascii="宋体" w:hAnsi="宋体" w:cs="宋体" w:eastAsia="宋体" w:hint="default"/>
                <w:sz w:val="18"/>
                <w:szCs w:val="18"/>
              </w:rPr>
              <w:t>股权</w:t>
            </w:r>
          </w:p>
        </w:tc>
      </w:tr>
      <w:tr>
        <w:trPr>
          <w:trHeight w:val="401"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厦门市巨龙信息科技有限公司</w:t>
            </w:r>
          </w:p>
        </w:tc>
        <w:tc>
          <w:tcPr>
            <w:tcW w:w="5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本公司持有</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7.50%</w:t>
            </w:r>
            <w:r>
              <w:rPr>
                <w:rFonts w:ascii="宋体" w:hAnsi="宋体" w:cs="宋体" w:eastAsia="宋体" w:hint="default"/>
                <w:sz w:val="18"/>
                <w:szCs w:val="18"/>
              </w:rPr>
              <w:t>股权</w:t>
            </w:r>
          </w:p>
        </w:tc>
      </w:tr>
      <w:tr>
        <w:trPr>
          <w:trHeight w:val="403"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国投钦州发电有限公司</w:t>
            </w:r>
          </w:p>
        </w:tc>
        <w:tc>
          <w:tcPr>
            <w:tcW w:w="5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同一实际控制人</w:t>
            </w:r>
          </w:p>
        </w:tc>
      </w:tr>
      <w:tr>
        <w:trPr>
          <w:trHeight w:val="401"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北京攀克网络科技有限公司</w:t>
            </w:r>
          </w:p>
        </w:tc>
        <w:tc>
          <w:tcPr>
            <w:tcW w:w="5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杭州攀克网络技术有限公司的子公司</w:t>
            </w:r>
          </w:p>
        </w:tc>
      </w:tr>
      <w:tr>
        <w:trPr>
          <w:trHeight w:val="403"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柏科（常熟）电机有限公司</w:t>
            </w:r>
          </w:p>
        </w:tc>
        <w:tc>
          <w:tcPr>
            <w:tcW w:w="5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董事长滕达的直系亲属控制的企业</w:t>
            </w:r>
          </w:p>
        </w:tc>
      </w:tr>
      <w:tr>
        <w:trPr>
          <w:trHeight w:val="401"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常熟柏科特种车辆有限公司</w:t>
            </w:r>
          </w:p>
        </w:tc>
        <w:tc>
          <w:tcPr>
            <w:tcW w:w="5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董事长滕达为控股股东、本公司董事担任董事的企业</w:t>
            </w:r>
          </w:p>
        </w:tc>
      </w:tr>
      <w:tr>
        <w:trPr>
          <w:trHeight w:val="403"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香港柏科</w:t>
            </w:r>
          </w:p>
        </w:tc>
        <w:tc>
          <w:tcPr>
            <w:tcW w:w="5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董事长滕达的直系亲属控制的企业</w:t>
            </w:r>
          </w:p>
        </w:tc>
      </w:tr>
      <w:tr>
        <w:trPr>
          <w:trHeight w:val="401"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福建七匹狼实业股份有限公司</w:t>
            </w:r>
          </w:p>
        </w:tc>
        <w:tc>
          <w:tcPr>
            <w:tcW w:w="5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本公司监事担任独立董事的企业</w:t>
            </w:r>
          </w:p>
        </w:tc>
      </w:tr>
      <w:tr>
        <w:trPr>
          <w:trHeight w:val="403"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美亚长城传媒（北京）有限公司</w:t>
            </w:r>
          </w:p>
        </w:tc>
        <w:tc>
          <w:tcPr>
            <w:tcW w:w="5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本公司监事担任董事长的企业</w:t>
            </w:r>
          </w:p>
        </w:tc>
      </w:tr>
      <w:tr>
        <w:trPr>
          <w:trHeight w:val="401"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厦门数宝信息科技合伙企业（有限合伙）</w:t>
            </w:r>
          </w:p>
        </w:tc>
        <w:tc>
          <w:tcPr>
            <w:tcW w:w="5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本公司董事和高管参与设立的合伙企业</w:t>
            </w:r>
          </w:p>
        </w:tc>
      </w:tr>
      <w:tr>
        <w:trPr>
          <w:trHeight w:val="403"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柏科智能（厦门）科技有限公司</w:t>
            </w:r>
          </w:p>
        </w:tc>
        <w:tc>
          <w:tcPr>
            <w:tcW w:w="5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董事长滕达持股</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40.00%</w:t>
            </w:r>
            <w:r>
              <w:rPr>
                <w:rFonts w:ascii="宋体" w:hAnsi="宋体" w:cs="宋体" w:eastAsia="宋体" w:hint="default"/>
                <w:sz w:val="18"/>
                <w:szCs w:val="18"/>
              </w:rPr>
              <w:t>；董事长滕达的直系亲属在该公司担任董事长</w:t>
            </w:r>
          </w:p>
        </w:tc>
      </w:tr>
      <w:tr>
        <w:trPr>
          <w:trHeight w:val="401"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厦门吉比特网络技术股份有限公司</w:t>
            </w:r>
          </w:p>
        </w:tc>
        <w:tc>
          <w:tcPr>
            <w:tcW w:w="5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独立董事卢永华在该公司担任独立董事</w:t>
            </w:r>
          </w:p>
        </w:tc>
      </w:tr>
      <w:tr>
        <w:trPr>
          <w:trHeight w:val="715"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厦门点连电子商务有限公司</w:t>
            </w:r>
          </w:p>
        </w:tc>
        <w:tc>
          <w:tcPr>
            <w:tcW w:w="5981"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1"/>
              <w:ind w:left="23" w:right="19"/>
              <w:jc w:val="left"/>
              <w:rPr>
                <w:rFonts w:ascii="Times New Roman" w:hAnsi="Times New Roman" w:cs="Times New Roman" w:eastAsia="Times New Roman" w:hint="default"/>
                <w:sz w:val="18"/>
                <w:szCs w:val="18"/>
              </w:rPr>
            </w:pPr>
            <w:r>
              <w:rPr>
                <w:rFonts w:ascii="宋体" w:hAnsi="宋体" w:cs="宋体" w:eastAsia="宋体" w:hint="default"/>
                <w:sz w:val="18"/>
                <w:szCs w:val="18"/>
              </w:rPr>
              <w:t>董事长滕达持股</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10.50%</w:t>
            </w:r>
            <w:r>
              <w:rPr>
                <w:rFonts w:ascii="宋体" w:hAnsi="宋体" w:cs="宋体" w:eastAsia="宋体" w:hint="default"/>
                <w:sz w:val="18"/>
                <w:szCs w:val="18"/>
              </w:rPr>
              <w:t>，高管赵庸持股</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2.50%</w:t>
            </w:r>
            <w:r>
              <w:rPr>
                <w:rFonts w:ascii="宋体" w:hAnsi="宋体" w:cs="宋体" w:eastAsia="宋体" w:hint="default"/>
                <w:sz w:val="18"/>
                <w:szCs w:val="18"/>
              </w:rPr>
              <w:t>，高管蔡志评、监事仲丽华分 别持股</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1.00%</w:t>
            </w:r>
          </w:p>
        </w:tc>
      </w:tr>
      <w:tr>
        <w:trPr>
          <w:trHeight w:val="403"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董事、经理、财务总监及董事会秘书</w:t>
            </w:r>
          </w:p>
        </w:tc>
        <w:tc>
          <w:tcPr>
            <w:tcW w:w="5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关键管理人员</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5、关联交易情况" w:id="459"/>
      <w:bookmarkEnd w:id="459"/>
      <w:r>
        <w:rPr>
          <w:b w:val="0"/>
          <w:bCs w:val="0"/>
        </w:rPr>
      </w:r>
      <w:r>
        <w:rPr>
          <w:rFonts w:ascii="Times New Roman" w:hAnsi="Times New Roman" w:cs="Times New Roman" w:eastAsia="Times New Roman" w:hint="default"/>
        </w:rPr>
        <w:t>5</w:t>
      </w:r>
      <w:r>
        <w:rPr/>
        <w:t>、关联交易情况</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购销商品、提供和接受劳务的关联交易" w:id="460"/>
      <w:bookmarkEnd w:id="460"/>
      <w:r>
        <w:rPr>
          <w:b w:val="0"/>
          <w:bCs w:val="0"/>
        </w:rPr>
      </w:r>
      <w:r>
        <w:rPr/>
        <w:t>（</w:t>
      </w:r>
      <w:r>
        <w:rPr>
          <w:rFonts w:ascii="Times New Roman" w:hAnsi="Times New Roman" w:cs="Times New Roman" w:eastAsia="Times New Roman" w:hint="default"/>
        </w:rPr>
        <w:t>1</w:t>
      </w:r>
      <w:r>
        <w:rPr/>
        <w:t>）购销商品、提供和接受劳务的关联交易</w:t>
      </w:r>
      <w:r>
        <w:rPr>
          <w:b w:val="0"/>
          <w:bCs w:val="0"/>
        </w:rPr>
      </w:r>
    </w:p>
    <w:p>
      <w:pPr>
        <w:spacing w:line="240" w:lineRule="auto" w:before="10"/>
        <w:rPr>
          <w:rFonts w:ascii="宋体" w:hAnsi="宋体" w:cs="宋体" w:eastAsia="宋体" w:hint="default"/>
          <w:b/>
          <w:bCs/>
          <w:sz w:val="22"/>
          <w:szCs w:val="22"/>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接受劳务情况表</w:t>
      </w:r>
    </w:p>
    <w:p>
      <w:pPr>
        <w:spacing w:before="103"/>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581"/>
        <w:gridCol w:w="1620"/>
        <w:gridCol w:w="1126"/>
        <w:gridCol w:w="1380"/>
        <w:gridCol w:w="1154"/>
        <w:gridCol w:w="1706"/>
      </w:tblGrid>
      <w:tr>
        <w:trPr>
          <w:trHeight w:val="713" w:hRule="exact"/>
        </w:trPr>
        <w:tc>
          <w:tcPr>
            <w:tcW w:w="25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62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6"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1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38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5" w:right="0"/>
              <w:jc w:val="left"/>
              <w:rPr>
                <w:rFonts w:ascii="宋体" w:hAnsi="宋体" w:cs="宋体" w:eastAsia="宋体" w:hint="default"/>
                <w:sz w:val="18"/>
                <w:szCs w:val="18"/>
              </w:rPr>
            </w:pPr>
            <w:r>
              <w:rPr>
                <w:rFonts w:ascii="宋体" w:hAnsi="宋体" w:cs="宋体" w:eastAsia="宋体" w:hint="default"/>
                <w:sz w:val="18"/>
                <w:szCs w:val="18"/>
              </w:rPr>
              <w:t>获批的交易额度</w:t>
            </w:r>
          </w:p>
        </w:tc>
        <w:tc>
          <w:tcPr>
            <w:tcW w:w="115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49"/>
              <w:ind w:left="393" w:right="29" w:hanging="360"/>
              <w:jc w:val="left"/>
              <w:rPr>
                <w:rFonts w:ascii="宋体" w:hAnsi="宋体" w:cs="宋体" w:eastAsia="宋体" w:hint="default"/>
                <w:sz w:val="18"/>
                <w:szCs w:val="18"/>
              </w:rPr>
            </w:pPr>
            <w:r>
              <w:rPr>
                <w:rFonts w:ascii="宋体" w:hAnsi="宋体" w:cs="宋体" w:eastAsia="宋体" w:hint="default"/>
                <w:sz w:val="18"/>
                <w:szCs w:val="18"/>
              </w:rPr>
              <w:t>是否超过交易 额度</w:t>
            </w:r>
          </w:p>
        </w:tc>
        <w:tc>
          <w:tcPr>
            <w:tcW w:w="170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9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2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北京攀克网络科技有限公司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126" w:type="dxa"/>
            <w:tcBorders>
              <w:top w:val="single" w:sz="4" w:space="0" w:color="000000"/>
              <w:left w:val="single" w:sz="4" w:space="0" w:color="000000"/>
              <w:bottom w:val="single" w:sz="4" w:space="0" w:color="000000"/>
              <w:right w:val="single" w:sz="4" w:space="0" w:color="000000"/>
            </w:tcBorders>
          </w:tcPr>
          <w:p>
            <w:pPr/>
          </w:p>
        </w:tc>
        <w:tc>
          <w:tcPr>
            <w:tcW w:w="1380"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63" w:right="0"/>
              <w:jc w:val="left"/>
              <w:rPr>
                <w:rFonts w:ascii="Times New Roman" w:hAnsi="Times New Roman" w:cs="Times New Roman" w:eastAsia="Times New Roman" w:hint="default"/>
                <w:sz w:val="18"/>
                <w:szCs w:val="18"/>
              </w:rPr>
            </w:pPr>
            <w:r>
              <w:rPr>
                <w:rFonts w:ascii="Times New Roman"/>
                <w:sz w:val="18"/>
              </w:rPr>
              <w:t>156,667.97</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207" w:type="dxa"/>
        <w:tblLayout w:type="fixed"/>
        <w:tblCellMar>
          <w:top w:w="0" w:type="dxa"/>
          <w:left w:w="0" w:type="dxa"/>
          <w:bottom w:w="0" w:type="dxa"/>
          <w:right w:w="0" w:type="dxa"/>
        </w:tblCellMar>
        <w:tblLook w:val="01E0"/>
      </w:tblPr>
      <w:tblGrid>
        <w:gridCol w:w="2582"/>
        <w:gridCol w:w="1620"/>
        <w:gridCol w:w="1126"/>
        <w:gridCol w:w="1380"/>
        <w:gridCol w:w="1154"/>
        <w:gridCol w:w="1706"/>
      </w:tblGrid>
      <w:tr>
        <w:trPr>
          <w:trHeight w:val="401" w:hRule="exact"/>
        </w:trPr>
        <w:tc>
          <w:tcPr>
            <w:tcW w:w="2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厦门服云信息科技有限公司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接受服务</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5,495,371.61</w:t>
            </w:r>
            <w:r>
              <w:rPr>
                <w:rFonts w:ascii="Times New Roman"/>
                <w:sz w:val="18"/>
              </w:rPr>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10,000,000.00</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5,090,712.56</w:t>
            </w:r>
            <w:r>
              <w:rPr>
                <w:rFonts w:ascii="Times New Roman"/>
                <w:sz w:val="18"/>
              </w:rPr>
            </w:r>
          </w:p>
        </w:tc>
      </w:tr>
      <w:tr>
        <w:trPr>
          <w:trHeight w:val="403" w:hRule="exact"/>
        </w:trPr>
        <w:tc>
          <w:tcPr>
            <w:tcW w:w="2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厦门市巨龙信息科技有限公司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接受服务</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3,283,015.53</w:t>
            </w:r>
            <w:r>
              <w:rPr>
                <w:rFonts w:ascii="Times New Roman"/>
                <w:sz w:val="18"/>
              </w:rPr>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50,000,000.00</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2,217,329.79</w:t>
            </w:r>
            <w:r>
              <w:rPr>
                <w:rFonts w:ascii="Times New Roman"/>
                <w:sz w:val="18"/>
              </w:rPr>
            </w:r>
          </w:p>
        </w:tc>
      </w:tr>
      <w:tr>
        <w:trPr>
          <w:trHeight w:val="401" w:hRule="exact"/>
        </w:trPr>
        <w:tc>
          <w:tcPr>
            <w:tcW w:w="2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柏科（常熟）电机有限公司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16,723,407.69</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20,000,000.00</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3,322,642.49</w:t>
            </w:r>
            <w:r>
              <w:rPr>
                <w:rFonts w:ascii="Times New Roman"/>
                <w:sz w:val="18"/>
              </w:rPr>
            </w:r>
          </w:p>
        </w:tc>
      </w:tr>
      <w:tr>
        <w:trPr>
          <w:trHeight w:val="403" w:hRule="exact"/>
        </w:trPr>
        <w:tc>
          <w:tcPr>
            <w:tcW w:w="2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常熟柏科特种车辆有限公司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接受服务</w:t>
            </w:r>
          </w:p>
        </w:tc>
        <w:tc>
          <w:tcPr>
            <w:tcW w:w="1126" w:type="dxa"/>
            <w:tcBorders>
              <w:top w:val="single" w:sz="4" w:space="0" w:color="000000"/>
              <w:left w:val="single" w:sz="4" w:space="0" w:color="000000"/>
              <w:bottom w:val="single" w:sz="4" w:space="0" w:color="000000"/>
              <w:right w:val="single" w:sz="4" w:space="0" w:color="000000"/>
            </w:tcBorders>
          </w:tcPr>
          <w:p>
            <w:pPr/>
          </w:p>
        </w:tc>
        <w:tc>
          <w:tcPr>
            <w:tcW w:w="1380"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3,219,879.66</w:t>
            </w:r>
            <w:r>
              <w:rPr>
                <w:rFonts w:ascii="Times New Roman"/>
                <w:sz w:val="18"/>
              </w:rPr>
            </w:r>
          </w:p>
        </w:tc>
      </w:tr>
      <w:tr>
        <w:trPr>
          <w:trHeight w:val="401" w:hRule="exact"/>
        </w:trPr>
        <w:tc>
          <w:tcPr>
            <w:tcW w:w="2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福建宏创科技信息有限公司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5,356,163.79</w:t>
            </w:r>
            <w:r>
              <w:rPr>
                <w:rFonts w:ascii="Times New Roman"/>
                <w:sz w:val="18"/>
              </w:rPr>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10,000,000.00</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663,724.14</w:t>
            </w:r>
          </w:p>
        </w:tc>
      </w:tr>
      <w:tr>
        <w:trPr>
          <w:trHeight w:val="403" w:hRule="exact"/>
        </w:trPr>
        <w:tc>
          <w:tcPr>
            <w:tcW w:w="2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柏科智能（厦门）科技有限公司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3,818,995.07</w:t>
            </w:r>
            <w:r>
              <w:rPr>
                <w:rFonts w:ascii="Times New Roman"/>
                <w:sz w:val="18"/>
              </w:rPr>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4,000,000.00</w:t>
            </w:r>
            <w:r>
              <w:rPr>
                <w:rFonts w:ascii="Times New Roman"/>
                <w:sz w:val="18"/>
              </w:rPr>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924,913.78</w:t>
            </w:r>
          </w:p>
        </w:tc>
      </w:tr>
      <w:tr>
        <w:trPr>
          <w:trHeight w:val="401" w:hRule="exact"/>
        </w:trPr>
        <w:tc>
          <w:tcPr>
            <w:tcW w:w="2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北京万方智讯信息技术有限公司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接受服务</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89,126.21</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89,126.21</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安徽华图信息科技有限公司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接受服务</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3,088,263.64</w:t>
            </w:r>
            <w:r>
              <w:rPr>
                <w:rFonts w:ascii="Times New Roman"/>
                <w:sz w:val="18"/>
              </w:rPr>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3,088,263.64</w:t>
            </w:r>
            <w:r>
              <w:rPr>
                <w:rFonts w:ascii="Times New Roman"/>
                <w:sz w:val="18"/>
              </w:rPr>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中检美亚（北京）科技有限公司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接受服务</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8,091,862.99</w:t>
            </w:r>
            <w:r>
              <w:rPr>
                <w:rFonts w:ascii="Times New Roman"/>
                <w:sz w:val="18"/>
              </w:rPr>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8,091,862.99</w:t>
            </w:r>
            <w:r>
              <w:rPr>
                <w:rFonts w:ascii="Times New Roman"/>
                <w:sz w:val="18"/>
              </w:rPr>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
        </w:tc>
      </w:tr>
    </w:tbl>
    <w:p>
      <w:pPr>
        <w:spacing w:before="49"/>
        <w:ind w:left="212" w:right="1029" w:firstLine="0"/>
        <w:jc w:val="left"/>
        <w:rPr>
          <w:rFonts w:ascii="宋体" w:hAnsi="宋体" w:cs="宋体" w:eastAsia="宋体" w:hint="default"/>
          <w:sz w:val="18"/>
          <w:szCs w:val="18"/>
        </w:rPr>
      </w:pPr>
      <w:r>
        <w:rPr>
          <w:rFonts w:ascii="宋体" w:hAnsi="宋体" w:cs="宋体" w:eastAsia="宋体" w:hint="default"/>
          <w:sz w:val="18"/>
          <w:szCs w:val="18"/>
        </w:rPr>
        <w:t>出售商品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提供劳务情况表</w:t>
      </w:r>
    </w:p>
    <w:p>
      <w:pPr>
        <w:spacing w:before="101"/>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207" w:type="dxa"/>
        <w:tblLayout w:type="fixed"/>
        <w:tblCellMar>
          <w:top w:w="0" w:type="dxa"/>
          <w:left w:w="0" w:type="dxa"/>
          <w:bottom w:w="0" w:type="dxa"/>
          <w:right w:w="0" w:type="dxa"/>
        </w:tblCellMar>
        <w:tblLook w:val="01E0"/>
      </w:tblPr>
      <w:tblGrid>
        <w:gridCol w:w="3917"/>
        <w:gridCol w:w="1966"/>
        <w:gridCol w:w="1800"/>
        <w:gridCol w:w="1886"/>
      </w:tblGrid>
      <w:tr>
        <w:trPr>
          <w:trHeight w:val="401" w:hRule="exact"/>
        </w:trPr>
        <w:tc>
          <w:tcPr>
            <w:tcW w:w="391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9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36"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80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4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88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89"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厦门服云信息科技有限公司</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出售商品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提供服务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288,738.30</w:t>
            </w: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235,249.29</w:t>
            </w:r>
          </w:p>
        </w:tc>
      </w:tr>
      <w:tr>
        <w:trPr>
          <w:trHeight w:val="401" w:hRule="exact"/>
        </w:trPr>
        <w:tc>
          <w:tcPr>
            <w:tcW w:w="3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北京万方智讯信息技术有限公司</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提供服务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283,539.82</w:t>
            </w: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9,056.60</w:t>
            </w:r>
          </w:p>
        </w:tc>
      </w:tr>
      <w:tr>
        <w:trPr>
          <w:trHeight w:val="403" w:hRule="exact"/>
        </w:trPr>
        <w:tc>
          <w:tcPr>
            <w:tcW w:w="3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福建宏创科技信息有限公司</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出售商品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提供服务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4,744,684.60</w:t>
            </w:r>
            <w:r>
              <w:rPr>
                <w:rFonts w:ascii="Times New Roman"/>
                <w:sz w:val="18"/>
              </w:rPr>
            </w: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4,060,648.95</w:t>
            </w:r>
            <w:r>
              <w:rPr>
                <w:rFonts w:ascii="Times New Roman"/>
                <w:sz w:val="18"/>
              </w:rPr>
            </w:r>
          </w:p>
        </w:tc>
      </w:tr>
      <w:tr>
        <w:trPr>
          <w:trHeight w:val="401" w:hRule="exact"/>
        </w:trPr>
        <w:tc>
          <w:tcPr>
            <w:tcW w:w="3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厦门市巨龙信息科技有限公司</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出售商品</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1,385,700.15</w:t>
            </w:r>
            <w:r>
              <w:rPr>
                <w:rFonts w:ascii="Times New Roman"/>
                <w:sz w:val="18"/>
              </w:rPr>
            </w: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6,603,297.23</w:t>
            </w:r>
            <w:r>
              <w:rPr>
                <w:rFonts w:ascii="Times New Roman"/>
                <w:sz w:val="18"/>
              </w:rPr>
            </w:r>
          </w:p>
        </w:tc>
      </w:tr>
      <w:tr>
        <w:trPr>
          <w:trHeight w:val="403" w:hRule="exact"/>
        </w:trPr>
        <w:tc>
          <w:tcPr>
            <w:tcW w:w="3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厦门市美亚梧桐投资管理有限公司</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提供服务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45,660.38</w:t>
            </w: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19,018.87</w:t>
            </w:r>
          </w:p>
        </w:tc>
      </w:tr>
      <w:tr>
        <w:trPr>
          <w:trHeight w:val="401" w:hRule="exact"/>
        </w:trPr>
        <w:tc>
          <w:tcPr>
            <w:tcW w:w="3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中检美亚（北京）科技有限公司（北京万诚）</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提供服务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780,000.01</w:t>
            </w: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283,018.87</w:t>
            </w:r>
          </w:p>
        </w:tc>
      </w:tr>
      <w:tr>
        <w:trPr>
          <w:trHeight w:val="403" w:hRule="exact"/>
        </w:trPr>
        <w:tc>
          <w:tcPr>
            <w:tcW w:w="3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柏科（常熟）电机有限公司</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出售商品</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84,955.75</w:t>
            </w: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32,275.86</w:t>
            </w:r>
          </w:p>
        </w:tc>
      </w:tr>
      <w:tr>
        <w:trPr>
          <w:trHeight w:val="401" w:hRule="exact"/>
        </w:trPr>
        <w:tc>
          <w:tcPr>
            <w:tcW w:w="3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沈阳城市公共安全科技有限公司</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提供服务</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6,905,915.78</w:t>
            </w:r>
            <w:r>
              <w:rPr>
                <w:rFonts w:ascii="Times New Roman"/>
                <w:sz w:val="18"/>
              </w:rPr>
            </w:r>
          </w:p>
        </w:tc>
      </w:tr>
      <w:tr>
        <w:trPr>
          <w:trHeight w:val="403" w:hRule="exact"/>
        </w:trPr>
        <w:tc>
          <w:tcPr>
            <w:tcW w:w="3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厦门吉比特网络技术股份有限公司</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提供服务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4,894.34</w:t>
            </w: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15,094.34</w:t>
            </w:r>
          </w:p>
        </w:tc>
      </w:tr>
      <w:tr>
        <w:trPr>
          <w:trHeight w:val="401" w:hRule="exact"/>
        </w:trPr>
        <w:tc>
          <w:tcPr>
            <w:tcW w:w="3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柏科智能（厦门）科技有限公司</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出售商品</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100,981.62</w:t>
            </w: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304,630.57</w:t>
            </w:r>
          </w:p>
        </w:tc>
      </w:tr>
      <w:tr>
        <w:trPr>
          <w:trHeight w:val="403" w:hRule="exact"/>
        </w:trPr>
        <w:tc>
          <w:tcPr>
            <w:tcW w:w="3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香港柏科</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出售商品</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285,971.40</w:t>
            </w:r>
          </w:p>
        </w:tc>
        <w:tc>
          <w:tcPr>
            <w:tcW w:w="188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安徽华图信息科技有限公司</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出售商品</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230,088.48</w:t>
            </w:r>
          </w:p>
        </w:tc>
        <w:tc>
          <w:tcPr>
            <w:tcW w:w="188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国投钦州发电有限公司</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提供服务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452,358.49</w:t>
            </w:r>
          </w:p>
        </w:tc>
        <w:tc>
          <w:tcPr>
            <w:tcW w:w="188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国投智能科技有限公司</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提供服务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2,924.53</w:t>
            </w:r>
          </w:p>
        </w:tc>
        <w:tc>
          <w:tcPr>
            <w:tcW w:w="1886" w:type="dxa"/>
            <w:tcBorders>
              <w:top w:val="single" w:sz="4" w:space="0" w:color="000000"/>
              <w:left w:val="single" w:sz="4" w:space="0" w:color="000000"/>
              <w:bottom w:val="single" w:sz="4" w:space="0" w:color="000000"/>
              <w:right w:val="single" w:sz="4" w:space="0" w:color="000000"/>
            </w:tcBorders>
          </w:tcPr>
          <w:p>
            <w:pPr/>
          </w:p>
        </w:tc>
      </w:tr>
    </w:tbl>
    <w:p>
      <w:pPr>
        <w:spacing w:before="49"/>
        <w:ind w:left="212" w:right="1029" w:firstLine="0"/>
        <w:jc w:val="left"/>
        <w:rPr>
          <w:rFonts w:ascii="宋体" w:hAnsi="宋体" w:cs="宋体" w:eastAsia="宋体" w:hint="default"/>
          <w:sz w:val="18"/>
          <w:szCs w:val="18"/>
        </w:rPr>
      </w:pPr>
      <w:r>
        <w:rPr>
          <w:rFonts w:ascii="宋体" w:hAnsi="宋体" w:cs="宋体" w:eastAsia="宋体" w:hint="default"/>
          <w:sz w:val="18"/>
          <w:szCs w:val="18"/>
        </w:rPr>
        <w:t>购销商品、提供和接受劳务的关联交易说明</w:t>
      </w:r>
    </w:p>
    <w:p>
      <w:pPr>
        <w:spacing w:line="240" w:lineRule="auto" w:before="0"/>
        <w:rPr>
          <w:rFonts w:ascii="宋体" w:hAnsi="宋体" w:cs="宋体" w:eastAsia="宋体" w:hint="default"/>
          <w:sz w:val="18"/>
          <w:szCs w:val="18"/>
        </w:rPr>
      </w:pPr>
    </w:p>
    <w:p>
      <w:pPr>
        <w:pStyle w:val="Heading4"/>
        <w:spacing w:line="506" w:lineRule="auto" w:before="120"/>
        <w:ind w:left="212" w:right="4586"/>
        <w:jc w:val="left"/>
        <w:rPr>
          <w:b w:val="0"/>
          <w:bCs w:val="0"/>
        </w:rPr>
      </w:pPr>
      <w:bookmarkStart w:name="（2）关联受托管理/承包及委托管理/出包情况" w:id="461"/>
      <w:bookmarkEnd w:id="461"/>
      <w:r>
        <w:rPr>
          <w:b w:val="0"/>
          <w:bCs w:val="0"/>
        </w:rPr>
      </w:r>
      <w:r>
        <w:rPr>
          <w:spacing w:val="-1"/>
        </w:rPr>
        <w:t>（</w:t>
      </w:r>
      <w:r>
        <w:rPr>
          <w:rFonts w:ascii="Times New Roman" w:hAnsi="Times New Roman" w:cs="Times New Roman" w:eastAsia="Times New Roman" w:hint="default"/>
          <w:spacing w:val="-1"/>
        </w:rPr>
        <w:t>2</w:t>
      </w:r>
      <w:r>
        <w:rPr>
          <w:spacing w:val="-1"/>
        </w:rPr>
        <w:t>）关联受托管理</w:t>
      </w:r>
      <w:r>
        <w:rPr>
          <w:rFonts w:ascii="Times New Roman" w:hAnsi="Times New Roman" w:cs="Times New Roman" w:eastAsia="Times New Roman" w:hint="default"/>
          <w:spacing w:val="-1"/>
        </w:rPr>
        <w:t>/</w:t>
      </w:r>
      <w:r>
        <w:rPr>
          <w:spacing w:val="-1"/>
        </w:rPr>
        <w:t>承包及委托管理</w:t>
      </w:r>
      <w:r>
        <w:rPr>
          <w:rFonts w:ascii="Times New Roman" w:hAnsi="Times New Roman" w:cs="Times New Roman" w:eastAsia="Times New Roman" w:hint="default"/>
          <w:spacing w:val="-1"/>
        </w:rPr>
        <w:t>/</w:t>
      </w:r>
      <w:r>
        <w:rPr>
          <w:spacing w:val="-1"/>
        </w:rPr>
        <w:t>出包情况</w:t>
      </w:r>
      <w:r>
        <w:rPr>
          <w:spacing w:val="-83"/>
        </w:rPr>
        <w:t> </w:t>
      </w:r>
      <w:bookmarkStart w:name="无（3）关联租赁情况" w:id="462"/>
      <w:bookmarkEnd w:id="462"/>
      <w:r>
        <w:rPr/>
        <w:t>无（</w:t>
      </w:r>
      <w:r>
        <w:rPr>
          <w:rFonts w:ascii="Times New Roman" w:hAnsi="Times New Roman" w:cs="Times New Roman" w:eastAsia="Times New Roman" w:hint="default"/>
        </w:rPr>
        <w:t>3</w:t>
      </w:r>
      <w:r>
        <w:rPr/>
        <w:t>）关联租赁情况</w:t>
      </w:r>
      <w:r>
        <w:rPr>
          <w:b w:val="0"/>
          <w:bCs w:val="0"/>
        </w:rPr>
      </w:r>
    </w:p>
    <w:p>
      <w:pPr>
        <w:spacing w:before="84"/>
        <w:ind w:left="212" w:right="1029" w:firstLine="0"/>
        <w:jc w:val="left"/>
        <w:rPr>
          <w:rFonts w:ascii="宋体" w:hAnsi="宋体" w:cs="宋体" w:eastAsia="宋体" w:hint="default"/>
          <w:sz w:val="18"/>
          <w:szCs w:val="18"/>
        </w:rPr>
      </w:pPr>
      <w:r>
        <w:rPr>
          <w:rFonts w:ascii="宋体" w:hAnsi="宋体" w:cs="宋体" w:eastAsia="宋体" w:hint="default"/>
          <w:sz w:val="18"/>
          <w:szCs w:val="18"/>
        </w:rPr>
        <w:t>本公司作为出租方：</w:t>
      </w:r>
    </w:p>
    <w:p>
      <w:pPr>
        <w:spacing w:before="117"/>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00" w:type="dxa"/>
        <w:tblLayout w:type="fixed"/>
        <w:tblCellMar>
          <w:top w:w="0" w:type="dxa"/>
          <w:left w:w="0" w:type="dxa"/>
          <w:bottom w:w="0" w:type="dxa"/>
          <w:right w:w="0" w:type="dxa"/>
        </w:tblCellMar>
        <w:tblLook w:val="01E0"/>
      </w:tblPr>
      <w:tblGrid>
        <w:gridCol w:w="3794"/>
        <w:gridCol w:w="1416"/>
        <w:gridCol w:w="1966"/>
        <w:gridCol w:w="2393"/>
      </w:tblGrid>
      <w:tr>
        <w:trPr>
          <w:trHeight w:val="403"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承租方名称</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租赁资产种类</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67" w:right="0"/>
              <w:jc w:val="left"/>
              <w:rPr>
                <w:rFonts w:ascii="宋体" w:hAnsi="宋体" w:cs="宋体" w:eastAsia="宋体" w:hint="default"/>
                <w:sz w:val="18"/>
                <w:szCs w:val="18"/>
              </w:rPr>
            </w:pPr>
            <w:r>
              <w:rPr>
                <w:rFonts w:ascii="宋体" w:hAnsi="宋体" w:cs="宋体" w:eastAsia="宋体" w:hint="default"/>
                <w:sz w:val="18"/>
                <w:szCs w:val="18"/>
              </w:rPr>
              <w:t>本期确认的租赁收入</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81" w:right="0"/>
              <w:jc w:val="left"/>
              <w:rPr>
                <w:rFonts w:ascii="宋体" w:hAnsi="宋体" w:cs="宋体" w:eastAsia="宋体" w:hint="default"/>
                <w:sz w:val="18"/>
                <w:szCs w:val="18"/>
              </w:rPr>
            </w:pPr>
            <w:r>
              <w:rPr>
                <w:rFonts w:ascii="宋体" w:hAnsi="宋体" w:cs="宋体" w:eastAsia="宋体" w:hint="default"/>
                <w:sz w:val="18"/>
                <w:szCs w:val="18"/>
              </w:rPr>
              <w:t>上期确认的租赁收入</w:t>
            </w:r>
          </w:p>
        </w:tc>
      </w:tr>
      <w:tr>
        <w:trPr>
          <w:trHeight w:val="403"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厦门服云信息科技有限公司</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房屋</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41" w:right="0"/>
              <w:jc w:val="left"/>
              <w:rPr>
                <w:rFonts w:ascii="Times New Roman" w:hAnsi="Times New Roman" w:cs="Times New Roman" w:eastAsia="Times New Roman" w:hint="default"/>
                <w:sz w:val="18"/>
                <w:szCs w:val="18"/>
              </w:rPr>
            </w:pPr>
            <w:r>
              <w:rPr>
                <w:rFonts w:ascii="Times New Roman"/>
                <w:sz w:val="18"/>
              </w:rPr>
              <w:t>125,009.43</w:t>
            </w:r>
          </w:p>
        </w:tc>
        <w:tc>
          <w:tcPr>
            <w:tcW w:w="239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20" w:right="0"/>
        </w:sectPr>
      </w:pPr>
    </w:p>
    <w:p>
      <w:pPr>
        <w:spacing w:line="240" w:lineRule="auto" w:before="6"/>
        <w:rPr>
          <w:rFonts w:ascii="宋体" w:hAnsi="宋体" w:cs="宋体" w:eastAsia="宋体" w:hint="default"/>
          <w:sz w:val="28"/>
          <w:szCs w:val="28"/>
        </w:rPr>
      </w:pPr>
    </w:p>
    <w:tbl>
      <w:tblPr>
        <w:tblW w:w="0" w:type="auto"/>
        <w:jc w:val="left"/>
        <w:tblInd w:w="100" w:type="dxa"/>
        <w:tblLayout w:type="fixed"/>
        <w:tblCellMar>
          <w:top w:w="0" w:type="dxa"/>
          <w:left w:w="0" w:type="dxa"/>
          <w:bottom w:w="0" w:type="dxa"/>
          <w:right w:w="0" w:type="dxa"/>
        </w:tblCellMar>
        <w:tblLook w:val="01E0"/>
      </w:tblPr>
      <w:tblGrid>
        <w:gridCol w:w="3794"/>
        <w:gridCol w:w="1416"/>
        <w:gridCol w:w="1966"/>
        <w:gridCol w:w="2393"/>
      </w:tblGrid>
      <w:tr>
        <w:trPr>
          <w:trHeight w:val="401"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厦门市美亚梧桐投资管理有限公司</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房屋</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48,891.33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44,529.09</w:t>
            </w:r>
          </w:p>
        </w:tc>
      </w:tr>
      <w:tr>
        <w:trPr>
          <w:trHeight w:val="403"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厦门点连电子商务有限公司</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房屋</w:t>
            </w:r>
          </w:p>
        </w:tc>
        <w:tc>
          <w:tcPr>
            <w:tcW w:w="1966"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6,857.14</w:t>
            </w:r>
          </w:p>
        </w:tc>
      </w:tr>
      <w:tr>
        <w:trPr>
          <w:trHeight w:val="401"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中检美亚（北京）科技有限公司（北京万诚）</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房屋</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340,301.89</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柏科智能（厦门）科技有限公司</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房屋</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41,284.40</w:t>
            </w:r>
          </w:p>
        </w:tc>
        <w:tc>
          <w:tcPr>
            <w:tcW w:w="2393" w:type="dxa"/>
            <w:tcBorders>
              <w:top w:val="single" w:sz="4" w:space="0" w:color="000000"/>
              <w:left w:val="single" w:sz="4" w:space="0" w:color="000000"/>
              <w:bottom w:val="single" w:sz="4" w:space="0" w:color="000000"/>
              <w:right w:val="single" w:sz="4" w:space="0" w:color="000000"/>
            </w:tcBorders>
          </w:tcPr>
          <w:p>
            <w:pPr/>
          </w:p>
        </w:tc>
      </w:tr>
    </w:tbl>
    <w:p>
      <w:pPr>
        <w:spacing w:before="49"/>
        <w:ind w:left="212" w:right="1029" w:firstLine="0"/>
        <w:jc w:val="left"/>
        <w:rPr>
          <w:rFonts w:ascii="宋体" w:hAnsi="宋体" w:cs="宋体" w:eastAsia="宋体" w:hint="default"/>
          <w:sz w:val="18"/>
          <w:szCs w:val="18"/>
        </w:rPr>
      </w:pPr>
      <w:r>
        <w:rPr>
          <w:rFonts w:ascii="宋体" w:hAnsi="宋体" w:cs="宋体" w:eastAsia="宋体" w:hint="default"/>
          <w:sz w:val="18"/>
          <w:szCs w:val="18"/>
        </w:rPr>
        <w:t>本公司作为承租方：</w:t>
      </w:r>
    </w:p>
    <w:p>
      <w:pPr>
        <w:spacing w:before="115"/>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207" w:type="dxa"/>
        <w:tblLayout w:type="fixed"/>
        <w:tblCellMar>
          <w:top w:w="0" w:type="dxa"/>
          <w:left w:w="0" w:type="dxa"/>
          <w:bottom w:w="0" w:type="dxa"/>
          <w:right w:w="0" w:type="dxa"/>
        </w:tblCellMar>
        <w:tblLook w:val="01E0"/>
      </w:tblPr>
      <w:tblGrid>
        <w:gridCol w:w="3403"/>
        <w:gridCol w:w="1699"/>
        <w:gridCol w:w="2074"/>
        <w:gridCol w:w="2393"/>
      </w:tblGrid>
      <w:tr>
        <w:trPr>
          <w:trHeight w:val="403" w:hRule="exact"/>
        </w:trPr>
        <w:tc>
          <w:tcPr>
            <w:tcW w:w="340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出租方名称</w:t>
            </w:r>
          </w:p>
        </w:tc>
        <w:tc>
          <w:tcPr>
            <w:tcW w:w="169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04"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07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11" w:right="0"/>
              <w:jc w:val="left"/>
              <w:rPr>
                <w:rFonts w:ascii="宋体" w:hAnsi="宋体" w:cs="宋体" w:eastAsia="宋体" w:hint="default"/>
                <w:sz w:val="18"/>
                <w:szCs w:val="18"/>
              </w:rPr>
            </w:pPr>
            <w:r>
              <w:rPr>
                <w:rFonts w:ascii="宋体" w:hAnsi="宋体" w:cs="宋体" w:eastAsia="宋体" w:hint="default"/>
                <w:sz w:val="18"/>
                <w:szCs w:val="18"/>
              </w:rPr>
              <w:t>本期确认的租赁费</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70" w:right="0"/>
              <w:jc w:val="left"/>
              <w:rPr>
                <w:rFonts w:ascii="宋体" w:hAnsi="宋体" w:cs="宋体" w:eastAsia="宋体" w:hint="default"/>
                <w:sz w:val="18"/>
                <w:szCs w:val="18"/>
              </w:rPr>
            </w:pPr>
            <w:r>
              <w:rPr>
                <w:rFonts w:ascii="宋体" w:hAnsi="宋体" w:cs="宋体" w:eastAsia="宋体" w:hint="default"/>
                <w:sz w:val="18"/>
                <w:szCs w:val="18"/>
              </w:rPr>
              <w:t>上期确认的租赁费</w:t>
            </w:r>
          </w:p>
        </w:tc>
      </w:tr>
      <w:tr>
        <w:trPr>
          <w:trHeight w:val="401" w:hRule="exact"/>
        </w:trPr>
        <w:tc>
          <w:tcPr>
            <w:tcW w:w="3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沈阳城市公共安全科技有限公司</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房屋</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19" w:right="0"/>
              <w:jc w:val="left"/>
              <w:rPr>
                <w:rFonts w:ascii="Times New Roman" w:hAnsi="Times New Roman" w:cs="Times New Roman" w:eastAsia="Times New Roman" w:hint="default"/>
                <w:sz w:val="18"/>
                <w:szCs w:val="18"/>
              </w:rPr>
            </w:pPr>
            <w:r>
              <w:rPr>
                <w:rFonts w:ascii="Times New Roman"/>
                <w:sz w:val="18"/>
              </w:rPr>
              <w:t>66,000.00</w:t>
            </w:r>
          </w:p>
        </w:tc>
        <w:tc>
          <w:tcPr>
            <w:tcW w:w="2393" w:type="dxa"/>
            <w:tcBorders>
              <w:top w:val="single" w:sz="4" w:space="0" w:color="000000"/>
              <w:left w:val="single" w:sz="4" w:space="0" w:color="000000"/>
              <w:bottom w:val="single" w:sz="4" w:space="0" w:color="000000"/>
              <w:right w:val="single" w:sz="4" w:space="0" w:color="000000"/>
            </w:tcBorders>
          </w:tcPr>
          <w:p>
            <w:pPr/>
          </w:p>
        </w:tc>
      </w:tr>
    </w:tbl>
    <w:p>
      <w:pPr>
        <w:spacing w:before="49"/>
        <w:ind w:left="212" w:right="1029" w:firstLine="0"/>
        <w:jc w:val="left"/>
        <w:rPr>
          <w:rFonts w:ascii="宋体" w:hAnsi="宋体" w:cs="宋体" w:eastAsia="宋体" w:hint="default"/>
          <w:sz w:val="18"/>
          <w:szCs w:val="18"/>
        </w:rPr>
      </w:pPr>
      <w:r>
        <w:rPr>
          <w:rFonts w:ascii="宋体" w:hAnsi="宋体" w:cs="宋体" w:eastAsia="宋体" w:hint="default"/>
          <w:sz w:val="18"/>
          <w:szCs w:val="18"/>
        </w:rPr>
        <w:t>关联租赁情况说明</w:t>
      </w:r>
    </w:p>
    <w:p>
      <w:pPr>
        <w:spacing w:line="240" w:lineRule="auto" w:before="0"/>
        <w:rPr>
          <w:rFonts w:ascii="宋体" w:hAnsi="宋体" w:cs="宋体" w:eastAsia="宋体" w:hint="default"/>
          <w:sz w:val="18"/>
          <w:szCs w:val="18"/>
        </w:rPr>
      </w:pPr>
    </w:p>
    <w:p>
      <w:pPr>
        <w:pStyle w:val="Heading4"/>
        <w:spacing w:line="240" w:lineRule="auto" w:before="120"/>
        <w:ind w:left="212" w:right="1029"/>
        <w:jc w:val="left"/>
        <w:rPr>
          <w:b w:val="0"/>
          <w:bCs w:val="0"/>
        </w:rPr>
      </w:pPr>
      <w:bookmarkStart w:name="（4）关联担保情况" w:id="463"/>
      <w:bookmarkEnd w:id="463"/>
      <w:r>
        <w:rPr>
          <w:b w:val="0"/>
          <w:bCs w:val="0"/>
        </w:rPr>
      </w:r>
      <w:r>
        <w:rPr/>
        <w:t>（</w:t>
      </w:r>
      <w:r>
        <w:rPr>
          <w:rFonts w:ascii="Times New Roman" w:hAnsi="Times New Roman" w:cs="Times New Roman" w:eastAsia="Times New Roman" w:hint="default"/>
        </w:rPr>
        <w:t>4</w:t>
      </w:r>
      <w:r>
        <w:rPr/>
        <w:t>）关联担保情况</w:t>
      </w:r>
      <w:r>
        <w:rPr>
          <w:b w:val="0"/>
          <w:bCs w:val="0"/>
        </w:rPr>
      </w:r>
    </w:p>
    <w:p>
      <w:pPr>
        <w:spacing w:line="240" w:lineRule="auto" w:before="5"/>
        <w:rPr>
          <w:rFonts w:ascii="宋体" w:hAnsi="宋体" w:cs="宋体" w:eastAsia="宋体" w:hint="default"/>
          <w:b/>
          <w:bCs/>
          <w:sz w:val="32"/>
          <w:szCs w:val="32"/>
        </w:rPr>
      </w:pPr>
    </w:p>
    <w:p>
      <w:pPr>
        <w:spacing w:before="0"/>
        <w:ind w:left="575" w:right="1029"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4"/>
        <w:spacing w:line="571" w:lineRule="auto"/>
        <w:ind w:left="575" w:right="8752" w:hanging="363"/>
        <w:jc w:val="left"/>
        <w:rPr>
          <w:rFonts w:ascii="宋体" w:hAnsi="宋体" w:cs="宋体" w:eastAsia="宋体" w:hint="default"/>
          <w:b w:val="0"/>
          <w:bCs w:val="0"/>
        </w:rPr>
      </w:pPr>
      <w:bookmarkStart w:name="（5）关联方资金拆借" w:id="464"/>
      <w:bookmarkEnd w:id="464"/>
      <w:r>
        <w:rPr>
          <w:b w:val="0"/>
          <w:bCs w:val="0"/>
        </w:rPr>
      </w:r>
      <w:r>
        <w:rPr/>
        <w:t>（</w:t>
      </w:r>
      <w:r>
        <w:rPr>
          <w:rFonts w:ascii="Times New Roman" w:hAnsi="Times New Roman" w:cs="Times New Roman" w:eastAsia="Times New Roman" w:hint="default"/>
        </w:rPr>
        <w:t>5</w:t>
      </w:r>
      <w:r>
        <w:rPr/>
        <w:t>）关联方资金拆借</w:t>
      </w:r>
      <w:r>
        <w:rPr>
          <w:w w:val="100"/>
        </w:rPr>
        <w:t> </w:t>
      </w:r>
      <w:r>
        <w:rPr>
          <w:rFonts w:ascii="宋体" w:hAnsi="宋体" w:cs="宋体" w:eastAsia="宋体" w:hint="default"/>
          <w:b w:val="0"/>
          <w:bCs w:val="0"/>
        </w:rPr>
        <w:t>无</w:t>
      </w:r>
    </w:p>
    <w:p>
      <w:pPr>
        <w:pStyle w:val="Heading4"/>
        <w:spacing w:line="571" w:lineRule="auto" w:before="126"/>
        <w:ind w:left="575" w:right="7123" w:hanging="363"/>
        <w:jc w:val="left"/>
        <w:rPr>
          <w:rFonts w:ascii="宋体" w:hAnsi="宋体" w:cs="宋体" w:eastAsia="宋体" w:hint="default"/>
          <w:b w:val="0"/>
          <w:bCs w:val="0"/>
        </w:rPr>
      </w:pPr>
      <w:bookmarkStart w:name="（6）关联方资产转让、债务重组情况" w:id="465"/>
      <w:bookmarkEnd w:id="465"/>
      <w:r>
        <w:rPr>
          <w:b w:val="0"/>
          <w:bCs w:val="0"/>
        </w:rPr>
      </w:r>
      <w:r>
        <w:rPr>
          <w:spacing w:val="-1"/>
        </w:rPr>
        <w:t>（</w:t>
      </w:r>
      <w:r>
        <w:rPr>
          <w:rFonts w:ascii="Times New Roman" w:hAnsi="Times New Roman" w:cs="Times New Roman" w:eastAsia="Times New Roman" w:hint="default"/>
          <w:spacing w:val="-1"/>
        </w:rPr>
        <w:t>6</w:t>
      </w:r>
      <w:r>
        <w:rPr>
          <w:spacing w:val="-1"/>
        </w:rPr>
        <w:t>）关联方资产转让、债务重组情况</w:t>
      </w:r>
      <w:r>
        <w:rPr>
          <w:spacing w:val="-90"/>
        </w:rPr>
        <w:t> </w:t>
      </w:r>
      <w:r>
        <w:rPr>
          <w:spacing w:val="-90"/>
        </w:rPr>
      </w:r>
      <w:r>
        <w:rPr>
          <w:rFonts w:ascii="宋体" w:hAnsi="宋体" w:cs="宋体" w:eastAsia="宋体" w:hint="default"/>
          <w:b w:val="0"/>
          <w:bCs w:val="0"/>
        </w:rPr>
        <w:t>无</w:t>
      </w:r>
    </w:p>
    <w:p>
      <w:pPr>
        <w:pStyle w:val="Heading4"/>
        <w:spacing w:line="240" w:lineRule="auto" w:before="124"/>
        <w:ind w:left="212" w:right="1029"/>
        <w:jc w:val="left"/>
        <w:rPr>
          <w:b w:val="0"/>
          <w:bCs w:val="0"/>
        </w:rPr>
      </w:pPr>
      <w:bookmarkStart w:name="（7）关键管理人员报酬" w:id="466"/>
      <w:bookmarkEnd w:id="466"/>
      <w:r>
        <w:rPr>
          <w:b w:val="0"/>
          <w:bCs w:val="0"/>
        </w:rPr>
      </w:r>
      <w:r>
        <w:rPr/>
        <w:t>（</w:t>
      </w:r>
      <w:r>
        <w:rPr>
          <w:rFonts w:ascii="Times New Roman" w:hAnsi="Times New Roman" w:cs="Times New Roman" w:eastAsia="Times New Roman" w:hint="default"/>
        </w:rPr>
        <w:t>7</w:t>
      </w:r>
      <w:r>
        <w:rPr/>
        <w:t>）关键管理人员报酬</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万元</w:t>
      </w:r>
    </w:p>
    <w:p>
      <w:pPr>
        <w:spacing w:line="240" w:lineRule="auto" w:before="4"/>
        <w:rPr>
          <w:rFonts w:ascii="宋体" w:hAnsi="宋体" w:cs="宋体" w:eastAsia="宋体" w:hint="default"/>
          <w:sz w:val="8"/>
          <w:szCs w:val="8"/>
        </w:rPr>
      </w:pPr>
    </w:p>
    <w:tbl>
      <w:tblPr>
        <w:tblW w:w="0" w:type="auto"/>
        <w:jc w:val="left"/>
        <w:tblInd w:w="207"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关键管理人员薪酬</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886.77</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933.88</w:t>
            </w:r>
            <w:r>
              <w:rPr>
                <w:rFonts w:ascii="Times New Roman"/>
                <w:sz w:val="18"/>
              </w:rPr>
            </w:r>
          </w:p>
        </w:tc>
      </w:tr>
    </w:tbl>
    <w:p>
      <w:pPr>
        <w:spacing w:line="240" w:lineRule="auto" w:before="3"/>
        <w:rPr>
          <w:rFonts w:ascii="宋体" w:hAnsi="宋体" w:cs="宋体" w:eastAsia="宋体" w:hint="default"/>
          <w:sz w:val="19"/>
          <w:szCs w:val="19"/>
        </w:rPr>
      </w:pPr>
    </w:p>
    <w:p>
      <w:pPr>
        <w:pStyle w:val="Heading4"/>
        <w:spacing w:line="240" w:lineRule="auto" w:before="36"/>
        <w:ind w:left="212" w:right="1029"/>
        <w:jc w:val="left"/>
        <w:rPr>
          <w:b w:val="0"/>
          <w:bCs w:val="0"/>
        </w:rPr>
      </w:pPr>
      <w:bookmarkStart w:name="（8）其他关联交易" w:id="467"/>
      <w:bookmarkEnd w:id="467"/>
      <w:r>
        <w:rPr>
          <w:b w:val="0"/>
          <w:bCs w:val="0"/>
        </w:rPr>
      </w:r>
      <w:r>
        <w:rPr/>
        <w:t>（</w:t>
      </w:r>
      <w:r>
        <w:rPr>
          <w:rFonts w:ascii="Times New Roman" w:hAnsi="Times New Roman" w:cs="Times New Roman" w:eastAsia="Times New Roman" w:hint="default"/>
        </w:rPr>
        <w:t>8</w:t>
      </w:r>
      <w:r>
        <w:rPr/>
        <w:t>）其他关联交易</w:t>
      </w:r>
      <w:r>
        <w:rPr>
          <w:b w:val="0"/>
          <w:bCs w:val="0"/>
        </w:rPr>
      </w:r>
    </w:p>
    <w:p>
      <w:pPr>
        <w:spacing w:line="240" w:lineRule="auto" w:before="8"/>
        <w:rPr>
          <w:rFonts w:ascii="宋体" w:hAnsi="宋体" w:cs="宋体" w:eastAsia="宋体" w:hint="default"/>
          <w:b/>
          <w:bCs/>
          <w:sz w:val="30"/>
          <w:szCs w:val="30"/>
        </w:rPr>
      </w:pPr>
    </w:p>
    <w:p>
      <w:pPr>
        <w:pStyle w:val="BodyText"/>
        <w:spacing w:line="408" w:lineRule="auto" w:before="0"/>
        <w:ind w:left="212" w:right="1111" w:firstLine="362"/>
        <w:jc w:val="both"/>
      </w:pPr>
      <w:r>
        <w:rPr/>
        <w:t>本期本集团与控股股东国投智能共同投资了厦门市柏科晔济投资管理合伙企业（有限合伙）。厦门市</w:t>
      </w:r>
      <w:r>
        <w:rPr>
          <w:w w:val="100"/>
        </w:rPr>
        <w:t> </w:t>
      </w:r>
      <w:r>
        <w:rPr>
          <w:spacing w:val="-2"/>
        </w:rPr>
        <w:t>柏科晔济投资管理合伙企业（有限合伙）于</w:t>
      </w:r>
      <w:r>
        <w:rPr>
          <w:rFonts w:ascii="宋体" w:hAnsi="宋体" w:cs="宋体" w:eastAsia="宋体" w:hint="default"/>
          <w:spacing w:val="-2"/>
        </w:rPr>
        <w:t>2019</w:t>
      </w:r>
      <w:r>
        <w:rPr>
          <w:spacing w:val="-2"/>
        </w:rPr>
        <w:t>年</w:t>
      </w:r>
      <w:r>
        <w:rPr>
          <w:rFonts w:ascii="宋体" w:hAnsi="宋体" w:cs="宋体" w:eastAsia="宋体" w:hint="default"/>
          <w:spacing w:val="-2"/>
        </w:rPr>
        <w:t>11</w:t>
      </w:r>
      <w:r>
        <w:rPr>
          <w:spacing w:val="-2"/>
        </w:rPr>
        <w:t>月</w:t>
      </w:r>
      <w:r>
        <w:rPr>
          <w:rFonts w:ascii="宋体" w:hAnsi="宋体" w:cs="宋体" w:eastAsia="宋体" w:hint="default"/>
          <w:spacing w:val="-2"/>
        </w:rPr>
        <w:t>5</w:t>
      </w:r>
      <w:r>
        <w:rPr>
          <w:spacing w:val="-2"/>
        </w:rPr>
        <w:t>日设立，注册资本</w:t>
      </w:r>
      <w:r>
        <w:rPr>
          <w:rFonts w:ascii="宋体" w:hAnsi="宋体" w:cs="宋体" w:eastAsia="宋体" w:hint="default"/>
          <w:spacing w:val="-2"/>
        </w:rPr>
        <w:t>1000</w:t>
      </w:r>
      <w:r>
        <w:rPr>
          <w:spacing w:val="-2"/>
        </w:rPr>
        <w:t>万元本公司出资</w:t>
      </w:r>
      <w:r>
        <w:rPr>
          <w:rFonts w:ascii="宋体" w:hAnsi="宋体" w:cs="宋体" w:eastAsia="宋体" w:hint="default"/>
          <w:spacing w:val="-2"/>
        </w:rPr>
        <w:t>200</w:t>
      </w:r>
      <w:r>
        <w:rPr>
          <w:spacing w:val="-2"/>
        </w:rPr>
        <w:t>万元，</w:t>
      </w:r>
      <w:r>
        <w:rPr>
          <w:spacing w:val="-16"/>
        </w:rPr>
        <w:t> </w:t>
      </w:r>
      <w:r>
        <w:rPr>
          <w:spacing w:val="-16"/>
        </w:rPr>
      </w:r>
      <w:r>
        <w:rPr/>
        <w:t>持股</w:t>
      </w:r>
      <w:r>
        <w:rPr>
          <w:rFonts w:ascii="宋体" w:hAnsi="宋体" w:cs="宋体" w:eastAsia="宋体" w:hint="default"/>
        </w:rPr>
        <w:t>20%</w:t>
      </w:r>
      <w:r>
        <w:rPr/>
        <w:t>；国投智能出资</w:t>
      </w:r>
      <w:r>
        <w:rPr>
          <w:rFonts w:ascii="宋体" w:hAnsi="宋体" w:cs="宋体" w:eastAsia="宋体" w:hint="default"/>
        </w:rPr>
        <w:t>290</w:t>
      </w:r>
      <w:r>
        <w:rPr/>
        <w:t>万元，持股</w:t>
      </w:r>
      <w:r>
        <w:rPr>
          <w:rFonts w:ascii="宋体" w:hAnsi="宋体" w:cs="宋体" w:eastAsia="宋体" w:hint="default"/>
        </w:rPr>
        <w:t>29%</w:t>
      </w:r>
      <w:r>
        <w:rPr/>
        <w:t>。该公司经营范围：投资管理；受托管理股权投资、提供相关</w:t>
      </w:r>
      <w:r>
        <w:rPr>
          <w:spacing w:val="-32"/>
        </w:rPr>
        <w:t> </w:t>
      </w:r>
      <w:r>
        <w:rPr>
          <w:spacing w:val="-32"/>
        </w:rPr>
      </w:r>
      <w:r>
        <w:rPr>
          <w:spacing w:val="-2"/>
        </w:rPr>
        <w:t>咨询服务；在法律法规许可的范围内，运用本基金资产对未上市企业或股权投资企业进行投资；对第一产</w:t>
      </w:r>
      <w:r>
        <w:rPr>
          <w:spacing w:val="-43"/>
        </w:rPr>
        <w:t> </w:t>
      </w:r>
      <w:r>
        <w:rPr>
          <w:spacing w:val="-43"/>
        </w:rPr>
      </w:r>
      <w:r>
        <w:rPr/>
        <w:t>业、第二产业、第三产业的投资；依法从事对非公开交易的企业股权进行投资以及相关咨询服务。</w:t>
      </w:r>
    </w:p>
    <w:p>
      <w:pPr>
        <w:spacing w:after="0" w:line="408" w:lineRule="auto"/>
        <w:jc w:val="both"/>
        <w:sectPr>
          <w:pgSz w:w="11910" w:h="16840"/>
          <w:pgMar w:header="745" w:footer="982" w:top="1060" w:bottom="1180" w:left="92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6、关联方应收应付款项" w:id="468"/>
      <w:bookmarkEnd w:id="468"/>
      <w:r>
        <w:rPr>
          <w:b w:val="0"/>
          <w:bCs w:val="0"/>
        </w:rPr>
      </w:r>
      <w:r>
        <w:rPr>
          <w:rFonts w:ascii="Times New Roman" w:hAnsi="Times New Roman" w:cs="Times New Roman" w:eastAsia="Times New Roman" w:hint="default"/>
        </w:rPr>
        <w:t>6</w:t>
      </w:r>
      <w:r>
        <w:rPr/>
        <w:t>、关联方应收应付款项</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应收项目" w:id="469"/>
      <w:bookmarkEnd w:id="469"/>
      <w:r>
        <w:rPr>
          <w:b w:val="0"/>
          <w:bCs w:val="0"/>
        </w:rPr>
      </w:r>
      <w:r>
        <w:rPr/>
        <w:t>（</w:t>
      </w:r>
      <w:r>
        <w:rPr>
          <w:rFonts w:ascii="Times New Roman" w:hAnsi="Times New Roman" w:cs="Times New Roman" w:eastAsia="Times New Roman" w:hint="default"/>
        </w:rPr>
        <w:t>1</w:t>
      </w:r>
      <w:r>
        <w:rPr/>
        <w:t>）应收项目</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188"/>
        <w:gridCol w:w="2849"/>
        <w:gridCol w:w="1094"/>
        <w:gridCol w:w="1248"/>
        <w:gridCol w:w="1594"/>
        <w:gridCol w:w="1594"/>
      </w:tblGrid>
      <w:tr>
        <w:trPr>
          <w:trHeight w:val="401" w:hRule="exact"/>
        </w:trPr>
        <w:tc>
          <w:tcPr>
            <w:tcW w:w="1188"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28"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2849"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42"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7"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188" w:type="dxa"/>
            <w:vMerge/>
            <w:tcBorders>
              <w:left w:val="single" w:sz="4" w:space="0" w:color="000000"/>
              <w:bottom w:val="single" w:sz="4" w:space="0" w:color="000000"/>
              <w:right w:val="single" w:sz="4" w:space="0" w:color="000000"/>
            </w:tcBorders>
            <w:shd w:val="clear" w:color="auto" w:fill="D4D4D4"/>
          </w:tcPr>
          <w:p>
            <w:pPr/>
          </w:p>
        </w:tc>
        <w:tc>
          <w:tcPr>
            <w:tcW w:w="2849" w:type="dxa"/>
            <w:vMerge/>
            <w:tcBorders>
              <w:left w:val="single" w:sz="4" w:space="0" w:color="000000"/>
              <w:bottom w:val="single" w:sz="4" w:space="0" w:color="000000"/>
              <w:right w:val="single" w:sz="4" w:space="0" w:color="000000"/>
            </w:tcBorders>
            <w:shd w:val="clear" w:color="auto" w:fill="D4D4D4"/>
          </w:tcPr>
          <w:p>
            <w:pPr/>
          </w:p>
        </w:tc>
        <w:tc>
          <w:tcPr>
            <w:tcW w:w="10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8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4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5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401"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福建宏创科技信息有限公司</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5,833,740.58</w:t>
            </w:r>
            <w:r>
              <w:rPr>
                <w:rFonts w:ascii="Times New Roman"/>
                <w:sz w:val="18"/>
              </w:rPr>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821,158.28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4,723,319.97</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502,537.25</w:t>
            </w:r>
          </w:p>
        </w:tc>
      </w:tr>
      <w:tr>
        <w:trPr>
          <w:trHeight w:val="403"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厦门服云信息科技有限公司</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477,804.88</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41,309.99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193,194.88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w w:val="95"/>
                <w:sz w:val="18"/>
              </w:rPr>
              <w:t>11,599.74</w:t>
            </w:r>
          </w:p>
        </w:tc>
      </w:tr>
      <w:tr>
        <w:trPr>
          <w:trHeight w:val="401"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厦门市巨龙信息科技有限公司</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1,143,120.00</w:t>
            </w:r>
            <w:r>
              <w:rPr>
                <w:rFonts w:ascii="Times New Roman"/>
                <w:sz w:val="18"/>
              </w:rPr>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104,536.00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3,921,436.15</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196,347.81</w:t>
            </w:r>
          </w:p>
        </w:tc>
      </w:tr>
      <w:tr>
        <w:trPr>
          <w:trHeight w:val="403"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沈阳城市公共安全科技有限公司</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3,058,650.00</w:t>
            </w:r>
            <w:r>
              <w:rPr>
                <w:rFonts w:ascii="Times New Roman"/>
                <w:sz w:val="18"/>
              </w:rPr>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305,865.00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3,058,650.00</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152,932.50</w:t>
            </w:r>
          </w:p>
        </w:tc>
      </w:tr>
      <w:tr>
        <w:trPr>
          <w:trHeight w:val="401"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厦门市美亚梧桐投资管理有限公司</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46,336.47</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2,316.82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w w:val="95"/>
                <w:sz w:val="18"/>
              </w:rPr>
              <w:t>45,962.11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2,298.11</w:t>
            </w:r>
          </w:p>
        </w:tc>
      </w:tr>
      <w:tr>
        <w:trPr>
          <w:trHeight w:val="403"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北京万方智讯信息技术有限公司</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285,200.00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14,260.00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安徽华图信息科技有限公司</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7"/>
              <w:jc w:val="right"/>
              <w:rPr>
                <w:rFonts w:ascii="Arial" w:hAnsi="Arial" w:cs="Arial" w:eastAsia="Arial" w:hint="default"/>
                <w:sz w:val="18"/>
                <w:szCs w:val="18"/>
              </w:rPr>
            </w:pPr>
            <w:r>
              <w:rPr>
                <w:rFonts w:ascii="Arial"/>
                <w:spacing w:val="-1"/>
                <w:sz w:val="18"/>
              </w:rPr>
              <w:t>32,500.00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9"/>
              <w:jc w:val="right"/>
              <w:rPr>
                <w:rFonts w:ascii="Arial" w:hAnsi="Arial" w:cs="Arial" w:eastAsia="Arial" w:hint="default"/>
                <w:sz w:val="18"/>
                <w:szCs w:val="18"/>
              </w:rPr>
            </w:pPr>
            <w:r>
              <w:rPr>
                <w:rFonts w:ascii="Arial"/>
                <w:spacing w:val="-1"/>
                <w:sz w:val="18"/>
              </w:rPr>
              <w:t>1,625.00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9"/>
              <w:jc w:val="left"/>
              <w:rPr>
                <w:rFonts w:ascii="宋体" w:hAnsi="宋体" w:cs="宋体" w:eastAsia="宋体" w:hint="default"/>
                <w:sz w:val="18"/>
                <w:szCs w:val="18"/>
              </w:rPr>
            </w:pPr>
            <w:r>
              <w:rPr>
                <w:rFonts w:ascii="宋体" w:hAnsi="宋体" w:cs="宋体" w:eastAsia="宋体" w:hint="default"/>
                <w:spacing w:val="-6"/>
                <w:sz w:val="18"/>
                <w:szCs w:val="18"/>
              </w:rPr>
              <w:t>中检美亚（北京）科技有限公司（北</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京万诚）</w:t>
            </w:r>
          </w:p>
        </w:tc>
        <w:tc>
          <w:tcPr>
            <w:tcW w:w="1094"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7"/>
              <w:jc w:val="right"/>
              <w:rPr>
                <w:rFonts w:ascii="Arial" w:hAnsi="Arial" w:cs="Arial" w:eastAsia="Arial" w:hint="default"/>
                <w:sz w:val="18"/>
                <w:szCs w:val="18"/>
              </w:rPr>
            </w:pPr>
            <w:r>
              <w:rPr>
                <w:rFonts w:ascii="Arial"/>
                <w:spacing w:val="-1"/>
                <w:sz w:val="18"/>
              </w:rPr>
              <w:t>200,000.00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7"/>
              <w:jc w:val="right"/>
              <w:rPr>
                <w:rFonts w:ascii="Arial" w:hAnsi="Arial" w:cs="Arial" w:eastAsia="Arial" w:hint="default"/>
                <w:sz w:val="18"/>
                <w:szCs w:val="18"/>
              </w:rPr>
            </w:pPr>
            <w:r>
              <w:rPr>
                <w:rFonts w:ascii="Arial"/>
                <w:spacing w:val="-1"/>
                <w:sz w:val="18"/>
              </w:rPr>
              <w:t>10,000.00</w:t>
            </w:r>
          </w:p>
        </w:tc>
      </w:tr>
      <w:tr>
        <w:trPr>
          <w:trHeight w:val="401"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北京万方智讯信息技术有限公司</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712,000.00</w:t>
            </w:r>
          </w:p>
        </w:tc>
        <w:tc>
          <w:tcPr>
            <w:tcW w:w="1248"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712,000.00</w:t>
            </w: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厦门市巨龙信息科技有限公司</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3,188,568.73</w:t>
            </w:r>
            <w:r>
              <w:rPr>
                <w:rFonts w:ascii="Times New Roman"/>
                <w:sz w:val="18"/>
              </w:rPr>
            </w:r>
          </w:p>
        </w:tc>
        <w:tc>
          <w:tcPr>
            <w:tcW w:w="1248"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2,967,329.79</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沈阳城市公共安全科技有限公司</w:t>
            </w:r>
          </w:p>
        </w:tc>
        <w:tc>
          <w:tcPr>
            <w:tcW w:w="1094"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500,000.00</w:t>
            </w: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安徽华图信息科技有限公司</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75,221.24</w:t>
            </w:r>
          </w:p>
        </w:tc>
        <w:tc>
          <w:tcPr>
            <w:tcW w:w="1248"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常熟柏科特种车辆有限公司</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674,777.77</w:t>
            </w:r>
          </w:p>
        </w:tc>
        <w:tc>
          <w:tcPr>
            <w:tcW w:w="1248"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610,829.06</w:t>
            </w: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9"/>
              <w:jc w:val="left"/>
              <w:rPr>
                <w:rFonts w:ascii="宋体" w:hAnsi="宋体" w:cs="宋体" w:eastAsia="宋体" w:hint="default"/>
                <w:sz w:val="18"/>
                <w:szCs w:val="18"/>
              </w:rPr>
            </w:pPr>
            <w:r>
              <w:rPr>
                <w:rFonts w:ascii="宋体" w:hAnsi="宋体" w:cs="宋体" w:eastAsia="宋体" w:hint="default"/>
                <w:spacing w:val="-6"/>
                <w:sz w:val="18"/>
                <w:szCs w:val="18"/>
              </w:rPr>
              <w:t>中检美亚（北京）科技有限公司（北</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京万诚）</w:t>
            </w:r>
          </w:p>
        </w:tc>
        <w:tc>
          <w:tcPr>
            <w:tcW w:w="1094"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7"/>
              <w:jc w:val="right"/>
              <w:rPr>
                <w:rFonts w:ascii="Arial" w:hAnsi="Arial" w:cs="Arial" w:eastAsia="Arial" w:hint="default"/>
                <w:sz w:val="18"/>
                <w:szCs w:val="18"/>
              </w:rPr>
            </w:pPr>
            <w:r>
              <w:rPr>
                <w:rFonts w:ascii="Arial"/>
                <w:spacing w:val="-1"/>
                <w:sz w:val="18"/>
              </w:rPr>
              <w:t>6,428,800.00</w:t>
            </w: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厦门服云信息科技有限公司</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847,993.71</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160,862.97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621,489.08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72,803.65</w:t>
            </w:r>
          </w:p>
        </w:tc>
      </w:tr>
      <w:tr>
        <w:trPr>
          <w:trHeight w:val="403"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厦门市巨龙信息科技有限公司</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627,400.00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62,740.00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1,975,000.00</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108,250.00</w:t>
            </w:r>
          </w:p>
        </w:tc>
      </w:tr>
      <w:tr>
        <w:trPr>
          <w:trHeight w:val="401"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北京万方智讯信息技术有限公司</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948,989.99</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85,293.31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668,876.11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33,443.81</w:t>
            </w:r>
          </w:p>
        </w:tc>
      </w:tr>
      <w:tr>
        <w:trPr>
          <w:trHeight w:val="403"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沈阳城市公共安全科技有限公司</w:t>
            </w:r>
          </w:p>
        </w:tc>
        <w:tc>
          <w:tcPr>
            <w:tcW w:w="1094"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66,000.00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3,300.00</w:t>
            </w:r>
          </w:p>
        </w:tc>
      </w:tr>
      <w:tr>
        <w:trPr>
          <w:trHeight w:val="401"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柏科智能（厦门）科技有限公司</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4,859.18</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242.96</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31,884.65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1,594.23</w:t>
            </w:r>
          </w:p>
        </w:tc>
      </w:tr>
      <w:tr>
        <w:trPr>
          <w:trHeight w:val="403"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厦门市美亚梧桐投资管理有限公司</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165,322.91</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8,266.15</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2）应付项目" w:id="470"/>
      <w:bookmarkEnd w:id="470"/>
      <w:r>
        <w:rPr>
          <w:b w:val="0"/>
          <w:bCs w:val="0"/>
        </w:rPr>
      </w:r>
      <w:r>
        <w:rPr/>
        <w:t>（</w:t>
      </w:r>
      <w:r>
        <w:rPr>
          <w:rFonts w:ascii="Times New Roman" w:hAnsi="Times New Roman" w:cs="Times New Roman" w:eastAsia="Times New Roman" w:hint="default"/>
        </w:rPr>
        <w:t>2</w:t>
      </w:r>
      <w:r>
        <w:rPr/>
        <w:t>）应付项目</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77"/>
        <w:gridCol w:w="3206"/>
        <w:gridCol w:w="2393"/>
        <w:gridCol w:w="2393"/>
      </w:tblGrid>
      <w:tr>
        <w:trPr>
          <w:trHeight w:val="403" w:hRule="exact"/>
        </w:trPr>
        <w:tc>
          <w:tcPr>
            <w:tcW w:w="157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24"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320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6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6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1" w:hRule="exact"/>
        </w:trPr>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柏科（常熟）电机有限公司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4,576,223.92</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1,535,227.27</w:t>
            </w:r>
            <w:r>
              <w:rPr>
                <w:rFonts w:ascii="Times New Roman"/>
                <w:sz w:val="18"/>
              </w:rPr>
            </w:r>
          </w:p>
        </w:tc>
      </w:tr>
      <w:tr>
        <w:trPr>
          <w:trHeight w:val="403" w:hRule="exact"/>
        </w:trPr>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厦门市巨龙信息科技有限公司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1,366,493.14</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119,325.00</w:t>
            </w:r>
            <w:r>
              <w:rPr>
                <w:rFonts w:ascii="Times New Roman"/>
                <w:sz w:val="18"/>
              </w:rPr>
            </w:r>
          </w:p>
        </w:tc>
      </w:tr>
      <w:tr>
        <w:trPr>
          <w:trHeight w:val="401" w:hRule="exact"/>
        </w:trPr>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厦门服云信息科技有限公司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2,151,677.61</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2,187,432.03</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577"/>
        <w:gridCol w:w="3206"/>
        <w:gridCol w:w="2393"/>
        <w:gridCol w:w="2393"/>
      </w:tblGrid>
      <w:tr>
        <w:trPr>
          <w:trHeight w:val="401" w:hRule="exact"/>
        </w:trPr>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柏科智能（厦门）科技有限公司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591,252.69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12,672.48</w:t>
            </w:r>
          </w:p>
        </w:tc>
      </w:tr>
      <w:tr>
        <w:trPr>
          <w:trHeight w:val="403" w:hRule="exact"/>
        </w:trPr>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常熟柏科特种车辆有限公司</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33,617.13</w:t>
            </w:r>
          </w:p>
        </w:tc>
      </w:tr>
      <w:tr>
        <w:trPr>
          <w:trHeight w:val="401" w:hRule="exact"/>
        </w:trPr>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厦门市巨龙信息科技有限公司</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243,000.00</w:t>
            </w:r>
          </w:p>
        </w:tc>
      </w:tr>
      <w:tr>
        <w:trPr>
          <w:trHeight w:val="403" w:hRule="exact"/>
        </w:trPr>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厦门点连电子商务有限公司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7,200.00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7,200.00</w:t>
            </w:r>
          </w:p>
        </w:tc>
      </w:tr>
      <w:tr>
        <w:trPr>
          <w:trHeight w:val="401" w:hRule="exact"/>
        </w:trPr>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北京万方智讯信息技术有限公司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70,800.00</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厦门服云信息科技有限公司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9,610.00</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福建宏创科技信息有限公司</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162,500.00</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7、关联方承诺" w:id="471"/>
      <w:bookmarkEnd w:id="471"/>
      <w:r>
        <w:rPr>
          <w:b w:val="0"/>
          <w:bCs w:val="0"/>
        </w:rPr>
      </w:r>
      <w:r>
        <w:rPr>
          <w:rFonts w:ascii="Times New Roman" w:hAnsi="Times New Roman" w:cs="Times New Roman" w:eastAsia="Times New Roman" w:hint="default"/>
        </w:rPr>
        <w:t>7</w:t>
      </w:r>
      <w:r>
        <w:rPr/>
        <w:t>、关联方承诺</w:t>
      </w:r>
      <w:r>
        <w:rPr>
          <w:b w:val="0"/>
          <w:bCs w:val="0"/>
        </w:rPr>
      </w:r>
    </w:p>
    <w:p>
      <w:pPr>
        <w:spacing w:line="240" w:lineRule="auto" w:before="7"/>
        <w:rPr>
          <w:rFonts w:ascii="宋体" w:hAnsi="宋体" w:cs="宋体" w:eastAsia="宋体" w:hint="default"/>
          <w:b/>
          <w:bCs/>
          <w:sz w:val="24"/>
          <w:szCs w:val="24"/>
        </w:rPr>
      </w:pPr>
    </w:p>
    <w:p>
      <w:pPr>
        <w:spacing w:line="487" w:lineRule="auto" w:before="0"/>
        <w:ind w:left="152" w:right="8752" w:hanging="1"/>
        <w:jc w:val="left"/>
        <w:rPr>
          <w:rFonts w:ascii="宋体" w:hAnsi="宋体" w:cs="宋体" w:eastAsia="宋体" w:hint="default"/>
          <w:sz w:val="21"/>
          <w:szCs w:val="21"/>
        </w:rPr>
      </w:pPr>
      <w:bookmarkStart w:name="8、其他" w:id="472"/>
      <w:bookmarkEnd w:id="472"/>
      <w:r>
        <w:rPr/>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、其他</w:t>
      </w:r>
      <w:r>
        <w:rPr>
          <w:rFonts w:ascii="宋体" w:hAnsi="宋体" w:cs="宋体" w:eastAsia="宋体" w:hint="default"/>
          <w:b/>
          <w:bCs/>
          <w:w w:val="100"/>
          <w:sz w:val="21"/>
          <w:szCs w:val="21"/>
        </w:rPr>
        <w:t> </w:t>
      </w:r>
      <w:bookmarkStart w:name="十三、股份支付" w:id="473"/>
      <w:bookmarkEnd w:id="473"/>
      <w:r>
        <w:rPr>
          <w:rFonts w:ascii="宋体" w:hAnsi="宋体" w:cs="宋体" w:eastAsia="宋体" w:hint="default"/>
          <w:b/>
          <w:bCs/>
          <w:w w:val="100"/>
          <w:sz w:val="21"/>
          <w:szCs w:val="21"/>
        </w:rPr>
      </w:r>
      <w:r>
        <w:rPr>
          <w:rFonts w:ascii="宋体" w:hAnsi="宋体" w:cs="宋体" w:eastAsia="宋体" w:hint="default"/>
          <w:b/>
          <w:bCs/>
          <w:sz w:val="24"/>
          <w:szCs w:val="24"/>
        </w:rPr>
        <w:t>十三、股份支付</w:t>
      </w:r>
      <w:r>
        <w:rPr>
          <w:rFonts w:ascii="宋体" w:hAnsi="宋体" w:cs="宋体" w:eastAsia="宋体" w:hint="default"/>
          <w:b/>
          <w:bCs/>
          <w:w w:val="99"/>
          <w:sz w:val="24"/>
          <w:szCs w:val="24"/>
        </w:rPr>
        <w:t> </w:t>
      </w:r>
      <w:bookmarkStart w:name="1、股份支付总体情况" w:id="474"/>
      <w:bookmarkEnd w:id="474"/>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、股份支付总体情况</w:t>
      </w:r>
      <w:r>
        <w:rPr>
          <w:rFonts w:ascii="宋体" w:hAnsi="宋体" w:cs="宋体" w:eastAsia="宋体" w:hint="default"/>
          <w:sz w:val="21"/>
          <w:szCs w:val="21"/>
        </w:rPr>
      </w:r>
    </w:p>
    <w:p>
      <w:pPr>
        <w:spacing w:before="105"/>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before="115"/>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5454"/>
        <w:gridCol w:w="4114"/>
      </w:tblGrid>
      <w:tr>
        <w:trPr>
          <w:trHeight w:val="403" w:hRule="exact"/>
        </w:trPr>
        <w:tc>
          <w:tcPr>
            <w:tcW w:w="545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公司本期授予的各项权益工具总额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14,263,300.00</w:t>
            </w:r>
          </w:p>
        </w:tc>
      </w:tr>
      <w:tr>
        <w:trPr>
          <w:trHeight w:val="401" w:hRule="exact"/>
        </w:trPr>
        <w:tc>
          <w:tcPr>
            <w:tcW w:w="545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公司本期行权的各项权益工具总额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4,512,880.00</w:t>
            </w:r>
            <w:r>
              <w:rPr>
                <w:rFonts w:ascii="Times New Roman"/>
                <w:sz w:val="18"/>
              </w:rPr>
            </w:r>
          </w:p>
        </w:tc>
      </w:tr>
      <w:tr>
        <w:trPr>
          <w:trHeight w:val="403" w:hRule="exact"/>
        </w:trPr>
        <w:tc>
          <w:tcPr>
            <w:tcW w:w="545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公司本期失效的各项权益工具总额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598,692.00</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4"/>
        <w:rPr>
          <w:rFonts w:ascii="宋体" w:hAnsi="宋体" w:cs="宋体" w:eastAsia="宋体" w:hint="default"/>
          <w:sz w:val="19"/>
          <w:szCs w:val="19"/>
        </w:rPr>
      </w:pPr>
    </w:p>
    <w:p>
      <w:pPr>
        <w:pStyle w:val="BodyText"/>
        <w:spacing w:line="408" w:lineRule="auto" w:before="0"/>
        <w:ind w:left="153" w:right="1127" w:firstLine="419"/>
        <w:jc w:val="both"/>
      </w:pPr>
      <w:r>
        <w:rPr>
          <w:spacing w:val="-2"/>
        </w:rPr>
        <w:t>注</w:t>
      </w:r>
      <w:r>
        <w:rPr>
          <w:rFonts w:ascii="宋体" w:hAnsi="宋体" w:cs="宋体" w:eastAsia="宋体" w:hint="default"/>
          <w:spacing w:val="-2"/>
        </w:rPr>
        <w:t>1</w:t>
      </w:r>
      <w:r>
        <w:rPr>
          <w:spacing w:val="-2"/>
        </w:rPr>
        <w:t>：经</w:t>
      </w:r>
      <w:r>
        <w:rPr>
          <w:rFonts w:ascii="宋体" w:hAnsi="宋体" w:cs="宋体" w:eastAsia="宋体" w:hint="default"/>
          <w:spacing w:val="-2"/>
        </w:rPr>
        <w:t>2019</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18</w:t>
      </w:r>
      <w:r>
        <w:rPr>
          <w:spacing w:val="-2"/>
        </w:rPr>
        <w:t>日本公司召开的</w:t>
      </w:r>
      <w:r>
        <w:rPr>
          <w:rFonts w:ascii="宋体" w:hAnsi="宋体" w:cs="宋体" w:eastAsia="宋体" w:hint="default"/>
          <w:spacing w:val="-2"/>
        </w:rPr>
        <w:t>2018</w:t>
      </w:r>
      <w:r>
        <w:rPr>
          <w:spacing w:val="-2"/>
        </w:rPr>
        <w:t>年度股东大会决议，本公司于</w:t>
      </w:r>
      <w:r>
        <w:rPr>
          <w:rFonts w:ascii="宋体" w:hAnsi="宋体" w:cs="宋体" w:eastAsia="宋体" w:hint="default"/>
          <w:spacing w:val="-2"/>
        </w:rPr>
        <w:t>2019</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2"/>
        </w:rPr>
        <w:t>16</w:t>
      </w:r>
      <w:r>
        <w:rPr>
          <w:spacing w:val="-2"/>
        </w:rPr>
        <w:t>日向</w:t>
      </w:r>
      <w:r>
        <w:rPr>
          <w:rFonts w:ascii="宋体" w:hAnsi="宋体" w:cs="宋体" w:eastAsia="宋体" w:hint="default"/>
          <w:spacing w:val="-2"/>
        </w:rPr>
        <w:t>961</w:t>
      </w:r>
      <w:r>
        <w:rPr>
          <w:spacing w:val="-2"/>
        </w:rPr>
        <w:t>名员工授</w:t>
      </w:r>
      <w:r>
        <w:rPr>
          <w:w w:val="100"/>
        </w:rPr>
        <w:t> </w:t>
      </w:r>
      <w:r>
        <w:rPr>
          <w:spacing w:val="-6"/>
        </w:rPr>
        <w:t>予限制性股票</w:t>
      </w:r>
      <w:r>
        <w:rPr>
          <w:rFonts w:ascii="宋体" w:hAnsi="宋体" w:cs="宋体" w:eastAsia="宋体" w:hint="default"/>
          <w:spacing w:val="-6"/>
        </w:rPr>
        <w:t>957.79</w:t>
      </w:r>
      <w:r>
        <w:rPr>
          <w:spacing w:val="-6"/>
        </w:rPr>
        <w:t>万股，每股面值</w:t>
      </w:r>
      <w:r>
        <w:rPr>
          <w:rFonts w:ascii="宋体" w:hAnsi="宋体" w:cs="宋体" w:eastAsia="宋体" w:hint="default"/>
          <w:spacing w:val="-6"/>
        </w:rPr>
        <w:t>1</w:t>
      </w:r>
      <w:r>
        <w:rPr>
          <w:spacing w:val="-6"/>
        </w:rPr>
        <w:t>元，授予价格每股</w:t>
      </w:r>
      <w:r>
        <w:rPr>
          <w:rFonts w:ascii="宋体" w:hAnsi="宋体" w:cs="宋体" w:eastAsia="宋体" w:hint="default"/>
          <w:spacing w:val="-6"/>
        </w:rPr>
        <w:t>8.55</w:t>
      </w:r>
      <w:r>
        <w:rPr>
          <w:spacing w:val="-6"/>
        </w:rPr>
        <w:t>元；授予股票期权</w:t>
      </w:r>
      <w:r>
        <w:rPr>
          <w:rFonts w:ascii="宋体" w:hAnsi="宋体" w:cs="宋体" w:eastAsia="宋体" w:hint="default"/>
          <w:spacing w:val="-6"/>
        </w:rPr>
        <w:t>468.54</w:t>
      </w:r>
      <w:r>
        <w:rPr>
          <w:spacing w:val="-6"/>
        </w:rPr>
        <w:t>万股，行权价格</w:t>
      </w:r>
      <w:r>
        <w:rPr>
          <w:rFonts w:ascii="宋体" w:hAnsi="宋体" w:cs="宋体" w:eastAsia="宋体" w:hint="default"/>
          <w:spacing w:val="-6"/>
        </w:rPr>
        <w:t>17.17</w:t>
      </w:r>
      <w:r>
        <w:rPr>
          <w:rFonts w:ascii="宋体" w:hAnsi="宋体" w:cs="宋体" w:eastAsia="宋体" w:hint="default"/>
          <w:spacing w:val="-7"/>
        </w:rPr>
        <w:t> </w:t>
      </w:r>
      <w:r>
        <w:rPr>
          <w:rFonts w:ascii="宋体" w:hAnsi="宋体" w:cs="宋体" w:eastAsia="宋体" w:hint="default"/>
          <w:spacing w:val="-7"/>
        </w:rPr>
      </w:r>
      <w:r>
        <w:rPr/>
        <w:t>元</w:t>
      </w:r>
      <w:r>
        <w:rPr>
          <w:rFonts w:ascii="宋体" w:hAnsi="宋体" w:cs="宋体" w:eastAsia="宋体" w:hint="default"/>
        </w:rPr>
        <w:t>/</w:t>
      </w:r>
      <w:r>
        <w:rPr/>
        <w:t>股。</w:t>
      </w:r>
    </w:p>
    <w:p>
      <w:pPr>
        <w:pStyle w:val="BodyText"/>
        <w:spacing w:line="408" w:lineRule="auto"/>
        <w:ind w:left="153" w:right="1126" w:firstLine="420"/>
        <w:jc w:val="both"/>
      </w:pPr>
      <w:r>
        <w:rPr/>
        <w:t>注</w:t>
      </w:r>
      <w:r>
        <w:rPr>
          <w:rFonts w:ascii="宋体" w:hAnsi="宋体" w:cs="宋体" w:eastAsia="宋体" w:hint="default"/>
        </w:rPr>
        <w:t>2</w:t>
      </w:r>
      <w:r>
        <w:rPr/>
        <w:t>：经本公司</w:t>
      </w:r>
      <w:r>
        <w:rPr>
          <w:rFonts w:ascii="宋体" w:hAnsi="宋体" w:cs="宋体" w:eastAsia="宋体" w:hint="default"/>
        </w:rPr>
        <w:t>2019</w:t>
      </w:r>
      <w:r>
        <w:rPr/>
        <w:t>年</w:t>
      </w:r>
      <w:r>
        <w:rPr>
          <w:rFonts w:ascii="宋体" w:hAnsi="宋体" w:cs="宋体" w:eastAsia="宋体" w:hint="default"/>
        </w:rPr>
        <w:t>7</w:t>
      </w:r>
      <w:r>
        <w:rPr/>
        <w:t>月</w:t>
      </w:r>
      <w:r>
        <w:rPr>
          <w:rFonts w:ascii="宋体" w:hAnsi="宋体" w:cs="宋体" w:eastAsia="宋体" w:hint="default"/>
        </w:rPr>
        <w:t>17</w:t>
      </w:r>
      <w:r>
        <w:rPr/>
        <w:t>日召开的第四届董事会第九次会议和第四届监事会第九次会议及</w:t>
      </w:r>
      <w:r>
        <w:rPr>
          <w:rFonts w:ascii="宋体" w:hAnsi="宋体" w:cs="宋体" w:eastAsia="宋体" w:hint="default"/>
        </w:rPr>
        <w:t>2019</w:t>
      </w:r>
      <w:r>
        <w:rPr/>
        <w:t>年</w:t>
      </w:r>
      <w:r>
        <w:rPr>
          <w:rFonts w:ascii="宋体" w:hAnsi="宋体" w:cs="宋体" w:eastAsia="宋体" w:hint="default"/>
        </w:rPr>
        <w:t>9</w:t>
      </w:r>
      <w:r>
        <w:rPr>
          <w:rFonts w:ascii="宋体" w:hAnsi="宋体" w:cs="宋体" w:eastAsia="宋体" w:hint="default"/>
          <w:w w:val="100"/>
        </w:rPr>
        <w:t> </w:t>
      </w:r>
      <w:r>
        <w:rPr>
          <w:spacing w:val="-2"/>
        </w:rPr>
        <w:t>月</w:t>
      </w:r>
      <w:r>
        <w:rPr>
          <w:rFonts w:ascii="宋体" w:hAnsi="宋体" w:cs="宋体" w:eastAsia="宋体" w:hint="default"/>
          <w:spacing w:val="-2"/>
        </w:rPr>
        <w:t>29</w:t>
      </w:r>
      <w:r>
        <w:rPr>
          <w:spacing w:val="-2"/>
        </w:rPr>
        <w:t>日召开的第四届董事会第十二次会议和第四届监事会第十一次会议决议，本公司本期共回购注销已离</w:t>
      </w:r>
      <w:r>
        <w:rPr>
          <w:spacing w:val="-41"/>
        </w:rPr>
        <w:t> </w:t>
      </w:r>
      <w:r>
        <w:rPr>
          <w:spacing w:val="-41"/>
        </w:rPr>
      </w:r>
      <w:r>
        <w:rPr/>
        <w:t>职激励对象</w:t>
      </w:r>
      <w:r>
        <w:rPr>
          <w:rFonts w:ascii="宋体" w:hAnsi="宋体" w:cs="宋体" w:eastAsia="宋体" w:hint="default"/>
        </w:rPr>
        <w:t>416,992</w:t>
      </w:r>
      <w:r>
        <w:rPr/>
        <w:t>股限制性股票及</w:t>
      </w:r>
      <w:r>
        <w:rPr>
          <w:rFonts w:ascii="宋体" w:hAnsi="宋体" w:cs="宋体" w:eastAsia="宋体" w:hint="default"/>
        </w:rPr>
        <w:t>181,700.00</w:t>
      </w:r>
      <w:r>
        <w:rPr/>
        <w:t>份股份期权。</w:t>
      </w:r>
    </w:p>
    <w:p>
      <w:pPr>
        <w:pStyle w:val="BodyText"/>
        <w:spacing w:line="408" w:lineRule="auto"/>
        <w:ind w:left="153" w:right="1127" w:firstLine="420"/>
        <w:jc w:val="both"/>
      </w:pPr>
      <w:r>
        <w:rPr/>
        <w:t>注</w:t>
      </w:r>
      <w:r>
        <w:rPr>
          <w:rFonts w:ascii="宋体" w:hAnsi="宋体" w:cs="宋体" w:eastAsia="宋体" w:hint="default"/>
        </w:rPr>
        <w:t>3</w:t>
      </w:r>
      <w:r>
        <w:rPr/>
        <w:t>：根据本公司</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13</w:t>
      </w:r>
      <w:r>
        <w:rPr/>
        <w:t>日召开的第四届董事会第十四次会议决议，公司解锁第二期限制性股</w:t>
      </w:r>
      <w:r>
        <w:rPr>
          <w:w w:val="100"/>
        </w:rPr>
        <w:t> </w:t>
      </w:r>
      <w:r>
        <w:rPr>
          <w:spacing w:val="-2"/>
        </w:rPr>
        <w:t>票激励计划预留授予部分第二个解锁期</w:t>
      </w:r>
      <w:r>
        <w:rPr>
          <w:rFonts w:ascii="宋体" w:hAnsi="宋体" w:cs="宋体" w:eastAsia="宋体" w:hint="default"/>
          <w:spacing w:val="-2"/>
        </w:rPr>
        <w:t>90</w:t>
      </w:r>
      <w:r>
        <w:rPr>
          <w:spacing w:val="-2"/>
        </w:rPr>
        <w:t>名激励对象限制性股票，及第二期限制性股票激励计划首次授予</w:t>
      </w:r>
      <w:r>
        <w:rPr>
          <w:spacing w:val="-43"/>
        </w:rPr>
        <w:t> </w:t>
      </w:r>
      <w:r>
        <w:rPr>
          <w:spacing w:val="-43"/>
        </w:rPr>
      </w:r>
      <w:r>
        <w:rPr/>
        <w:t>部分第三个解锁期</w:t>
      </w:r>
      <w:r>
        <w:rPr>
          <w:rFonts w:ascii="宋体" w:hAnsi="宋体" w:cs="宋体" w:eastAsia="宋体" w:hint="default"/>
        </w:rPr>
        <w:t>406</w:t>
      </w:r>
      <w:r>
        <w:rPr/>
        <w:t>名激励对象限制性股票，共解锁</w:t>
      </w:r>
      <w:r>
        <w:rPr>
          <w:rFonts w:ascii="宋体" w:hAnsi="宋体" w:cs="宋体" w:eastAsia="宋体" w:hint="default"/>
        </w:rPr>
        <w:t>4,512,880</w:t>
      </w:r>
      <w:r>
        <w:rPr/>
        <w:t>股限制性股票。</w:t>
      </w:r>
    </w:p>
    <w:p>
      <w:pPr>
        <w:spacing w:line="240" w:lineRule="auto" w:before="8"/>
        <w:rPr>
          <w:rFonts w:ascii="宋体" w:hAnsi="宋体" w:cs="宋体" w:eastAsia="宋体" w:hint="default"/>
          <w:sz w:val="20"/>
          <w:szCs w:val="20"/>
        </w:rPr>
      </w:pPr>
    </w:p>
    <w:p>
      <w:pPr>
        <w:pStyle w:val="Heading4"/>
        <w:spacing w:line="240" w:lineRule="auto"/>
        <w:ind w:left="153" w:right="986"/>
        <w:jc w:val="left"/>
        <w:rPr>
          <w:b w:val="0"/>
          <w:bCs w:val="0"/>
        </w:rPr>
      </w:pPr>
      <w:bookmarkStart w:name="2、以权益结算的股份支付情况" w:id="475"/>
      <w:bookmarkEnd w:id="475"/>
      <w:r>
        <w:rPr>
          <w:b w:val="0"/>
          <w:bCs w:val="0"/>
        </w:rPr>
      </w:r>
      <w:r>
        <w:rPr>
          <w:rFonts w:ascii="Times New Roman" w:hAnsi="Times New Roman" w:cs="Times New Roman" w:eastAsia="Times New Roman" w:hint="default"/>
        </w:rPr>
        <w:t>2</w:t>
      </w:r>
      <w:r>
        <w:rPr/>
        <w:t>、以权益结算的股份支付情况</w:t>
      </w:r>
      <w:r>
        <w:rPr>
          <w:b w:val="0"/>
          <w:bCs w:val="0"/>
        </w:rPr>
      </w:r>
    </w:p>
    <w:p>
      <w:pPr>
        <w:spacing w:line="240" w:lineRule="auto" w:before="12"/>
        <w:rPr>
          <w:rFonts w:ascii="宋体" w:hAnsi="宋体" w:cs="宋体" w:eastAsia="宋体" w:hint="default"/>
          <w:b/>
          <w:bCs/>
          <w:sz w:val="22"/>
          <w:szCs w:val="22"/>
        </w:rPr>
      </w:pPr>
    </w:p>
    <w:p>
      <w:pPr>
        <w:spacing w:before="44"/>
        <w:ind w:left="152" w:right="98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before="103"/>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right"/>
        <w:rPr>
          <w:rFonts w:ascii="宋体" w:hAnsi="宋体" w:cs="宋体" w:eastAsia="宋体"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4981"/>
        <w:gridCol w:w="4586"/>
      </w:tblGrid>
      <w:tr>
        <w:trPr>
          <w:trHeight w:val="402" w:hRule="exact"/>
        </w:trPr>
        <w:tc>
          <w:tcPr>
            <w:tcW w:w="49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授予日权益工具公允价值的确定方法</w:t>
            </w:r>
          </w:p>
        </w:tc>
        <w:tc>
          <w:tcPr>
            <w:tcW w:w="4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hAnsi="宋体" w:cs="宋体" w:eastAsia="宋体" w:hint="default"/>
                <w:sz w:val="18"/>
                <w:szCs w:val="18"/>
              </w:rPr>
              <w:t>见注释</w:t>
            </w:r>
          </w:p>
        </w:tc>
      </w:tr>
      <w:tr>
        <w:trPr>
          <w:trHeight w:val="402" w:hRule="exact"/>
        </w:trPr>
        <w:tc>
          <w:tcPr>
            <w:tcW w:w="49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可行权权益工具数量的确定依据</w:t>
            </w:r>
          </w:p>
        </w:tc>
        <w:tc>
          <w:tcPr>
            <w:tcW w:w="4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宋体" w:hAnsi="宋体" w:cs="宋体" w:eastAsia="宋体" w:hint="default"/>
                <w:sz w:val="18"/>
                <w:szCs w:val="18"/>
              </w:rPr>
            </w:pPr>
            <w:r>
              <w:rPr>
                <w:rFonts w:ascii="宋体" w:hAnsi="宋体" w:cs="宋体" w:eastAsia="宋体" w:hint="default"/>
                <w:sz w:val="18"/>
                <w:szCs w:val="18"/>
              </w:rPr>
              <w:t>资产负债表日股权激励股份实际持有数</w:t>
            </w:r>
          </w:p>
        </w:tc>
      </w:tr>
      <w:tr>
        <w:trPr>
          <w:trHeight w:val="402" w:hRule="exact"/>
        </w:trPr>
        <w:tc>
          <w:tcPr>
            <w:tcW w:w="49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本期估计与上期估计有重大差异的原因</w:t>
            </w:r>
          </w:p>
        </w:tc>
        <w:tc>
          <w:tcPr>
            <w:tcW w:w="4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49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以权益结算的股份支付计入资本公积的累计金额</w:t>
            </w:r>
          </w:p>
        </w:tc>
        <w:tc>
          <w:tcPr>
            <w:tcW w:w="4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57,718,909.80</w:t>
            </w:r>
          </w:p>
        </w:tc>
      </w:tr>
      <w:tr>
        <w:trPr>
          <w:trHeight w:val="403" w:hRule="exact"/>
        </w:trPr>
        <w:tc>
          <w:tcPr>
            <w:tcW w:w="49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本期以权益结算的股份支付确认的费用总额</w:t>
            </w:r>
          </w:p>
        </w:tc>
        <w:tc>
          <w:tcPr>
            <w:tcW w:w="4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29,038,402.54</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4"/>
        <w:rPr>
          <w:rFonts w:ascii="宋体" w:hAnsi="宋体" w:cs="宋体" w:eastAsia="宋体" w:hint="default"/>
          <w:sz w:val="19"/>
          <w:szCs w:val="19"/>
        </w:rPr>
      </w:pPr>
    </w:p>
    <w:p>
      <w:pPr>
        <w:pStyle w:val="BodyText"/>
        <w:spacing w:line="408" w:lineRule="auto" w:before="0"/>
        <w:ind w:right="1128" w:firstLine="420"/>
        <w:jc w:val="both"/>
      </w:pPr>
      <w:r>
        <w:rPr/>
        <w:t>注</w:t>
      </w:r>
      <w:r>
        <w:rPr>
          <w:rFonts w:ascii="宋体" w:hAnsi="宋体" w:cs="宋体" w:eastAsia="宋体" w:hint="default"/>
        </w:rPr>
        <w:t>1</w:t>
      </w:r>
      <w:r>
        <w:rPr/>
        <w:t>：</w:t>
      </w:r>
      <w:r>
        <w:rPr>
          <w:rFonts w:ascii="宋体" w:hAnsi="宋体" w:cs="宋体" w:eastAsia="宋体" w:hint="default"/>
        </w:rPr>
        <w:t>2016</w:t>
      </w:r>
      <w:r>
        <w:rPr/>
        <w:t>年</w:t>
      </w:r>
      <w:r>
        <w:rPr>
          <w:rFonts w:ascii="宋体" w:hAnsi="宋体" w:cs="宋体" w:eastAsia="宋体" w:hint="default"/>
        </w:rPr>
        <w:t>12</w:t>
      </w:r>
      <w:r>
        <w:rPr/>
        <w:t>月，本公司第二期限制性股票激励计划首次授予的公允价值的确定方法为：公司聘请</w:t>
      </w:r>
      <w:r>
        <w:rPr>
          <w:w w:val="100"/>
        </w:rPr>
        <w:t> </w:t>
      </w:r>
      <w:r>
        <w:rPr>
          <w:spacing w:val="-2"/>
        </w:rPr>
        <w:t>上海荣正投资咨询有限公司计算授予日权益工具公允价值，并出具《关于美亚柏科第二期限制性股票激励</w:t>
      </w:r>
      <w:r>
        <w:rPr>
          <w:spacing w:val="-42"/>
        </w:rPr>
        <w:t> </w:t>
      </w:r>
      <w:r>
        <w:rPr>
          <w:spacing w:val="-42"/>
        </w:rPr>
      </w:r>
      <w:r>
        <w:rPr>
          <w:spacing w:val="-2"/>
        </w:rPr>
        <w:t>计划授予事项之独立财务顾问报告》；</w:t>
      </w:r>
      <w:r>
        <w:rPr>
          <w:rFonts w:ascii="宋体" w:hAnsi="宋体" w:cs="宋体" w:eastAsia="宋体" w:hint="default"/>
          <w:spacing w:val="-2"/>
        </w:rPr>
        <w:t>2017</w:t>
      </w:r>
      <w:r>
        <w:rPr>
          <w:spacing w:val="-2"/>
        </w:rPr>
        <w:t>年</w:t>
      </w:r>
      <w:r>
        <w:rPr>
          <w:rFonts w:ascii="宋体" w:hAnsi="宋体" w:cs="宋体" w:eastAsia="宋体" w:hint="default"/>
          <w:spacing w:val="-2"/>
        </w:rPr>
        <w:t>11</w:t>
      </w:r>
      <w:r>
        <w:rPr>
          <w:spacing w:val="-2"/>
        </w:rPr>
        <w:t>月本公司第二期限制性股票激励计划预留股份的公允价值</w:t>
      </w:r>
      <w:r>
        <w:rPr>
          <w:spacing w:val="-37"/>
        </w:rPr>
        <w:t> </w:t>
      </w:r>
      <w:r>
        <w:rPr>
          <w:spacing w:val="-37"/>
        </w:rPr>
      </w:r>
      <w:r>
        <w:rPr/>
        <w:t>的确定方法为授予日的股票收盘价。</w:t>
      </w:r>
    </w:p>
    <w:p>
      <w:pPr>
        <w:pStyle w:val="BodyText"/>
        <w:spacing w:line="408" w:lineRule="auto"/>
        <w:ind w:right="1110" w:firstLine="420"/>
        <w:jc w:val="both"/>
      </w:pPr>
      <w:r>
        <w:rPr>
          <w:spacing w:val="-2"/>
        </w:rPr>
        <w:t>注</w:t>
      </w:r>
      <w:r>
        <w:rPr>
          <w:rFonts w:ascii="宋体" w:hAnsi="宋体" w:cs="宋体" w:eastAsia="宋体" w:hint="default"/>
          <w:spacing w:val="-2"/>
        </w:rPr>
        <w:t>2</w:t>
      </w:r>
      <w:r>
        <w:rPr>
          <w:spacing w:val="-2"/>
        </w:rPr>
        <w:t>：</w:t>
      </w:r>
      <w:r>
        <w:rPr>
          <w:rFonts w:ascii="宋体" w:hAnsi="宋体" w:cs="宋体" w:eastAsia="宋体" w:hint="default"/>
          <w:spacing w:val="-2"/>
        </w:rPr>
        <w:t>2019</w:t>
      </w:r>
      <w:r>
        <w:rPr>
          <w:spacing w:val="-2"/>
        </w:rPr>
        <w:t>年</w:t>
      </w:r>
      <w:r>
        <w:rPr>
          <w:rFonts w:ascii="宋体" w:hAnsi="宋体" w:cs="宋体" w:eastAsia="宋体" w:hint="default"/>
          <w:spacing w:val="-2"/>
        </w:rPr>
        <w:t>5</w:t>
      </w:r>
      <w:r>
        <w:rPr>
          <w:spacing w:val="-2"/>
        </w:rPr>
        <w:t>月，本公司</w:t>
      </w:r>
      <w:r>
        <w:rPr>
          <w:rFonts w:ascii="宋体" w:hAnsi="宋体" w:cs="宋体" w:eastAsia="宋体" w:hint="default"/>
          <w:spacing w:val="-2"/>
        </w:rPr>
        <w:t>2019</w:t>
      </w:r>
      <w:r>
        <w:rPr>
          <w:spacing w:val="-2"/>
        </w:rPr>
        <w:t>年股票期权与限制性股票激励计划首次授予的公允价值的确定方法为：</w:t>
      </w:r>
      <w:r>
        <w:rPr>
          <w:spacing w:val="-3"/>
          <w:w w:val="100"/>
        </w:rPr>
        <w:t> </w:t>
      </w:r>
      <w:r>
        <w:rPr>
          <w:spacing w:val="-2"/>
        </w:rPr>
        <w:t>公司聘请上海荣正投资咨询有限公司计算授予日权益工具公允价值，并出具《关于美亚柏科</w:t>
      </w:r>
      <w:r>
        <w:rPr>
          <w:rFonts w:ascii="宋体" w:hAnsi="宋体" w:cs="宋体" w:eastAsia="宋体" w:hint="default"/>
          <w:spacing w:val="-2"/>
        </w:rPr>
        <w:t>2019</w:t>
      </w:r>
      <w:r>
        <w:rPr>
          <w:spacing w:val="-2"/>
        </w:rPr>
        <w:t>年股票期</w:t>
      </w:r>
      <w:r>
        <w:rPr>
          <w:spacing w:val="-38"/>
        </w:rPr>
        <w:t> </w:t>
      </w:r>
      <w:r>
        <w:rPr>
          <w:spacing w:val="-38"/>
        </w:rPr>
      </w:r>
      <w:r>
        <w:rPr/>
        <w:t>权与限制性股票激励计划首次授予事项之独立财务顾问报告》。</w:t>
      </w:r>
    </w:p>
    <w:p>
      <w:pPr>
        <w:spacing w:line="240" w:lineRule="auto" w:before="8"/>
        <w:rPr>
          <w:rFonts w:ascii="宋体" w:hAnsi="宋体" w:cs="宋体" w:eastAsia="宋体" w:hint="default"/>
          <w:sz w:val="20"/>
          <w:szCs w:val="20"/>
        </w:rPr>
      </w:pPr>
    </w:p>
    <w:p>
      <w:pPr>
        <w:pStyle w:val="Heading4"/>
        <w:spacing w:line="240" w:lineRule="auto"/>
        <w:ind w:right="986"/>
        <w:jc w:val="left"/>
        <w:rPr>
          <w:b w:val="0"/>
          <w:bCs w:val="0"/>
        </w:rPr>
      </w:pPr>
      <w:bookmarkStart w:name="3、以现金结算的股份支付情况" w:id="476"/>
      <w:bookmarkEnd w:id="476"/>
      <w:r>
        <w:rPr>
          <w:b w:val="0"/>
          <w:bCs w:val="0"/>
        </w:rPr>
      </w:r>
      <w:r>
        <w:rPr>
          <w:rFonts w:ascii="Times New Roman" w:hAnsi="Times New Roman" w:cs="Times New Roman" w:eastAsia="Times New Roman" w:hint="default"/>
        </w:rPr>
        <w:t>3</w:t>
      </w:r>
      <w:r>
        <w:rPr/>
        <w:t>、以现金结算的股份支付情况</w:t>
      </w:r>
      <w:r>
        <w:rPr>
          <w:b w:val="0"/>
          <w:bCs w:val="0"/>
        </w:rPr>
      </w:r>
    </w:p>
    <w:p>
      <w:pPr>
        <w:spacing w:line="240" w:lineRule="auto" w:before="4"/>
        <w:rPr>
          <w:rFonts w:ascii="宋体" w:hAnsi="宋体" w:cs="宋体" w:eastAsia="宋体" w:hint="default"/>
          <w:b/>
          <w:bCs/>
          <w:sz w:val="26"/>
          <w:szCs w:val="26"/>
        </w:rPr>
      </w:pPr>
    </w:p>
    <w:p>
      <w:pPr>
        <w:spacing w:line="544" w:lineRule="auto" w:before="0"/>
        <w:ind w:left="152" w:right="792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w:t>
      </w:r>
      <w:bookmarkStart w:name="4、股份支付的修改、终止情况" w:id="477"/>
      <w:bookmarkEnd w:id="477"/>
      <w:r>
        <w:rPr>
          <w:rFonts w:ascii="宋体" w:hAnsi="宋体" w:cs="宋体" w:eastAsia="宋体" w:hint="default"/>
          <w:sz w:val="18"/>
          <w:szCs w:val="18"/>
        </w:rPr>
      </w:r>
      <w:r>
        <w:rPr>
          <w:rFonts w:ascii="Times New Roman" w:hAnsi="Times New Roman" w:cs="Times New Roman" w:eastAsia="Times New Roman" w:hint="default"/>
          <w:b/>
          <w:bCs/>
          <w:spacing w:val="-1"/>
          <w:sz w:val="21"/>
          <w:szCs w:val="21"/>
        </w:rPr>
        <w:t>4</w:t>
      </w:r>
      <w:r>
        <w:rPr>
          <w:rFonts w:ascii="宋体" w:hAnsi="宋体" w:cs="宋体" w:eastAsia="宋体" w:hint="default"/>
          <w:b/>
          <w:bCs/>
          <w:spacing w:val="-1"/>
          <w:sz w:val="21"/>
          <w:szCs w:val="21"/>
        </w:rPr>
        <w:t>、股份支付的修改、终止情况</w:t>
      </w:r>
      <w:r>
        <w:rPr>
          <w:rFonts w:ascii="宋体" w:hAnsi="宋体" w:cs="宋体" w:eastAsia="宋体" w:hint="default"/>
          <w:b/>
          <w:bCs/>
          <w:spacing w:val="-93"/>
          <w:sz w:val="21"/>
          <w:szCs w:val="21"/>
        </w:rPr>
        <w:t> </w:t>
      </w:r>
      <w:r>
        <w:rPr>
          <w:rFonts w:ascii="宋体" w:hAnsi="宋体" w:cs="宋体" w:eastAsia="宋体" w:hint="default"/>
          <w:b/>
          <w:bCs/>
          <w:spacing w:val="-93"/>
          <w:sz w:val="21"/>
          <w:szCs w:val="21"/>
        </w:rPr>
      </w:r>
      <w:r>
        <w:rPr>
          <w:rFonts w:ascii="宋体" w:hAnsi="宋体" w:cs="宋体" w:eastAsia="宋体" w:hint="default"/>
          <w:sz w:val="18"/>
          <w:szCs w:val="18"/>
        </w:rPr>
        <w:t>无</w:t>
      </w:r>
    </w:p>
    <w:p>
      <w:pPr>
        <w:spacing w:line="487" w:lineRule="auto" w:before="127"/>
        <w:ind w:left="152" w:right="8345" w:firstLine="0"/>
        <w:jc w:val="left"/>
        <w:rPr>
          <w:rFonts w:ascii="宋体" w:hAnsi="宋体" w:cs="宋体" w:eastAsia="宋体" w:hint="default"/>
          <w:sz w:val="21"/>
          <w:szCs w:val="21"/>
        </w:rPr>
      </w:pPr>
      <w:bookmarkStart w:name="5、其他" w:id="478"/>
      <w:bookmarkEnd w:id="478"/>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、其他</w:t>
      </w:r>
      <w:r>
        <w:rPr>
          <w:rFonts w:ascii="宋体" w:hAnsi="宋体" w:cs="宋体" w:eastAsia="宋体" w:hint="default"/>
          <w:b/>
          <w:bCs/>
          <w:w w:val="100"/>
          <w:sz w:val="21"/>
          <w:szCs w:val="21"/>
        </w:rPr>
        <w:t> </w:t>
      </w:r>
      <w:bookmarkStart w:name="十四、承诺及或有事项" w:id="479"/>
      <w:bookmarkEnd w:id="479"/>
      <w:r>
        <w:rPr>
          <w:rFonts w:ascii="宋体" w:hAnsi="宋体" w:cs="宋体" w:eastAsia="宋体" w:hint="default"/>
          <w:b/>
          <w:bCs/>
          <w:w w:val="100"/>
          <w:sz w:val="21"/>
          <w:szCs w:val="21"/>
        </w:rPr>
      </w:r>
      <w:r>
        <w:rPr>
          <w:rFonts w:ascii="宋体" w:hAnsi="宋体" w:cs="宋体" w:eastAsia="宋体" w:hint="default"/>
          <w:b/>
          <w:bCs/>
          <w:sz w:val="24"/>
          <w:szCs w:val="24"/>
        </w:rPr>
        <w:t>十四、承诺及或有事项</w:t>
      </w:r>
      <w:r>
        <w:rPr>
          <w:rFonts w:ascii="宋体" w:hAnsi="宋体" w:cs="宋体" w:eastAsia="宋体" w:hint="default"/>
          <w:b/>
          <w:bCs/>
          <w:w w:val="99"/>
          <w:sz w:val="24"/>
          <w:szCs w:val="24"/>
        </w:rPr>
        <w:t> </w:t>
      </w:r>
      <w:bookmarkStart w:name="1、重要承诺事项" w:id="480"/>
      <w:bookmarkEnd w:id="480"/>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、重要承诺事项</w:t>
      </w:r>
      <w:r>
        <w:rPr>
          <w:rFonts w:ascii="宋体" w:hAnsi="宋体" w:cs="宋体" w:eastAsia="宋体" w:hint="default"/>
          <w:sz w:val="21"/>
          <w:szCs w:val="21"/>
        </w:rPr>
      </w:r>
    </w:p>
    <w:p>
      <w:pPr>
        <w:spacing w:before="105"/>
        <w:ind w:left="152" w:right="986" w:firstLine="0"/>
        <w:jc w:val="left"/>
        <w:rPr>
          <w:rFonts w:ascii="宋体" w:hAnsi="宋体" w:cs="宋体" w:eastAsia="宋体" w:hint="default"/>
          <w:sz w:val="18"/>
          <w:szCs w:val="18"/>
        </w:rPr>
      </w:pPr>
      <w:r>
        <w:rPr>
          <w:rFonts w:ascii="宋体" w:hAnsi="宋体" w:cs="宋体" w:eastAsia="宋体" w:hint="default"/>
          <w:sz w:val="18"/>
          <w:szCs w:val="18"/>
        </w:rPr>
        <w:t>资产负债表日存在的重要承诺</w:t>
      </w:r>
    </w:p>
    <w:p>
      <w:pPr>
        <w:spacing w:line="240" w:lineRule="auto" w:before="3"/>
        <w:rPr>
          <w:rFonts w:ascii="宋体" w:hAnsi="宋体" w:cs="宋体" w:eastAsia="宋体" w:hint="default"/>
          <w:sz w:val="13"/>
          <w:szCs w:val="13"/>
        </w:rPr>
      </w:pPr>
    </w:p>
    <w:p>
      <w:pPr>
        <w:pStyle w:val="BodyText"/>
        <w:spacing w:line="240" w:lineRule="auto" w:before="0"/>
        <w:ind w:left="572" w:right="986"/>
        <w:jc w:val="left"/>
      </w:pPr>
      <w:r>
        <w:rPr/>
        <w:t>截至</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31</w:t>
      </w:r>
      <w:r>
        <w:rPr/>
        <w:t>日，本集团不存在其他应披露的承诺事项。</w:t>
      </w:r>
    </w:p>
    <w:p>
      <w:pPr>
        <w:spacing w:line="240" w:lineRule="auto" w:before="0"/>
        <w:rPr>
          <w:rFonts w:ascii="宋体" w:hAnsi="宋体" w:cs="宋体" w:eastAsia="宋体" w:hint="default"/>
          <w:sz w:val="20"/>
          <w:szCs w:val="20"/>
        </w:rPr>
      </w:pPr>
    </w:p>
    <w:p>
      <w:pPr>
        <w:pStyle w:val="Heading4"/>
        <w:spacing w:line="240" w:lineRule="auto" w:before="154"/>
        <w:ind w:right="986"/>
        <w:jc w:val="left"/>
        <w:rPr>
          <w:b w:val="0"/>
          <w:bCs w:val="0"/>
        </w:rPr>
      </w:pPr>
      <w:bookmarkStart w:name="2、或有事项" w:id="481"/>
      <w:bookmarkEnd w:id="481"/>
      <w:r>
        <w:rPr>
          <w:b w:val="0"/>
          <w:bCs w:val="0"/>
        </w:rPr>
      </w:r>
      <w:r>
        <w:rPr>
          <w:rFonts w:ascii="Times New Roman" w:hAnsi="Times New Roman" w:cs="Times New Roman" w:eastAsia="Times New Roman" w:hint="default"/>
        </w:rPr>
        <w:t>2</w:t>
      </w:r>
      <w:r>
        <w:rPr/>
        <w:t>、或有事项</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right="986"/>
        <w:jc w:val="left"/>
        <w:rPr>
          <w:b w:val="0"/>
          <w:bCs w:val="0"/>
        </w:rPr>
      </w:pPr>
      <w:bookmarkStart w:name="（1）资产负债表日存在的重要或有事项" w:id="482"/>
      <w:bookmarkEnd w:id="482"/>
      <w:r>
        <w:rPr>
          <w:b w:val="0"/>
          <w:bCs w:val="0"/>
        </w:rPr>
      </w:r>
      <w:r>
        <w:rPr/>
        <w:t>（</w:t>
      </w:r>
      <w:r>
        <w:rPr>
          <w:rFonts w:ascii="Times New Roman" w:hAnsi="Times New Roman" w:cs="Times New Roman" w:eastAsia="Times New Roman" w:hint="default"/>
        </w:rPr>
        <w:t>1</w:t>
      </w:r>
      <w:r>
        <w:rPr/>
        <w:t>）资产负债表日存在的重要或有事项</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2）公司没有需要披露的重要或有事项，也应予以说明" w:id="483"/>
      <w:bookmarkEnd w:id="483"/>
      <w:r>
        <w:rPr>
          <w:b w:val="0"/>
          <w:bCs w:val="0"/>
        </w:rPr>
      </w:r>
      <w:r>
        <w:rPr/>
        <w:t>（</w:t>
      </w:r>
      <w:r>
        <w:rPr>
          <w:rFonts w:ascii="Times New Roman" w:hAnsi="Times New Roman" w:cs="Times New Roman" w:eastAsia="Times New Roman" w:hint="default"/>
        </w:rPr>
        <w:t>2</w:t>
      </w:r>
      <w:r>
        <w:rPr/>
        <w:t>）公司没有需要披露的重要或有事项，也应予以说明</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公司不存在需要披露的重要或有事项。</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3、其他" w:id="484"/>
      <w:bookmarkEnd w:id="484"/>
      <w:r>
        <w:rPr>
          <w:b w:val="0"/>
          <w:bCs w:val="0"/>
        </w:rPr>
      </w:r>
      <w:r>
        <w:rPr>
          <w:rFonts w:ascii="Times New Roman" w:hAnsi="Times New Roman" w:cs="Times New Roman" w:eastAsia="Times New Roman" w:hint="default"/>
        </w:rPr>
        <w:t>3</w:t>
      </w:r>
      <w:r>
        <w:rPr/>
        <w:t>、其他</w:t>
      </w:r>
      <w:r>
        <w:rPr>
          <w:b w:val="0"/>
          <w:bCs w:val="0"/>
        </w:rPr>
      </w:r>
    </w:p>
    <w:p>
      <w:pPr>
        <w:spacing w:line="240" w:lineRule="auto" w:before="10"/>
        <w:rPr>
          <w:rFonts w:ascii="宋体" w:hAnsi="宋体" w:cs="宋体" w:eastAsia="宋体" w:hint="default"/>
          <w:b/>
          <w:bCs/>
          <w:sz w:val="22"/>
          <w:szCs w:val="22"/>
        </w:rPr>
      </w:pPr>
    </w:p>
    <w:p>
      <w:pPr>
        <w:pStyle w:val="Heading2"/>
        <w:spacing w:line="240" w:lineRule="auto"/>
        <w:ind w:right="986"/>
        <w:jc w:val="left"/>
        <w:rPr>
          <w:b w:val="0"/>
          <w:bCs w:val="0"/>
        </w:rPr>
      </w:pPr>
      <w:bookmarkStart w:name="十五、资产负债表日后事项" w:id="485"/>
      <w:bookmarkEnd w:id="485"/>
      <w:r>
        <w:rPr>
          <w:b w:val="0"/>
          <w:bCs w:val="0"/>
        </w:rPr>
      </w:r>
      <w:r>
        <w:rPr/>
        <w:t>十五、资产负债表日后事项</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0"/>
        <w:ind w:left="572" w:right="986"/>
        <w:jc w:val="left"/>
      </w:pPr>
      <w:r>
        <w:rPr>
          <w:rFonts w:ascii="宋体" w:hAnsi="宋体" w:cs="宋体" w:eastAsia="宋体" w:hint="default"/>
        </w:rPr>
        <w:t>1</w:t>
      </w:r>
      <w:r>
        <w:rPr/>
        <w:t>、对外投资</w:t>
      </w:r>
    </w:p>
    <w:p>
      <w:pPr>
        <w:pStyle w:val="BodyText"/>
        <w:spacing w:line="240" w:lineRule="auto" w:before="133"/>
        <w:ind w:left="572" w:right="986"/>
        <w:jc w:val="left"/>
      </w:pPr>
      <w:r>
        <w:rPr/>
        <w:t>（</w:t>
      </w:r>
      <w:r>
        <w:rPr>
          <w:rFonts w:ascii="宋体" w:hAnsi="宋体" w:cs="宋体" w:eastAsia="宋体" w:hint="default"/>
        </w:rPr>
        <w:t>1</w:t>
      </w:r>
      <w:r>
        <w:rPr/>
        <w:t>）设立子公司</w:t>
      </w:r>
    </w:p>
    <w:p>
      <w:pPr>
        <w:pStyle w:val="BodyText"/>
        <w:spacing w:line="240" w:lineRule="auto" w:before="135"/>
        <w:ind w:left="572" w:right="986"/>
        <w:jc w:val="left"/>
      </w:pPr>
      <w:r>
        <w:rPr>
          <w:rFonts w:ascii="宋体" w:hAnsi="宋体" w:cs="宋体" w:eastAsia="宋体" w:hint="default"/>
        </w:rPr>
        <w:t>2020</w:t>
      </w:r>
      <w:r>
        <w:rPr>
          <w:rFonts w:ascii="宋体" w:hAnsi="宋体" w:cs="宋体" w:eastAsia="宋体" w:hint="default"/>
          <w:spacing w:val="-50"/>
        </w:rPr>
        <w:t> </w:t>
      </w:r>
      <w:r>
        <w:rPr/>
        <w:t>年</w:t>
      </w:r>
      <w:r>
        <w:rPr>
          <w:spacing w:val="-50"/>
        </w:rPr>
        <w:t> </w:t>
      </w:r>
      <w:r>
        <w:rPr>
          <w:rFonts w:ascii="宋体" w:hAnsi="宋体" w:cs="宋体" w:eastAsia="宋体" w:hint="default"/>
        </w:rPr>
        <w:t>1</w:t>
      </w:r>
      <w:r>
        <w:rPr>
          <w:rFonts w:ascii="宋体" w:hAnsi="宋体" w:cs="宋体" w:eastAsia="宋体" w:hint="default"/>
          <w:spacing w:val="-48"/>
        </w:rPr>
        <w:t> </w:t>
      </w:r>
      <w:r>
        <w:rPr/>
        <w:t>月</w:t>
      </w:r>
      <w:r>
        <w:rPr>
          <w:spacing w:val="-50"/>
        </w:rPr>
        <w:t> </w:t>
      </w:r>
      <w:r>
        <w:rPr>
          <w:rFonts w:ascii="宋体" w:hAnsi="宋体" w:cs="宋体" w:eastAsia="宋体" w:hint="default"/>
        </w:rPr>
        <w:t>10</w:t>
      </w:r>
      <w:r>
        <w:rPr>
          <w:rFonts w:ascii="宋体" w:hAnsi="宋体" w:cs="宋体" w:eastAsia="宋体" w:hint="default"/>
          <w:spacing w:val="-50"/>
        </w:rPr>
        <w:t> </w:t>
      </w:r>
      <w:r>
        <w:rPr/>
        <w:t>日，本公司子公司美亚中敏全资设立常熟腾瑞智能科技有限公司，注册资本</w:t>
      </w:r>
      <w:r>
        <w:rPr>
          <w:spacing w:val="-48"/>
        </w:rPr>
        <w:t> </w:t>
      </w:r>
      <w:r>
        <w:rPr>
          <w:rFonts w:ascii="宋体" w:hAnsi="宋体" w:cs="宋体" w:eastAsia="宋体" w:hint="default"/>
        </w:rPr>
        <w:t>1,000</w:t>
      </w:r>
      <w:r>
        <w:rPr>
          <w:rFonts w:ascii="宋体" w:hAnsi="宋体" w:cs="宋体" w:eastAsia="宋体" w:hint="default"/>
          <w:spacing w:val="-50"/>
        </w:rPr>
        <w:t> </w:t>
      </w:r>
      <w:r>
        <w:rPr/>
        <w:t>万</w:t>
      </w:r>
    </w:p>
    <w:p>
      <w:pPr>
        <w:pStyle w:val="BodyText"/>
        <w:spacing w:line="240" w:lineRule="auto" w:before="133"/>
        <w:ind w:right="986"/>
        <w:jc w:val="left"/>
      </w:pPr>
      <w:r>
        <w:rPr/>
        <w:t>元；截至报告日，美亚中敏已出资</w:t>
      </w:r>
      <w:r>
        <w:rPr>
          <w:spacing w:val="-54"/>
        </w:rPr>
        <w:t> </w:t>
      </w:r>
      <w:r>
        <w:rPr>
          <w:rFonts w:ascii="宋体" w:hAnsi="宋体" w:cs="宋体" w:eastAsia="宋体" w:hint="default"/>
        </w:rPr>
        <w:t>300.00</w:t>
      </w:r>
      <w:r>
        <w:rPr>
          <w:rFonts w:ascii="宋体" w:hAnsi="宋体" w:cs="宋体" w:eastAsia="宋体" w:hint="default"/>
          <w:spacing w:val="-54"/>
        </w:rPr>
        <w:t> </w:t>
      </w:r>
      <w:r>
        <w:rPr/>
        <w:t>万元。</w:t>
      </w:r>
    </w:p>
    <w:p>
      <w:pPr>
        <w:pStyle w:val="BodyText"/>
        <w:spacing w:line="240" w:lineRule="auto" w:before="133"/>
        <w:ind w:left="572" w:right="986"/>
        <w:jc w:val="left"/>
      </w:pPr>
      <w:r>
        <w:rPr>
          <w:rFonts w:ascii="宋体" w:hAnsi="宋体" w:cs="宋体" w:eastAsia="宋体" w:hint="default"/>
        </w:rPr>
        <w:t>2</w:t>
      </w:r>
      <w:r>
        <w:rPr/>
        <w:t>、资产负债表日后利润分配情况</w:t>
      </w:r>
    </w:p>
    <w:p>
      <w:pPr>
        <w:pStyle w:val="BodyText"/>
        <w:spacing w:line="240" w:lineRule="auto" w:before="133"/>
        <w:ind w:left="572" w:right="986"/>
        <w:jc w:val="left"/>
      </w:pPr>
      <w:r>
        <w:rPr/>
        <w:t>本公司于</w:t>
      </w:r>
      <w:r>
        <w:rPr>
          <w:spacing w:val="-43"/>
        </w:rPr>
        <w:t> </w:t>
      </w:r>
      <w:r>
        <w:rPr>
          <w:rFonts w:ascii="宋体" w:hAnsi="宋体" w:cs="宋体" w:eastAsia="宋体" w:hint="default"/>
        </w:rPr>
        <w:t>2020</w:t>
      </w:r>
      <w:r>
        <w:rPr>
          <w:rFonts w:ascii="宋体" w:hAnsi="宋体" w:cs="宋体" w:eastAsia="宋体" w:hint="default"/>
          <w:spacing w:val="-43"/>
        </w:rPr>
        <w:t> </w:t>
      </w:r>
      <w:r>
        <w:rPr/>
        <w:t>年</w:t>
      </w:r>
      <w:r>
        <w:rPr>
          <w:spacing w:val="-43"/>
        </w:rPr>
        <w:t> </w:t>
      </w:r>
      <w:r>
        <w:rPr>
          <w:rFonts w:ascii="宋体" w:hAnsi="宋体" w:cs="宋体" w:eastAsia="宋体" w:hint="default"/>
        </w:rPr>
        <w:t>3</w:t>
      </w:r>
      <w:r>
        <w:rPr>
          <w:rFonts w:ascii="宋体" w:hAnsi="宋体" w:cs="宋体" w:eastAsia="宋体" w:hint="default"/>
          <w:spacing w:val="-43"/>
        </w:rPr>
        <w:t> </w:t>
      </w:r>
      <w:r>
        <w:rPr/>
        <w:t>月</w:t>
      </w:r>
      <w:r>
        <w:rPr>
          <w:spacing w:val="-43"/>
        </w:rPr>
        <w:t> </w:t>
      </w:r>
      <w:r>
        <w:rPr>
          <w:rFonts w:ascii="宋体" w:hAnsi="宋体" w:cs="宋体" w:eastAsia="宋体" w:hint="default"/>
        </w:rPr>
        <w:t>27</w:t>
      </w:r>
      <w:r>
        <w:rPr>
          <w:rFonts w:ascii="宋体" w:hAnsi="宋体" w:cs="宋体" w:eastAsia="宋体" w:hint="default"/>
          <w:spacing w:val="-45"/>
        </w:rPr>
        <w:t> </w:t>
      </w:r>
      <w:r>
        <w:rPr/>
        <w:t>日召开第四届董事会第十六次会议，审议通过本公司</w:t>
      </w:r>
      <w:r>
        <w:rPr>
          <w:spacing w:val="-43"/>
        </w:rPr>
        <w:t> </w:t>
      </w:r>
      <w:r>
        <w:rPr>
          <w:rFonts w:ascii="宋体" w:hAnsi="宋体" w:cs="宋体" w:eastAsia="宋体" w:hint="default"/>
        </w:rPr>
        <w:t>2019</w:t>
      </w:r>
      <w:r>
        <w:rPr>
          <w:rFonts w:ascii="宋体" w:hAnsi="宋体" w:cs="宋体" w:eastAsia="宋体" w:hint="default"/>
          <w:spacing w:val="-45"/>
        </w:rPr>
        <w:t> </w:t>
      </w:r>
      <w:r>
        <w:rPr/>
        <w:t>年度权益分派预</w:t>
      </w:r>
    </w:p>
    <w:p>
      <w:pPr>
        <w:pStyle w:val="BodyText"/>
        <w:spacing w:line="240" w:lineRule="auto" w:before="133"/>
        <w:ind w:right="986"/>
        <w:jc w:val="left"/>
        <w:rPr>
          <w:rFonts w:ascii="宋体" w:hAnsi="宋体" w:cs="宋体" w:eastAsia="宋体" w:hint="default"/>
        </w:rPr>
      </w:pPr>
      <w:r>
        <w:rPr>
          <w:w w:val="100"/>
        </w:rPr>
        <w:t>案列</w:t>
      </w:r>
      <w:r>
        <w:rPr>
          <w:spacing w:val="-3"/>
          <w:w w:val="100"/>
        </w:rPr>
        <w:t>示</w:t>
      </w:r>
      <w:r>
        <w:rPr>
          <w:w w:val="100"/>
        </w:rPr>
        <w:t>如</w:t>
      </w:r>
      <w:r>
        <w:rPr>
          <w:spacing w:val="-3"/>
          <w:w w:val="100"/>
        </w:rPr>
        <w:t>下</w:t>
      </w:r>
      <w:r>
        <w:rPr>
          <w:spacing w:val="-106"/>
          <w:w w:val="100"/>
        </w:rPr>
        <w:t>：</w:t>
      </w:r>
      <w:r>
        <w:rPr>
          <w:spacing w:val="-3"/>
          <w:w w:val="100"/>
        </w:rPr>
        <w:t>以</w:t>
      </w:r>
      <w:r>
        <w:rPr>
          <w:w w:val="100"/>
        </w:rPr>
        <w:t>公</w:t>
      </w:r>
      <w:r>
        <w:rPr>
          <w:spacing w:val="-3"/>
          <w:w w:val="100"/>
        </w:rPr>
        <w:t>司</w:t>
      </w:r>
      <w:r>
        <w:rPr>
          <w:w w:val="100"/>
        </w:rPr>
        <w:t>总</w:t>
      </w:r>
      <w:r>
        <w:rPr>
          <w:spacing w:val="-3"/>
          <w:w w:val="100"/>
        </w:rPr>
        <w:t>股</w:t>
      </w:r>
      <w:r>
        <w:rPr>
          <w:w w:val="100"/>
        </w:rPr>
        <w:t>本</w:t>
      </w:r>
      <w:r>
        <w:rPr>
          <w:spacing w:val="-70"/>
        </w:rPr>
        <w:t> </w:t>
      </w:r>
      <w:r>
        <w:rPr>
          <w:rFonts w:ascii="宋体" w:hAnsi="宋体" w:cs="宋体" w:eastAsia="宋体" w:hint="default"/>
          <w:w w:val="100"/>
        </w:rPr>
        <w:t>805,2</w:t>
      </w:r>
      <w:r>
        <w:rPr>
          <w:rFonts w:ascii="宋体" w:hAnsi="宋体" w:cs="宋体" w:eastAsia="宋体" w:hint="default"/>
          <w:spacing w:val="-3"/>
          <w:w w:val="100"/>
        </w:rPr>
        <w:t>1</w:t>
      </w:r>
      <w:r>
        <w:rPr>
          <w:rFonts w:ascii="宋体" w:hAnsi="宋体" w:cs="宋体" w:eastAsia="宋体" w:hint="default"/>
          <w:w w:val="100"/>
        </w:rPr>
        <w:t>1,3</w:t>
      </w:r>
      <w:r>
        <w:rPr>
          <w:rFonts w:ascii="宋体" w:hAnsi="宋体" w:cs="宋体" w:eastAsia="宋体" w:hint="default"/>
          <w:spacing w:val="-3"/>
          <w:w w:val="100"/>
        </w:rPr>
        <w:t>1</w:t>
      </w:r>
      <w:r>
        <w:rPr>
          <w:rFonts w:ascii="宋体" w:hAnsi="宋体" w:cs="宋体" w:eastAsia="宋体" w:hint="default"/>
          <w:w w:val="100"/>
        </w:rPr>
        <w:t>7</w:t>
      </w:r>
      <w:r>
        <w:rPr>
          <w:rFonts w:ascii="宋体" w:hAnsi="宋体" w:cs="宋体" w:eastAsia="宋体" w:hint="default"/>
          <w:spacing w:val="-69"/>
        </w:rPr>
        <w:t> </w:t>
      </w:r>
      <w:r>
        <w:rPr>
          <w:spacing w:val="-106"/>
          <w:w w:val="100"/>
        </w:rPr>
        <w:t>股</w:t>
      </w:r>
      <w:r>
        <w:rPr>
          <w:w w:val="100"/>
        </w:rPr>
        <w:t>（</w:t>
      </w:r>
      <w:r>
        <w:rPr>
          <w:spacing w:val="-3"/>
          <w:w w:val="100"/>
        </w:rPr>
        <w:t>以</w:t>
      </w:r>
      <w:r>
        <w:rPr>
          <w:w w:val="100"/>
        </w:rPr>
        <w:t>当</w:t>
      </w:r>
      <w:r>
        <w:rPr>
          <w:spacing w:val="-3"/>
          <w:w w:val="100"/>
        </w:rPr>
        <w:t>前总</w:t>
      </w:r>
      <w:r>
        <w:rPr>
          <w:w w:val="100"/>
        </w:rPr>
        <w:t>股本</w:t>
      </w:r>
      <w:r>
        <w:rPr>
          <w:spacing w:val="-70"/>
        </w:rPr>
        <w:t> </w:t>
      </w:r>
      <w:r>
        <w:rPr>
          <w:rFonts w:ascii="宋体" w:hAnsi="宋体" w:cs="宋体" w:eastAsia="宋体" w:hint="default"/>
          <w:w w:val="100"/>
        </w:rPr>
        <w:t>805</w:t>
      </w:r>
      <w:r>
        <w:rPr>
          <w:rFonts w:ascii="宋体" w:hAnsi="宋体" w:cs="宋体" w:eastAsia="宋体" w:hint="default"/>
          <w:spacing w:val="-3"/>
          <w:w w:val="100"/>
        </w:rPr>
        <w:t>,</w:t>
      </w:r>
      <w:r>
        <w:rPr>
          <w:rFonts w:ascii="宋体" w:hAnsi="宋体" w:cs="宋体" w:eastAsia="宋体" w:hint="default"/>
          <w:w w:val="100"/>
        </w:rPr>
        <w:t>333</w:t>
      </w:r>
      <w:r>
        <w:rPr>
          <w:rFonts w:ascii="宋体" w:hAnsi="宋体" w:cs="宋体" w:eastAsia="宋体" w:hint="default"/>
          <w:spacing w:val="-3"/>
          <w:w w:val="100"/>
        </w:rPr>
        <w:t>,</w:t>
      </w:r>
      <w:r>
        <w:rPr>
          <w:rFonts w:ascii="宋体" w:hAnsi="宋体" w:cs="宋体" w:eastAsia="宋体" w:hint="default"/>
          <w:w w:val="100"/>
        </w:rPr>
        <w:t>717</w:t>
      </w:r>
      <w:r>
        <w:rPr>
          <w:rFonts w:ascii="宋体" w:hAnsi="宋体" w:cs="宋体" w:eastAsia="宋体" w:hint="default"/>
          <w:spacing w:val="-69"/>
        </w:rPr>
        <w:t> </w:t>
      </w:r>
      <w:r>
        <w:rPr>
          <w:w w:val="100"/>
        </w:rPr>
        <w:t>股</w:t>
      </w:r>
      <w:r>
        <w:rPr>
          <w:spacing w:val="-3"/>
          <w:w w:val="100"/>
        </w:rPr>
        <w:t>扣除</w:t>
      </w:r>
      <w:r>
        <w:rPr>
          <w:w w:val="100"/>
        </w:rPr>
        <w:t>计划</w:t>
      </w:r>
      <w:r>
        <w:rPr>
          <w:spacing w:val="-3"/>
          <w:w w:val="100"/>
        </w:rPr>
        <w:t>回</w:t>
      </w:r>
      <w:r>
        <w:rPr>
          <w:w w:val="100"/>
        </w:rPr>
        <w:t>购</w:t>
      </w:r>
      <w:r>
        <w:rPr>
          <w:spacing w:val="-3"/>
          <w:w w:val="100"/>
        </w:rPr>
        <w:t>注</w:t>
      </w:r>
      <w:r>
        <w:rPr>
          <w:w w:val="100"/>
        </w:rPr>
        <w:t>销</w:t>
      </w:r>
      <w:r>
        <w:rPr>
          <w:spacing w:val="-3"/>
          <w:w w:val="100"/>
        </w:rPr>
        <w:t>的股</w:t>
      </w:r>
      <w:r>
        <w:rPr>
          <w:w w:val="100"/>
        </w:rPr>
        <w:t>份</w:t>
      </w:r>
      <w:r>
        <w:rPr>
          <w:spacing w:val="-67"/>
        </w:rPr>
        <w:t> </w:t>
      </w:r>
      <w:r>
        <w:rPr>
          <w:rFonts w:ascii="宋体" w:hAnsi="宋体" w:cs="宋体" w:eastAsia="宋体" w:hint="default"/>
          <w:w w:val="100"/>
        </w:rPr>
        <w:t>1</w:t>
      </w:r>
      <w:r>
        <w:rPr>
          <w:rFonts w:ascii="宋体" w:hAnsi="宋体" w:cs="宋体" w:eastAsia="宋体" w:hint="default"/>
          <w:spacing w:val="-3"/>
          <w:w w:val="100"/>
        </w:rPr>
        <w:t>2</w:t>
      </w:r>
      <w:r>
        <w:rPr>
          <w:rFonts w:ascii="宋体" w:hAnsi="宋体" w:cs="宋体" w:eastAsia="宋体" w:hint="default"/>
          <w:w w:val="100"/>
        </w:rPr>
        <w:t>24</w:t>
      </w:r>
      <w:r>
        <w:rPr>
          <w:rFonts w:ascii="宋体" w:hAnsi="宋体" w:cs="宋体" w:eastAsia="宋体" w:hint="default"/>
          <w:spacing w:val="-3"/>
          <w:w w:val="100"/>
        </w:rPr>
        <w:t>0</w:t>
      </w:r>
      <w:r>
        <w:rPr>
          <w:rFonts w:ascii="宋体" w:hAnsi="宋体" w:cs="宋体" w:eastAsia="宋体" w:hint="default"/>
          <w:w w:val="100"/>
        </w:rPr>
        <w:t>0</w:t>
      </w:r>
    </w:p>
    <w:p>
      <w:pPr>
        <w:pStyle w:val="BodyText"/>
        <w:spacing w:line="240" w:lineRule="auto" w:before="135"/>
        <w:ind w:right="986"/>
        <w:jc w:val="left"/>
        <w:rPr>
          <w:rFonts w:ascii="宋体" w:hAnsi="宋体" w:cs="宋体" w:eastAsia="宋体" w:hint="default"/>
        </w:rPr>
      </w:pPr>
      <w:r>
        <w:rPr>
          <w:w w:val="100"/>
        </w:rPr>
        <w:t>股</w:t>
      </w:r>
      <w:r>
        <w:rPr>
          <w:spacing w:val="-106"/>
          <w:w w:val="100"/>
        </w:rPr>
        <w:t>）</w:t>
      </w:r>
      <w:r>
        <w:rPr>
          <w:spacing w:val="-3"/>
          <w:w w:val="100"/>
        </w:rPr>
        <w:t>为</w:t>
      </w:r>
      <w:r>
        <w:rPr>
          <w:w w:val="100"/>
        </w:rPr>
        <w:t>基</w:t>
      </w:r>
      <w:r>
        <w:rPr>
          <w:spacing w:val="-3"/>
          <w:w w:val="100"/>
        </w:rPr>
        <w:t>数</w:t>
      </w:r>
      <w:r>
        <w:rPr>
          <w:w w:val="100"/>
        </w:rPr>
        <w:t>向</w:t>
      </w:r>
      <w:r>
        <w:rPr>
          <w:spacing w:val="-3"/>
          <w:w w:val="100"/>
        </w:rPr>
        <w:t>全</w:t>
      </w:r>
      <w:r>
        <w:rPr>
          <w:w w:val="100"/>
        </w:rPr>
        <w:t>体</w:t>
      </w:r>
      <w:r>
        <w:rPr>
          <w:spacing w:val="-3"/>
          <w:w w:val="100"/>
        </w:rPr>
        <w:t>股东</w:t>
      </w:r>
      <w:r>
        <w:rPr>
          <w:w w:val="100"/>
        </w:rPr>
        <w:t>每</w:t>
      </w:r>
      <w:r>
        <w:rPr>
          <w:spacing w:val="-67"/>
        </w:rPr>
        <w:t> </w:t>
      </w:r>
      <w:r>
        <w:rPr>
          <w:rFonts w:ascii="宋体" w:hAnsi="宋体" w:cs="宋体" w:eastAsia="宋体" w:hint="default"/>
          <w:spacing w:val="-3"/>
          <w:w w:val="100"/>
        </w:rPr>
        <w:t>1</w:t>
      </w:r>
      <w:r>
        <w:rPr>
          <w:rFonts w:ascii="宋体" w:hAnsi="宋体" w:cs="宋体" w:eastAsia="宋体" w:hint="default"/>
          <w:w w:val="100"/>
        </w:rPr>
        <w:t>0</w:t>
      </w:r>
      <w:r>
        <w:rPr>
          <w:rFonts w:ascii="宋体" w:hAnsi="宋体" w:cs="宋体" w:eastAsia="宋体" w:hint="default"/>
          <w:spacing w:val="-67"/>
        </w:rPr>
        <w:t> </w:t>
      </w:r>
      <w:r>
        <w:rPr>
          <w:spacing w:val="-3"/>
          <w:w w:val="100"/>
        </w:rPr>
        <w:t>股</w:t>
      </w:r>
      <w:r>
        <w:rPr>
          <w:w w:val="100"/>
        </w:rPr>
        <w:t>派</w:t>
      </w:r>
      <w:r>
        <w:rPr>
          <w:spacing w:val="-3"/>
          <w:w w:val="100"/>
        </w:rPr>
        <w:t>发</w:t>
      </w:r>
      <w:r>
        <w:rPr>
          <w:w w:val="100"/>
        </w:rPr>
        <w:t>现</w:t>
      </w:r>
      <w:r>
        <w:rPr>
          <w:spacing w:val="-3"/>
          <w:w w:val="100"/>
        </w:rPr>
        <w:t>金</w:t>
      </w:r>
      <w:r>
        <w:rPr>
          <w:w w:val="100"/>
        </w:rPr>
        <w:t>股利</w:t>
      </w:r>
      <w:r>
        <w:rPr>
          <w:spacing w:val="-70"/>
        </w:rPr>
        <w:t> </w:t>
      </w:r>
      <w:r>
        <w:rPr>
          <w:rFonts w:ascii="宋体" w:hAnsi="宋体" w:cs="宋体" w:eastAsia="宋体" w:hint="default"/>
          <w:w w:val="100"/>
        </w:rPr>
        <w:t>0.9</w:t>
      </w:r>
      <w:r>
        <w:rPr>
          <w:rFonts w:ascii="宋体" w:hAnsi="宋体" w:cs="宋体" w:eastAsia="宋体" w:hint="default"/>
          <w:spacing w:val="-70"/>
        </w:rPr>
        <w:t> </w:t>
      </w:r>
      <w:r>
        <w:rPr>
          <w:w w:val="100"/>
        </w:rPr>
        <w:t>元</w:t>
      </w:r>
      <w:r>
        <w:rPr>
          <w:spacing w:val="-3"/>
          <w:w w:val="100"/>
        </w:rPr>
        <w:t>人</w:t>
      </w:r>
      <w:r>
        <w:rPr>
          <w:w w:val="100"/>
        </w:rPr>
        <w:t>民</w:t>
      </w:r>
      <w:r>
        <w:rPr>
          <w:spacing w:val="-106"/>
          <w:w w:val="100"/>
        </w:rPr>
        <w:t>币</w:t>
      </w:r>
      <w:r>
        <w:rPr>
          <w:spacing w:val="-3"/>
          <w:w w:val="100"/>
        </w:rPr>
        <w:t>（</w:t>
      </w:r>
      <w:r>
        <w:rPr>
          <w:w w:val="100"/>
        </w:rPr>
        <w:t>含税</w:t>
      </w:r>
      <w:r>
        <w:rPr>
          <w:spacing w:val="-108"/>
          <w:w w:val="100"/>
        </w:rPr>
        <w:t>）</w:t>
      </w:r>
      <w:r>
        <w:rPr>
          <w:spacing w:val="-106"/>
          <w:w w:val="100"/>
        </w:rPr>
        <w:t>，</w:t>
      </w:r>
      <w:r>
        <w:rPr>
          <w:spacing w:val="-3"/>
          <w:w w:val="100"/>
        </w:rPr>
        <w:t>合</w:t>
      </w:r>
      <w:r>
        <w:rPr>
          <w:w w:val="100"/>
        </w:rPr>
        <w:t>计</w:t>
      </w:r>
      <w:r>
        <w:rPr>
          <w:spacing w:val="-3"/>
          <w:w w:val="100"/>
        </w:rPr>
        <w:t>派</w:t>
      </w:r>
      <w:r>
        <w:rPr>
          <w:w w:val="100"/>
        </w:rPr>
        <w:t>发</w:t>
      </w:r>
      <w:r>
        <w:rPr>
          <w:spacing w:val="-3"/>
          <w:w w:val="100"/>
        </w:rPr>
        <w:t>现金</w:t>
      </w:r>
      <w:r>
        <w:rPr>
          <w:w w:val="100"/>
        </w:rPr>
        <w:t>红利</w:t>
      </w:r>
      <w:r>
        <w:rPr>
          <w:spacing w:val="-3"/>
          <w:w w:val="100"/>
        </w:rPr>
        <w:t>人民</w:t>
      </w:r>
      <w:r>
        <w:rPr>
          <w:w w:val="100"/>
        </w:rPr>
        <w:t>币</w:t>
      </w:r>
      <w:r>
        <w:rPr>
          <w:spacing w:val="-68"/>
        </w:rPr>
        <w:t> </w:t>
      </w:r>
      <w:r>
        <w:rPr>
          <w:rFonts w:ascii="宋体" w:hAnsi="宋体" w:cs="宋体" w:eastAsia="宋体" w:hint="default"/>
          <w:w w:val="100"/>
        </w:rPr>
        <w:t>7</w:t>
      </w:r>
      <w:r>
        <w:rPr>
          <w:rFonts w:ascii="宋体" w:hAnsi="宋体" w:cs="宋体" w:eastAsia="宋体" w:hint="default"/>
          <w:spacing w:val="-3"/>
          <w:w w:val="100"/>
        </w:rPr>
        <w:t>2</w:t>
      </w:r>
      <w:r>
        <w:rPr>
          <w:rFonts w:ascii="宋体" w:hAnsi="宋体" w:cs="宋体" w:eastAsia="宋体" w:hint="default"/>
          <w:w w:val="100"/>
        </w:rPr>
        <w:t>,46</w:t>
      </w:r>
      <w:r>
        <w:rPr>
          <w:rFonts w:ascii="宋体" w:hAnsi="宋体" w:cs="宋体" w:eastAsia="宋体" w:hint="default"/>
          <w:spacing w:val="-3"/>
          <w:w w:val="100"/>
        </w:rPr>
        <w:t>9</w:t>
      </w:r>
      <w:r>
        <w:rPr>
          <w:rFonts w:ascii="宋体" w:hAnsi="宋体" w:cs="宋体" w:eastAsia="宋体" w:hint="default"/>
          <w:w w:val="100"/>
        </w:rPr>
        <w:t>,01</w:t>
      </w:r>
      <w:r>
        <w:rPr>
          <w:rFonts w:ascii="宋体" w:hAnsi="宋体" w:cs="宋体" w:eastAsia="宋体" w:hint="default"/>
          <w:spacing w:val="-3"/>
          <w:w w:val="100"/>
        </w:rPr>
        <w:t>8</w:t>
      </w:r>
      <w:r>
        <w:rPr>
          <w:rFonts w:ascii="宋体" w:hAnsi="宋体" w:cs="宋体" w:eastAsia="宋体" w:hint="default"/>
          <w:w w:val="100"/>
        </w:rPr>
        <w:t>.53</w:t>
      </w:r>
    </w:p>
    <w:p>
      <w:pPr>
        <w:pStyle w:val="BodyText"/>
        <w:spacing w:line="240" w:lineRule="auto" w:before="133"/>
        <w:ind w:right="986"/>
        <w:jc w:val="left"/>
      </w:pPr>
      <w:r>
        <w:rPr/>
        <w:t>元。上述权益分派预案尚须经本公司股东大会审议批准后实施。</w:t>
      </w:r>
    </w:p>
    <w:p>
      <w:pPr>
        <w:pStyle w:val="BodyText"/>
        <w:spacing w:line="240" w:lineRule="auto" w:before="133"/>
        <w:ind w:left="572" w:right="986"/>
        <w:jc w:val="left"/>
      </w:pPr>
      <w:r>
        <w:rPr>
          <w:rFonts w:ascii="宋体" w:hAnsi="宋体" w:cs="宋体" w:eastAsia="宋体" w:hint="default"/>
        </w:rPr>
        <w:t>3</w:t>
      </w:r>
      <w:r>
        <w:rPr/>
        <w:t>、其他资产负债表日后事项说明</w:t>
      </w:r>
    </w:p>
    <w:p>
      <w:pPr>
        <w:spacing w:line="240" w:lineRule="auto" w:before="9"/>
        <w:rPr>
          <w:rFonts w:ascii="宋体" w:hAnsi="宋体" w:cs="宋体" w:eastAsia="宋体" w:hint="default"/>
          <w:sz w:val="17"/>
          <w:szCs w:val="17"/>
        </w:rPr>
      </w:pPr>
    </w:p>
    <w:p>
      <w:pPr>
        <w:pStyle w:val="BodyText"/>
        <w:spacing w:line="240" w:lineRule="auto" w:before="0"/>
        <w:ind w:left="572" w:right="986"/>
        <w:jc w:val="left"/>
      </w:pPr>
      <w:r>
        <w:rPr>
          <w:w w:val="100"/>
        </w:rPr>
        <w:t>截至</w:t>
      </w:r>
      <w:r>
        <w:rPr>
          <w:spacing w:val="-53"/>
        </w:rPr>
        <w:t> </w:t>
      </w:r>
      <w:r>
        <w:rPr>
          <w:rFonts w:ascii="宋体" w:hAnsi="宋体" w:cs="宋体" w:eastAsia="宋体" w:hint="default"/>
          <w:spacing w:val="-3"/>
          <w:w w:val="100"/>
        </w:rPr>
        <w:t>2</w:t>
      </w:r>
      <w:r>
        <w:rPr>
          <w:rFonts w:ascii="宋体" w:hAnsi="宋体" w:cs="宋体" w:eastAsia="宋体" w:hint="default"/>
          <w:w w:val="100"/>
        </w:rPr>
        <w:t>020</w:t>
      </w:r>
      <w:r>
        <w:rPr>
          <w:rFonts w:ascii="宋体" w:hAnsi="宋体" w:cs="宋体" w:eastAsia="宋体" w:hint="default"/>
          <w:spacing w:val="-55"/>
        </w:rPr>
        <w:t> </w:t>
      </w:r>
      <w:r>
        <w:rPr>
          <w:w w:val="100"/>
        </w:rPr>
        <w:t>年</w:t>
      </w:r>
      <w:r>
        <w:rPr>
          <w:spacing w:val="-53"/>
        </w:rPr>
        <w:t> </w:t>
      </w:r>
      <w:r>
        <w:rPr>
          <w:rFonts w:ascii="宋体" w:hAnsi="宋体" w:cs="宋体" w:eastAsia="宋体" w:hint="default"/>
          <w:w w:val="100"/>
        </w:rPr>
        <w:t>3</w:t>
      </w:r>
      <w:r>
        <w:rPr>
          <w:rFonts w:ascii="宋体" w:hAnsi="宋体" w:cs="宋体" w:eastAsia="宋体" w:hint="default"/>
          <w:spacing w:val="-55"/>
        </w:rPr>
        <w:t> </w:t>
      </w:r>
      <w:r>
        <w:rPr>
          <w:w w:val="100"/>
        </w:rPr>
        <w:t>月</w:t>
      </w:r>
      <w:r>
        <w:rPr>
          <w:spacing w:val="-53"/>
        </w:rPr>
        <w:t> </w:t>
      </w:r>
      <w:r>
        <w:rPr>
          <w:rFonts w:ascii="宋体" w:hAnsi="宋体" w:cs="宋体" w:eastAsia="宋体" w:hint="default"/>
          <w:w w:val="100"/>
        </w:rPr>
        <w:t>27</w:t>
      </w:r>
      <w:r>
        <w:rPr>
          <w:rFonts w:ascii="宋体" w:hAnsi="宋体" w:cs="宋体" w:eastAsia="宋体" w:hint="default"/>
          <w:spacing w:val="-55"/>
        </w:rPr>
        <w:t> </w:t>
      </w:r>
      <w:r>
        <w:rPr>
          <w:w w:val="100"/>
        </w:rPr>
        <w:t>日</w:t>
      </w:r>
      <w:r>
        <w:rPr>
          <w:spacing w:val="-3"/>
          <w:w w:val="100"/>
        </w:rPr>
        <w:t>（</w:t>
      </w:r>
      <w:r>
        <w:rPr>
          <w:w w:val="100"/>
        </w:rPr>
        <w:t>董事</w:t>
      </w:r>
      <w:r>
        <w:rPr>
          <w:spacing w:val="-3"/>
          <w:w w:val="100"/>
        </w:rPr>
        <w:t>会</w:t>
      </w:r>
      <w:r>
        <w:rPr>
          <w:w w:val="100"/>
        </w:rPr>
        <w:t>批</w:t>
      </w:r>
      <w:r>
        <w:rPr>
          <w:spacing w:val="-3"/>
          <w:w w:val="100"/>
        </w:rPr>
        <w:t>准</w:t>
      </w:r>
      <w:r>
        <w:rPr>
          <w:w w:val="100"/>
        </w:rPr>
        <w:t>报</w:t>
      </w:r>
      <w:r>
        <w:rPr>
          <w:spacing w:val="-3"/>
          <w:w w:val="100"/>
        </w:rPr>
        <w:t>告</w:t>
      </w:r>
      <w:r>
        <w:rPr>
          <w:w w:val="100"/>
        </w:rPr>
        <w:t>日</w:t>
      </w:r>
      <w:r>
        <w:rPr>
          <w:spacing w:val="-108"/>
          <w:w w:val="100"/>
        </w:rPr>
        <w:t>）</w:t>
      </w:r>
      <w:r>
        <w:rPr>
          <w:w w:val="100"/>
        </w:rPr>
        <w:t>，</w:t>
      </w:r>
      <w:r>
        <w:rPr>
          <w:spacing w:val="-3"/>
          <w:w w:val="100"/>
        </w:rPr>
        <w:t>本集</w:t>
      </w:r>
      <w:r>
        <w:rPr>
          <w:w w:val="100"/>
        </w:rPr>
        <w:t>团不</w:t>
      </w:r>
      <w:r>
        <w:rPr>
          <w:spacing w:val="-3"/>
          <w:w w:val="100"/>
        </w:rPr>
        <w:t>存</w:t>
      </w:r>
      <w:r>
        <w:rPr>
          <w:w w:val="100"/>
        </w:rPr>
        <w:t>在</w:t>
      </w:r>
      <w:r>
        <w:rPr>
          <w:spacing w:val="-3"/>
          <w:w w:val="100"/>
        </w:rPr>
        <w:t>其</w:t>
      </w:r>
      <w:r>
        <w:rPr>
          <w:w w:val="100"/>
        </w:rPr>
        <w:t>他</w:t>
      </w:r>
      <w:r>
        <w:rPr>
          <w:spacing w:val="-3"/>
          <w:w w:val="100"/>
        </w:rPr>
        <w:t>应</w:t>
      </w:r>
      <w:r>
        <w:rPr>
          <w:w w:val="100"/>
        </w:rPr>
        <w:t>披</w:t>
      </w:r>
      <w:r>
        <w:rPr>
          <w:spacing w:val="-3"/>
          <w:w w:val="100"/>
        </w:rPr>
        <w:t>露</w:t>
      </w:r>
      <w:r>
        <w:rPr>
          <w:w w:val="100"/>
        </w:rPr>
        <w:t>的</w:t>
      </w:r>
      <w:r>
        <w:rPr>
          <w:spacing w:val="-3"/>
          <w:w w:val="100"/>
        </w:rPr>
        <w:t>资</w:t>
      </w:r>
      <w:r>
        <w:rPr>
          <w:w w:val="100"/>
        </w:rPr>
        <w:t>产负</w:t>
      </w:r>
      <w:r>
        <w:rPr>
          <w:spacing w:val="-3"/>
          <w:w w:val="100"/>
        </w:rPr>
        <w:t>债</w:t>
      </w:r>
      <w:r>
        <w:rPr>
          <w:w w:val="100"/>
        </w:rPr>
        <w:t>表</w:t>
      </w:r>
      <w:r>
        <w:rPr>
          <w:spacing w:val="-3"/>
          <w:w w:val="100"/>
        </w:rPr>
        <w:t>日</w:t>
      </w:r>
      <w:r>
        <w:rPr>
          <w:w w:val="100"/>
        </w:rPr>
        <w:t>后</w:t>
      </w:r>
      <w:r>
        <w:rPr>
          <w:spacing w:val="-3"/>
          <w:w w:val="100"/>
        </w:rPr>
        <w:t>事</w:t>
      </w:r>
      <w:r>
        <w:rPr>
          <w:w w:val="100"/>
        </w:rPr>
        <w:t>项。</w:t>
      </w:r>
    </w:p>
    <w:p>
      <w:pPr>
        <w:spacing w:line="240" w:lineRule="auto" w:before="11"/>
        <w:rPr>
          <w:rFonts w:ascii="宋体" w:hAnsi="宋体" w:cs="宋体" w:eastAsia="宋体" w:hint="default"/>
          <w:sz w:val="29"/>
          <w:szCs w:val="29"/>
        </w:rPr>
      </w:pPr>
    </w:p>
    <w:p>
      <w:pPr>
        <w:spacing w:line="506" w:lineRule="auto" w:before="0"/>
        <w:ind w:left="152" w:right="8592" w:firstLine="0"/>
        <w:jc w:val="left"/>
        <w:rPr>
          <w:rFonts w:ascii="宋体" w:hAnsi="宋体" w:cs="宋体" w:eastAsia="宋体" w:hint="default"/>
          <w:sz w:val="18"/>
          <w:szCs w:val="18"/>
        </w:rPr>
      </w:pPr>
      <w:bookmarkStart w:name="十六、其他重要事项" w:id="486"/>
      <w:bookmarkEnd w:id="486"/>
      <w:r>
        <w:rPr/>
      </w:r>
      <w:r>
        <w:rPr>
          <w:rFonts w:ascii="宋体" w:hAnsi="宋体" w:cs="宋体" w:eastAsia="宋体" w:hint="default"/>
          <w:b/>
          <w:bCs/>
          <w:sz w:val="24"/>
          <w:szCs w:val="24"/>
        </w:rPr>
        <w:t>十六、其他重要事项</w:t>
      </w:r>
      <w:r>
        <w:rPr>
          <w:rFonts w:ascii="宋体" w:hAnsi="宋体" w:cs="宋体" w:eastAsia="宋体" w:hint="default"/>
          <w:b/>
          <w:bCs/>
          <w:w w:val="99"/>
          <w:sz w:val="24"/>
          <w:szCs w:val="24"/>
        </w:rPr>
        <w:t> </w:t>
      </w:r>
      <w:bookmarkStart w:name="1、前期会计差错更正" w:id="487"/>
      <w:bookmarkEnd w:id="487"/>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、前期会计差错更正</w:t>
      </w:r>
      <w:r>
        <w:rPr>
          <w:rFonts w:ascii="宋体" w:hAnsi="宋体" w:cs="宋体" w:eastAsia="宋体" w:hint="default"/>
          <w:b/>
          <w:bCs/>
          <w:w w:val="100"/>
          <w:sz w:val="21"/>
          <w:szCs w:val="21"/>
        </w:rPr>
        <w:t> </w:t>
      </w:r>
      <w:r>
        <w:rPr>
          <w:rFonts w:ascii="宋体" w:hAnsi="宋体" w:cs="宋体" w:eastAsia="宋体" w:hint="default"/>
          <w:sz w:val="18"/>
          <w:szCs w:val="18"/>
        </w:rPr>
        <w:t>无</w:t>
      </w:r>
    </w:p>
    <w:p>
      <w:pPr>
        <w:pStyle w:val="Heading4"/>
        <w:spacing w:line="240" w:lineRule="auto" w:before="156"/>
        <w:ind w:right="986"/>
        <w:jc w:val="left"/>
        <w:rPr>
          <w:b w:val="0"/>
          <w:bCs w:val="0"/>
        </w:rPr>
      </w:pPr>
      <w:bookmarkStart w:name="2、债务重组" w:id="488"/>
      <w:bookmarkEnd w:id="488"/>
      <w:r>
        <w:rPr>
          <w:b w:val="0"/>
          <w:bCs w:val="0"/>
        </w:rPr>
      </w:r>
      <w:r>
        <w:rPr>
          <w:rFonts w:ascii="Times New Roman" w:hAnsi="Times New Roman" w:cs="Times New Roman" w:eastAsia="Times New Roman" w:hint="default"/>
        </w:rPr>
        <w:t>2</w:t>
      </w:r>
      <w:r>
        <w:rPr/>
        <w:t>、债务重组</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3、资产置换" w:id="489"/>
      <w:bookmarkEnd w:id="489"/>
      <w:r>
        <w:rPr>
          <w:b w:val="0"/>
          <w:bCs w:val="0"/>
        </w:rPr>
      </w:r>
      <w:r>
        <w:rPr>
          <w:rFonts w:ascii="Times New Roman" w:hAnsi="Times New Roman" w:cs="Times New Roman" w:eastAsia="Times New Roman" w:hint="default"/>
        </w:rPr>
        <w:t>3</w:t>
      </w:r>
      <w:r>
        <w:rPr/>
        <w:t>、资产置换</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4、年金计划" w:id="490"/>
      <w:bookmarkEnd w:id="490"/>
      <w:r>
        <w:rPr>
          <w:b w:val="0"/>
          <w:bCs w:val="0"/>
        </w:rPr>
      </w:r>
      <w:r>
        <w:rPr>
          <w:rFonts w:ascii="Times New Roman" w:hAnsi="Times New Roman" w:cs="Times New Roman" w:eastAsia="Times New Roman" w:hint="default"/>
        </w:rPr>
        <w:t>4</w:t>
      </w:r>
      <w:r>
        <w:rPr/>
        <w:t>、年金计划</w:t>
      </w:r>
      <w:r>
        <w:rPr>
          <w:b w:val="0"/>
          <w:bCs w:val="0"/>
        </w:rPr>
      </w:r>
    </w:p>
    <w:p>
      <w:pPr>
        <w:spacing w:line="240" w:lineRule="auto" w:before="8"/>
        <w:rPr>
          <w:rFonts w:ascii="宋体" w:hAnsi="宋体" w:cs="宋体" w:eastAsia="宋体" w:hint="default"/>
          <w:b/>
          <w:bCs/>
          <w:sz w:val="30"/>
          <w:szCs w:val="30"/>
        </w:rPr>
      </w:pPr>
    </w:p>
    <w:p>
      <w:pPr>
        <w:pStyle w:val="BodyText"/>
        <w:spacing w:line="408" w:lineRule="auto" w:before="0"/>
        <w:ind w:right="986"/>
        <w:jc w:val="left"/>
      </w:pPr>
      <w:r>
        <w:rPr>
          <w:spacing w:val="6"/>
        </w:rPr>
        <w:t>除了社会基本养老保险之外，本公司依据国家企业年金制度的相关政策建立企业年金计划（“年金计</w:t>
      </w:r>
      <w:r>
        <w:rPr>
          <w:spacing w:val="23"/>
        </w:rPr>
        <w:t> </w:t>
      </w:r>
      <w:r>
        <w:rPr>
          <w:spacing w:val="23"/>
        </w:rPr>
      </w:r>
      <w:r>
        <w:rPr/>
        <w:t>划”），符合年金条件的公司员工可以自愿参加该年金计划。</w:t>
      </w:r>
    </w:p>
    <w:p>
      <w:pPr>
        <w:spacing w:line="240" w:lineRule="auto" w:before="8"/>
        <w:rPr>
          <w:rFonts w:ascii="宋体" w:hAnsi="宋体" w:cs="宋体" w:eastAsia="宋体" w:hint="default"/>
          <w:sz w:val="20"/>
          <w:szCs w:val="20"/>
        </w:rPr>
      </w:pPr>
    </w:p>
    <w:p>
      <w:pPr>
        <w:pStyle w:val="Heading4"/>
        <w:spacing w:line="240" w:lineRule="auto"/>
        <w:ind w:right="986"/>
        <w:jc w:val="left"/>
        <w:rPr>
          <w:b w:val="0"/>
          <w:bCs w:val="0"/>
        </w:rPr>
      </w:pPr>
      <w:bookmarkStart w:name="5、终止经营" w:id="491"/>
      <w:bookmarkEnd w:id="491"/>
      <w:r>
        <w:rPr>
          <w:b w:val="0"/>
          <w:bCs w:val="0"/>
        </w:rPr>
      </w:r>
      <w:r>
        <w:rPr>
          <w:rFonts w:ascii="Times New Roman" w:hAnsi="Times New Roman" w:cs="Times New Roman" w:eastAsia="Times New Roman" w:hint="default"/>
        </w:rPr>
        <w:t>5</w:t>
      </w:r>
      <w:r>
        <w:rPr/>
        <w:t>、终止经营</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6"/>
        <w:jc w:val="left"/>
        <w:rPr>
          <w:b w:val="0"/>
          <w:bCs w:val="0"/>
        </w:rPr>
      </w:pPr>
      <w:bookmarkStart w:name="6、分部信息" w:id="492"/>
      <w:bookmarkEnd w:id="492"/>
      <w:r>
        <w:rPr>
          <w:b w:val="0"/>
          <w:bCs w:val="0"/>
        </w:rPr>
      </w:r>
      <w:r>
        <w:rPr>
          <w:rFonts w:ascii="Times New Roman" w:hAnsi="Times New Roman" w:cs="Times New Roman" w:eastAsia="Times New Roman" w:hint="default"/>
        </w:rPr>
        <w:t>6</w:t>
      </w:r>
      <w:r>
        <w:rPr/>
        <w:t>、分部信息</w:t>
      </w:r>
      <w:r>
        <w:rPr>
          <w:b w:val="0"/>
          <w:bCs w:val="0"/>
        </w:rPr>
      </w:r>
    </w:p>
    <w:p>
      <w:pPr>
        <w:spacing w:line="240" w:lineRule="auto" w:before="10"/>
        <w:rPr>
          <w:rFonts w:ascii="宋体" w:hAnsi="宋体" w:cs="宋体" w:eastAsia="宋体" w:hint="default"/>
          <w:b/>
          <w:bCs/>
          <w:sz w:val="24"/>
          <w:szCs w:val="24"/>
        </w:rPr>
      </w:pPr>
    </w:p>
    <w:p>
      <w:pPr>
        <w:pStyle w:val="Heading4"/>
        <w:spacing w:line="506" w:lineRule="auto"/>
        <w:ind w:right="7245"/>
        <w:jc w:val="left"/>
        <w:rPr>
          <w:rFonts w:ascii="宋体" w:hAnsi="宋体" w:cs="宋体" w:eastAsia="宋体" w:hint="default"/>
          <w:b w:val="0"/>
          <w:bCs w:val="0"/>
        </w:rPr>
      </w:pPr>
      <w:bookmarkStart w:name="（1）报告分部的确定依据与会计政策" w:id="493"/>
      <w:bookmarkEnd w:id="493"/>
      <w:r>
        <w:rPr>
          <w:b w:val="0"/>
          <w:bCs w:val="0"/>
        </w:rPr>
      </w:r>
      <w:r>
        <w:rPr>
          <w:spacing w:val="-1"/>
        </w:rPr>
        <w:t>（</w:t>
      </w:r>
      <w:r>
        <w:rPr>
          <w:rFonts w:ascii="Times New Roman" w:hAnsi="Times New Roman" w:cs="Times New Roman" w:eastAsia="Times New Roman" w:hint="default"/>
          <w:spacing w:val="-1"/>
        </w:rPr>
        <w:t>1</w:t>
      </w:r>
      <w:r>
        <w:rPr>
          <w:spacing w:val="-1"/>
        </w:rPr>
        <w:t>）报告分部的确定依据与会计政策</w:t>
      </w:r>
      <w:r>
        <w:rPr>
          <w:spacing w:val="-90"/>
        </w:rPr>
        <w:t> </w:t>
      </w:r>
      <w:r>
        <w:rPr>
          <w:spacing w:val="-90"/>
        </w:rPr>
      </w:r>
      <w:r>
        <w:rPr>
          <w:rFonts w:ascii="宋体" w:hAnsi="宋体" w:cs="宋体" w:eastAsia="宋体" w:hint="default"/>
          <w:b w:val="0"/>
          <w:bCs w:val="0"/>
        </w:rPr>
        <w:t>无</w:t>
      </w:r>
    </w:p>
    <w:p>
      <w:pPr>
        <w:pStyle w:val="Heading4"/>
        <w:spacing w:line="240" w:lineRule="auto" w:before="104"/>
        <w:ind w:right="986"/>
        <w:jc w:val="left"/>
        <w:rPr>
          <w:b w:val="0"/>
          <w:bCs w:val="0"/>
        </w:rPr>
      </w:pPr>
      <w:bookmarkStart w:name="（2）报告分部的财务信息" w:id="494"/>
      <w:bookmarkEnd w:id="494"/>
      <w:r>
        <w:rPr>
          <w:b w:val="0"/>
          <w:bCs w:val="0"/>
        </w:rPr>
      </w:r>
      <w:r>
        <w:rPr/>
        <w:t>（</w:t>
      </w:r>
      <w:r>
        <w:rPr>
          <w:rFonts w:ascii="Times New Roman" w:hAnsi="Times New Roman" w:cs="Times New Roman" w:eastAsia="Times New Roman" w:hint="default"/>
        </w:rPr>
        <w:t>2</w:t>
      </w:r>
      <w:r>
        <w:rPr/>
        <w:t>）报告分部的财务信息</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3）公司无报告分部的，或者不能披露各报告分部的资产总额和负债总额的，应说明原因" w:id="495"/>
      <w:bookmarkEnd w:id="495"/>
      <w:r>
        <w:rPr>
          <w:b w:val="0"/>
          <w:bCs w:val="0"/>
        </w:rPr>
      </w:r>
      <w:r>
        <w:rPr/>
        <w:t>（</w:t>
      </w:r>
      <w:r>
        <w:rPr>
          <w:rFonts w:ascii="Times New Roman" w:hAnsi="Times New Roman" w:cs="Times New Roman" w:eastAsia="Times New Roman" w:hint="default"/>
        </w:rPr>
        <w:t>3</w:t>
      </w:r>
      <w:r>
        <w:rPr/>
        <w:t>）公司无报告分部的，或者不能披露各报告分部的资产总额和负债总额的，应说明原因</w:t>
      </w:r>
      <w:r>
        <w:rPr>
          <w:b w:val="0"/>
          <w:bCs w:val="0"/>
        </w:rPr>
      </w:r>
    </w:p>
    <w:p>
      <w:pPr>
        <w:spacing w:line="240" w:lineRule="auto" w:before="8"/>
        <w:rPr>
          <w:rFonts w:ascii="宋体" w:hAnsi="宋体" w:cs="宋体" w:eastAsia="宋体" w:hint="default"/>
          <w:b/>
          <w:bCs/>
          <w:sz w:val="30"/>
          <w:szCs w:val="30"/>
        </w:rPr>
      </w:pPr>
    </w:p>
    <w:p>
      <w:pPr>
        <w:pStyle w:val="BodyText"/>
        <w:spacing w:line="408" w:lineRule="auto" w:before="0"/>
        <w:ind w:right="986"/>
        <w:jc w:val="left"/>
      </w:pPr>
      <w:r>
        <w:rPr>
          <w:spacing w:val="-2"/>
        </w:rPr>
        <w:t>本集团内主要公司产品或劳务性质相似，以及生产过程、销售产品和提供劳务的方式、客户类型、行业法</w:t>
      </w:r>
      <w:r>
        <w:rPr>
          <w:spacing w:val="-47"/>
        </w:rPr>
        <w:t> </w:t>
      </w:r>
      <w:r>
        <w:rPr>
          <w:spacing w:val="-47"/>
        </w:rPr>
      </w:r>
      <w:r>
        <w:rPr/>
        <w:t>规均具有相似性，同时，由于本集团收入主要来自中国境内，因此本集团无需披露分部数据。</w:t>
      </w:r>
    </w:p>
    <w:p>
      <w:pPr>
        <w:spacing w:line="240" w:lineRule="auto" w:before="8"/>
        <w:rPr>
          <w:rFonts w:ascii="宋体" w:hAnsi="宋体" w:cs="宋体" w:eastAsia="宋体" w:hint="default"/>
          <w:sz w:val="20"/>
          <w:szCs w:val="20"/>
        </w:rPr>
      </w:pPr>
    </w:p>
    <w:p>
      <w:pPr>
        <w:pStyle w:val="Heading4"/>
        <w:spacing w:line="513" w:lineRule="auto"/>
        <w:ind w:right="6434"/>
        <w:jc w:val="left"/>
        <w:rPr>
          <w:rFonts w:ascii="宋体" w:hAnsi="宋体" w:cs="宋体" w:eastAsia="宋体" w:hint="default"/>
          <w:b w:val="0"/>
          <w:bCs w:val="0"/>
          <w:sz w:val="18"/>
          <w:szCs w:val="18"/>
        </w:rPr>
      </w:pPr>
      <w:bookmarkStart w:name="（4）其他说明" w:id="496"/>
      <w:bookmarkEnd w:id="496"/>
      <w:r>
        <w:rPr>
          <w:b w:val="0"/>
          <w:bCs w:val="0"/>
        </w:rPr>
      </w:r>
      <w:r>
        <w:rPr/>
        <w:t>（</w:t>
      </w:r>
      <w:r>
        <w:rPr>
          <w:rFonts w:ascii="Times New Roman" w:hAnsi="Times New Roman" w:cs="Times New Roman" w:eastAsia="Times New Roman" w:hint="default"/>
        </w:rPr>
        <w:t>4</w:t>
      </w:r>
      <w:r>
        <w:rPr/>
        <w:t>）其他说明</w:t>
      </w:r>
      <w:r>
        <w:rPr>
          <w:w w:val="100"/>
        </w:rPr>
        <w:t> </w:t>
      </w:r>
      <w:bookmarkStart w:name="7、其他对投资者决策有影响的重要交易和事项" w:id="497"/>
      <w:bookmarkEnd w:id="497"/>
      <w:r>
        <w:rPr>
          <w:w w:val="100"/>
        </w:rPr>
      </w:r>
      <w:r>
        <w:rPr>
          <w:rFonts w:ascii="Times New Roman" w:hAnsi="Times New Roman" w:cs="Times New Roman" w:eastAsia="Times New Roman" w:hint="default"/>
          <w:spacing w:val="-1"/>
        </w:rPr>
        <w:t>7</w:t>
      </w:r>
      <w:r>
        <w:rPr>
          <w:spacing w:val="-1"/>
        </w:rPr>
        <w:t>、其他对投资者决策有影响的重要交易和事项</w:t>
      </w:r>
      <w:r>
        <w:rPr>
          <w:spacing w:val="-83"/>
        </w:rPr>
        <w:t> </w:t>
      </w:r>
      <w:r>
        <w:rPr>
          <w:spacing w:val="-83"/>
        </w:rPr>
      </w:r>
      <w:r>
        <w:rPr>
          <w:rFonts w:ascii="宋体" w:hAnsi="宋体" w:cs="宋体" w:eastAsia="宋体" w:hint="default"/>
          <w:b w:val="0"/>
          <w:bCs w:val="0"/>
          <w:sz w:val="18"/>
          <w:szCs w:val="18"/>
        </w:rPr>
        <w:t>无</w:t>
      </w:r>
    </w:p>
    <w:p>
      <w:pPr>
        <w:spacing w:line="487" w:lineRule="auto" w:before="150"/>
        <w:ind w:left="152" w:right="6899" w:firstLine="0"/>
        <w:jc w:val="left"/>
        <w:rPr>
          <w:rFonts w:ascii="宋体" w:hAnsi="宋体" w:cs="宋体" w:eastAsia="宋体" w:hint="default"/>
          <w:sz w:val="21"/>
          <w:szCs w:val="21"/>
        </w:rPr>
      </w:pPr>
      <w:bookmarkStart w:name="8、其他" w:id="498"/>
      <w:bookmarkEnd w:id="498"/>
      <w:r>
        <w:rPr/>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、其他</w:t>
      </w:r>
      <w:r>
        <w:rPr>
          <w:rFonts w:ascii="宋体" w:hAnsi="宋体" w:cs="宋体" w:eastAsia="宋体" w:hint="default"/>
          <w:b/>
          <w:bCs/>
          <w:w w:val="100"/>
          <w:sz w:val="21"/>
          <w:szCs w:val="21"/>
        </w:rPr>
        <w:t> </w:t>
      </w:r>
      <w:bookmarkStart w:name="十七、母公司财务报表主要项目注释" w:id="499"/>
      <w:bookmarkEnd w:id="499"/>
      <w:r>
        <w:rPr>
          <w:rFonts w:ascii="宋体" w:hAnsi="宋体" w:cs="宋体" w:eastAsia="宋体" w:hint="default"/>
          <w:b/>
          <w:bCs/>
          <w:w w:val="100"/>
          <w:sz w:val="21"/>
          <w:szCs w:val="21"/>
        </w:rPr>
      </w:r>
      <w:r>
        <w:rPr>
          <w:rFonts w:ascii="宋体" w:hAnsi="宋体" w:cs="宋体" w:eastAsia="宋体" w:hint="default"/>
          <w:b/>
          <w:bCs/>
          <w:sz w:val="24"/>
          <w:szCs w:val="24"/>
        </w:rPr>
        <w:t>十七、母公司财务报表主要项目注释</w:t>
      </w:r>
      <w:r>
        <w:rPr>
          <w:rFonts w:ascii="宋体" w:hAnsi="宋体" w:cs="宋体" w:eastAsia="宋体" w:hint="default"/>
          <w:b/>
          <w:bCs/>
          <w:w w:val="99"/>
          <w:sz w:val="24"/>
          <w:szCs w:val="24"/>
        </w:rPr>
        <w:t> </w:t>
      </w:r>
      <w:bookmarkStart w:name="1、应收账款" w:id="500"/>
      <w:bookmarkEnd w:id="500"/>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、应收账款</w:t>
      </w:r>
      <w:r>
        <w:rPr>
          <w:rFonts w:ascii="宋体" w:hAnsi="宋体" w:cs="宋体" w:eastAsia="宋体" w:hint="default"/>
          <w:sz w:val="21"/>
          <w:szCs w:val="21"/>
        </w:rPr>
      </w:r>
    </w:p>
    <w:p>
      <w:pPr>
        <w:pStyle w:val="Heading4"/>
        <w:spacing w:line="240" w:lineRule="auto" w:before="84"/>
        <w:ind w:right="986"/>
        <w:jc w:val="left"/>
        <w:rPr>
          <w:b w:val="0"/>
          <w:bCs w:val="0"/>
        </w:rPr>
      </w:pPr>
      <w:bookmarkStart w:name="（1）应收账款分类披露" w:id="501"/>
      <w:bookmarkEnd w:id="501"/>
      <w:r>
        <w:rPr>
          <w:b w:val="0"/>
          <w:bCs w:val="0"/>
        </w:rPr>
      </w:r>
      <w:r>
        <w:rPr/>
        <w:t>（</w:t>
      </w:r>
      <w:r>
        <w:rPr>
          <w:rFonts w:ascii="Times New Roman" w:hAnsi="Times New Roman" w:cs="Times New Roman" w:eastAsia="Times New Roman" w:hint="default"/>
        </w:rPr>
        <w:t>1</w:t>
      </w:r>
      <w:r>
        <w:rPr/>
        <w:t>）应收账款分类披露</w:t>
      </w:r>
      <w:r>
        <w:rPr>
          <w:b w:val="0"/>
          <w:bCs w:val="0"/>
        </w:rPr>
      </w:r>
    </w:p>
    <w:p>
      <w:pPr>
        <w:spacing w:line="240" w:lineRule="auto" w:before="2"/>
        <w:rPr>
          <w:rFonts w:ascii="宋体" w:hAnsi="宋体" w:cs="宋体" w:eastAsia="宋体" w:hint="default"/>
          <w:b/>
          <w:bCs/>
          <w:sz w:val="26"/>
          <w:szCs w:val="26"/>
        </w:rPr>
      </w:pPr>
    </w:p>
    <w:p>
      <w:pPr>
        <w:spacing w:before="0"/>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624"/>
        <w:gridCol w:w="774"/>
        <w:gridCol w:w="763"/>
        <w:gridCol w:w="761"/>
        <w:gridCol w:w="763"/>
        <w:gridCol w:w="790"/>
        <w:gridCol w:w="775"/>
        <w:gridCol w:w="797"/>
        <w:gridCol w:w="799"/>
        <w:gridCol w:w="790"/>
        <w:gridCol w:w="931"/>
      </w:tblGrid>
      <w:tr>
        <w:trPr>
          <w:trHeight w:val="398" w:hRule="exact"/>
        </w:trPr>
        <w:tc>
          <w:tcPr>
            <w:tcW w:w="1624" w:type="dxa"/>
            <w:vMerge w:val="restart"/>
            <w:tcBorders>
              <w:top w:val="single" w:sz="4" w:space="0" w:color="000000"/>
              <w:left w:val="single" w:sz="4" w:space="0" w:color="000000"/>
              <w:right w:val="single" w:sz="4" w:space="0" w:color="000000"/>
            </w:tcBorders>
            <w:shd w:val="clear" w:color="auto" w:fill="D4D4D4"/>
          </w:tcPr>
          <w:p>
            <w:pPr/>
          </w:p>
        </w:tc>
        <w:tc>
          <w:tcPr>
            <w:tcW w:w="3851" w:type="dxa"/>
            <w:gridSpan w:val="5"/>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2" w:type="dxa"/>
            <w:gridSpan w:val="5"/>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24" w:type="dxa"/>
            <w:vMerge/>
            <w:tcBorders>
              <w:left w:val="single" w:sz="4" w:space="0" w:color="000000"/>
              <w:bottom w:val="nil" w:sz="6" w:space="0" w:color="auto"/>
              <w:right w:val="single" w:sz="4" w:space="0" w:color="000000"/>
            </w:tcBorders>
            <w:shd w:val="clear" w:color="auto" w:fill="D4D4D4"/>
          </w:tcPr>
          <w:p>
            <w:pPr/>
          </w:p>
        </w:tc>
        <w:tc>
          <w:tcPr>
            <w:tcW w:w="1537"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4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4D4D4"/>
          </w:tcPr>
          <w:p>
            <w:pPr/>
          </w:p>
        </w:tc>
        <w:tc>
          <w:tcPr>
            <w:tcW w:w="1572"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42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89"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42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4D4D4"/>
          </w:tcPr>
          <w:p>
            <w:pPr/>
          </w:p>
        </w:tc>
      </w:tr>
      <w:tr>
        <w:trPr>
          <w:trHeight w:val="240" w:hRule="exact"/>
        </w:trPr>
        <w:tc>
          <w:tcPr>
            <w:tcW w:w="1624"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537" w:type="dxa"/>
            <w:gridSpan w:val="2"/>
            <w:vMerge/>
            <w:tcBorders>
              <w:left w:val="single" w:sz="4" w:space="0" w:color="000000"/>
              <w:bottom w:val="single" w:sz="4" w:space="0" w:color="000000"/>
              <w:right w:val="single" w:sz="4" w:space="0" w:color="000000"/>
            </w:tcBorders>
            <w:shd w:val="clear" w:color="auto" w:fill="D4D4D4"/>
          </w:tcPr>
          <w:p>
            <w:pPr/>
          </w:p>
        </w:tc>
        <w:tc>
          <w:tcPr>
            <w:tcW w:w="1524" w:type="dxa"/>
            <w:gridSpan w:val="2"/>
            <w:vMerge/>
            <w:tcBorders>
              <w:left w:val="single" w:sz="4" w:space="0" w:color="000000"/>
              <w:bottom w:val="single" w:sz="4" w:space="0" w:color="000000"/>
              <w:right w:val="single" w:sz="4" w:space="0" w:color="000000"/>
            </w:tcBorders>
            <w:shd w:val="clear" w:color="auto" w:fill="D4D4D4"/>
          </w:tcPr>
          <w:p>
            <w:pPr/>
          </w:p>
        </w:tc>
        <w:tc>
          <w:tcPr>
            <w:tcW w:w="790" w:type="dxa"/>
            <w:vMerge/>
            <w:tcBorders>
              <w:left w:val="single" w:sz="4" w:space="0" w:color="000000"/>
              <w:bottom w:val="nil" w:sz="6" w:space="0" w:color="auto"/>
              <w:right w:val="single" w:sz="4" w:space="0" w:color="000000"/>
            </w:tcBorders>
            <w:shd w:val="clear" w:color="auto" w:fill="D4D4D4"/>
          </w:tcPr>
          <w:p>
            <w:pPr/>
          </w:p>
        </w:tc>
        <w:tc>
          <w:tcPr>
            <w:tcW w:w="1572" w:type="dxa"/>
            <w:gridSpan w:val="2"/>
            <w:vMerge/>
            <w:tcBorders>
              <w:left w:val="single" w:sz="4" w:space="0" w:color="000000"/>
              <w:bottom w:val="single" w:sz="4" w:space="0" w:color="000000"/>
              <w:right w:val="single" w:sz="4" w:space="0" w:color="000000"/>
            </w:tcBorders>
            <w:shd w:val="clear" w:color="auto" w:fill="D4D4D4"/>
          </w:tcPr>
          <w:p>
            <w:pPr/>
          </w:p>
        </w:tc>
        <w:tc>
          <w:tcPr>
            <w:tcW w:w="1589" w:type="dxa"/>
            <w:gridSpan w:val="2"/>
            <w:vMerge/>
            <w:tcBorders>
              <w:left w:val="single" w:sz="4" w:space="0" w:color="000000"/>
              <w:bottom w:val="single" w:sz="4" w:space="0" w:color="000000"/>
              <w:right w:val="single" w:sz="4" w:space="0" w:color="000000"/>
            </w:tcBorders>
            <w:shd w:val="clear" w:color="auto" w:fill="D4D4D4"/>
          </w:tcPr>
          <w:p>
            <w:pPr/>
          </w:p>
        </w:tc>
        <w:tc>
          <w:tcPr>
            <w:tcW w:w="931" w:type="dxa"/>
            <w:vMerge/>
            <w:tcBorders>
              <w:left w:val="single" w:sz="4" w:space="0" w:color="000000"/>
              <w:bottom w:val="nil" w:sz="6" w:space="0" w:color="auto"/>
              <w:right w:val="single" w:sz="4" w:space="0" w:color="000000"/>
            </w:tcBorders>
            <w:shd w:val="clear" w:color="auto" w:fill="D4D4D4"/>
          </w:tcPr>
          <w:p>
            <w:pPr/>
          </w:p>
        </w:tc>
      </w:tr>
      <w:tr>
        <w:trPr>
          <w:trHeight w:val="158" w:hRule="exact"/>
        </w:trPr>
        <w:tc>
          <w:tcPr>
            <w:tcW w:w="1624" w:type="dxa"/>
            <w:vMerge/>
            <w:tcBorders>
              <w:left w:val="single" w:sz="4" w:space="0" w:color="000000"/>
              <w:bottom w:val="single" w:sz="4" w:space="0" w:color="FFFFFF"/>
              <w:right w:val="single" w:sz="4" w:space="0" w:color="000000"/>
            </w:tcBorders>
            <w:shd w:val="clear" w:color="auto" w:fill="D4D4D4"/>
          </w:tcPr>
          <w:p>
            <w:pPr/>
          </w:p>
        </w:tc>
        <w:tc>
          <w:tcPr>
            <w:tcW w:w="774" w:type="dxa"/>
            <w:tcBorders>
              <w:top w:val="single" w:sz="4" w:space="0" w:color="000000"/>
              <w:left w:val="single" w:sz="4" w:space="0" w:color="000000"/>
              <w:bottom w:val="single" w:sz="4" w:space="0" w:color="FFFFFF"/>
              <w:right w:val="single" w:sz="4" w:space="0" w:color="000000"/>
            </w:tcBorders>
            <w:shd w:val="clear" w:color="auto" w:fill="D4D4D4"/>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4D4D4"/>
          </w:tcPr>
          <w:p>
            <w:pPr/>
          </w:p>
        </w:tc>
        <w:tc>
          <w:tcPr>
            <w:tcW w:w="761" w:type="dxa"/>
            <w:tcBorders>
              <w:top w:val="single" w:sz="4" w:space="0" w:color="000000"/>
              <w:left w:val="single" w:sz="4" w:space="0" w:color="000000"/>
              <w:bottom w:val="single" w:sz="4" w:space="0" w:color="FFFFFF"/>
              <w:right w:val="single" w:sz="4" w:space="0" w:color="000000"/>
            </w:tcBorders>
            <w:shd w:val="clear" w:color="auto" w:fill="D4D4D4"/>
          </w:tcPr>
          <w:p>
            <w:pPr/>
          </w:p>
        </w:tc>
        <w:tc>
          <w:tcPr>
            <w:tcW w:w="763"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49"/>
              <w:ind w:left="287" w:right="10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8"/>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775" w:type="dxa"/>
            <w:tcBorders>
              <w:top w:val="single" w:sz="4" w:space="0" w:color="000000"/>
              <w:left w:val="single" w:sz="4" w:space="0" w:color="000000"/>
              <w:bottom w:val="nil" w:sz="6" w:space="0" w:color="auto"/>
              <w:right w:val="single" w:sz="4" w:space="0" w:color="000000"/>
            </w:tcBorders>
            <w:shd w:val="clear" w:color="auto" w:fill="D4D4D4"/>
          </w:tcPr>
          <w:p>
            <w:pPr/>
          </w:p>
        </w:tc>
        <w:tc>
          <w:tcPr>
            <w:tcW w:w="797" w:type="dxa"/>
            <w:tcBorders>
              <w:top w:val="single" w:sz="4" w:space="0" w:color="000000"/>
              <w:left w:val="single" w:sz="4" w:space="0" w:color="000000"/>
              <w:bottom w:val="nil" w:sz="6" w:space="0" w:color="auto"/>
              <w:right w:val="single" w:sz="4" w:space="0" w:color="000000"/>
            </w:tcBorders>
            <w:shd w:val="clear" w:color="auto" w:fill="D4D4D4"/>
          </w:tcPr>
          <w:p>
            <w:pPr/>
          </w:p>
        </w:tc>
        <w:tc>
          <w:tcPr>
            <w:tcW w:w="799" w:type="dxa"/>
            <w:tcBorders>
              <w:top w:val="single" w:sz="4" w:space="0" w:color="000000"/>
              <w:left w:val="single" w:sz="4" w:space="0" w:color="000000"/>
              <w:bottom w:val="nil" w:sz="6" w:space="0" w:color="auto"/>
              <w:right w:val="single" w:sz="4" w:space="0" w:color="000000"/>
            </w:tcBorders>
            <w:shd w:val="clear" w:color="auto" w:fill="D4D4D4"/>
          </w:tcPr>
          <w:p>
            <w:pPr/>
          </w:p>
        </w:tc>
        <w:tc>
          <w:tcPr>
            <w:tcW w:w="790" w:type="dxa"/>
            <w:tcBorders>
              <w:top w:val="single" w:sz="4" w:space="0" w:color="000000"/>
              <w:left w:val="single" w:sz="4" w:space="0" w:color="000000"/>
              <w:bottom w:val="nil" w:sz="6" w:space="0" w:color="auto"/>
              <w:right w:val="single" w:sz="4" w:space="0" w:color="000000"/>
            </w:tcBorders>
            <w:shd w:val="clear" w:color="auto" w:fill="D4D4D4"/>
          </w:tcPr>
          <w:p>
            <w:pPr/>
          </w:p>
        </w:tc>
        <w:tc>
          <w:tcPr>
            <w:tcW w:w="931"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4" w:hRule="exact"/>
        </w:trPr>
        <w:tc>
          <w:tcPr>
            <w:tcW w:w="1624" w:type="dxa"/>
            <w:vMerge w:val="restart"/>
            <w:tcBorders>
              <w:top w:val="single" w:sz="4" w:space="0" w:color="FFFFFF"/>
              <w:left w:val="single" w:sz="4" w:space="0" w:color="000000"/>
              <w:right w:val="single" w:sz="4" w:space="0" w:color="000000"/>
            </w:tcBorders>
            <w:shd w:val="clear" w:color="auto" w:fill="D4D4D4"/>
          </w:tcPr>
          <w:p>
            <w:pPr/>
          </w:p>
        </w:tc>
        <w:tc>
          <w:tcPr>
            <w:tcW w:w="774" w:type="dxa"/>
            <w:vMerge w:val="restart"/>
            <w:tcBorders>
              <w:top w:val="single" w:sz="4" w:space="0" w:color="FFFFFF"/>
              <w:left w:val="single" w:sz="4" w:space="0" w:color="000000"/>
              <w:right w:val="single" w:sz="4" w:space="0" w:color="000000"/>
            </w:tcBorders>
            <w:shd w:val="clear" w:color="auto" w:fill="D4D4D4"/>
          </w:tcPr>
          <w:p>
            <w:pPr>
              <w:pStyle w:val="TableParagraph"/>
              <w:spacing w:line="240" w:lineRule="auto" w:before="46"/>
              <w:ind w:left="20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val="restart"/>
            <w:tcBorders>
              <w:top w:val="single" w:sz="4" w:space="0" w:color="FFFFFF"/>
              <w:left w:val="single" w:sz="4" w:space="0" w:color="000000"/>
              <w:right w:val="single" w:sz="4" w:space="0" w:color="000000"/>
            </w:tcBorders>
            <w:shd w:val="clear" w:color="auto" w:fill="D4D4D4"/>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1" w:type="dxa"/>
            <w:vMerge w:val="restart"/>
            <w:tcBorders>
              <w:top w:val="single" w:sz="4" w:space="0" w:color="FFFFFF"/>
              <w:left w:val="single" w:sz="4" w:space="0" w:color="000000"/>
              <w:right w:val="single" w:sz="4" w:space="0" w:color="000000"/>
            </w:tcBorders>
            <w:shd w:val="clear" w:color="auto" w:fill="D4D4D4"/>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tcBorders>
              <w:left w:val="single" w:sz="4" w:space="0" w:color="000000"/>
              <w:right w:val="single" w:sz="4" w:space="0" w:color="000000"/>
            </w:tcBorders>
            <w:shd w:val="clear" w:color="auto" w:fill="D4D4D4"/>
          </w:tcPr>
          <w:p>
            <w:pPr/>
          </w:p>
        </w:tc>
        <w:tc>
          <w:tcPr>
            <w:tcW w:w="790" w:type="dxa"/>
            <w:vMerge/>
            <w:tcBorders>
              <w:left w:val="single" w:sz="4" w:space="0" w:color="000000"/>
              <w:bottom w:val="nil" w:sz="6" w:space="0" w:color="auto"/>
              <w:right w:val="single" w:sz="4" w:space="0" w:color="000000"/>
            </w:tcBorders>
            <w:shd w:val="clear" w:color="auto" w:fill="D4D4D4"/>
          </w:tcPr>
          <w:p>
            <w:pPr/>
          </w:p>
        </w:tc>
        <w:tc>
          <w:tcPr>
            <w:tcW w:w="775"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20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7"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213"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99"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21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0"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3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nil" w:sz="6" w:space="0" w:color="auto"/>
              <w:right w:val="single" w:sz="4" w:space="0" w:color="000000"/>
            </w:tcBorders>
            <w:shd w:val="clear" w:color="auto" w:fill="D4D4D4"/>
          </w:tcPr>
          <w:p>
            <w:pPr/>
          </w:p>
        </w:tc>
      </w:tr>
      <w:tr>
        <w:trPr>
          <w:trHeight w:val="202" w:hRule="exact"/>
        </w:trPr>
        <w:tc>
          <w:tcPr>
            <w:tcW w:w="1624" w:type="dxa"/>
            <w:vMerge/>
            <w:tcBorders>
              <w:left w:val="single" w:sz="4" w:space="0" w:color="000000"/>
              <w:right w:val="single" w:sz="4" w:space="0" w:color="000000"/>
            </w:tcBorders>
            <w:shd w:val="clear" w:color="auto" w:fill="D4D4D4"/>
          </w:tcPr>
          <w:p>
            <w:pPr/>
          </w:p>
        </w:tc>
        <w:tc>
          <w:tcPr>
            <w:tcW w:w="774" w:type="dxa"/>
            <w:vMerge/>
            <w:tcBorders>
              <w:left w:val="single" w:sz="4" w:space="0" w:color="000000"/>
              <w:bottom w:val="nil" w:sz="6" w:space="0" w:color="auto"/>
              <w:right w:val="single" w:sz="4" w:space="0" w:color="000000"/>
            </w:tcBorders>
            <w:shd w:val="clear" w:color="auto" w:fill="D4D4D4"/>
          </w:tcPr>
          <w:p>
            <w:pPr/>
          </w:p>
        </w:tc>
        <w:tc>
          <w:tcPr>
            <w:tcW w:w="763" w:type="dxa"/>
            <w:vMerge/>
            <w:tcBorders>
              <w:left w:val="single" w:sz="4" w:space="0" w:color="000000"/>
              <w:bottom w:val="nil" w:sz="6" w:space="0" w:color="auto"/>
              <w:right w:val="single" w:sz="4" w:space="0" w:color="000000"/>
            </w:tcBorders>
            <w:shd w:val="clear" w:color="auto" w:fill="D4D4D4"/>
          </w:tcPr>
          <w:p>
            <w:pPr/>
          </w:p>
        </w:tc>
        <w:tc>
          <w:tcPr>
            <w:tcW w:w="761" w:type="dxa"/>
            <w:vMerge/>
            <w:tcBorders>
              <w:left w:val="single" w:sz="4" w:space="0" w:color="000000"/>
              <w:bottom w:val="nil" w:sz="6" w:space="0" w:color="auto"/>
              <w:right w:val="single" w:sz="4" w:space="0" w:color="000000"/>
            </w:tcBorders>
            <w:shd w:val="clear" w:color="auto" w:fill="D4D4D4"/>
          </w:tcPr>
          <w:p>
            <w:pPr/>
          </w:p>
        </w:tc>
        <w:tc>
          <w:tcPr>
            <w:tcW w:w="763" w:type="dxa"/>
            <w:vMerge/>
            <w:tcBorders>
              <w:left w:val="single" w:sz="4" w:space="0" w:color="000000"/>
              <w:right w:val="single" w:sz="4" w:space="0" w:color="000000"/>
            </w:tcBorders>
            <w:shd w:val="clear" w:color="auto" w:fill="D4D4D4"/>
          </w:tcPr>
          <w:p>
            <w:pPr/>
          </w:p>
        </w:tc>
        <w:tc>
          <w:tcPr>
            <w:tcW w:w="790" w:type="dxa"/>
            <w:vMerge w:val="restart"/>
            <w:tcBorders>
              <w:top w:val="nil" w:sz="6" w:space="0" w:color="auto"/>
              <w:left w:val="single" w:sz="4" w:space="0" w:color="000000"/>
              <w:right w:val="single" w:sz="4" w:space="0" w:color="000000"/>
            </w:tcBorders>
            <w:shd w:val="clear" w:color="auto" w:fill="D4D4D4"/>
          </w:tcPr>
          <w:p>
            <w:pPr/>
          </w:p>
        </w:tc>
        <w:tc>
          <w:tcPr>
            <w:tcW w:w="775" w:type="dxa"/>
            <w:vMerge/>
            <w:tcBorders>
              <w:left w:val="single" w:sz="4" w:space="0" w:color="000000"/>
              <w:bottom w:val="nil" w:sz="6" w:space="0" w:color="auto"/>
              <w:right w:val="single" w:sz="4" w:space="0" w:color="000000"/>
            </w:tcBorders>
            <w:shd w:val="clear" w:color="auto" w:fill="D4D4D4"/>
          </w:tcPr>
          <w:p>
            <w:pPr/>
          </w:p>
        </w:tc>
        <w:tc>
          <w:tcPr>
            <w:tcW w:w="797" w:type="dxa"/>
            <w:vMerge/>
            <w:tcBorders>
              <w:left w:val="single" w:sz="4" w:space="0" w:color="000000"/>
              <w:bottom w:val="nil" w:sz="6" w:space="0" w:color="auto"/>
              <w:right w:val="single" w:sz="4" w:space="0" w:color="000000"/>
            </w:tcBorders>
            <w:shd w:val="clear" w:color="auto" w:fill="D4D4D4"/>
          </w:tcPr>
          <w:p>
            <w:pPr/>
          </w:p>
        </w:tc>
        <w:tc>
          <w:tcPr>
            <w:tcW w:w="799" w:type="dxa"/>
            <w:vMerge/>
            <w:tcBorders>
              <w:left w:val="single" w:sz="4" w:space="0" w:color="000000"/>
              <w:bottom w:val="nil" w:sz="6" w:space="0" w:color="auto"/>
              <w:right w:val="single" w:sz="4" w:space="0" w:color="000000"/>
            </w:tcBorders>
            <w:shd w:val="clear" w:color="auto" w:fill="D4D4D4"/>
          </w:tcPr>
          <w:p>
            <w:pPr/>
          </w:p>
        </w:tc>
        <w:tc>
          <w:tcPr>
            <w:tcW w:w="790" w:type="dxa"/>
            <w:vMerge/>
            <w:tcBorders>
              <w:left w:val="single" w:sz="4" w:space="0" w:color="000000"/>
              <w:bottom w:val="nil" w:sz="6" w:space="0" w:color="auto"/>
              <w:right w:val="single" w:sz="4" w:space="0" w:color="000000"/>
            </w:tcBorders>
            <w:shd w:val="clear" w:color="auto" w:fill="D4D4D4"/>
          </w:tcPr>
          <w:p>
            <w:pPr/>
          </w:p>
        </w:tc>
        <w:tc>
          <w:tcPr>
            <w:tcW w:w="931" w:type="dxa"/>
            <w:vMerge w:val="restart"/>
            <w:tcBorders>
              <w:top w:val="nil" w:sz="6" w:space="0" w:color="auto"/>
              <w:left w:val="single" w:sz="4" w:space="0" w:color="000000"/>
              <w:right w:val="single" w:sz="4" w:space="0" w:color="000000"/>
            </w:tcBorders>
            <w:shd w:val="clear" w:color="auto" w:fill="D4D4D4"/>
          </w:tcPr>
          <w:p>
            <w:pPr/>
          </w:p>
        </w:tc>
      </w:tr>
      <w:tr>
        <w:trPr>
          <w:trHeight w:val="161" w:hRule="exact"/>
        </w:trPr>
        <w:tc>
          <w:tcPr>
            <w:tcW w:w="1624" w:type="dxa"/>
            <w:vMerge/>
            <w:tcBorders>
              <w:left w:val="single" w:sz="4" w:space="0" w:color="000000"/>
              <w:bottom w:val="single" w:sz="4" w:space="0" w:color="000000"/>
              <w:right w:val="single" w:sz="4" w:space="0" w:color="000000"/>
            </w:tcBorders>
            <w:shd w:val="clear" w:color="auto" w:fill="D4D4D4"/>
          </w:tcPr>
          <w:p>
            <w:pPr/>
          </w:p>
        </w:tc>
        <w:tc>
          <w:tcPr>
            <w:tcW w:w="774" w:type="dxa"/>
            <w:tcBorders>
              <w:top w:val="nil" w:sz="6" w:space="0" w:color="auto"/>
              <w:left w:val="single" w:sz="4" w:space="0" w:color="000000"/>
              <w:bottom w:val="single" w:sz="4" w:space="0" w:color="000000"/>
              <w:right w:val="single" w:sz="4" w:space="0" w:color="000000"/>
            </w:tcBorders>
            <w:shd w:val="clear" w:color="auto" w:fill="D4D4D4"/>
          </w:tcPr>
          <w:p>
            <w:pPr/>
          </w:p>
        </w:tc>
        <w:tc>
          <w:tcPr>
            <w:tcW w:w="763" w:type="dxa"/>
            <w:tcBorders>
              <w:top w:val="nil" w:sz="6" w:space="0" w:color="auto"/>
              <w:left w:val="single" w:sz="4" w:space="0" w:color="000000"/>
              <w:bottom w:val="single" w:sz="4" w:space="0" w:color="000000"/>
              <w:right w:val="single" w:sz="4" w:space="0" w:color="000000"/>
            </w:tcBorders>
            <w:shd w:val="clear" w:color="auto" w:fill="D4D4D4"/>
          </w:tcPr>
          <w:p>
            <w:pPr/>
          </w:p>
        </w:tc>
        <w:tc>
          <w:tcPr>
            <w:tcW w:w="761" w:type="dxa"/>
            <w:tcBorders>
              <w:top w:val="nil" w:sz="6" w:space="0" w:color="auto"/>
              <w:left w:val="single" w:sz="4" w:space="0" w:color="000000"/>
              <w:bottom w:val="single" w:sz="4" w:space="0" w:color="000000"/>
              <w:right w:val="single" w:sz="4" w:space="0" w:color="000000"/>
            </w:tcBorders>
            <w:shd w:val="clear" w:color="auto" w:fill="D4D4D4"/>
          </w:tcPr>
          <w:p>
            <w:pPr/>
          </w:p>
        </w:tc>
        <w:tc>
          <w:tcPr>
            <w:tcW w:w="763" w:type="dxa"/>
            <w:vMerge/>
            <w:tcBorders>
              <w:left w:val="single" w:sz="4" w:space="0" w:color="000000"/>
              <w:bottom w:val="single" w:sz="4" w:space="0" w:color="000000"/>
              <w:right w:val="single" w:sz="4" w:space="0" w:color="000000"/>
            </w:tcBorders>
            <w:shd w:val="clear" w:color="auto" w:fill="D4D4D4"/>
          </w:tcPr>
          <w:p>
            <w:pPr/>
          </w:p>
        </w:tc>
        <w:tc>
          <w:tcPr>
            <w:tcW w:w="790" w:type="dxa"/>
            <w:vMerge/>
            <w:tcBorders>
              <w:left w:val="single" w:sz="4" w:space="0" w:color="000000"/>
              <w:bottom w:val="single" w:sz="4" w:space="0" w:color="000000"/>
              <w:right w:val="single" w:sz="4" w:space="0" w:color="000000"/>
            </w:tcBorders>
            <w:shd w:val="clear" w:color="auto" w:fill="D4D4D4"/>
          </w:tcPr>
          <w:p>
            <w:pPr/>
          </w:p>
        </w:tc>
        <w:tc>
          <w:tcPr>
            <w:tcW w:w="775" w:type="dxa"/>
            <w:tcBorders>
              <w:top w:val="nil" w:sz="6" w:space="0" w:color="auto"/>
              <w:left w:val="single" w:sz="4" w:space="0" w:color="000000"/>
              <w:bottom w:val="single" w:sz="4" w:space="0" w:color="000000"/>
              <w:right w:val="single" w:sz="4" w:space="0" w:color="000000"/>
            </w:tcBorders>
            <w:shd w:val="clear" w:color="auto" w:fill="D4D4D4"/>
          </w:tcPr>
          <w:p>
            <w:pPr/>
          </w:p>
        </w:tc>
        <w:tc>
          <w:tcPr>
            <w:tcW w:w="797" w:type="dxa"/>
            <w:tcBorders>
              <w:top w:val="nil" w:sz="6" w:space="0" w:color="auto"/>
              <w:left w:val="single" w:sz="4" w:space="0" w:color="000000"/>
              <w:bottom w:val="single" w:sz="4" w:space="0" w:color="000000"/>
              <w:right w:val="single" w:sz="4" w:space="0" w:color="000000"/>
            </w:tcBorders>
            <w:shd w:val="clear" w:color="auto" w:fill="D4D4D4"/>
          </w:tcPr>
          <w:p>
            <w:pPr/>
          </w:p>
        </w:tc>
        <w:tc>
          <w:tcPr>
            <w:tcW w:w="799" w:type="dxa"/>
            <w:tcBorders>
              <w:top w:val="nil" w:sz="6" w:space="0" w:color="auto"/>
              <w:left w:val="single" w:sz="4" w:space="0" w:color="000000"/>
              <w:bottom w:val="single" w:sz="4" w:space="0" w:color="000000"/>
              <w:right w:val="single" w:sz="4" w:space="0" w:color="000000"/>
            </w:tcBorders>
            <w:shd w:val="clear" w:color="auto" w:fill="D4D4D4"/>
          </w:tcPr>
          <w:p>
            <w:pPr/>
          </w:p>
        </w:tc>
        <w:tc>
          <w:tcPr>
            <w:tcW w:w="790" w:type="dxa"/>
            <w:tcBorders>
              <w:top w:val="nil" w:sz="6" w:space="0" w:color="auto"/>
              <w:left w:val="single" w:sz="4" w:space="0" w:color="000000"/>
              <w:bottom w:val="single" w:sz="4" w:space="0" w:color="000000"/>
              <w:right w:val="single" w:sz="4" w:space="0" w:color="000000"/>
            </w:tcBorders>
            <w:shd w:val="clear" w:color="auto" w:fill="D4D4D4"/>
          </w:tcPr>
          <w:p>
            <w:pPr/>
          </w:p>
        </w:tc>
        <w:tc>
          <w:tcPr>
            <w:tcW w:w="931" w:type="dxa"/>
            <w:vMerge/>
            <w:tcBorders>
              <w:left w:val="single" w:sz="4" w:space="0" w:color="000000"/>
              <w:bottom w:val="single" w:sz="4" w:space="0" w:color="000000"/>
              <w:right w:val="single" w:sz="4" w:space="0" w:color="000000"/>
            </w:tcBorders>
            <w:shd w:val="clear" w:color="auto" w:fill="D4D4D4"/>
          </w:tcPr>
          <w:p>
            <w:pPr/>
          </w:p>
        </w:tc>
      </w:tr>
      <w:tr>
        <w:trPr>
          <w:trHeight w:val="713" w:hRule="exact"/>
        </w:trPr>
        <w:tc>
          <w:tcPr>
            <w:tcW w:w="162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49"/>
              <w:ind w:left="24" w:right="149"/>
              <w:jc w:val="left"/>
              <w:rPr>
                <w:rFonts w:ascii="宋体" w:hAnsi="宋体" w:cs="宋体" w:eastAsia="宋体" w:hint="default"/>
                <w:sz w:val="18"/>
                <w:szCs w:val="18"/>
              </w:rPr>
            </w:pPr>
            <w:r>
              <w:rPr>
                <w:rFonts w:ascii="宋体" w:hAnsi="宋体" w:cs="宋体" w:eastAsia="宋体" w:hint="default"/>
                <w:sz w:val="18"/>
                <w:szCs w:val="18"/>
              </w:rPr>
              <w:t>按单项计提坏账准 备的应收账款</w:t>
            </w:r>
          </w:p>
        </w:tc>
        <w:tc>
          <w:tcPr>
            <w:tcW w:w="774" w:type="dxa"/>
            <w:tcBorders>
              <w:top w:val="single" w:sz="4" w:space="0" w:color="000000"/>
              <w:left w:val="single" w:sz="10" w:space="0" w:color="D4D4D4"/>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761"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4,418,000</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0.85%</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4,418,000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100.00%</w:t>
            </w: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62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74"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61"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75"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99"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931"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1025" w:hRule="exact"/>
        </w:trPr>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49"/>
              <w:jc w:val="both"/>
              <w:rPr>
                <w:rFonts w:ascii="宋体" w:hAnsi="宋体" w:cs="宋体" w:eastAsia="宋体" w:hint="default"/>
                <w:sz w:val="18"/>
                <w:szCs w:val="18"/>
              </w:rPr>
            </w:pPr>
            <w:r>
              <w:rPr>
                <w:rFonts w:ascii="宋体" w:hAnsi="宋体" w:cs="宋体" w:eastAsia="宋体" w:hint="default"/>
                <w:sz w:val="18"/>
                <w:szCs w:val="18"/>
              </w:rPr>
              <w:t>单项金额重大并单 独计提坏账准备的 应收账款</w:t>
            </w:r>
          </w:p>
        </w:tc>
        <w:tc>
          <w:tcPr>
            <w:tcW w:w="774"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761"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4,383,000</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0.84%</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4,383,000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100.00%</w:t>
            </w:r>
          </w:p>
        </w:tc>
        <w:tc>
          <w:tcPr>
            <w:tcW w:w="93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634"/>
        <w:gridCol w:w="763"/>
        <w:gridCol w:w="763"/>
        <w:gridCol w:w="761"/>
        <w:gridCol w:w="763"/>
        <w:gridCol w:w="790"/>
        <w:gridCol w:w="775"/>
        <w:gridCol w:w="797"/>
        <w:gridCol w:w="799"/>
        <w:gridCol w:w="790"/>
        <w:gridCol w:w="931"/>
      </w:tblGrid>
      <w:tr>
        <w:trPr>
          <w:trHeight w:val="1025" w:hRule="exact"/>
        </w:trPr>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8"/>
              <w:jc w:val="both"/>
              <w:rPr>
                <w:rFonts w:ascii="宋体" w:hAnsi="宋体" w:cs="宋体" w:eastAsia="宋体" w:hint="default"/>
                <w:sz w:val="18"/>
                <w:szCs w:val="18"/>
              </w:rPr>
            </w:pPr>
            <w:r>
              <w:rPr>
                <w:rFonts w:ascii="宋体" w:hAnsi="宋体" w:cs="宋体" w:eastAsia="宋体" w:hint="default"/>
                <w:sz w:val="18"/>
                <w:szCs w:val="18"/>
              </w:rPr>
              <w:t>单项金额不重大但 单独计提坏账准备 的应收账款</w:t>
            </w:r>
          </w:p>
        </w:tc>
        <w:tc>
          <w:tcPr>
            <w:tcW w:w="763"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761"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35,000.00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0.01%</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35,000.00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100.00%</w:t>
            </w: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6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51"/>
              <w:ind w:left="24" w:right="158"/>
              <w:jc w:val="left"/>
              <w:rPr>
                <w:rFonts w:ascii="宋体" w:hAnsi="宋体" w:cs="宋体" w:eastAsia="宋体" w:hint="default"/>
                <w:sz w:val="18"/>
                <w:szCs w:val="18"/>
              </w:rPr>
            </w:pPr>
            <w:r>
              <w:rPr>
                <w:rFonts w:ascii="宋体" w:hAnsi="宋体" w:cs="宋体" w:eastAsia="宋体" w:hint="default"/>
                <w:sz w:val="18"/>
                <w:szCs w:val="18"/>
              </w:rPr>
              <w:t>按组合计提坏账准 备的应收账款</w:t>
            </w:r>
          </w:p>
        </w:tc>
        <w:tc>
          <w:tcPr>
            <w:tcW w:w="763"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3"/>
              <w:ind w:left="75" w:right="0"/>
              <w:jc w:val="center"/>
              <w:rPr>
                <w:rFonts w:ascii="Times New Roman" w:hAnsi="Times New Roman" w:cs="Times New Roman" w:eastAsia="Times New Roman" w:hint="default"/>
                <w:sz w:val="18"/>
                <w:szCs w:val="18"/>
              </w:rPr>
            </w:pPr>
            <w:r>
              <w:rPr>
                <w:rFonts w:ascii="Times New Roman"/>
                <w:sz w:val="18"/>
              </w:rPr>
              <w:t>805,436,</w:t>
            </w:r>
          </w:p>
          <w:p>
            <w:pPr>
              <w:pStyle w:val="TableParagraph"/>
              <w:spacing w:line="240" w:lineRule="auto" w:before="102"/>
              <w:ind w:left="208" w:right="0"/>
              <w:jc w:val="center"/>
              <w:rPr>
                <w:rFonts w:ascii="Times New Roman" w:hAnsi="Times New Roman" w:cs="Times New Roman" w:eastAsia="Times New Roman" w:hint="default"/>
                <w:sz w:val="18"/>
                <w:szCs w:val="18"/>
              </w:rPr>
            </w:pPr>
            <w:r>
              <w:rPr>
                <w:rFonts w:ascii="Times New Roman"/>
                <w:sz w:val="18"/>
              </w:rPr>
              <w:t>587.57</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100.00%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8" w:right="0"/>
              <w:jc w:val="left"/>
              <w:rPr>
                <w:rFonts w:ascii="Times New Roman" w:hAnsi="Times New Roman" w:cs="Times New Roman" w:eastAsia="Times New Roman" w:hint="default"/>
                <w:sz w:val="18"/>
                <w:szCs w:val="18"/>
              </w:rPr>
            </w:pPr>
            <w:r>
              <w:rPr>
                <w:rFonts w:ascii="Times New Roman"/>
                <w:sz w:val="18"/>
              </w:rPr>
              <w:t>62,440,4</w:t>
            </w:r>
          </w:p>
          <w:p>
            <w:pPr>
              <w:pStyle w:val="TableParagraph"/>
              <w:spacing w:line="240" w:lineRule="auto" w:before="102"/>
              <w:ind w:left="323" w:right="0"/>
              <w:jc w:val="left"/>
              <w:rPr>
                <w:rFonts w:ascii="Times New Roman" w:hAnsi="Times New Roman" w:cs="Times New Roman" w:eastAsia="Times New Roman" w:hint="default"/>
                <w:sz w:val="18"/>
                <w:szCs w:val="18"/>
              </w:rPr>
            </w:pPr>
            <w:r>
              <w:rPr>
                <w:rFonts w:ascii="Times New Roman"/>
                <w:sz w:val="18"/>
              </w:rPr>
              <w:t>64.94</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7.75%</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5" w:right="0"/>
              <w:jc w:val="left"/>
              <w:rPr>
                <w:rFonts w:ascii="Times New Roman" w:hAnsi="Times New Roman" w:cs="Times New Roman" w:eastAsia="Times New Roman" w:hint="default"/>
                <w:sz w:val="18"/>
                <w:szCs w:val="18"/>
              </w:rPr>
            </w:pPr>
            <w:r>
              <w:rPr>
                <w:rFonts w:ascii="Times New Roman"/>
                <w:sz w:val="18"/>
              </w:rPr>
              <w:t>742,996,1</w:t>
            </w:r>
          </w:p>
          <w:p>
            <w:pPr>
              <w:pStyle w:val="TableParagraph"/>
              <w:spacing w:line="240" w:lineRule="auto" w:before="102"/>
              <w:ind w:left="350" w:right="0"/>
              <w:jc w:val="left"/>
              <w:rPr>
                <w:rFonts w:ascii="Times New Roman" w:hAnsi="Times New Roman" w:cs="Times New Roman" w:eastAsia="Times New Roman" w:hint="default"/>
                <w:sz w:val="18"/>
                <w:szCs w:val="18"/>
              </w:rPr>
            </w:pPr>
            <w:r>
              <w:rPr>
                <w:rFonts w:ascii="Times New Roman"/>
                <w:sz w:val="18"/>
              </w:rPr>
              <w:t>22.63</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516,873,2</w:t>
            </w:r>
          </w:p>
          <w:p>
            <w:pPr>
              <w:pStyle w:val="TableParagraph"/>
              <w:spacing w:line="240" w:lineRule="auto" w:before="102"/>
              <w:ind w:left="338" w:right="0"/>
              <w:jc w:val="left"/>
              <w:rPr>
                <w:rFonts w:ascii="Times New Roman" w:hAnsi="Times New Roman" w:cs="Times New Roman" w:eastAsia="Times New Roman" w:hint="default"/>
                <w:sz w:val="18"/>
                <w:szCs w:val="18"/>
              </w:rPr>
            </w:pPr>
            <w:r>
              <w:rPr>
                <w:rFonts w:ascii="Times New Roman"/>
                <w:sz w:val="18"/>
              </w:rPr>
              <w:t>37.53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99.15%</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44,154,31</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3.70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8.54%</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8" w:right="0"/>
              <w:jc w:val="left"/>
              <w:rPr>
                <w:rFonts w:ascii="Times New Roman" w:hAnsi="Times New Roman" w:cs="Times New Roman" w:eastAsia="Times New Roman" w:hint="default"/>
                <w:sz w:val="18"/>
                <w:szCs w:val="18"/>
              </w:rPr>
            </w:pPr>
            <w:r>
              <w:rPr>
                <w:rFonts w:ascii="Times New Roman"/>
                <w:sz w:val="18"/>
              </w:rPr>
              <w:t>472,718,92</w:t>
            </w:r>
          </w:p>
          <w:p>
            <w:pPr>
              <w:pStyle w:val="TableParagraph"/>
              <w:spacing w:line="240" w:lineRule="auto" w:before="102"/>
              <w:ind w:left="585" w:right="0"/>
              <w:jc w:val="left"/>
              <w:rPr>
                <w:rFonts w:ascii="Times New Roman" w:hAnsi="Times New Roman" w:cs="Times New Roman" w:eastAsia="Times New Roman" w:hint="default"/>
                <w:sz w:val="18"/>
                <w:szCs w:val="18"/>
              </w:rPr>
            </w:pPr>
            <w:r>
              <w:rPr>
                <w:rFonts w:ascii="Times New Roman"/>
                <w:sz w:val="18"/>
              </w:rPr>
              <w:t>3.83</w:t>
            </w:r>
          </w:p>
        </w:tc>
      </w:tr>
      <w:tr>
        <w:trPr>
          <w:trHeight w:val="401" w:hRule="exact"/>
        </w:trPr>
        <w:tc>
          <w:tcPr>
            <w:tcW w:w="16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61"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75"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99"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931"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715" w:hRule="exact"/>
        </w:trPr>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1"/>
              <w:ind w:left="24" w:right="23"/>
              <w:jc w:val="left"/>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：销售货款及 其他</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2" w:right="0"/>
              <w:jc w:val="center"/>
              <w:rPr>
                <w:rFonts w:ascii="Times New Roman" w:hAnsi="Times New Roman" w:cs="Times New Roman" w:eastAsia="Times New Roman" w:hint="default"/>
                <w:sz w:val="18"/>
                <w:szCs w:val="18"/>
              </w:rPr>
            </w:pPr>
            <w:r>
              <w:rPr>
                <w:rFonts w:ascii="Times New Roman"/>
                <w:sz w:val="18"/>
              </w:rPr>
              <w:t>513,087,</w:t>
            </w:r>
          </w:p>
          <w:p>
            <w:pPr>
              <w:pStyle w:val="TableParagraph"/>
              <w:spacing w:line="240" w:lineRule="auto" w:before="102"/>
              <w:ind w:left="215" w:right="0"/>
              <w:jc w:val="center"/>
              <w:rPr>
                <w:rFonts w:ascii="Times New Roman" w:hAnsi="Times New Roman" w:cs="Times New Roman" w:eastAsia="Times New Roman" w:hint="default"/>
                <w:sz w:val="18"/>
                <w:szCs w:val="18"/>
              </w:rPr>
            </w:pPr>
            <w:r>
              <w:rPr>
                <w:rFonts w:ascii="Times New Roman"/>
                <w:sz w:val="18"/>
              </w:rPr>
              <w:t>517.60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56" w:right="0"/>
              <w:jc w:val="center"/>
              <w:rPr>
                <w:rFonts w:ascii="Times New Roman" w:hAnsi="Times New Roman" w:cs="Times New Roman" w:eastAsia="Times New Roman" w:hint="default"/>
                <w:sz w:val="18"/>
                <w:szCs w:val="18"/>
              </w:rPr>
            </w:pPr>
            <w:r>
              <w:rPr>
                <w:rFonts w:ascii="Times New Roman"/>
                <w:sz w:val="18"/>
              </w:rPr>
              <w:t>63.70%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8" w:right="0"/>
              <w:jc w:val="left"/>
              <w:rPr>
                <w:rFonts w:ascii="Times New Roman" w:hAnsi="Times New Roman" w:cs="Times New Roman" w:eastAsia="Times New Roman" w:hint="default"/>
                <w:sz w:val="18"/>
                <w:szCs w:val="18"/>
              </w:rPr>
            </w:pPr>
            <w:r>
              <w:rPr>
                <w:rFonts w:ascii="Times New Roman"/>
                <w:sz w:val="18"/>
              </w:rPr>
              <w:t>62,440,4</w:t>
            </w:r>
          </w:p>
          <w:p>
            <w:pPr>
              <w:pStyle w:val="TableParagraph"/>
              <w:spacing w:line="240" w:lineRule="auto" w:before="102"/>
              <w:ind w:left="323" w:right="0"/>
              <w:jc w:val="left"/>
              <w:rPr>
                <w:rFonts w:ascii="Times New Roman" w:hAnsi="Times New Roman" w:cs="Times New Roman" w:eastAsia="Times New Roman" w:hint="default"/>
                <w:sz w:val="18"/>
                <w:szCs w:val="18"/>
              </w:rPr>
            </w:pPr>
            <w:r>
              <w:rPr>
                <w:rFonts w:ascii="Times New Roman"/>
                <w:sz w:val="18"/>
              </w:rPr>
              <w:t>64.94</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12.17%</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5" w:right="0"/>
              <w:jc w:val="left"/>
              <w:rPr>
                <w:rFonts w:ascii="Times New Roman" w:hAnsi="Times New Roman" w:cs="Times New Roman" w:eastAsia="Times New Roman" w:hint="default"/>
                <w:sz w:val="18"/>
                <w:szCs w:val="18"/>
              </w:rPr>
            </w:pPr>
            <w:r>
              <w:rPr>
                <w:rFonts w:ascii="Times New Roman"/>
                <w:sz w:val="18"/>
              </w:rPr>
              <w:t>450,647,0</w:t>
            </w:r>
          </w:p>
          <w:p>
            <w:pPr>
              <w:pStyle w:val="TableParagraph"/>
              <w:spacing w:line="240" w:lineRule="auto" w:before="102"/>
              <w:ind w:left="350" w:right="0"/>
              <w:jc w:val="left"/>
              <w:rPr>
                <w:rFonts w:ascii="Times New Roman" w:hAnsi="Times New Roman" w:cs="Times New Roman" w:eastAsia="Times New Roman" w:hint="default"/>
                <w:sz w:val="18"/>
                <w:szCs w:val="18"/>
              </w:rPr>
            </w:pPr>
            <w:r>
              <w:rPr>
                <w:rFonts w:ascii="Times New Roman"/>
                <w:sz w:val="18"/>
              </w:rPr>
              <w:t>52.66</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402,833,3</w:t>
            </w:r>
          </w:p>
          <w:p>
            <w:pPr>
              <w:pStyle w:val="TableParagraph"/>
              <w:spacing w:line="240" w:lineRule="auto" w:before="102"/>
              <w:ind w:left="338" w:right="0"/>
              <w:jc w:val="left"/>
              <w:rPr>
                <w:rFonts w:ascii="Times New Roman" w:hAnsi="Times New Roman" w:cs="Times New Roman" w:eastAsia="Times New Roman" w:hint="default"/>
                <w:sz w:val="18"/>
                <w:szCs w:val="18"/>
              </w:rPr>
            </w:pPr>
            <w:r>
              <w:rPr>
                <w:rFonts w:ascii="Times New Roman"/>
                <w:sz w:val="18"/>
              </w:rPr>
              <w:t>82.78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77.28%</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44,154,31</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3.70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10.96%</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8" w:right="0"/>
              <w:jc w:val="left"/>
              <w:rPr>
                <w:rFonts w:ascii="Times New Roman" w:hAnsi="Times New Roman" w:cs="Times New Roman" w:eastAsia="Times New Roman" w:hint="default"/>
                <w:sz w:val="18"/>
                <w:szCs w:val="18"/>
              </w:rPr>
            </w:pPr>
            <w:r>
              <w:rPr>
                <w:rFonts w:ascii="Times New Roman"/>
                <w:sz w:val="18"/>
              </w:rPr>
              <w:t>358,679,06</w:t>
            </w:r>
          </w:p>
          <w:p>
            <w:pPr>
              <w:pStyle w:val="TableParagraph"/>
              <w:spacing w:line="240" w:lineRule="auto" w:before="102"/>
              <w:ind w:left="585" w:right="0"/>
              <w:jc w:val="left"/>
              <w:rPr>
                <w:rFonts w:ascii="Times New Roman" w:hAnsi="Times New Roman" w:cs="Times New Roman" w:eastAsia="Times New Roman" w:hint="default"/>
                <w:sz w:val="18"/>
                <w:szCs w:val="18"/>
              </w:rPr>
            </w:pPr>
            <w:r>
              <w:rPr>
                <w:rFonts w:ascii="Times New Roman"/>
                <w:sz w:val="18"/>
              </w:rPr>
              <w:t>9.08</w:t>
            </w:r>
          </w:p>
        </w:tc>
      </w:tr>
      <w:tr>
        <w:trPr>
          <w:trHeight w:val="713" w:hRule="exact"/>
        </w:trPr>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23"/>
              <w:jc w:val="left"/>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：合并范围内 应收款项</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2" w:right="0"/>
              <w:jc w:val="center"/>
              <w:rPr>
                <w:rFonts w:ascii="Times New Roman" w:hAnsi="Times New Roman" w:cs="Times New Roman" w:eastAsia="Times New Roman" w:hint="default"/>
                <w:sz w:val="18"/>
                <w:szCs w:val="18"/>
              </w:rPr>
            </w:pPr>
            <w:r>
              <w:rPr>
                <w:rFonts w:ascii="Times New Roman"/>
                <w:sz w:val="18"/>
              </w:rPr>
              <w:t>292,349,</w:t>
            </w:r>
          </w:p>
          <w:p>
            <w:pPr>
              <w:pStyle w:val="TableParagraph"/>
              <w:spacing w:line="240" w:lineRule="auto" w:before="105"/>
              <w:ind w:left="215" w:right="0"/>
              <w:jc w:val="center"/>
              <w:rPr>
                <w:rFonts w:ascii="Times New Roman" w:hAnsi="Times New Roman" w:cs="Times New Roman" w:eastAsia="Times New Roman" w:hint="default"/>
                <w:sz w:val="18"/>
                <w:szCs w:val="18"/>
              </w:rPr>
            </w:pPr>
            <w:r>
              <w:rPr>
                <w:rFonts w:ascii="Times New Roman"/>
                <w:sz w:val="18"/>
              </w:rPr>
              <w:t>069.97</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6" w:right="0"/>
              <w:jc w:val="center"/>
              <w:rPr>
                <w:rFonts w:ascii="Times New Roman" w:hAnsi="Times New Roman" w:cs="Times New Roman" w:eastAsia="Times New Roman" w:hint="default"/>
                <w:sz w:val="18"/>
                <w:szCs w:val="18"/>
              </w:rPr>
            </w:pPr>
            <w:r>
              <w:rPr>
                <w:rFonts w:ascii="Times New Roman"/>
                <w:sz w:val="18"/>
              </w:rPr>
              <w:t>36.30%</w:t>
            </w:r>
          </w:p>
        </w:tc>
        <w:tc>
          <w:tcPr>
            <w:tcW w:w="761"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292,349,0</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69.97</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1" w:right="0"/>
              <w:jc w:val="left"/>
              <w:rPr>
                <w:rFonts w:ascii="Times New Roman" w:hAnsi="Times New Roman" w:cs="Times New Roman" w:eastAsia="Times New Roman" w:hint="default"/>
                <w:sz w:val="18"/>
                <w:szCs w:val="18"/>
              </w:rPr>
            </w:pPr>
            <w:r>
              <w:rPr>
                <w:rFonts w:ascii="Times New Roman"/>
                <w:sz w:val="18"/>
              </w:rPr>
              <w:t>114,039,8</w:t>
            </w:r>
          </w:p>
          <w:p>
            <w:pPr>
              <w:pStyle w:val="TableParagraph"/>
              <w:spacing w:line="240" w:lineRule="auto" w:before="105"/>
              <w:ind w:left="338" w:right="0"/>
              <w:jc w:val="left"/>
              <w:rPr>
                <w:rFonts w:ascii="Times New Roman" w:hAnsi="Times New Roman" w:cs="Times New Roman" w:eastAsia="Times New Roman" w:hint="default"/>
                <w:sz w:val="18"/>
                <w:szCs w:val="18"/>
              </w:rPr>
            </w:pPr>
            <w:r>
              <w:rPr>
                <w:rFonts w:ascii="Times New Roman"/>
                <w:sz w:val="18"/>
              </w:rPr>
              <w:t>54.75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21.87%</w:t>
            </w:r>
          </w:p>
        </w:tc>
        <w:tc>
          <w:tcPr>
            <w:tcW w:w="799"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5" w:right="0"/>
              <w:jc w:val="left"/>
              <w:rPr>
                <w:rFonts w:ascii="Times New Roman" w:hAnsi="Times New Roman" w:cs="Times New Roman" w:eastAsia="Times New Roman" w:hint="default"/>
                <w:sz w:val="18"/>
                <w:szCs w:val="18"/>
              </w:rPr>
            </w:pPr>
            <w:r>
              <w:rPr>
                <w:rFonts w:ascii="Times New Roman"/>
                <w:sz w:val="18"/>
              </w:rPr>
              <w:t>114,039,85</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4.75</w:t>
            </w:r>
          </w:p>
        </w:tc>
      </w:tr>
      <w:tr>
        <w:trPr>
          <w:trHeight w:val="715" w:hRule="exact"/>
        </w:trPr>
        <w:tc>
          <w:tcPr>
            <w:tcW w:w="16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2" w:right="0"/>
              <w:jc w:val="center"/>
              <w:rPr>
                <w:rFonts w:ascii="Times New Roman" w:hAnsi="Times New Roman" w:cs="Times New Roman" w:eastAsia="Times New Roman" w:hint="default"/>
                <w:sz w:val="18"/>
                <w:szCs w:val="18"/>
              </w:rPr>
            </w:pPr>
            <w:r>
              <w:rPr>
                <w:rFonts w:ascii="Times New Roman"/>
                <w:sz w:val="18"/>
              </w:rPr>
              <w:t>805,436,</w:t>
            </w:r>
          </w:p>
          <w:p>
            <w:pPr>
              <w:pStyle w:val="TableParagraph"/>
              <w:spacing w:line="240" w:lineRule="auto" w:before="102"/>
              <w:ind w:left="215" w:right="0"/>
              <w:jc w:val="center"/>
              <w:rPr>
                <w:rFonts w:ascii="Times New Roman" w:hAnsi="Times New Roman" w:cs="Times New Roman" w:eastAsia="Times New Roman" w:hint="default"/>
                <w:sz w:val="18"/>
                <w:szCs w:val="18"/>
              </w:rPr>
            </w:pPr>
            <w:r>
              <w:rPr>
                <w:rFonts w:ascii="Times New Roman"/>
                <w:sz w:val="18"/>
              </w:rPr>
              <w:t>587.57</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100.00%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8" w:right="0"/>
              <w:jc w:val="left"/>
              <w:rPr>
                <w:rFonts w:ascii="Times New Roman" w:hAnsi="Times New Roman" w:cs="Times New Roman" w:eastAsia="Times New Roman" w:hint="default"/>
                <w:sz w:val="18"/>
                <w:szCs w:val="18"/>
              </w:rPr>
            </w:pPr>
            <w:r>
              <w:rPr>
                <w:rFonts w:ascii="Times New Roman"/>
                <w:sz w:val="18"/>
              </w:rPr>
              <w:t>62,440,4</w:t>
            </w:r>
          </w:p>
          <w:p>
            <w:pPr>
              <w:pStyle w:val="TableParagraph"/>
              <w:spacing w:line="240" w:lineRule="auto" w:before="102"/>
              <w:ind w:left="323" w:right="0"/>
              <w:jc w:val="left"/>
              <w:rPr>
                <w:rFonts w:ascii="Times New Roman" w:hAnsi="Times New Roman" w:cs="Times New Roman" w:eastAsia="Times New Roman" w:hint="default"/>
                <w:sz w:val="18"/>
                <w:szCs w:val="18"/>
              </w:rPr>
            </w:pPr>
            <w:r>
              <w:rPr>
                <w:rFonts w:ascii="Times New Roman"/>
                <w:sz w:val="18"/>
              </w:rPr>
              <w:t>64.94</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7.75%</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5" w:right="0"/>
              <w:jc w:val="left"/>
              <w:rPr>
                <w:rFonts w:ascii="Times New Roman" w:hAnsi="Times New Roman" w:cs="Times New Roman" w:eastAsia="Times New Roman" w:hint="default"/>
                <w:sz w:val="18"/>
                <w:szCs w:val="18"/>
              </w:rPr>
            </w:pPr>
            <w:r>
              <w:rPr>
                <w:rFonts w:ascii="Times New Roman"/>
                <w:sz w:val="18"/>
              </w:rPr>
              <w:t>742,996,1</w:t>
            </w:r>
          </w:p>
          <w:p>
            <w:pPr>
              <w:pStyle w:val="TableParagraph"/>
              <w:spacing w:line="240" w:lineRule="auto" w:before="102"/>
              <w:ind w:left="350" w:right="0"/>
              <w:jc w:val="left"/>
              <w:rPr>
                <w:rFonts w:ascii="Times New Roman" w:hAnsi="Times New Roman" w:cs="Times New Roman" w:eastAsia="Times New Roman" w:hint="default"/>
                <w:sz w:val="18"/>
                <w:szCs w:val="18"/>
              </w:rPr>
            </w:pPr>
            <w:r>
              <w:rPr>
                <w:rFonts w:ascii="Times New Roman"/>
                <w:sz w:val="18"/>
              </w:rPr>
              <w:t>22.63</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521,291,2</w:t>
            </w:r>
          </w:p>
          <w:p>
            <w:pPr>
              <w:pStyle w:val="TableParagraph"/>
              <w:spacing w:line="240" w:lineRule="auto" w:before="102"/>
              <w:ind w:left="338" w:right="0"/>
              <w:jc w:val="left"/>
              <w:rPr>
                <w:rFonts w:ascii="Times New Roman" w:hAnsi="Times New Roman" w:cs="Times New Roman" w:eastAsia="Times New Roman" w:hint="default"/>
                <w:sz w:val="18"/>
                <w:szCs w:val="18"/>
              </w:rPr>
            </w:pPr>
            <w:r>
              <w:rPr>
                <w:rFonts w:ascii="Times New Roman"/>
                <w:sz w:val="18"/>
              </w:rPr>
              <w:t>37.53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48,572,31</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3.70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9.32%</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8" w:right="0"/>
              <w:jc w:val="left"/>
              <w:rPr>
                <w:rFonts w:ascii="Times New Roman" w:hAnsi="Times New Roman" w:cs="Times New Roman" w:eastAsia="Times New Roman" w:hint="default"/>
                <w:sz w:val="18"/>
                <w:szCs w:val="18"/>
              </w:rPr>
            </w:pPr>
            <w:r>
              <w:rPr>
                <w:rFonts w:ascii="Times New Roman"/>
                <w:sz w:val="18"/>
              </w:rPr>
              <w:t>472,718,92</w:t>
            </w:r>
          </w:p>
          <w:p>
            <w:pPr>
              <w:pStyle w:val="TableParagraph"/>
              <w:spacing w:line="240" w:lineRule="auto" w:before="102"/>
              <w:ind w:left="585" w:right="0"/>
              <w:jc w:val="left"/>
              <w:rPr>
                <w:rFonts w:ascii="Times New Roman" w:hAnsi="Times New Roman" w:cs="Times New Roman" w:eastAsia="Times New Roman" w:hint="default"/>
                <w:sz w:val="18"/>
                <w:szCs w:val="18"/>
              </w:rPr>
            </w:pPr>
            <w:r>
              <w:rPr>
                <w:rFonts w:ascii="Times New Roman"/>
                <w:sz w:val="18"/>
              </w:rPr>
              <w:t>3.83</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按单项计提坏账准备：</w:t>
      </w:r>
    </w:p>
    <w:p>
      <w:pPr>
        <w:spacing w:before="115"/>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5"/>
        <w:gridCol w:w="1915"/>
        <w:gridCol w:w="1913"/>
        <w:gridCol w:w="1915"/>
      </w:tblGrid>
      <w:tr>
        <w:trPr>
          <w:trHeight w:val="403" w:hRule="exact"/>
        </w:trPr>
        <w:tc>
          <w:tcPr>
            <w:tcW w:w="1912"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658" w:type="dxa"/>
            <w:gridSpan w:val="4"/>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912" w:type="dxa"/>
            <w:vMerge/>
            <w:tcBorders>
              <w:left w:val="single" w:sz="4" w:space="0" w:color="000000"/>
              <w:bottom w:val="single" w:sz="4" w:space="0" w:color="000000"/>
              <w:right w:val="single" w:sz="4" w:space="0" w:color="000000"/>
            </w:tcBorders>
            <w:shd w:val="clear" w:color="auto" w:fill="D4D4D4"/>
          </w:tcPr>
          <w:p>
            <w:pP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计提理由</w:t>
            </w:r>
          </w:p>
        </w:tc>
      </w:tr>
    </w:tbl>
    <w:p>
      <w:pPr>
        <w:spacing w:before="49"/>
        <w:ind w:left="152" w:right="986"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按组合计提坏账准备：</w:t>
      </w:r>
      <w:r>
        <w:rPr>
          <w:rFonts w:ascii="Times New Roman" w:hAnsi="Times New Roman" w:cs="Times New Roman" w:eastAsia="Times New Roman" w:hint="default"/>
          <w:sz w:val="18"/>
          <w:szCs w:val="18"/>
        </w:rPr>
        <w:t>62,440,464.94</w:t>
      </w:r>
    </w:p>
    <w:p>
      <w:pPr>
        <w:spacing w:before="103"/>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3"/>
        <w:gridCol w:w="2390"/>
        <w:gridCol w:w="2393"/>
        <w:gridCol w:w="2393"/>
      </w:tblGrid>
      <w:tr>
        <w:trPr>
          <w:trHeight w:val="403" w:hRule="exact"/>
        </w:trPr>
        <w:tc>
          <w:tcPr>
            <w:tcW w:w="2393"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76" w:type="dxa"/>
            <w:gridSpan w:val="3"/>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2393" w:type="dxa"/>
            <w:vMerge/>
            <w:tcBorders>
              <w:left w:val="single" w:sz="4" w:space="0" w:color="000000"/>
              <w:bottom w:val="single" w:sz="4" w:space="0" w:color="000000"/>
              <w:right w:val="single" w:sz="4" w:space="0" w:color="000000"/>
            </w:tcBorders>
            <w:shd w:val="clear" w:color="auto" w:fill="D4D4D4"/>
          </w:tcPr>
          <w:p>
            <w:pPr/>
          </w:p>
        </w:tc>
        <w:tc>
          <w:tcPr>
            <w:tcW w:w="23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343,432,626.06</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17,171,631.30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107,569,349.57</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10,756,934.96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10.00%</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32,328,364.44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9,698,509.33</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30.00%</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6,909,245.60</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3,454,622.80</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50.00%</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7,445,826.90</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5,956,661.52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80.00%</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15,402,105.03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15,402,105.03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513,087,517.60</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62,440,464.94</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5" w:footer="982" w:top="1060" w:bottom="1180" w:left="980" w:right="0"/>
        </w:sectPr>
      </w:pPr>
    </w:p>
    <w:p>
      <w:pPr>
        <w:spacing w:line="357" w:lineRule="auto" w:before="49"/>
        <w:ind w:left="152" w:right="-2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确定该组合依据的说明： 按组合计提坏账准备：</w:t>
      </w:r>
      <w:r>
        <w:rPr>
          <w:rFonts w:ascii="Times New Roman" w:hAnsi="Times New Roman" w:cs="Times New Roman" w:eastAsia="Times New Roman" w:hint="default"/>
          <w:sz w:val="18"/>
          <w:szCs w:val="18"/>
        </w:rPr>
        <w:t>0</w:t>
      </w:r>
    </w:p>
    <w:p>
      <w:pPr>
        <w:spacing w:line="240" w:lineRule="auto" w:before="0"/>
        <w:rPr>
          <w:rFonts w:ascii="Times New Roman" w:hAnsi="Times New Roman" w:cs="Times New Roman" w:eastAsia="Times New Roman" w:hint="default"/>
          <w:sz w:val="18"/>
          <w:szCs w:val="18"/>
        </w:rPr>
      </w:pPr>
      <w:r>
        <w:rPr/>
        <w:br w:type="column"/>
      </w:r>
      <w:r>
        <w:rPr>
          <w:rFonts w:ascii="Times New Roman"/>
          <w:sz w:val="18"/>
        </w:rPr>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before="131"/>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2133" w:space="6694"/>
            <w:col w:w="2103"/>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3"/>
        <w:gridCol w:w="2390"/>
        <w:gridCol w:w="2393"/>
        <w:gridCol w:w="2393"/>
      </w:tblGrid>
      <w:tr>
        <w:trPr>
          <w:trHeight w:val="401" w:hRule="exact"/>
        </w:trPr>
        <w:tc>
          <w:tcPr>
            <w:tcW w:w="2393"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76" w:type="dxa"/>
            <w:gridSpan w:val="3"/>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2393" w:type="dxa"/>
            <w:vMerge/>
            <w:tcBorders>
              <w:left w:val="single" w:sz="4" w:space="0" w:color="000000"/>
              <w:bottom w:val="single" w:sz="4" w:space="0" w:color="000000"/>
              <w:right w:val="single" w:sz="4" w:space="0" w:color="000000"/>
            </w:tcBorders>
            <w:shd w:val="clear" w:color="auto" w:fill="D4D4D4"/>
          </w:tcPr>
          <w:p>
            <w:pPr/>
          </w:p>
        </w:tc>
        <w:tc>
          <w:tcPr>
            <w:tcW w:w="23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合并范围内应收款项</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292,349,069.97</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292,349,069.97</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0.00</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type w:val="continuous"/>
          <w:pgSz w:w="11910" w:h="16840"/>
          <w:pgMar w:top="1060" w:bottom="1180" w:left="980" w:right="0"/>
        </w:sectPr>
      </w:pPr>
    </w:p>
    <w:p>
      <w:pPr>
        <w:spacing w:line="357" w:lineRule="auto" w:before="49"/>
        <w:ind w:left="152" w:right="-20"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按组合计提坏账准备：</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2133" w:space="6694"/>
            <w:col w:w="2103"/>
          </w:cols>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392"/>
        <w:gridCol w:w="2390"/>
        <w:gridCol w:w="2393"/>
        <w:gridCol w:w="2395"/>
      </w:tblGrid>
      <w:tr>
        <w:trPr>
          <w:trHeight w:val="402" w:hRule="exact"/>
        </w:trPr>
        <w:tc>
          <w:tcPr>
            <w:tcW w:w="2392"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名称</w:t>
            </w:r>
          </w:p>
        </w:tc>
        <w:tc>
          <w:tcPr>
            <w:tcW w:w="7178" w:type="dxa"/>
            <w:gridSpan w:val="3"/>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2" w:type="dxa"/>
            <w:vMerge/>
            <w:tcBorders>
              <w:left w:val="single" w:sz="4" w:space="0" w:color="000000"/>
              <w:bottom w:val="single" w:sz="4" w:space="0" w:color="000000"/>
              <w:right w:val="single" w:sz="4" w:space="0" w:color="000000"/>
            </w:tcBorders>
            <w:shd w:val="clear" w:color="auto" w:fill="D4D4D4"/>
          </w:tcPr>
          <w:p>
            <w:pPr/>
          </w:p>
        </w:tc>
        <w:tc>
          <w:tcPr>
            <w:tcW w:w="23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计提比例</w:t>
            </w:r>
          </w:p>
        </w:tc>
      </w:tr>
    </w:tbl>
    <w:p>
      <w:pPr>
        <w:spacing w:line="357" w:lineRule="auto" w:before="49"/>
        <w:ind w:left="152" w:right="1754"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如是按照预期信用损失一般模型计提应收账款坏账准备，请参照其他应收款的披露方式披露坏账准备的相关信息：</w:t>
      </w:r>
    </w:p>
    <w:p>
      <w:pPr>
        <w:spacing w:line="360" w:lineRule="auto" w:before="29"/>
        <w:ind w:left="152" w:right="9222" w:hanging="1"/>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r>
        <w:rPr>
          <w:rFonts w:ascii="宋体" w:hAnsi="宋体" w:cs="宋体" w:eastAsia="宋体" w:hint="default"/>
          <w:sz w:val="18"/>
          <w:szCs w:val="18"/>
        </w:rPr>
        <w:t> 按账龄披露</w:t>
      </w:r>
    </w:p>
    <w:p>
      <w:pPr>
        <w:spacing w:before="25"/>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760"/>
        <w:gridCol w:w="4796"/>
      </w:tblGrid>
      <w:tr>
        <w:trPr>
          <w:trHeight w:val="403"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1"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609,980,341.41</w:t>
            </w:r>
            <w:r>
              <w:rPr>
                <w:rFonts w:ascii="Times New Roman"/>
                <w:sz w:val="18"/>
              </w:rPr>
            </w:r>
          </w:p>
        </w:tc>
      </w:tr>
      <w:tr>
        <w:trPr>
          <w:trHeight w:val="403"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128,399,974.51</w:t>
            </w:r>
            <w:r>
              <w:rPr>
                <w:rFonts w:ascii="Times New Roman"/>
                <w:sz w:val="18"/>
              </w:rPr>
            </w:r>
          </w:p>
        </w:tc>
      </w:tr>
      <w:tr>
        <w:trPr>
          <w:trHeight w:val="401"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32,722,576.12</w:t>
            </w:r>
          </w:p>
        </w:tc>
      </w:tr>
      <w:tr>
        <w:trPr>
          <w:trHeight w:val="403"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34,333,695.53</w:t>
            </w:r>
          </w:p>
        </w:tc>
      </w:tr>
      <w:tr>
        <w:trPr>
          <w:trHeight w:val="401"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8,309,478.99</w:t>
            </w:r>
            <w:r>
              <w:rPr>
                <w:rFonts w:ascii="Times New Roman"/>
                <w:sz w:val="18"/>
              </w:rPr>
            </w:r>
          </w:p>
        </w:tc>
      </w:tr>
      <w:tr>
        <w:trPr>
          <w:trHeight w:val="403"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7,612,326.90</w:t>
            </w:r>
            <w:r>
              <w:rPr>
                <w:rFonts w:ascii="Times New Roman"/>
                <w:sz w:val="18"/>
              </w:rPr>
            </w:r>
          </w:p>
        </w:tc>
      </w:tr>
      <w:tr>
        <w:trPr>
          <w:trHeight w:val="401"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18,411,889.64</w:t>
            </w:r>
            <w:r>
              <w:rPr>
                <w:rFonts w:ascii="Times New Roman"/>
                <w:sz w:val="18"/>
              </w:rPr>
            </w:r>
          </w:p>
        </w:tc>
      </w:tr>
      <w:tr>
        <w:trPr>
          <w:trHeight w:val="403"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805,436,587.57</w:t>
            </w:r>
            <w:r>
              <w:rPr>
                <w:rFonts w:ascii="Times New Roman"/>
                <w:sz w:val="18"/>
              </w:rPr>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2）本期计提、收回或转回的坏账准备情况" w:id="502"/>
      <w:bookmarkEnd w:id="502"/>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10"/>
        <w:rPr>
          <w:rFonts w:ascii="宋体" w:hAnsi="宋体" w:cs="宋体" w:eastAsia="宋体" w:hint="default"/>
          <w:b/>
          <w:bCs/>
          <w:sz w:val="22"/>
          <w:szCs w:val="22"/>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本期计提坏账准备情况：</w:t>
      </w:r>
    </w:p>
    <w:p>
      <w:pPr>
        <w:spacing w:before="117"/>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957"/>
        <w:gridCol w:w="1274"/>
        <w:gridCol w:w="1217"/>
        <w:gridCol w:w="1454"/>
        <w:gridCol w:w="1070"/>
        <w:gridCol w:w="1594"/>
      </w:tblGrid>
      <w:tr>
        <w:trPr>
          <w:trHeight w:val="401" w:hRule="exact"/>
        </w:trPr>
        <w:tc>
          <w:tcPr>
            <w:tcW w:w="2957"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274"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3742" w:type="dxa"/>
            <w:gridSpan w:val="3"/>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594"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2957" w:type="dxa"/>
            <w:vMerge/>
            <w:tcBorders>
              <w:left w:val="single" w:sz="4" w:space="0" w:color="000000"/>
              <w:bottom w:val="single" w:sz="4" w:space="0" w:color="000000"/>
              <w:right w:val="single" w:sz="4" w:space="0" w:color="000000"/>
            </w:tcBorders>
            <w:shd w:val="clear" w:color="auto" w:fill="D4D4D4"/>
          </w:tcPr>
          <w:p>
            <w:pPr/>
          </w:p>
        </w:tc>
        <w:tc>
          <w:tcPr>
            <w:tcW w:w="1274" w:type="dxa"/>
            <w:vMerge/>
            <w:tcBorders>
              <w:left w:val="single" w:sz="4" w:space="0" w:color="000000"/>
              <w:bottom w:val="single" w:sz="4" w:space="0" w:color="000000"/>
              <w:right w:val="single" w:sz="4" w:space="0" w:color="000000"/>
            </w:tcBorders>
            <w:shd w:val="clear" w:color="auto" w:fill="D4D4D4"/>
          </w:tcPr>
          <w:p>
            <w:pPr/>
          </w:p>
        </w:tc>
        <w:tc>
          <w:tcPr>
            <w:tcW w:w="121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45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73"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07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核销</w:t>
            </w:r>
          </w:p>
        </w:tc>
        <w:tc>
          <w:tcPr>
            <w:tcW w:w="1594" w:type="dxa"/>
            <w:vMerge/>
            <w:tcBorders>
              <w:left w:val="single" w:sz="4" w:space="0" w:color="000000"/>
              <w:bottom w:val="single" w:sz="4" w:space="0" w:color="000000"/>
              <w:right w:val="single" w:sz="4" w:space="0" w:color="000000"/>
            </w:tcBorders>
            <w:shd w:val="clear" w:color="auto" w:fill="D4D4D4"/>
          </w:tcPr>
          <w:p>
            <w:pPr/>
          </w:p>
        </w:tc>
      </w:tr>
      <w:tr>
        <w:trPr>
          <w:trHeight w:val="713" w:hRule="exact"/>
        </w:trPr>
        <w:tc>
          <w:tcPr>
            <w:tcW w:w="295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left"/>
              <w:rPr>
                <w:rFonts w:ascii="宋体" w:hAnsi="宋体" w:cs="宋体" w:eastAsia="宋体" w:hint="default"/>
                <w:sz w:val="18"/>
                <w:szCs w:val="18"/>
              </w:rPr>
            </w:pPr>
            <w:r>
              <w:rPr>
                <w:rFonts w:ascii="宋体" w:hAnsi="宋体" w:cs="宋体" w:eastAsia="宋体" w:hint="default"/>
                <w:sz w:val="18"/>
                <w:szCs w:val="18"/>
              </w:rPr>
              <w:t>单项金额重大并单独计提坏账准备的 应收账款</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4,383,000.00</w:t>
            </w:r>
            <w:r>
              <w:rPr>
                <w:rFonts w:ascii="Times New Roman"/>
                <w:sz w:val="18"/>
              </w:rPr>
            </w:r>
          </w:p>
        </w:tc>
        <w:tc>
          <w:tcPr>
            <w:tcW w:w="1217"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center"/>
              <w:rPr>
                <w:rFonts w:ascii="Times New Roman" w:hAnsi="Times New Roman" w:cs="Times New Roman" w:eastAsia="Times New Roman" w:hint="default"/>
                <w:sz w:val="18"/>
                <w:szCs w:val="18"/>
              </w:rPr>
            </w:pPr>
            <w:r>
              <w:rPr>
                <w:rFonts w:ascii="Times New Roman"/>
                <w:sz w:val="18"/>
              </w:rPr>
              <w:t>4,383,000.00</w:t>
            </w: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5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left"/>
              <w:rPr>
                <w:rFonts w:ascii="宋体" w:hAnsi="宋体" w:cs="宋体" w:eastAsia="宋体" w:hint="default"/>
                <w:sz w:val="18"/>
                <w:szCs w:val="18"/>
              </w:rPr>
            </w:pPr>
            <w:r>
              <w:rPr>
                <w:rFonts w:ascii="宋体" w:hAnsi="宋体" w:cs="宋体" w:eastAsia="宋体" w:hint="default"/>
                <w:sz w:val="18"/>
                <w:szCs w:val="18"/>
              </w:rPr>
              <w:t>单项金额不重大并单独计提坏账准备 的应收账款</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35,000.00</w:t>
            </w:r>
          </w:p>
        </w:tc>
        <w:tc>
          <w:tcPr>
            <w:tcW w:w="1217"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35,000.00</w:t>
            </w:r>
          </w:p>
        </w:tc>
        <w:tc>
          <w:tcPr>
            <w:tcW w:w="1070"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44,154,313.70</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9" w:right="0"/>
              <w:jc w:val="center"/>
              <w:rPr>
                <w:rFonts w:ascii="Arial" w:hAnsi="Arial" w:cs="Arial" w:eastAsia="Arial" w:hint="default"/>
                <w:sz w:val="18"/>
                <w:szCs w:val="18"/>
              </w:rPr>
            </w:pPr>
            <w:r>
              <w:rPr>
                <w:rFonts w:ascii="Arial"/>
                <w:sz w:val="18"/>
              </w:rPr>
              <w:t>18,286,151.24</w:t>
            </w:r>
          </w:p>
        </w:tc>
        <w:tc>
          <w:tcPr>
            <w:tcW w:w="1454" w:type="dxa"/>
            <w:tcBorders>
              <w:top w:val="single" w:sz="4" w:space="0" w:color="000000"/>
              <w:left w:val="single" w:sz="4" w:space="0" w:color="000000"/>
              <w:bottom w:val="single" w:sz="4" w:space="0" w:color="000000"/>
              <w:right w:val="single" w:sz="4" w:space="0" w:color="000000"/>
            </w:tcBorders>
          </w:tcPr>
          <w:p>
            <w:pPr/>
          </w:p>
        </w:tc>
        <w:tc>
          <w:tcPr>
            <w:tcW w:w="1070"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62,440,464.94</w:t>
            </w:r>
          </w:p>
        </w:tc>
      </w:tr>
      <w:tr>
        <w:trPr>
          <w:trHeight w:val="403" w:hRule="exact"/>
        </w:trPr>
        <w:tc>
          <w:tcPr>
            <w:tcW w:w="295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48,537,313.70</w:t>
            </w:r>
            <w:r>
              <w:rPr>
                <w:rFonts w:ascii="Times New Roman"/>
                <w:sz w:val="18"/>
              </w:rPr>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9" w:right="0"/>
              <w:jc w:val="center"/>
              <w:rPr>
                <w:rFonts w:ascii="Arial" w:hAnsi="Arial" w:cs="Arial" w:eastAsia="Arial" w:hint="default"/>
                <w:sz w:val="18"/>
                <w:szCs w:val="18"/>
              </w:rPr>
            </w:pPr>
            <w:r>
              <w:rPr>
                <w:rFonts w:ascii="Arial"/>
                <w:sz w:val="18"/>
              </w:rPr>
              <w:t>18,286,151.24</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35,000.00</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4,383,000.00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62,440,464.94</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其中本期坏账准备收回或转回金额重要的：</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3）本期实际核销的应收账款情况" w:id="503"/>
      <w:bookmarkEnd w:id="503"/>
      <w:r>
        <w:rPr>
          <w:b w:val="0"/>
          <w:bCs w:val="0"/>
        </w:rPr>
      </w:r>
      <w:r>
        <w:rPr/>
        <w:t>（</w:t>
      </w:r>
      <w:r>
        <w:rPr>
          <w:rFonts w:ascii="Times New Roman" w:hAnsi="Times New Roman" w:cs="Times New Roman" w:eastAsia="Times New Roman" w:hint="default"/>
        </w:rPr>
        <w:t>3</w:t>
      </w:r>
      <w:r>
        <w:rPr/>
        <w:t>）本期实际核销的应收账款情况</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982"/>
        <w:gridCol w:w="4586"/>
      </w:tblGrid>
      <w:tr>
        <w:trPr>
          <w:trHeight w:val="401" w:hRule="exact"/>
        </w:trPr>
        <w:tc>
          <w:tcPr>
            <w:tcW w:w="498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58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3" w:hRule="exact"/>
        </w:trPr>
        <w:tc>
          <w:tcPr>
            <w:tcW w:w="4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4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4,383,000.00</w:t>
            </w:r>
            <w:r>
              <w:rPr>
                <w:rFonts w:ascii="Times New Roman"/>
                <w:sz w:val="18"/>
              </w:rPr>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其中重要的应收账款核销情况：</w:t>
      </w:r>
    </w:p>
    <w:p>
      <w:pPr>
        <w:spacing w:after="0"/>
        <w:jc w:val="left"/>
        <w:rPr>
          <w:rFonts w:ascii="宋体" w:hAnsi="宋体" w:cs="宋体" w:eastAsia="宋体" w:hint="default"/>
          <w:sz w:val="18"/>
          <w:szCs w:val="18"/>
        </w:rPr>
        <w:sectPr>
          <w:footerReference w:type="default" r:id="rId29"/>
          <w:pgSz w:w="11910" w:h="16840"/>
          <w:pgMar w:footer="982" w:header="745" w:top="1060" w:bottom="1180" w:left="980" w:right="0"/>
          <w:pgNumType w:start="249"/>
        </w:sectPr>
      </w:pPr>
    </w:p>
    <w:p>
      <w:pPr>
        <w:spacing w:line="240" w:lineRule="auto" w:before="9"/>
        <w:rPr>
          <w:rFonts w:ascii="宋体" w:hAnsi="宋体" w:cs="宋体" w:eastAsia="宋体" w:hint="default"/>
          <w:sz w:val="25"/>
          <w:szCs w:val="25"/>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868"/>
        <w:gridCol w:w="1274"/>
        <w:gridCol w:w="1049"/>
        <w:gridCol w:w="1147"/>
        <w:gridCol w:w="1615"/>
        <w:gridCol w:w="1615"/>
      </w:tblGrid>
      <w:tr>
        <w:trPr>
          <w:trHeight w:val="713" w:hRule="exact"/>
        </w:trPr>
        <w:tc>
          <w:tcPr>
            <w:tcW w:w="28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27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04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核销金额</w:t>
            </w:r>
          </w:p>
        </w:tc>
        <w:tc>
          <w:tcPr>
            <w:tcW w:w="11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8"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72"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6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49"/>
              <w:ind w:left="532" w:right="79" w:hanging="449"/>
              <w:jc w:val="left"/>
              <w:rPr>
                <w:rFonts w:ascii="宋体" w:hAnsi="宋体" w:cs="宋体" w:eastAsia="宋体" w:hint="default"/>
                <w:sz w:val="18"/>
                <w:szCs w:val="18"/>
              </w:rPr>
            </w:pPr>
            <w:r>
              <w:rPr>
                <w:rFonts w:ascii="宋体" w:hAnsi="宋体" w:cs="宋体" w:eastAsia="宋体" w:hint="default"/>
                <w:sz w:val="18"/>
                <w:szCs w:val="18"/>
              </w:rPr>
              <w:t>款项是否由关联交 易产生</w:t>
            </w:r>
          </w:p>
        </w:tc>
      </w:tr>
      <w:tr>
        <w:trPr>
          <w:trHeight w:val="403" w:hRule="exact"/>
        </w:trPr>
        <w:tc>
          <w:tcPr>
            <w:tcW w:w="2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北京瑞邦一网科技发展有限公司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 w:right="0"/>
              <w:jc w:val="center"/>
              <w:rPr>
                <w:rFonts w:ascii="Times New Roman" w:hAnsi="Times New Roman" w:cs="Times New Roman" w:eastAsia="Times New Roman" w:hint="default"/>
                <w:sz w:val="18"/>
                <w:szCs w:val="18"/>
              </w:rPr>
            </w:pPr>
            <w:r>
              <w:rPr>
                <w:rFonts w:ascii="Times New Roman"/>
                <w:sz w:val="18"/>
              </w:rPr>
              <w:t>4,383,000.00</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无法收回</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董事会审批</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28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1049"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left="42" w:right="0"/>
              <w:jc w:val="center"/>
              <w:rPr>
                <w:rFonts w:ascii="Times New Roman" w:hAnsi="Times New Roman" w:cs="Times New Roman" w:eastAsia="Times New Roman" w:hint="default"/>
                <w:sz w:val="18"/>
                <w:szCs w:val="18"/>
              </w:rPr>
            </w:pPr>
            <w:r>
              <w:rPr>
                <w:rFonts w:ascii="Times New Roman"/>
                <w:sz w:val="18"/>
              </w:rPr>
              <w:t>4,383,000.00</w:t>
            </w:r>
          </w:p>
        </w:tc>
        <w:tc>
          <w:tcPr>
            <w:tcW w:w="11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6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16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应收账款核销说明：</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4）按欠款方归集的期末余额前五名的应收账款情况" w:id="504"/>
      <w:bookmarkEnd w:id="504"/>
      <w:r>
        <w:rPr>
          <w:b w:val="0"/>
          <w:bCs w:val="0"/>
        </w:rPr>
      </w: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3"/>
        <w:gridCol w:w="2390"/>
        <w:gridCol w:w="2393"/>
        <w:gridCol w:w="2393"/>
      </w:tblGrid>
      <w:tr>
        <w:trPr>
          <w:trHeight w:val="715" w:hRule="exact"/>
        </w:trPr>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23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70" w:right="0"/>
              <w:jc w:val="left"/>
              <w:rPr>
                <w:rFonts w:ascii="宋体" w:hAnsi="宋体" w:cs="宋体" w:eastAsia="宋体" w:hint="default"/>
                <w:sz w:val="18"/>
                <w:szCs w:val="18"/>
              </w:rPr>
            </w:pPr>
            <w:r>
              <w:rPr>
                <w:rFonts w:ascii="宋体" w:hAnsi="宋体" w:cs="宋体" w:eastAsia="宋体" w:hint="default"/>
                <w:sz w:val="18"/>
                <w:szCs w:val="18"/>
              </w:rPr>
              <w:t>应收账款期末余额</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921" w:right="110" w:hanging="812"/>
              <w:jc w:val="left"/>
              <w:rPr>
                <w:rFonts w:ascii="宋体" w:hAnsi="宋体" w:cs="宋体" w:eastAsia="宋体" w:hint="default"/>
                <w:sz w:val="18"/>
                <w:szCs w:val="18"/>
              </w:rPr>
            </w:pPr>
            <w:r>
              <w:rPr>
                <w:rFonts w:ascii="宋体" w:hAnsi="宋体" w:cs="宋体" w:eastAsia="宋体" w:hint="default"/>
                <w:sz w:val="18"/>
                <w:szCs w:val="18"/>
              </w:rPr>
              <w:t>占应收账款期末余额合计数 的比例</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70"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179,178,753.49</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22.25%</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50,873,435.31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6.32%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2,543,671.77</w:t>
            </w:r>
            <w:r>
              <w:rPr>
                <w:rFonts w:ascii="Times New Roman"/>
                <w:sz w:val="18"/>
              </w:rPr>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39,929,305.26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4.96%</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39,612,336.00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1,980,616.80</w:t>
            </w:r>
            <w:r>
              <w:rPr>
                <w:rFonts w:ascii="Times New Roman"/>
                <w:sz w:val="18"/>
              </w:rPr>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30,500,000.00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3.79%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3,050,000.00</w:t>
            </w:r>
            <w:r>
              <w:rPr>
                <w:rFonts w:ascii="Times New Roman"/>
                <w:sz w:val="18"/>
              </w:rPr>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340,093,830.06</w:t>
            </w:r>
            <w:r>
              <w:rPr>
                <w:rFonts w:ascii="Times New Roman"/>
                <w:sz w:val="18"/>
              </w:rPr>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42.24%</w:t>
            </w:r>
          </w:p>
        </w:tc>
        <w:tc>
          <w:tcPr>
            <w:tcW w:w="2393" w:type="dxa"/>
            <w:tcBorders>
              <w:top w:val="single" w:sz="4" w:space="0" w:color="000000"/>
              <w:left w:val="single" w:sz="4" w:space="0" w:color="000000"/>
              <w:bottom w:val="single" w:sz="4" w:space="0" w:color="000000"/>
              <w:right w:val="single" w:sz="4" w:space="0" w:color="000000"/>
            </w:tcBorders>
            <w:shd w:val="clear" w:color="auto" w:fill="D4D4D4"/>
          </w:tcPr>
          <w:p>
            <w:pP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5）因金融资产转移而终止确认的应收账款" w:id="505"/>
      <w:bookmarkEnd w:id="505"/>
      <w:r>
        <w:rPr>
          <w:b w:val="0"/>
          <w:bCs w:val="0"/>
        </w:rPr>
      </w:r>
      <w:r>
        <w:rPr/>
        <w:t>（</w:t>
      </w:r>
      <w:r>
        <w:rPr>
          <w:rFonts w:ascii="Times New Roman" w:hAnsi="Times New Roman" w:cs="Times New Roman" w:eastAsia="Times New Roman" w:hint="default"/>
        </w:rPr>
        <w:t>5</w:t>
      </w:r>
      <w:r>
        <w:rPr/>
        <w:t>）因金融资产转移而终止确认的应收账款</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right="986"/>
        <w:jc w:val="left"/>
        <w:rPr>
          <w:b w:val="0"/>
          <w:bCs w:val="0"/>
        </w:rPr>
      </w:pPr>
      <w:bookmarkStart w:name="（6）转移应收账款且继续涉入形成的资产、负债金额" w:id="506"/>
      <w:bookmarkEnd w:id="506"/>
      <w:r>
        <w:rPr>
          <w:b w:val="0"/>
          <w:bCs w:val="0"/>
        </w:rPr>
      </w:r>
      <w:r>
        <w:rPr/>
        <w:t>（</w:t>
      </w:r>
      <w:r>
        <w:rPr>
          <w:rFonts w:ascii="Times New Roman" w:hAnsi="Times New Roman" w:cs="Times New Roman" w:eastAsia="Times New Roman" w:hint="default"/>
        </w:rPr>
        <w:t>6</w:t>
      </w:r>
      <w:r>
        <w:rPr/>
        <w:t>）转移应收账款且继续涉入形成的资产、负债金额</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2、其他应收款" w:id="507"/>
      <w:bookmarkEnd w:id="507"/>
      <w:r>
        <w:rPr>
          <w:b w:val="0"/>
          <w:bCs w:val="0"/>
        </w:rPr>
      </w:r>
      <w:r>
        <w:rPr>
          <w:rFonts w:ascii="Times New Roman" w:hAnsi="Times New Roman" w:cs="Times New Roman" w:eastAsia="Times New Roman" w:hint="default"/>
        </w:rPr>
        <w:t>2</w:t>
      </w:r>
      <w:r>
        <w:rPr/>
        <w:t>、其他应收款</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7"/>
        <w:gridCol w:w="3200"/>
        <w:gridCol w:w="3190"/>
      </w:tblGrid>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2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1,343,284.18</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1,190,298.78</w:t>
            </w:r>
            <w:r>
              <w:rPr>
                <w:rFonts w:ascii="Times New Roman"/>
                <w:sz w:val="18"/>
              </w:rPr>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70,914,027.01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54,138,589.77</w:t>
            </w:r>
          </w:p>
        </w:tc>
      </w:tr>
      <w:tr>
        <w:trPr>
          <w:trHeight w:val="401" w:hRule="exact"/>
        </w:trPr>
        <w:tc>
          <w:tcPr>
            <w:tcW w:w="31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0"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72,257,311.19</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55,328,888.55</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1）应收利息" w:id="508"/>
      <w:bookmarkEnd w:id="508"/>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应收利息分类" w:id="509"/>
      <w:bookmarkEnd w:id="509"/>
      <w:r>
        <w:rPr>
          <w:b w:val="0"/>
          <w:bCs w:val="0"/>
        </w:rPr>
      </w:r>
      <w:r>
        <w:rPr>
          <w:rFonts w:ascii="Times New Roman" w:hAnsi="Times New Roman" w:cs="Times New Roman" w:eastAsia="Times New Roman" w:hint="default"/>
        </w:rPr>
        <w:t>1</w:t>
      </w:r>
      <w:r>
        <w:rPr/>
        <w:t>）应收利息分类</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0"/>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8"/>
        <w:gridCol w:w="3190"/>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定期存款利息</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1,343,284.18</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1,190,298.78</w:t>
            </w:r>
            <w:r>
              <w:rPr>
                <w:rFonts w:ascii="Times New Roman"/>
                <w:sz w:val="18"/>
              </w:rPr>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1,343,284.18</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1,190,298.78</w:t>
            </w:r>
            <w:r>
              <w:rPr>
                <w:rFonts w:ascii="Times New Roman"/>
                <w:sz w:val="18"/>
              </w:rPr>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2）重要逾期利息" w:id="510"/>
      <w:bookmarkEnd w:id="510"/>
      <w:r>
        <w:rPr>
          <w:b w:val="0"/>
          <w:bCs w:val="0"/>
        </w:rPr>
      </w:r>
      <w:r>
        <w:rPr>
          <w:rFonts w:ascii="Times New Roman" w:hAnsi="Times New Roman" w:cs="Times New Roman" w:eastAsia="Times New Roman" w:hint="default"/>
        </w:rPr>
        <w:t>2</w:t>
      </w:r>
      <w:r>
        <w:rPr/>
        <w:t>）重要逾期利息</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3）坏账准备计提情况" w:id="511"/>
      <w:bookmarkEnd w:id="511"/>
      <w:r>
        <w:rPr>
          <w:b w:val="0"/>
          <w:bCs w:val="0"/>
        </w:rPr>
      </w:r>
      <w:r>
        <w:rPr>
          <w:rFonts w:ascii="Times New Roman" w:hAnsi="Times New Roman" w:cs="Times New Roman" w:eastAsia="Times New Roman" w:hint="default"/>
        </w:rPr>
        <w:t>3</w:t>
      </w:r>
      <w:r>
        <w:rPr/>
        <w:t>）坏账准备计提情况</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2）应收股利" w:id="512"/>
      <w:bookmarkEnd w:id="512"/>
      <w:r>
        <w:rPr>
          <w:b w:val="0"/>
          <w:bCs w:val="0"/>
        </w:rPr>
      </w:r>
      <w:r>
        <w:rPr/>
        <w:t>（</w:t>
      </w:r>
      <w:r>
        <w:rPr>
          <w:rFonts w:ascii="Times New Roman" w:hAnsi="Times New Roman" w:cs="Times New Roman" w:eastAsia="Times New Roman" w:hint="default"/>
        </w:rPr>
        <w:t>2</w:t>
      </w:r>
      <w:r>
        <w:rPr/>
        <w:t>）应收股利</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3）其他应收款" w:id="513"/>
      <w:bookmarkEnd w:id="513"/>
      <w:r>
        <w:rPr>
          <w:b w:val="0"/>
          <w:bCs w:val="0"/>
        </w:rPr>
      </w:r>
      <w:r>
        <w:rPr/>
        <w:t>（</w:t>
      </w:r>
      <w:r>
        <w:rPr>
          <w:rFonts w:ascii="Times New Roman" w:hAnsi="Times New Roman" w:cs="Times New Roman" w:eastAsia="Times New Roman" w:hint="default"/>
        </w:rPr>
        <w:t>3</w:t>
      </w:r>
      <w:r>
        <w:rPr/>
        <w:t>）其他应收款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其他应收款按款项性质分类情况" w:id="514"/>
      <w:bookmarkEnd w:id="514"/>
      <w:r>
        <w:rPr>
          <w:b w:val="0"/>
          <w:bCs w:val="0"/>
        </w:rPr>
      </w:r>
      <w:r>
        <w:rPr>
          <w:rFonts w:ascii="Times New Roman" w:hAnsi="Times New Roman" w:cs="Times New Roman" w:eastAsia="Times New Roman" w:hint="default"/>
        </w:rPr>
        <w:t>1</w:t>
      </w:r>
      <w:r>
        <w:rPr/>
        <w:t>）其他应收款按款项性质分类情况</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617"/>
        <w:gridCol w:w="2762"/>
        <w:gridCol w:w="3190"/>
      </w:tblGrid>
      <w:tr>
        <w:trPr>
          <w:trHeight w:val="401" w:hRule="exact"/>
        </w:trPr>
        <w:tc>
          <w:tcPr>
            <w:tcW w:w="361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276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835"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3" w:hRule="exact"/>
        </w:trPr>
        <w:tc>
          <w:tcPr>
            <w:tcW w:w="36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2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52,195,553.93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43,482,370.76</w:t>
            </w:r>
          </w:p>
        </w:tc>
      </w:tr>
      <w:tr>
        <w:trPr>
          <w:trHeight w:val="401" w:hRule="exact"/>
        </w:trPr>
        <w:tc>
          <w:tcPr>
            <w:tcW w:w="36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代收代垫款</w:t>
            </w:r>
          </w:p>
        </w:tc>
        <w:tc>
          <w:tcPr>
            <w:tcW w:w="2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4,334,848.59</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2,391,251.53</w:t>
            </w:r>
            <w:r>
              <w:rPr>
                <w:rFonts w:ascii="Times New Roman"/>
                <w:sz w:val="18"/>
              </w:rPr>
            </w:r>
          </w:p>
        </w:tc>
      </w:tr>
      <w:tr>
        <w:trPr>
          <w:trHeight w:val="403" w:hRule="exact"/>
        </w:trPr>
        <w:tc>
          <w:tcPr>
            <w:tcW w:w="36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2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5,852,114.07</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12,702,063.59</w:t>
            </w:r>
          </w:p>
        </w:tc>
      </w:tr>
      <w:tr>
        <w:trPr>
          <w:trHeight w:val="401" w:hRule="exact"/>
        </w:trPr>
        <w:tc>
          <w:tcPr>
            <w:tcW w:w="36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2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4,488,050.00</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1,557,060.54</w:t>
            </w:r>
            <w:r>
              <w:rPr>
                <w:rFonts w:ascii="Times New Roman"/>
                <w:sz w:val="18"/>
              </w:rPr>
            </w:r>
          </w:p>
        </w:tc>
      </w:tr>
      <w:tr>
        <w:trPr>
          <w:trHeight w:val="403" w:hRule="exact"/>
        </w:trPr>
        <w:tc>
          <w:tcPr>
            <w:tcW w:w="36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合并范围内关联方往来</w:t>
            </w:r>
          </w:p>
        </w:tc>
        <w:tc>
          <w:tcPr>
            <w:tcW w:w="2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22,410,588.96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11,372,773.61</w:t>
            </w:r>
            <w:r>
              <w:rPr>
                <w:rFonts w:ascii="Times New Roman"/>
                <w:sz w:val="18"/>
              </w:rPr>
            </w:r>
          </w:p>
        </w:tc>
      </w:tr>
      <w:tr>
        <w:trPr>
          <w:trHeight w:val="401" w:hRule="exact"/>
        </w:trPr>
        <w:tc>
          <w:tcPr>
            <w:tcW w:w="361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89,281,155.55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71,505,520.03</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2）坏账准备计提情况" w:id="515"/>
      <w:bookmarkEnd w:id="515"/>
      <w:r>
        <w:rPr>
          <w:b w:val="0"/>
          <w:bCs w:val="0"/>
        </w:rPr>
      </w:r>
      <w:r>
        <w:rPr>
          <w:rFonts w:ascii="Times New Roman" w:hAnsi="Times New Roman" w:cs="Times New Roman" w:eastAsia="Times New Roman" w:hint="default"/>
        </w:rPr>
        <w:t>2</w:t>
      </w:r>
      <w:r>
        <w:rPr/>
        <w:t>）坏账准备计提情况</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298"/>
        <w:gridCol w:w="1268"/>
        <w:gridCol w:w="2098"/>
        <w:gridCol w:w="2100"/>
        <w:gridCol w:w="1805"/>
      </w:tblGrid>
      <w:tr>
        <w:trPr>
          <w:trHeight w:val="403" w:hRule="exact"/>
        </w:trPr>
        <w:tc>
          <w:tcPr>
            <w:tcW w:w="2298" w:type="dxa"/>
            <w:tcBorders>
              <w:top w:val="single" w:sz="4" w:space="0" w:color="000000"/>
              <w:left w:val="single" w:sz="4" w:space="0" w:color="000000"/>
              <w:bottom w:val="nil" w:sz="6" w:space="0" w:color="auto"/>
              <w:right w:val="single" w:sz="4" w:space="0" w:color="000000"/>
            </w:tcBorders>
            <w:shd w:val="clear" w:color="auto" w:fill="D4D4D4"/>
          </w:tcPr>
          <w:p>
            <w:pPr/>
          </w:p>
        </w:tc>
        <w:tc>
          <w:tcPr>
            <w:tcW w:w="12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第一阶段</w:t>
            </w:r>
          </w:p>
        </w:tc>
        <w:tc>
          <w:tcPr>
            <w:tcW w:w="20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683" w:right="0"/>
              <w:jc w:val="left"/>
              <w:rPr>
                <w:rFonts w:ascii="宋体" w:hAnsi="宋体" w:cs="宋体" w:eastAsia="宋体" w:hint="default"/>
                <w:sz w:val="18"/>
                <w:szCs w:val="18"/>
              </w:rPr>
            </w:pPr>
            <w:r>
              <w:rPr>
                <w:rFonts w:ascii="宋体" w:hAnsi="宋体" w:cs="宋体" w:eastAsia="宋体" w:hint="default"/>
                <w:sz w:val="18"/>
                <w:szCs w:val="18"/>
              </w:rPr>
              <w:t>第二阶段</w:t>
            </w:r>
          </w:p>
        </w:tc>
        <w:tc>
          <w:tcPr>
            <w:tcW w:w="210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686" w:right="0"/>
              <w:jc w:val="left"/>
              <w:rPr>
                <w:rFonts w:ascii="宋体" w:hAnsi="宋体" w:cs="宋体" w:eastAsia="宋体" w:hint="default"/>
                <w:sz w:val="18"/>
                <w:szCs w:val="18"/>
              </w:rPr>
            </w:pPr>
            <w:r>
              <w:rPr>
                <w:rFonts w:ascii="宋体" w:hAnsi="宋体" w:cs="宋体" w:eastAsia="宋体" w:hint="default"/>
                <w:sz w:val="18"/>
                <w:szCs w:val="18"/>
              </w:rPr>
              <w:t>第三阶段</w:t>
            </w:r>
          </w:p>
        </w:tc>
        <w:tc>
          <w:tcPr>
            <w:tcW w:w="1805" w:type="dxa"/>
            <w:tcBorders>
              <w:top w:val="single" w:sz="4" w:space="0" w:color="000000"/>
              <w:left w:val="single" w:sz="4" w:space="0" w:color="000000"/>
              <w:bottom w:val="nil" w:sz="6" w:space="0" w:color="auto"/>
              <w:right w:val="single" w:sz="4" w:space="0" w:color="000000"/>
            </w:tcBorders>
            <w:shd w:val="clear" w:color="auto" w:fill="D4D4D4"/>
          </w:tcPr>
          <w:p>
            <w:pPr/>
          </w:p>
        </w:tc>
      </w:tr>
      <w:tr>
        <w:trPr>
          <w:trHeight w:val="353" w:hRule="exact"/>
        </w:trPr>
        <w:tc>
          <w:tcPr>
            <w:tcW w:w="2298"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8"/>
              <w:ind w:left="1"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1268" w:type="dxa"/>
            <w:vMerge w:val="restart"/>
            <w:tcBorders>
              <w:top w:val="single" w:sz="4" w:space="0" w:color="000000"/>
              <w:left w:val="single" w:sz="4" w:space="0" w:color="000000"/>
              <w:right w:val="single" w:sz="4" w:space="0" w:color="000000"/>
            </w:tcBorders>
            <w:shd w:val="clear" w:color="auto" w:fill="D4D4D4"/>
          </w:tcPr>
          <w:p>
            <w:pPr>
              <w:pStyle w:val="TableParagraph"/>
              <w:spacing w:line="300" w:lineRule="auto" w:before="49"/>
              <w:ind w:left="178" w:right="41" w:hanging="137"/>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个月预 期信用损失</w:t>
            </w:r>
          </w:p>
        </w:tc>
        <w:tc>
          <w:tcPr>
            <w:tcW w:w="2098"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整个存续期预期信用损失</w:t>
            </w:r>
          </w:p>
          <w:p>
            <w:pPr>
              <w:pStyle w:val="TableParagraph"/>
              <w:spacing w:line="240" w:lineRule="auto" w:before="76"/>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未发生信用减值</w:t>
            </w:r>
            <w:r>
              <w:rPr>
                <w:rFonts w:ascii="Times New Roman" w:hAnsi="Times New Roman" w:cs="Times New Roman" w:eastAsia="Times New Roman" w:hint="default"/>
                <w:sz w:val="18"/>
                <w:szCs w:val="18"/>
              </w:rPr>
              <w:t>)</w:t>
            </w:r>
          </w:p>
        </w:tc>
        <w:tc>
          <w:tcPr>
            <w:tcW w:w="2100"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整个存续期预期信用损失</w:t>
            </w:r>
          </w:p>
          <w:p>
            <w:pPr>
              <w:pStyle w:val="TableParagraph"/>
              <w:spacing w:line="240" w:lineRule="auto" w:before="76"/>
              <w:ind w:left="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已发生信用减值</w:t>
            </w:r>
            <w:r>
              <w:rPr>
                <w:rFonts w:ascii="Times New Roman" w:hAnsi="Times New Roman" w:cs="Times New Roman" w:eastAsia="Times New Roman" w:hint="default"/>
                <w:sz w:val="18"/>
                <w:szCs w:val="18"/>
              </w:rPr>
              <w:t>)</w:t>
            </w:r>
          </w:p>
        </w:tc>
        <w:tc>
          <w:tcPr>
            <w:tcW w:w="1805"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8"/>
              <w:ind w:left="717" w:right="0"/>
              <w:jc w:val="left"/>
              <w:rPr>
                <w:rFonts w:ascii="宋体" w:hAnsi="宋体" w:cs="宋体" w:eastAsia="宋体" w:hint="default"/>
                <w:sz w:val="18"/>
                <w:szCs w:val="18"/>
              </w:rPr>
            </w:pPr>
            <w:r>
              <w:rPr>
                <w:rFonts w:ascii="宋体" w:hAnsi="宋体" w:cs="宋体" w:eastAsia="宋体" w:hint="default"/>
                <w:sz w:val="18"/>
                <w:szCs w:val="18"/>
              </w:rPr>
              <w:t>合计</w:t>
            </w:r>
          </w:p>
        </w:tc>
      </w:tr>
      <w:tr>
        <w:trPr>
          <w:trHeight w:val="360" w:hRule="exact"/>
        </w:trPr>
        <w:tc>
          <w:tcPr>
            <w:tcW w:w="2298" w:type="dxa"/>
            <w:tcBorders>
              <w:top w:val="nil" w:sz="6" w:space="0" w:color="auto"/>
              <w:left w:val="single" w:sz="4" w:space="0" w:color="000000"/>
              <w:bottom w:val="single" w:sz="4" w:space="0" w:color="000000"/>
              <w:right w:val="single" w:sz="4" w:space="0" w:color="000000"/>
            </w:tcBorders>
            <w:shd w:val="clear" w:color="auto" w:fill="D4D4D4"/>
          </w:tcPr>
          <w:p>
            <w:pPr/>
          </w:p>
        </w:tc>
        <w:tc>
          <w:tcPr>
            <w:tcW w:w="1268" w:type="dxa"/>
            <w:vMerge/>
            <w:tcBorders>
              <w:left w:val="single" w:sz="4" w:space="0" w:color="000000"/>
              <w:bottom w:val="single" w:sz="4" w:space="0" w:color="000000"/>
              <w:right w:val="single" w:sz="4" w:space="0" w:color="000000"/>
            </w:tcBorders>
            <w:shd w:val="clear" w:color="auto" w:fill="D4D4D4"/>
          </w:tcPr>
          <w:p>
            <w:pPr/>
          </w:p>
        </w:tc>
        <w:tc>
          <w:tcPr>
            <w:tcW w:w="2098" w:type="dxa"/>
            <w:vMerge/>
            <w:tcBorders>
              <w:left w:val="single" w:sz="4" w:space="0" w:color="000000"/>
              <w:bottom w:val="single" w:sz="4" w:space="0" w:color="000000"/>
              <w:right w:val="single" w:sz="4" w:space="0" w:color="000000"/>
            </w:tcBorders>
            <w:shd w:val="clear" w:color="auto" w:fill="D4D4D4"/>
          </w:tcPr>
          <w:p>
            <w:pPr/>
          </w:p>
        </w:tc>
        <w:tc>
          <w:tcPr>
            <w:tcW w:w="2100" w:type="dxa"/>
            <w:vMerge/>
            <w:tcBorders>
              <w:left w:val="single" w:sz="4" w:space="0" w:color="000000"/>
              <w:bottom w:val="single" w:sz="4" w:space="0" w:color="000000"/>
              <w:right w:val="single" w:sz="4" w:space="0" w:color="000000"/>
            </w:tcBorders>
            <w:shd w:val="clear" w:color="auto" w:fill="D4D4D4"/>
          </w:tcPr>
          <w:p>
            <w:pPr/>
          </w:p>
        </w:tc>
        <w:tc>
          <w:tcPr>
            <w:tcW w:w="1805" w:type="dxa"/>
            <w:tcBorders>
              <w:top w:val="nil" w:sz="6" w:space="0" w:color="auto"/>
              <w:left w:val="single" w:sz="4" w:space="0" w:color="000000"/>
              <w:bottom w:val="single" w:sz="4" w:space="0" w:color="000000"/>
              <w:right w:val="single" w:sz="4" w:space="0" w:color="000000"/>
            </w:tcBorders>
            <w:shd w:val="clear" w:color="auto" w:fill="D4D4D4"/>
          </w:tcPr>
          <w:p>
            <w:pPr/>
          </w:p>
        </w:tc>
      </w:tr>
      <w:tr>
        <w:trPr>
          <w:trHeight w:val="403" w:hRule="exact"/>
        </w:trPr>
        <w:tc>
          <w:tcPr>
            <w:tcW w:w="22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w:t>
            </w:r>
          </w:p>
        </w:tc>
        <w:tc>
          <w:tcPr>
            <w:tcW w:w="1268" w:type="dxa"/>
            <w:tcBorders>
              <w:top w:val="single" w:sz="4" w:space="0" w:color="000000"/>
              <w:left w:val="single" w:sz="10" w:space="0" w:color="D4D4D4"/>
              <w:bottom w:val="single" w:sz="4" w:space="0" w:color="000000"/>
              <w:right w:val="single" w:sz="4" w:space="0" w:color="000000"/>
            </w:tcBorders>
          </w:tcPr>
          <w:p>
            <w:pP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17,366,930.26</w:t>
            </w:r>
          </w:p>
        </w:tc>
        <w:tc>
          <w:tcPr>
            <w:tcW w:w="210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17,366,930.26</w:t>
            </w:r>
          </w:p>
        </w:tc>
      </w:tr>
      <w:tr>
        <w:trPr>
          <w:trHeight w:val="401" w:hRule="exact"/>
        </w:trPr>
        <w:tc>
          <w:tcPr>
            <w:tcW w:w="22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日余额在本期</w:t>
            </w:r>
          </w:p>
        </w:tc>
        <w:tc>
          <w:tcPr>
            <w:tcW w:w="12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20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210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80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71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229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转入第三阶段</w:t>
            </w:r>
          </w:p>
        </w:tc>
        <w:tc>
          <w:tcPr>
            <w:tcW w:w="1268" w:type="dxa"/>
            <w:tcBorders>
              <w:top w:val="single" w:sz="4" w:space="0" w:color="000000"/>
              <w:left w:val="single" w:sz="4" w:space="0" w:color="000000"/>
              <w:bottom w:val="single" w:sz="4" w:space="0" w:color="000000"/>
              <w:right w:val="single" w:sz="4" w:space="0" w:color="000000"/>
            </w:tcBorders>
          </w:tcPr>
          <w:p>
            <w:pP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w w:val="95"/>
                <w:sz w:val="18"/>
              </w:rPr>
              <w:t>-50,000.00</w:t>
            </w:r>
            <w:r>
              <w:rPr>
                <w:rFonts w:ascii="Times New Roman"/>
                <w:sz w:val="18"/>
              </w:rPr>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50,000.00</w:t>
            </w:r>
          </w:p>
        </w:tc>
        <w:tc>
          <w:tcPr>
            <w:tcW w:w="180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2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268" w:type="dxa"/>
            <w:tcBorders>
              <w:top w:val="single" w:sz="4" w:space="0" w:color="000000"/>
              <w:left w:val="single" w:sz="4" w:space="0" w:color="000000"/>
              <w:bottom w:val="single" w:sz="4" w:space="0" w:color="000000"/>
              <w:right w:val="single" w:sz="4" w:space="0" w:color="000000"/>
            </w:tcBorders>
          </w:tcPr>
          <w:p>
            <w:pP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1,050,198.28</w:t>
            </w:r>
            <w:r>
              <w:rPr>
                <w:rFonts w:ascii="Times New Roman"/>
                <w:sz w:val="18"/>
              </w:rPr>
            </w:r>
          </w:p>
        </w:tc>
        <w:tc>
          <w:tcPr>
            <w:tcW w:w="210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1,050,198.28</w:t>
            </w:r>
            <w:r>
              <w:rPr>
                <w:rFonts w:ascii="Times New Roman"/>
                <w:sz w:val="18"/>
              </w:rPr>
            </w:r>
          </w:p>
        </w:tc>
      </w:tr>
      <w:tr>
        <w:trPr>
          <w:trHeight w:val="403" w:hRule="exact"/>
        </w:trPr>
        <w:tc>
          <w:tcPr>
            <w:tcW w:w="22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本期核销</w:t>
            </w:r>
          </w:p>
        </w:tc>
        <w:tc>
          <w:tcPr>
            <w:tcW w:w="1268" w:type="dxa"/>
            <w:tcBorders>
              <w:top w:val="single" w:sz="4" w:space="0" w:color="000000"/>
              <w:left w:val="single" w:sz="4" w:space="0" w:color="000000"/>
              <w:bottom w:val="single" w:sz="4" w:space="0" w:color="000000"/>
              <w:right w:val="single" w:sz="4" w:space="0" w:color="000000"/>
            </w:tcBorders>
          </w:tcPr>
          <w:p>
            <w:pPr/>
          </w:p>
        </w:tc>
        <w:tc>
          <w:tcPr>
            <w:tcW w:w="2098" w:type="dxa"/>
            <w:tcBorders>
              <w:top w:val="single" w:sz="4" w:space="0" w:color="000000"/>
              <w:left w:val="single" w:sz="4" w:space="0" w:color="000000"/>
              <w:bottom w:val="single" w:sz="4" w:space="0" w:color="000000"/>
              <w:right w:val="single" w:sz="4" w:space="0" w:color="000000"/>
            </w:tcBorders>
          </w:tcPr>
          <w:p>
            <w:pP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50,000.00</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50,000.00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296"/>
        <w:gridCol w:w="1270"/>
        <w:gridCol w:w="2098"/>
        <w:gridCol w:w="2100"/>
        <w:gridCol w:w="1805"/>
      </w:tblGrid>
      <w:tr>
        <w:trPr>
          <w:trHeight w:val="403" w:hRule="exact"/>
        </w:trPr>
        <w:tc>
          <w:tcPr>
            <w:tcW w:w="22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日余额</w:t>
            </w:r>
          </w:p>
        </w:tc>
        <w:tc>
          <w:tcPr>
            <w:tcW w:w="1270" w:type="dxa"/>
            <w:tcBorders>
              <w:top w:val="single" w:sz="4" w:space="0" w:color="000000"/>
              <w:left w:val="single" w:sz="4" w:space="0" w:color="000000"/>
              <w:bottom w:val="single" w:sz="4" w:space="0" w:color="000000"/>
              <w:right w:val="single" w:sz="4" w:space="0" w:color="000000"/>
            </w:tcBorders>
          </w:tcPr>
          <w:p>
            <w:pP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2" w:right="0"/>
              <w:jc w:val="left"/>
              <w:rPr>
                <w:rFonts w:ascii="Times New Roman" w:hAnsi="Times New Roman" w:cs="Times New Roman" w:eastAsia="Times New Roman" w:hint="default"/>
                <w:sz w:val="18"/>
                <w:szCs w:val="18"/>
              </w:rPr>
            </w:pPr>
            <w:r>
              <w:rPr>
                <w:rFonts w:ascii="Times New Roman"/>
                <w:sz w:val="18"/>
              </w:rPr>
              <w:t>18,367,128.54</w:t>
            </w:r>
          </w:p>
        </w:tc>
        <w:tc>
          <w:tcPr>
            <w:tcW w:w="210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6" w:right="0"/>
              <w:jc w:val="left"/>
              <w:rPr>
                <w:rFonts w:ascii="Times New Roman" w:hAnsi="Times New Roman" w:cs="Times New Roman" w:eastAsia="Times New Roman" w:hint="default"/>
                <w:sz w:val="18"/>
                <w:szCs w:val="18"/>
              </w:rPr>
            </w:pPr>
            <w:r>
              <w:rPr>
                <w:rFonts w:ascii="Times New Roman"/>
                <w:sz w:val="18"/>
              </w:rPr>
              <w:t>18,367,128.54</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82" w:top="1060" w:bottom="1180" w:left="980" w:right="0"/>
        </w:sectPr>
      </w:pPr>
    </w:p>
    <w:p>
      <w:pPr>
        <w:spacing w:before="49"/>
        <w:ind w:left="152" w:right="-20" w:firstLine="0"/>
        <w:jc w:val="left"/>
        <w:rPr>
          <w:rFonts w:ascii="宋体" w:hAnsi="宋体" w:cs="宋体" w:eastAsia="宋体" w:hint="default"/>
          <w:sz w:val="18"/>
          <w:szCs w:val="18"/>
        </w:rPr>
      </w:pPr>
      <w:r>
        <w:rPr>
          <w:rFonts w:ascii="宋体" w:hAnsi="宋体" w:cs="宋体" w:eastAsia="宋体" w:hint="default"/>
          <w:sz w:val="18"/>
          <w:szCs w:val="18"/>
        </w:rPr>
        <w:t>损失准备本期变动金额重大的账面余额变动情况</w:t>
      </w:r>
    </w:p>
    <w:p>
      <w:pPr>
        <w:spacing w:line="360" w:lineRule="auto" w:before="115"/>
        <w:ind w:left="152" w:right="2228" w:hanging="1"/>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r>
        <w:rPr>
          <w:rFonts w:ascii="宋体" w:hAnsi="宋体" w:cs="宋体" w:eastAsia="宋体" w:hint="default"/>
          <w:sz w:val="18"/>
          <w:szCs w:val="18"/>
        </w:rPr>
        <w:t> 按账龄披露</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6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3933" w:space="4894"/>
            <w:col w:w="2103"/>
          </w:cols>
        </w:sectPr>
      </w:pP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760"/>
        <w:gridCol w:w="4796"/>
      </w:tblGrid>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47,925,782.50</w:t>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17,195,046.86</w:t>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8,051,907.28</w:t>
            </w:r>
            <w:r>
              <w:rPr>
                <w:rFonts w:ascii="Times New Roman"/>
                <w:sz w:val="18"/>
              </w:rPr>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16,108,418.91</w:t>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3,374,959.60</w:t>
            </w:r>
            <w:r>
              <w:rPr>
                <w:rFonts w:ascii="Times New Roman"/>
                <w:sz w:val="18"/>
              </w:rPr>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1,110,073.15</w:t>
            </w:r>
            <w:r>
              <w:rPr>
                <w:rFonts w:ascii="Times New Roman"/>
                <w:sz w:val="18"/>
              </w:rPr>
            </w:r>
          </w:p>
        </w:tc>
      </w:tr>
      <w:tr>
        <w:trPr>
          <w:trHeight w:val="402"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11,623,386.16</w:t>
            </w:r>
            <w:r>
              <w:rPr>
                <w:rFonts w:ascii="Times New Roman"/>
                <w:sz w:val="18"/>
              </w:rPr>
            </w:r>
          </w:p>
        </w:tc>
      </w:tr>
      <w:tr>
        <w:trPr>
          <w:trHeight w:val="403" w:hRule="exact"/>
        </w:trPr>
        <w:tc>
          <w:tcPr>
            <w:tcW w:w="47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89,281,155.55</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3）本期计提、收回或转回的坏账准备情况" w:id="516"/>
      <w:bookmarkEnd w:id="516"/>
      <w:r>
        <w:rPr>
          <w:b w:val="0"/>
          <w:bCs w:val="0"/>
        </w:rPr>
      </w:r>
      <w:r>
        <w:rPr>
          <w:rFonts w:ascii="Times New Roman" w:hAnsi="Times New Roman" w:cs="Times New Roman" w:eastAsia="Times New Roman" w:hint="default"/>
        </w:rPr>
        <w:t>3</w:t>
      </w:r>
      <w:r>
        <w:rPr/>
        <w:t>）本期计提、收回或转回的坏账准备情况</w:t>
      </w:r>
      <w:r>
        <w:rPr>
          <w:b w:val="0"/>
          <w:bCs w:val="0"/>
        </w:rPr>
      </w:r>
    </w:p>
    <w:p>
      <w:pPr>
        <w:spacing w:line="240" w:lineRule="auto" w:before="10"/>
        <w:rPr>
          <w:rFonts w:ascii="宋体" w:hAnsi="宋体" w:cs="宋体" w:eastAsia="宋体" w:hint="default"/>
          <w:b/>
          <w:bCs/>
          <w:sz w:val="22"/>
          <w:szCs w:val="22"/>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本期计提坏账准备情况：</w:t>
      </w:r>
    </w:p>
    <w:p>
      <w:pPr>
        <w:spacing w:before="117"/>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889"/>
        <w:gridCol w:w="1303"/>
        <w:gridCol w:w="1591"/>
        <w:gridCol w:w="1594"/>
        <w:gridCol w:w="1303"/>
        <w:gridCol w:w="1889"/>
      </w:tblGrid>
      <w:tr>
        <w:trPr>
          <w:trHeight w:val="401" w:hRule="exact"/>
        </w:trPr>
        <w:tc>
          <w:tcPr>
            <w:tcW w:w="1889"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303"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488" w:type="dxa"/>
            <w:gridSpan w:val="3"/>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889"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80"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889" w:type="dxa"/>
            <w:vMerge/>
            <w:tcBorders>
              <w:left w:val="single" w:sz="4" w:space="0" w:color="000000"/>
              <w:bottom w:val="single" w:sz="4" w:space="0" w:color="000000"/>
              <w:right w:val="single" w:sz="4" w:space="0" w:color="000000"/>
            </w:tcBorders>
            <w:shd w:val="clear" w:color="auto" w:fill="D4D4D4"/>
          </w:tcPr>
          <w:p>
            <w:pPr/>
          </w:p>
        </w:tc>
        <w:tc>
          <w:tcPr>
            <w:tcW w:w="1303" w:type="dxa"/>
            <w:vMerge/>
            <w:tcBorders>
              <w:left w:val="single" w:sz="4" w:space="0" w:color="000000"/>
              <w:bottom w:val="single" w:sz="4" w:space="0" w:color="000000"/>
              <w:right w:val="single" w:sz="4" w:space="0" w:color="000000"/>
            </w:tcBorders>
            <w:shd w:val="clear" w:color="auto" w:fill="D4D4D4"/>
          </w:tcPr>
          <w:p>
            <w:pPr/>
          </w:p>
        </w:tc>
        <w:tc>
          <w:tcPr>
            <w:tcW w:w="159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611" w:right="0"/>
              <w:jc w:val="left"/>
              <w:rPr>
                <w:rFonts w:ascii="宋体" w:hAnsi="宋体" w:cs="宋体" w:eastAsia="宋体" w:hint="default"/>
                <w:sz w:val="18"/>
                <w:szCs w:val="18"/>
              </w:rPr>
            </w:pPr>
            <w:r>
              <w:rPr>
                <w:rFonts w:ascii="宋体" w:hAnsi="宋体" w:cs="宋体" w:eastAsia="宋体" w:hint="default"/>
                <w:sz w:val="18"/>
                <w:szCs w:val="18"/>
              </w:rPr>
              <w:t>计提</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340"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30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核销</w:t>
            </w:r>
          </w:p>
        </w:tc>
        <w:tc>
          <w:tcPr>
            <w:tcW w:w="1889" w:type="dxa"/>
            <w:vMerge/>
            <w:tcBorders>
              <w:left w:val="single" w:sz="4" w:space="0" w:color="000000"/>
              <w:bottom w:val="single" w:sz="4" w:space="0" w:color="000000"/>
              <w:right w:val="single" w:sz="4" w:space="0" w:color="000000"/>
            </w:tcBorders>
            <w:shd w:val="clear" w:color="auto" w:fill="D4D4D4"/>
          </w:tcPr>
          <w:p>
            <w:pPr/>
          </w:p>
        </w:tc>
      </w:tr>
      <w:tr>
        <w:trPr>
          <w:trHeight w:val="713" w:hRule="exact"/>
        </w:trPr>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53"/>
              <w:jc w:val="left"/>
              <w:rPr>
                <w:rFonts w:ascii="宋体" w:hAnsi="宋体" w:cs="宋体" w:eastAsia="宋体" w:hint="default"/>
                <w:sz w:val="18"/>
                <w:szCs w:val="18"/>
              </w:rPr>
            </w:pPr>
            <w:r>
              <w:rPr>
                <w:rFonts w:ascii="宋体" w:hAnsi="宋体" w:cs="宋体" w:eastAsia="宋体" w:hint="default"/>
                <w:sz w:val="18"/>
                <w:szCs w:val="18"/>
              </w:rPr>
              <w:t>按组合计提预期信用损 失准备的其他应收款</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17,366,930.26</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14" w:right="0"/>
              <w:jc w:val="left"/>
              <w:rPr>
                <w:rFonts w:ascii="Times New Roman" w:hAnsi="Times New Roman" w:cs="Times New Roman" w:eastAsia="Times New Roman" w:hint="default"/>
                <w:sz w:val="18"/>
                <w:szCs w:val="18"/>
              </w:rPr>
            </w:pPr>
            <w:r>
              <w:rPr>
                <w:rFonts w:ascii="Times New Roman"/>
                <w:sz w:val="18"/>
              </w:rPr>
              <w:t>1,050,198.28</w:t>
            </w:r>
          </w:p>
        </w:tc>
        <w:tc>
          <w:tcPr>
            <w:tcW w:w="1594"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50,000.00</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18,367,128.54</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17,366,930.26</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4" w:right="0"/>
              <w:jc w:val="left"/>
              <w:rPr>
                <w:rFonts w:ascii="Times New Roman" w:hAnsi="Times New Roman" w:cs="Times New Roman" w:eastAsia="Times New Roman" w:hint="default"/>
                <w:sz w:val="18"/>
                <w:szCs w:val="18"/>
              </w:rPr>
            </w:pPr>
            <w:r>
              <w:rPr>
                <w:rFonts w:ascii="Times New Roman"/>
                <w:sz w:val="18"/>
              </w:rPr>
              <w:t>1,050,198.28</w:t>
            </w:r>
          </w:p>
        </w:tc>
        <w:tc>
          <w:tcPr>
            <w:tcW w:w="1594"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50,000.00</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18,367,128.54</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其中本期坏账准备转回或收回金额重要的：</w:t>
      </w:r>
    </w:p>
    <w:p>
      <w:pPr>
        <w:spacing w:before="115"/>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6"/>
        <w:gridCol w:w="3192"/>
        <w:gridCol w:w="3190"/>
      </w:tblGrid>
      <w:tr>
        <w:trPr>
          <w:trHeight w:val="401" w:hRule="exact"/>
        </w:trPr>
        <w:tc>
          <w:tcPr>
            <w:tcW w:w="318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959" w:right="0"/>
              <w:jc w:val="left"/>
              <w:rPr>
                <w:rFonts w:ascii="宋体" w:hAnsi="宋体" w:cs="宋体" w:eastAsia="宋体" w:hint="default"/>
                <w:sz w:val="18"/>
                <w:szCs w:val="18"/>
              </w:rPr>
            </w:pPr>
            <w:r>
              <w:rPr>
                <w:rFonts w:ascii="宋体" w:hAnsi="宋体" w:cs="宋体" w:eastAsia="宋体" w:hint="default"/>
                <w:sz w:val="18"/>
                <w:szCs w:val="18"/>
              </w:rPr>
              <w:t>转回或收回金额</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4）本期实际核销的其他应收款情况" w:id="517"/>
      <w:bookmarkEnd w:id="517"/>
      <w:r>
        <w:rPr>
          <w:b w:val="0"/>
          <w:bCs w:val="0"/>
        </w:rPr>
      </w:r>
      <w:r>
        <w:rPr>
          <w:rFonts w:ascii="Times New Roman" w:hAnsi="Times New Roman" w:cs="Times New Roman" w:eastAsia="Times New Roman" w:hint="default"/>
        </w:rPr>
        <w:t>4</w:t>
      </w:r>
      <w:r>
        <w:rPr/>
        <w:t>）本期实际核销的其他应收款情况</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781"/>
        <w:gridCol w:w="4788"/>
      </w:tblGrid>
      <w:tr>
        <w:trPr>
          <w:trHeight w:val="401" w:hRule="exact"/>
        </w:trPr>
        <w:tc>
          <w:tcPr>
            <w:tcW w:w="47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3" w:hRule="exact"/>
        </w:trPr>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50,000.00</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其中重要的其他应收款核销情况：</w:t>
      </w:r>
    </w:p>
    <w:p>
      <w:pPr>
        <w:spacing w:before="115"/>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61"/>
        <w:gridCol w:w="1200"/>
        <w:gridCol w:w="1126"/>
        <w:gridCol w:w="1550"/>
        <w:gridCol w:w="1615"/>
        <w:gridCol w:w="1615"/>
      </w:tblGrid>
      <w:tr>
        <w:trPr>
          <w:trHeight w:val="713" w:hRule="exact"/>
        </w:trPr>
        <w:tc>
          <w:tcPr>
            <w:tcW w:w="246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20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506" w:right="53" w:hanging="452"/>
              <w:jc w:val="left"/>
              <w:rPr>
                <w:rFonts w:ascii="宋体" w:hAnsi="宋体" w:cs="宋体" w:eastAsia="宋体" w:hint="default"/>
                <w:sz w:val="18"/>
                <w:szCs w:val="18"/>
              </w:rPr>
            </w:pPr>
            <w:r>
              <w:rPr>
                <w:rFonts w:ascii="宋体" w:hAnsi="宋体" w:cs="宋体" w:eastAsia="宋体" w:hint="default"/>
                <w:sz w:val="18"/>
                <w:szCs w:val="18"/>
              </w:rPr>
              <w:t>其他应收款性 质</w:t>
            </w:r>
          </w:p>
        </w:tc>
        <w:tc>
          <w:tcPr>
            <w:tcW w:w="11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72"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6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532" w:right="79" w:hanging="449"/>
              <w:jc w:val="left"/>
              <w:rPr>
                <w:rFonts w:ascii="宋体" w:hAnsi="宋体" w:cs="宋体" w:eastAsia="宋体" w:hint="default"/>
                <w:sz w:val="18"/>
                <w:szCs w:val="18"/>
              </w:rPr>
            </w:pPr>
            <w:r>
              <w:rPr>
                <w:rFonts w:ascii="宋体" w:hAnsi="宋体" w:cs="宋体" w:eastAsia="宋体" w:hint="default"/>
                <w:sz w:val="18"/>
                <w:szCs w:val="18"/>
              </w:rPr>
              <w:t>款项是否由关联交 易产生</w:t>
            </w:r>
          </w:p>
        </w:tc>
      </w:tr>
    </w:tbl>
    <w:p>
      <w:pPr>
        <w:spacing w:after="0" w:line="316" w:lineRule="auto"/>
        <w:jc w:val="left"/>
        <w:rPr>
          <w:rFonts w:ascii="宋体" w:hAnsi="宋体" w:cs="宋体" w:eastAsia="宋体" w:hint="default"/>
          <w:sz w:val="18"/>
          <w:szCs w:val="18"/>
        </w:rPr>
        <w:sectPr>
          <w:type w:val="continuous"/>
          <w:pgSz w:w="11910" w:h="16840"/>
          <w:pgMar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2462"/>
        <w:gridCol w:w="1200"/>
        <w:gridCol w:w="1126"/>
        <w:gridCol w:w="1550"/>
        <w:gridCol w:w="1615"/>
        <w:gridCol w:w="1615"/>
      </w:tblGrid>
      <w:tr>
        <w:trPr>
          <w:trHeight w:val="401" w:hRule="exact"/>
        </w:trPr>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北京聚宝网络科技有限公司</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50,000.00</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无法收回</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董事会审批</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246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0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50,000.00</w:t>
            </w:r>
          </w:p>
        </w:tc>
        <w:tc>
          <w:tcPr>
            <w:tcW w:w="155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16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w:t>
            </w:r>
          </w:p>
        </w:tc>
        <w:tc>
          <w:tcPr>
            <w:tcW w:w="16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其他应收款核销说明：</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5）按欠款方归集的期末余额前五名的其他应收款情况" w:id="518"/>
      <w:bookmarkEnd w:id="518"/>
      <w:r>
        <w:rPr>
          <w:b w:val="0"/>
          <w:bCs w:val="0"/>
        </w:rPr>
      </w: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962"/>
        <w:gridCol w:w="1094"/>
        <w:gridCol w:w="1111"/>
        <w:gridCol w:w="3170"/>
        <w:gridCol w:w="1615"/>
        <w:gridCol w:w="1615"/>
      </w:tblGrid>
      <w:tr>
        <w:trPr>
          <w:trHeight w:val="715" w:hRule="exact"/>
        </w:trPr>
        <w:tc>
          <w:tcPr>
            <w:tcW w:w="96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17"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0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11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317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6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83" w:right="79"/>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61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79"/>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713" w:hRule="exact"/>
        </w:trPr>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9,408,354.09</w:t>
            </w:r>
            <w:r>
              <w:rPr>
                <w:rFonts w:ascii="Times New Roman"/>
                <w:sz w:val="18"/>
              </w:rPr>
            </w:r>
          </w:p>
        </w:tc>
        <w:tc>
          <w:tcPr>
            <w:tcW w:w="3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5,387,963.5 </w:t>
            </w:r>
            <w:r>
              <w:rPr>
                <w:rFonts w:ascii="宋体" w:hAnsi="宋体" w:cs="宋体" w:eastAsia="宋体" w:hint="default"/>
                <w:sz w:val="18"/>
                <w:szCs w:val="18"/>
              </w:rPr>
              <w:t>元；</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4,020,390.59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10.53%</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4,567,000.00</w:t>
            </w:r>
            <w:r>
              <w:rPr>
                <w:rFonts w:ascii="Times New Roman"/>
                <w:sz w:val="18"/>
              </w:rPr>
            </w:r>
          </w:p>
        </w:tc>
        <w:tc>
          <w:tcPr>
            <w:tcW w:w="3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宋体" w:hAnsi="宋体" w:cs="宋体" w:eastAsia="宋体" w:hint="default"/>
                <w:spacing w:val="-92"/>
                <w:sz w:val="18"/>
                <w:szCs w:val="18"/>
              </w:rPr>
              <w:t>：</w:t>
            </w:r>
            <w:r>
              <w:rPr>
                <w:rFonts w:ascii="Times New Roman" w:hAnsi="Times New Roman" w:cs="Times New Roman" w:eastAsia="Times New Roman" w:hint="default"/>
                <w:spacing w:val="1"/>
                <w:sz w:val="18"/>
                <w:szCs w:val="18"/>
              </w:rPr>
              <w:t>4</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pacing w:val="-2"/>
                <w:sz w:val="18"/>
                <w:szCs w:val="18"/>
              </w:rPr>
              <w:t>6</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元</w:t>
            </w:r>
            <w:r>
              <w:rPr>
                <w:rFonts w:ascii="宋体" w:hAnsi="宋体" w:cs="宋体" w:eastAsia="宋体" w:hint="default"/>
                <w:spacing w:val="-92"/>
                <w:sz w:val="18"/>
                <w:szCs w:val="18"/>
              </w:rPr>
              <w:t>；</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宋体" w:hAnsi="宋体" w:cs="宋体" w:eastAsia="宋体" w:hint="default"/>
                <w:spacing w:val="-92"/>
                <w:sz w:val="18"/>
                <w:szCs w:val="18"/>
              </w:rPr>
              <w:t>：</w:t>
            </w:r>
            <w:r>
              <w:rPr>
                <w:rFonts w:ascii="Times New Roman" w:hAnsi="Times New Roman" w:cs="Times New Roman" w:eastAsia="Times New Roman" w:hint="default"/>
                <w:spacing w:val="-2"/>
                <w:sz w:val="18"/>
                <w:szCs w:val="18"/>
              </w:rPr>
              <w:t>3</w:t>
            </w:r>
            <w:r>
              <w:rPr>
                <w:rFonts w:ascii="Times New Roman" w:hAnsi="Times New Roman" w:cs="Times New Roman" w:eastAsia="Times New Roman" w:hint="default"/>
                <w:spacing w:val="1"/>
                <w:sz w:val="18"/>
                <w:szCs w:val="18"/>
              </w:rPr>
              <w:t>98</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元；</w:t>
            </w:r>
            <w:r>
              <w:rPr>
                <w:rFonts w:ascii="Times New Roman" w:hAnsi="Times New Roman" w:cs="Times New Roman" w:eastAsia="Times New Roman" w:hint="default"/>
                <w:sz w:val="18"/>
                <w:szCs w:val="18"/>
              </w:rPr>
              <w:t>5 </w:t>
            </w:r>
            <w:r>
              <w:rPr>
                <w:rFonts w:ascii="宋体" w:hAnsi="宋体" w:cs="宋体" w:eastAsia="宋体" w:hint="default"/>
                <w:sz w:val="18"/>
                <w:szCs w:val="18"/>
              </w:rPr>
              <w:t>年以上：</w:t>
            </w:r>
            <w:r>
              <w:rPr>
                <w:rFonts w:ascii="Times New Roman" w:hAnsi="Times New Roman" w:cs="Times New Roman" w:eastAsia="Times New Roman" w:hint="default"/>
                <w:sz w:val="18"/>
                <w:szCs w:val="18"/>
              </w:rPr>
              <w:t>9000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5.12%</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544,400.00</w:t>
            </w:r>
          </w:p>
        </w:tc>
      </w:tr>
      <w:tr>
        <w:trPr>
          <w:trHeight w:val="713" w:hRule="exact"/>
        </w:trPr>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4,304,649.39</w:t>
            </w:r>
            <w:r>
              <w:rPr>
                <w:rFonts w:ascii="Times New Roman"/>
                <w:sz w:val="18"/>
              </w:rPr>
            </w:r>
          </w:p>
        </w:tc>
        <w:tc>
          <w:tcPr>
            <w:tcW w:w="3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2,660,760.88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1,643,888.51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4.82%</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297,426.90</w:t>
            </w:r>
          </w:p>
        </w:tc>
      </w:tr>
      <w:tr>
        <w:trPr>
          <w:trHeight w:val="715" w:hRule="exact"/>
        </w:trPr>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3,718,980.09</w:t>
            </w:r>
            <w:r>
              <w:rPr>
                <w:rFonts w:ascii="Times New Roman"/>
                <w:sz w:val="18"/>
              </w:rPr>
            </w:r>
          </w:p>
        </w:tc>
        <w:tc>
          <w:tcPr>
            <w:tcW w:w="3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年以内</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2,674,118.03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1,044,862.06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4.17%</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3,674,900.00</w:t>
            </w:r>
            <w:r>
              <w:rPr>
                <w:rFonts w:ascii="Times New Roman"/>
                <w:sz w:val="18"/>
              </w:rPr>
            </w:r>
          </w:p>
        </w:tc>
        <w:tc>
          <w:tcPr>
            <w:tcW w:w="3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3"/>
                <w:sz w:val="18"/>
                <w:szCs w:val="18"/>
              </w:rPr>
              <w:t> </w:t>
            </w:r>
            <w:r>
              <w:rPr>
                <w:rFonts w:ascii="Times New Roman" w:hAnsi="Times New Roman" w:cs="Times New Roman" w:eastAsia="Times New Roman" w:hint="default"/>
                <w:sz w:val="18"/>
                <w:szCs w:val="18"/>
              </w:rPr>
              <w:t>3,444,000.00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71,900.00 </w:t>
            </w:r>
            <w:r>
              <w:rPr>
                <w:rFonts w:ascii="宋体" w:hAnsi="宋体" w:cs="宋体" w:eastAsia="宋体" w:hint="default"/>
                <w:sz w:val="18"/>
                <w:szCs w:val="18"/>
              </w:rPr>
              <w:t>元；</w:t>
            </w:r>
            <w:r>
              <w:rPr>
                <w:rFonts w:ascii="Times New Roman" w:hAnsi="Times New Roman" w:cs="Times New Roman" w:eastAsia="Times New Roman" w:hint="default"/>
                <w:sz w:val="18"/>
                <w:szCs w:val="18"/>
              </w:rPr>
              <w:t>5 </w:t>
            </w:r>
            <w:r>
              <w:rPr>
                <w:rFonts w:ascii="宋体" w:hAnsi="宋体" w:cs="宋体" w:eastAsia="宋体" w:hint="default"/>
                <w:sz w:val="18"/>
                <w:szCs w:val="18"/>
              </w:rPr>
              <w:t>年以上：</w:t>
            </w:r>
            <w:r>
              <w:rPr>
                <w:rFonts w:ascii="Times New Roman" w:hAnsi="Times New Roman" w:cs="Times New Roman" w:eastAsia="Times New Roman" w:hint="default"/>
                <w:sz w:val="18"/>
                <w:szCs w:val="18"/>
              </w:rPr>
              <w:t>159,000.00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元</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4.12%</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367,150.00</w:t>
            </w:r>
          </w:p>
        </w:tc>
      </w:tr>
      <w:tr>
        <w:trPr>
          <w:trHeight w:val="403" w:hRule="exact"/>
        </w:trPr>
        <w:tc>
          <w:tcPr>
            <w:tcW w:w="96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25,673,883.57</w:t>
            </w:r>
            <w:r>
              <w:rPr>
                <w:rFonts w:ascii="Times New Roman"/>
                <w:sz w:val="18"/>
              </w:rPr>
            </w:r>
          </w:p>
        </w:tc>
        <w:tc>
          <w:tcPr>
            <w:tcW w:w="317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28.76%</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1,208,976.90</w:t>
            </w:r>
            <w:r>
              <w:rPr>
                <w:rFonts w:ascii="Times New Roman"/>
                <w:sz w:val="18"/>
              </w:rPr>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6）涉及政府补助的应收款项" w:id="519"/>
      <w:bookmarkEnd w:id="519"/>
      <w:r>
        <w:rPr>
          <w:b w:val="0"/>
          <w:bCs w:val="0"/>
        </w:rPr>
      </w:r>
      <w:r>
        <w:rPr>
          <w:rFonts w:ascii="Times New Roman" w:hAnsi="Times New Roman" w:cs="Times New Roman" w:eastAsia="Times New Roman" w:hint="default"/>
        </w:rPr>
        <w:t>6</w:t>
      </w:r>
      <w:r>
        <w:rPr/>
        <w:t>）涉及政府补助的应收款项</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7）因金融资产转移而终止确认的其他应收款" w:id="520"/>
      <w:bookmarkEnd w:id="520"/>
      <w:r>
        <w:rPr>
          <w:b w:val="0"/>
          <w:bCs w:val="0"/>
        </w:rPr>
      </w:r>
      <w:r>
        <w:rPr>
          <w:rFonts w:ascii="Times New Roman" w:hAnsi="Times New Roman" w:cs="Times New Roman" w:eastAsia="Times New Roman" w:hint="default"/>
        </w:rPr>
        <w:t>7</w:t>
      </w:r>
      <w:r>
        <w:rPr/>
        <w:t>）因金融资产转移而终止确认的其他应收款</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18"/>
        <w:ind w:right="986"/>
        <w:jc w:val="left"/>
        <w:rPr>
          <w:b w:val="0"/>
          <w:bCs w:val="0"/>
        </w:rPr>
      </w:pPr>
      <w:bookmarkStart w:name="8）转移其他应收款且继续涉入形成的资产、负债金额" w:id="521"/>
      <w:bookmarkEnd w:id="521"/>
      <w:r>
        <w:rPr>
          <w:b w:val="0"/>
          <w:bCs w:val="0"/>
        </w:rPr>
      </w:r>
      <w:r>
        <w:rPr>
          <w:rFonts w:ascii="Times New Roman" w:hAnsi="Times New Roman" w:cs="Times New Roman" w:eastAsia="Times New Roman" w:hint="default"/>
        </w:rPr>
        <w:t>8</w:t>
      </w:r>
      <w:r>
        <w:rPr/>
        <w:t>）转移其他应收款且继续涉入形成的资产、负债金额</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3、长期股权投资" w:id="522"/>
      <w:bookmarkEnd w:id="522"/>
      <w:r>
        <w:rPr>
          <w:b w:val="0"/>
          <w:bCs w:val="0"/>
        </w:rPr>
      </w:r>
      <w:r>
        <w:rPr>
          <w:rFonts w:ascii="Times New Roman" w:hAnsi="Times New Roman" w:cs="Times New Roman" w:eastAsia="Times New Roman" w:hint="default"/>
        </w:rPr>
        <w:t>3</w:t>
      </w:r>
      <w:r>
        <w:rPr/>
        <w:t>、长期股权投资</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368"/>
        <w:gridCol w:w="1356"/>
        <w:gridCol w:w="1368"/>
        <w:gridCol w:w="1367"/>
        <w:gridCol w:w="1367"/>
        <w:gridCol w:w="1366"/>
        <w:gridCol w:w="1357"/>
      </w:tblGrid>
      <w:tr>
        <w:trPr>
          <w:trHeight w:val="204" w:hRule="exact"/>
        </w:trPr>
        <w:tc>
          <w:tcPr>
            <w:tcW w:w="1368" w:type="dxa"/>
            <w:tcBorders>
              <w:top w:val="single" w:sz="4" w:space="0" w:color="000000"/>
              <w:left w:val="single" w:sz="4" w:space="0" w:color="000000"/>
              <w:bottom w:val="nil" w:sz="6" w:space="0" w:color="auto"/>
              <w:right w:val="single" w:sz="4" w:space="0" w:color="000000"/>
            </w:tcBorders>
            <w:shd w:val="clear" w:color="auto" w:fill="D4D4D4"/>
          </w:tcPr>
          <w:p>
            <w:pPr/>
          </w:p>
        </w:tc>
        <w:tc>
          <w:tcPr>
            <w:tcW w:w="4091" w:type="dxa"/>
            <w:gridSpan w:val="3"/>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right="8"/>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0" w:type="dxa"/>
            <w:gridSpan w:val="3"/>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left="7"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1368"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right="23"/>
              <w:jc w:val="center"/>
              <w:rPr>
                <w:rFonts w:ascii="宋体" w:hAnsi="宋体" w:cs="宋体" w:eastAsia="宋体" w:hint="default"/>
                <w:sz w:val="18"/>
                <w:szCs w:val="18"/>
              </w:rPr>
            </w:pPr>
            <w:r>
              <w:rPr>
                <w:rFonts w:ascii="宋体" w:hAnsi="宋体" w:cs="宋体" w:eastAsia="宋体" w:hint="default"/>
                <w:sz w:val="18"/>
                <w:szCs w:val="18"/>
              </w:rPr>
              <w:t>项目</w:t>
            </w:r>
          </w:p>
        </w:tc>
        <w:tc>
          <w:tcPr>
            <w:tcW w:w="4091" w:type="dxa"/>
            <w:gridSpan w:val="3"/>
            <w:vMerge/>
            <w:tcBorders>
              <w:left w:val="single" w:sz="4" w:space="0" w:color="000000"/>
              <w:bottom w:val="single" w:sz="4" w:space="0" w:color="000000"/>
              <w:right w:val="single" w:sz="4" w:space="0" w:color="000000"/>
            </w:tcBorders>
            <w:shd w:val="clear" w:color="auto" w:fill="D4D4D4"/>
          </w:tcPr>
          <w:p>
            <w:pPr/>
          </w:p>
        </w:tc>
        <w:tc>
          <w:tcPr>
            <w:tcW w:w="4090" w:type="dxa"/>
            <w:gridSpan w:val="3"/>
            <w:vMerge/>
            <w:tcBorders>
              <w:left w:val="single" w:sz="4" w:space="0" w:color="000000"/>
              <w:bottom w:val="single" w:sz="4" w:space="0" w:color="000000"/>
              <w:right w:val="single" w:sz="4" w:space="0" w:color="000000"/>
            </w:tcBorders>
            <w:shd w:val="clear" w:color="auto" w:fill="D4D4D4"/>
          </w:tcPr>
          <w:p>
            <w:pPr/>
          </w:p>
        </w:tc>
      </w:tr>
      <w:tr>
        <w:trPr>
          <w:trHeight w:val="202" w:hRule="exact"/>
        </w:trPr>
        <w:tc>
          <w:tcPr>
            <w:tcW w:w="1368" w:type="dxa"/>
            <w:vMerge/>
            <w:tcBorders>
              <w:left w:val="single" w:sz="4" w:space="0" w:color="000000"/>
              <w:bottom w:val="nil" w:sz="6" w:space="0" w:color="auto"/>
              <w:right w:val="single" w:sz="4" w:space="0" w:color="000000"/>
            </w:tcBorders>
            <w:shd w:val="clear" w:color="auto" w:fill="D4D4D4"/>
          </w:tcPr>
          <w:p>
            <w:pPr/>
          </w:p>
        </w:tc>
        <w:tc>
          <w:tcPr>
            <w:tcW w:w="1356"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30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8"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7"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6"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57"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1368" w:type="dxa"/>
            <w:tcBorders>
              <w:top w:val="nil" w:sz="6" w:space="0" w:color="auto"/>
              <w:left w:val="single" w:sz="4" w:space="0" w:color="000000"/>
              <w:bottom w:val="single" w:sz="4" w:space="0" w:color="000000"/>
              <w:right w:val="single" w:sz="4" w:space="0" w:color="000000"/>
            </w:tcBorders>
            <w:shd w:val="clear" w:color="auto" w:fill="D4D4D4"/>
          </w:tcPr>
          <w:p>
            <w:pPr/>
          </w:p>
        </w:tc>
        <w:tc>
          <w:tcPr>
            <w:tcW w:w="1356" w:type="dxa"/>
            <w:vMerge/>
            <w:tcBorders>
              <w:left w:val="single" w:sz="4" w:space="0" w:color="000000"/>
              <w:bottom w:val="single" w:sz="4" w:space="0" w:color="000000"/>
              <w:right w:val="single" w:sz="4" w:space="0" w:color="000000"/>
            </w:tcBorders>
            <w:shd w:val="clear" w:color="auto" w:fill="D4D4D4"/>
          </w:tcPr>
          <w:p>
            <w:pPr/>
          </w:p>
        </w:tc>
        <w:tc>
          <w:tcPr>
            <w:tcW w:w="1368" w:type="dxa"/>
            <w:vMerge/>
            <w:tcBorders>
              <w:left w:val="single" w:sz="4" w:space="0" w:color="000000"/>
              <w:bottom w:val="single" w:sz="4" w:space="0" w:color="000000"/>
              <w:right w:val="single" w:sz="4" w:space="0" w:color="000000"/>
            </w:tcBorders>
            <w:shd w:val="clear" w:color="auto" w:fill="D4D4D4"/>
          </w:tcPr>
          <w:p>
            <w:pPr/>
          </w:p>
        </w:tc>
        <w:tc>
          <w:tcPr>
            <w:tcW w:w="1367" w:type="dxa"/>
            <w:vMerge/>
            <w:tcBorders>
              <w:left w:val="single" w:sz="4" w:space="0" w:color="000000"/>
              <w:bottom w:val="single" w:sz="4" w:space="0" w:color="000000"/>
              <w:right w:val="single" w:sz="4" w:space="0" w:color="000000"/>
            </w:tcBorders>
            <w:shd w:val="clear" w:color="auto" w:fill="D4D4D4"/>
          </w:tcPr>
          <w:p>
            <w:pPr/>
          </w:p>
        </w:tc>
        <w:tc>
          <w:tcPr>
            <w:tcW w:w="1367" w:type="dxa"/>
            <w:vMerge/>
            <w:tcBorders>
              <w:left w:val="single" w:sz="4" w:space="0" w:color="000000"/>
              <w:bottom w:val="single" w:sz="4" w:space="0" w:color="000000"/>
              <w:right w:val="single" w:sz="4" w:space="0" w:color="000000"/>
            </w:tcBorders>
            <w:shd w:val="clear" w:color="auto" w:fill="D4D4D4"/>
          </w:tcPr>
          <w:p>
            <w:pPr/>
          </w:p>
        </w:tc>
        <w:tc>
          <w:tcPr>
            <w:tcW w:w="1366" w:type="dxa"/>
            <w:vMerge/>
            <w:tcBorders>
              <w:left w:val="single" w:sz="4" w:space="0" w:color="000000"/>
              <w:bottom w:val="single" w:sz="4" w:space="0" w:color="000000"/>
              <w:right w:val="single" w:sz="4" w:space="0" w:color="000000"/>
            </w:tcBorders>
            <w:shd w:val="clear" w:color="auto" w:fill="D4D4D4"/>
          </w:tcPr>
          <w:p>
            <w:pPr/>
          </w:p>
        </w:tc>
        <w:tc>
          <w:tcPr>
            <w:tcW w:w="1357" w:type="dxa"/>
            <w:vMerge/>
            <w:tcBorders>
              <w:left w:val="single" w:sz="4" w:space="0" w:color="000000"/>
              <w:bottom w:val="single" w:sz="4" w:space="0" w:color="000000"/>
              <w:right w:val="single" w:sz="4" w:space="0" w:color="000000"/>
            </w:tcBorders>
            <w:shd w:val="clear" w:color="auto" w:fill="D4D4D4"/>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56"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left="188" w:right="0"/>
              <w:jc w:val="left"/>
              <w:rPr>
                <w:rFonts w:ascii="Times New Roman" w:hAnsi="Times New Roman" w:cs="Times New Roman" w:eastAsia="Times New Roman" w:hint="default"/>
                <w:sz w:val="18"/>
                <w:szCs w:val="18"/>
              </w:rPr>
            </w:pPr>
            <w:r>
              <w:rPr>
                <w:rFonts w:ascii="Times New Roman"/>
                <w:sz w:val="18"/>
              </w:rPr>
              <w:t>971,844,213.86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00" w:right="0"/>
              <w:jc w:val="left"/>
              <w:rPr>
                <w:rFonts w:ascii="Times New Roman" w:hAnsi="Times New Roman" w:cs="Times New Roman" w:eastAsia="Times New Roman" w:hint="default"/>
                <w:sz w:val="18"/>
                <w:szCs w:val="18"/>
              </w:rPr>
            </w:pPr>
            <w:r>
              <w:rPr>
                <w:rFonts w:ascii="Times New Roman"/>
                <w:sz w:val="18"/>
              </w:rPr>
              <w:t>23,154,000.00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8" w:right="0"/>
              <w:jc w:val="left"/>
              <w:rPr>
                <w:rFonts w:ascii="Times New Roman" w:hAnsi="Times New Roman" w:cs="Times New Roman" w:eastAsia="Times New Roman" w:hint="default"/>
                <w:sz w:val="18"/>
                <w:szCs w:val="18"/>
              </w:rPr>
            </w:pPr>
            <w:r>
              <w:rPr>
                <w:rFonts w:ascii="Times New Roman"/>
                <w:sz w:val="18"/>
              </w:rPr>
              <w:t>948,690,213.86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7" w:right="0"/>
              <w:jc w:val="left"/>
              <w:rPr>
                <w:rFonts w:ascii="Times New Roman" w:hAnsi="Times New Roman" w:cs="Times New Roman" w:eastAsia="Times New Roman" w:hint="default"/>
                <w:sz w:val="18"/>
                <w:szCs w:val="18"/>
              </w:rPr>
            </w:pPr>
            <w:r>
              <w:rPr>
                <w:rFonts w:ascii="Times New Roman"/>
                <w:sz w:val="18"/>
              </w:rPr>
              <w:t>953,594,213.86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99" w:right="0"/>
              <w:jc w:val="left"/>
              <w:rPr>
                <w:rFonts w:ascii="Times New Roman" w:hAnsi="Times New Roman" w:cs="Times New Roman" w:eastAsia="Times New Roman" w:hint="default"/>
                <w:sz w:val="18"/>
                <w:szCs w:val="18"/>
              </w:rPr>
            </w:pPr>
            <w:r>
              <w:rPr>
                <w:rFonts w:ascii="Times New Roman"/>
                <w:sz w:val="18"/>
              </w:rPr>
              <w:t>23,154,000.00</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8" w:right="0"/>
              <w:jc w:val="left"/>
              <w:rPr>
                <w:rFonts w:ascii="Times New Roman" w:hAnsi="Times New Roman" w:cs="Times New Roman" w:eastAsia="Times New Roman" w:hint="default"/>
                <w:sz w:val="18"/>
                <w:szCs w:val="18"/>
              </w:rPr>
            </w:pPr>
            <w:r>
              <w:rPr>
                <w:rFonts w:ascii="Times New Roman"/>
                <w:sz w:val="18"/>
              </w:rPr>
              <w:t>930,440,213.86</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67"/>
        <w:gridCol w:w="1368"/>
        <w:gridCol w:w="1368"/>
        <w:gridCol w:w="1366"/>
        <w:gridCol w:w="1368"/>
        <w:gridCol w:w="1366"/>
        <w:gridCol w:w="1368"/>
      </w:tblGrid>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22" w:right="72"/>
              <w:jc w:val="left"/>
              <w:rPr>
                <w:rFonts w:ascii="宋体" w:hAnsi="宋体" w:cs="宋体" w:eastAsia="宋体" w:hint="default"/>
                <w:sz w:val="18"/>
                <w:szCs w:val="18"/>
              </w:rPr>
            </w:pPr>
            <w:r>
              <w:rPr>
                <w:rFonts w:ascii="宋体" w:hAnsi="宋体" w:cs="宋体" w:eastAsia="宋体" w:hint="default"/>
                <w:sz w:val="18"/>
                <w:szCs w:val="18"/>
              </w:rPr>
              <w:t>对联营、合营企 业投资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17,257,790.83</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17,257,790.83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12,129,324.90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12,129,324.90</w:t>
            </w: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989,102,004.69</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00" w:right="0"/>
              <w:jc w:val="left"/>
              <w:rPr>
                <w:rFonts w:ascii="Times New Roman" w:hAnsi="Times New Roman" w:cs="Times New Roman" w:eastAsia="Times New Roman" w:hint="default"/>
                <w:sz w:val="18"/>
                <w:szCs w:val="18"/>
              </w:rPr>
            </w:pPr>
            <w:r>
              <w:rPr>
                <w:rFonts w:ascii="Times New Roman"/>
                <w:sz w:val="18"/>
              </w:rPr>
              <w:t>23,154,000.00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965,948,004.69</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965,723,538.76</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99" w:right="0"/>
              <w:jc w:val="left"/>
              <w:rPr>
                <w:rFonts w:ascii="Times New Roman" w:hAnsi="Times New Roman" w:cs="Times New Roman" w:eastAsia="Times New Roman" w:hint="default"/>
                <w:sz w:val="18"/>
                <w:szCs w:val="18"/>
              </w:rPr>
            </w:pPr>
            <w:r>
              <w:rPr>
                <w:rFonts w:ascii="Times New Roman"/>
                <w:sz w:val="18"/>
              </w:rPr>
              <w:t>23,154,000.00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942,569,538.76</w:t>
            </w:r>
            <w:r>
              <w:rPr>
                <w:rFonts w:ascii="Times New Roman"/>
                <w:sz w:val="18"/>
              </w:rPr>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1）对子公司投资" w:id="523"/>
      <w:bookmarkEnd w:id="523"/>
      <w:r>
        <w:rPr>
          <w:b w:val="0"/>
          <w:bCs w:val="0"/>
        </w:rPr>
      </w:r>
      <w:r>
        <w:rPr/>
        <w:t>（</w:t>
      </w:r>
      <w:r>
        <w:rPr>
          <w:rFonts w:ascii="Times New Roman" w:hAnsi="Times New Roman" w:cs="Times New Roman" w:eastAsia="Times New Roman" w:hint="default"/>
        </w:rPr>
        <w:t>1</w:t>
      </w:r>
      <w:r>
        <w:rPr/>
        <w:t>）对子公司投资</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267"/>
        <w:gridCol w:w="1330"/>
        <w:gridCol w:w="1186"/>
        <w:gridCol w:w="982"/>
        <w:gridCol w:w="1166"/>
        <w:gridCol w:w="1214"/>
        <w:gridCol w:w="1212"/>
        <w:gridCol w:w="1214"/>
      </w:tblGrid>
      <w:tr>
        <w:trPr>
          <w:trHeight w:val="402" w:hRule="exact"/>
        </w:trPr>
        <w:tc>
          <w:tcPr>
            <w:tcW w:w="1267"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80"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330" w:type="dxa"/>
            <w:vMerge w:val="restart"/>
            <w:tcBorders>
              <w:top w:val="single" w:sz="4" w:space="0" w:color="000000"/>
              <w:left w:val="single" w:sz="4" w:space="0" w:color="000000"/>
              <w:right w:val="single" w:sz="4" w:space="0" w:color="000000"/>
            </w:tcBorders>
            <w:shd w:val="clear" w:color="auto" w:fill="D4D4D4"/>
          </w:tcPr>
          <w:p>
            <w:pPr>
              <w:pStyle w:val="TableParagraph"/>
              <w:spacing w:line="300" w:lineRule="auto" w:before="93"/>
              <w:ind w:left="451" w:right="86" w:hanging="360"/>
              <w:jc w:val="left"/>
              <w:rPr>
                <w:rFonts w:ascii="Times New Roman" w:hAnsi="Times New Roman" w:cs="Times New Roman" w:eastAsia="Times New Roman"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账面 价值</w:t>
            </w:r>
            <w:r>
              <w:rPr>
                <w:rFonts w:ascii="Times New Roman" w:hAnsi="Times New Roman" w:cs="Times New Roman" w:eastAsia="Times New Roman" w:hint="default"/>
                <w:sz w:val="18"/>
                <w:szCs w:val="18"/>
              </w:rPr>
              <w:t>)</w:t>
            </w:r>
          </w:p>
        </w:tc>
        <w:tc>
          <w:tcPr>
            <w:tcW w:w="4548" w:type="dxa"/>
            <w:gridSpan w:val="4"/>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1212" w:type="dxa"/>
            <w:vMerge w:val="restart"/>
            <w:tcBorders>
              <w:top w:val="single" w:sz="4" w:space="0" w:color="000000"/>
              <w:left w:val="single" w:sz="4" w:space="0" w:color="000000"/>
              <w:right w:val="single" w:sz="4" w:space="0" w:color="000000"/>
            </w:tcBorders>
            <w:shd w:val="clear" w:color="auto" w:fill="D4D4D4"/>
          </w:tcPr>
          <w:p>
            <w:pPr>
              <w:pStyle w:val="TableParagraph"/>
              <w:spacing w:line="300" w:lineRule="auto" w:before="93"/>
              <w:ind w:left="391" w:right="29" w:hanging="360"/>
              <w:jc w:val="left"/>
              <w:rPr>
                <w:rFonts w:ascii="Times New Roman" w:hAnsi="Times New Roman" w:cs="Times New Roman" w:eastAsia="Times New Roman"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账面 价值</w:t>
            </w:r>
            <w:r>
              <w:rPr>
                <w:rFonts w:ascii="Times New Roman" w:hAnsi="Times New Roman" w:cs="Times New Roman" w:eastAsia="Times New Roman" w:hint="default"/>
                <w:sz w:val="18"/>
                <w:szCs w:val="18"/>
              </w:rPr>
              <w:t>)</w:t>
            </w:r>
          </w:p>
        </w:tc>
        <w:tc>
          <w:tcPr>
            <w:tcW w:w="1214"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93"/>
              <w:ind w:left="422" w:right="60" w:hanging="360"/>
              <w:jc w:val="left"/>
              <w:rPr>
                <w:rFonts w:ascii="宋体" w:hAnsi="宋体" w:cs="宋体" w:eastAsia="宋体" w:hint="default"/>
                <w:sz w:val="18"/>
                <w:szCs w:val="18"/>
              </w:rPr>
            </w:pPr>
            <w:r>
              <w:rPr>
                <w:rFonts w:ascii="宋体" w:hAnsi="宋体" w:cs="宋体" w:eastAsia="宋体" w:hint="default"/>
                <w:sz w:val="18"/>
                <w:szCs w:val="18"/>
              </w:rPr>
              <w:t>减值准备期末 余额</w:t>
            </w:r>
          </w:p>
        </w:tc>
      </w:tr>
      <w:tr>
        <w:trPr>
          <w:trHeight w:val="401" w:hRule="exact"/>
        </w:trPr>
        <w:tc>
          <w:tcPr>
            <w:tcW w:w="1267" w:type="dxa"/>
            <w:vMerge/>
            <w:tcBorders>
              <w:left w:val="single" w:sz="4" w:space="0" w:color="000000"/>
              <w:bottom w:val="single" w:sz="4" w:space="0" w:color="000000"/>
              <w:right w:val="single" w:sz="4" w:space="0" w:color="000000"/>
            </w:tcBorders>
            <w:shd w:val="clear" w:color="auto" w:fill="D4D4D4"/>
          </w:tcPr>
          <w:p>
            <w:pPr/>
          </w:p>
        </w:tc>
        <w:tc>
          <w:tcPr>
            <w:tcW w:w="1330" w:type="dxa"/>
            <w:vMerge/>
            <w:tcBorders>
              <w:left w:val="single" w:sz="4" w:space="0" w:color="000000"/>
              <w:bottom w:val="single" w:sz="4" w:space="0" w:color="000000"/>
              <w:right w:val="single" w:sz="4" w:space="0" w:color="000000"/>
            </w:tcBorders>
            <w:shd w:val="clear" w:color="auto" w:fill="D4D4D4"/>
          </w:tcPr>
          <w:p>
            <w:pPr/>
          </w:p>
        </w:tc>
        <w:tc>
          <w:tcPr>
            <w:tcW w:w="118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7"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98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7"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11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40" w:right="0"/>
              <w:jc w:val="left"/>
              <w:rPr>
                <w:rFonts w:ascii="宋体" w:hAnsi="宋体" w:cs="宋体" w:eastAsia="宋体" w:hint="default"/>
                <w:sz w:val="18"/>
                <w:szCs w:val="18"/>
              </w:rPr>
            </w:pPr>
            <w:r>
              <w:rPr>
                <w:rFonts w:ascii="宋体" w:hAnsi="宋体" w:cs="宋体" w:eastAsia="宋体" w:hint="default"/>
                <w:sz w:val="18"/>
                <w:szCs w:val="18"/>
              </w:rPr>
              <w:t>计提减值准备</w:t>
            </w:r>
          </w:p>
        </w:tc>
        <w:tc>
          <w:tcPr>
            <w:tcW w:w="121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212" w:type="dxa"/>
            <w:vMerge/>
            <w:tcBorders>
              <w:left w:val="single" w:sz="4" w:space="0" w:color="000000"/>
              <w:bottom w:val="single" w:sz="4" w:space="0" w:color="000000"/>
              <w:right w:val="single" w:sz="4" w:space="0" w:color="000000"/>
            </w:tcBorders>
            <w:shd w:val="clear" w:color="auto" w:fill="D4D4D4"/>
          </w:tcPr>
          <w:p>
            <w:pPr/>
          </w:p>
        </w:tc>
        <w:tc>
          <w:tcPr>
            <w:tcW w:w="1214" w:type="dxa"/>
            <w:vMerge/>
            <w:tcBorders>
              <w:left w:val="single" w:sz="4" w:space="0" w:color="000000"/>
              <w:bottom w:val="single" w:sz="4" w:space="0" w:color="000000"/>
              <w:right w:val="single" w:sz="4" w:space="0" w:color="000000"/>
            </w:tcBorders>
            <w:shd w:val="clear" w:color="auto" w:fill="D4D4D4"/>
          </w:tcPr>
          <w:p>
            <w:pPr/>
          </w:p>
        </w:tc>
      </w:tr>
      <w:tr>
        <w:trPr>
          <w:trHeight w:val="403"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美亚研究所</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10,000,000.00</w:t>
            </w:r>
          </w:p>
        </w:tc>
        <w:tc>
          <w:tcPr>
            <w:tcW w:w="118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10,000,000.00</w:t>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美亚中敏</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4,470,000.00</w:t>
            </w:r>
            <w:r>
              <w:rPr>
                <w:rFonts w:ascii="Times New Roman"/>
                <w:sz w:val="18"/>
              </w:rPr>
            </w:r>
          </w:p>
        </w:tc>
        <w:tc>
          <w:tcPr>
            <w:tcW w:w="118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4,470,000.00</w:t>
            </w:r>
            <w:r>
              <w:rPr>
                <w:rFonts w:ascii="Times New Roman"/>
                <w:sz w:val="18"/>
              </w:rPr>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珠海新德汇</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322,657,994.98</w:t>
            </w:r>
            <w:r>
              <w:rPr>
                <w:rFonts w:ascii="Times New Roman"/>
                <w:sz w:val="18"/>
              </w:rPr>
            </w:r>
          </w:p>
        </w:tc>
        <w:tc>
          <w:tcPr>
            <w:tcW w:w="118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322,657,994.98</w:t>
            </w:r>
            <w:r>
              <w:rPr>
                <w:rFonts w:ascii="Times New Roman"/>
                <w:sz w:val="18"/>
              </w:rPr>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香港鼎永</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1,256,232.00</w:t>
            </w:r>
            <w:r>
              <w:rPr>
                <w:rFonts w:ascii="Times New Roman"/>
                <w:sz w:val="18"/>
              </w:rPr>
            </w:r>
          </w:p>
        </w:tc>
        <w:tc>
          <w:tcPr>
            <w:tcW w:w="118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1,256,232.00</w:t>
            </w:r>
            <w:r>
              <w:rPr>
                <w:rFonts w:ascii="Times New Roman"/>
                <w:sz w:val="18"/>
              </w:rPr>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安胜网络</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3,750,000.00</w:t>
            </w:r>
            <w:r>
              <w:rPr>
                <w:rFonts w:ascii="Times New Roman"/>
                <w:sz w:val="18"/>
              </w:rPr>
            </w:r>
          </w:p>
        </w:tc>
        <w:tc>
          <w:tcPr>
            <w:tcW w:w="118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3,750,000.00</w:t>
            </w:r>
            <w:r>
              <w:rPr>
                <w:rFonts w:ascii="Times New Roman"/>
                <w:sz w:val="18"/>
              </w:rPr>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武汉大千</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9,996,000.00</w:t>
            </w:r>
            <w:r>
              <w:rPr>
                <w:rFonts w:ascii="Times New Roman"/>
                <w:sz w:val="18"/>
              </w:rPr>
            </w:r>
          </w:p>
        </w:tc>
        <w:tc>
          <w:tcPr>
            <w:tcW w:w="118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9,996,000.00</w:t>
            </w:r>
            <w:r>
              <w:rPr>
                <w:rFonts w:ascii="Times New Roman"/>
                <w:sz w:val="18"/>
              </w:rPr>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23,154,000.00</w:t>
            </w:r>
          </w:p>
        </w:tc>
      </w:tr>
      <w:tr>
        <w:trPr>
          <w:trHeight w:val="403"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江苏税软</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543,199,986.88</w:t>
            </w:r>
            <w:r>
              <w:rPr>
                <w:rFonts w:ascii="Times New Roman"/>
                <w:sz w:val="18"/>
              </w:rPr>
            </w:r>
          </w:p>
        </w:tc>
        <w:tc>
          <w:tcPr>
            <w:tcW w:w="118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543,199,986.88</w:t>
            </w:r>
            <w:r>
              <w:rPr>
                <w:rFonts w:ascii="Times New Roman"/>
                <w:sz w:val="18"/>
              </w:rPr>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美亚宏数</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13,575,000.00</w:t>
            </w:r>
          </w:p>
        </w:tc>
        <w:tc>
          <w:tcPr>
            <w:tcW w:w="118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13,575,000.00</w:t>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美亚智讯</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3,830,000.00</w:t>
            </w:r>
            <w:r>
              <w:rPr>
                <w:rFonts w:ascii="Times New Roman"/>
                <w:sz w:val="18"/>
              </w:rPr>
            </w:r>
          </w:p>
        </w:tc>
        <w:tc>
          <w:tcPr>
            <w:tcW w:w="118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3,830,000.00</w:t>
            </w:r>
            <w:r>
              <w:rPr>
                <w:rFonts w:ascii="Times New Roman"/>
                <w:sz w:val="18"/>
              </w:rPr>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美亚商鼎</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6,200,000.00</w:t>
            </w:r>
            <w:r>
              <w:rPr>
                <w:rFonts w:ascii="Times New Roman"/>
                <w:sz w:val="18"/>
              </w:rPr>
            </w:r>
          </w:p>
        </w:tc>
        <w:tc>
          <w:tcPr>
            <w:tcW w:w="118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6,200,000.00</w:t>
            </w:r>
            <w:r>
              <w:rPr>
                <w:rFonts w:ascii="Times New Roman"/>
                <w:sz w:val="18"/>
              </w:rPr>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美银智投</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5,005,000.00</w:t>
            </w:r>
            <w:r>
              <w:rPr>
                <w:rFonts w:ascii="Times New Roman"/>
                <w:sz w:val="18"/>
              </w:rPr>
            </w:r>
          </w:p>
        </w:tc>
        <w:tc>
          <w:tcPr>
            <w:tcW w:w="118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5,005,000.00</w:t>
            </w:r>
            <w:r>
              <w:rPr>
                <w:rFonts w:ascii="Times New Roman"/>
                <w:sz w:val="18"/>
              </w:rPr>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美亚天信</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3,000,000.00</w:t>
            </w:r>
            <w:r>
              <w:rPr>
                <w:rFonts w:ascii="Times New Roman"/>
                <w:sz w:val="18"/>
              </w:rPr>
            </w:r>
          </w:p>
        </w:tc>
        <w:tc>
          <w:tcPr>
            <w:tcW w:w="118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3,000,000.00</w:t>
            </w:r>
            <w:r>
              <w:rPr>
                <w:rFonts w:ascii="Times New Roman"/>
                <w:sz w:val="18"/>
              </w:rPr>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美亚榕安</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3,500,000.00</w:t>
            </w:r>
            <w:r>
              <w:rPr>
                <w:rFonts w:ascii="Times New Roman"/>
                <w:sz w:val="18"/>
              </w:rPr>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12,000,000.00</w:t>
            </w:r>
          </w:p>
        </w:tc>
        <w:tc>
          <w:tcPr>
            <w:tcW w:w="982"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15,500,000.00</w:t>
            </w:r>
            <w:r>
              <w:rPr>
                <w:rFonts w:ascii="Times New Roman"/>
                <w:sz w:val="18"/>
              </w:rPr>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美亚京安</w:t>
            </w:r>
          </w:p>
        </w:tc>
        <w:tc>
          <w:tcPr>
            <w:tcW w:w="1330" w:type="dxa"/>
            <w:tcBorders>
              <w:top w:val="single" w:sz="4" w:space="0" w:color="000000"/>
              <w:left w:val="single" w:sz="4" w:space="0" w:color="000000"/>
              <w:bottom w:val="single" w:sz="4" w:space="0" w:color="000000"/>
              <w:right w:val="single" w:sz="4" w:space="0" w:color="000000"/>
            </w:tcBorders>
          </w:tcPr>
          <w:p>
            <w:pP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2,000,000.00</w:t>
            </w:r>
            <w:r>
              <w:rPr>
                <w:rFonts w:ascii="Times New Roman"/>
                <w:sz w:val="18"/>
              </w:rPr>
            </w:r>
          </w:p>
        </w:tc>
        <w:tc>
          <w:tcPr>
            <w:tcW w:w="982"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2,000,000.00</w:t>
            </w:r>
            <w:r>
              <w:rPr>
                <w:rFonts w:ascii="Times New Roman"/>
                <w:sz w:val="18"/>
              </w:rPr>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美亚信安</w:t>
            </w:r>
          </w:p>
        </w:tc>
        <w:tc>
          <w:tcPr>
            <w:tcW w:w="1330" w:type="dxa"/>
            <w:tcBorders>
              <w:top w:val="single" w:sz="4" w:space="0" w:color="000000"/>
              <w:left w:val="single" w:sz="4" w:space="0" w:color="000000"/>
              <w:bottom w:val="single" w:sz="4" w:space="0" w:color="000000"/>
              <w:right w:val="single" w:sz="4" w:space="0" w:color="000000"/>
            </w:tcBorders>
          </w:tcPr>
          <w:p>
            <w:pP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500,000.00</w:t>
            </w:r>
          </w:p>
        </w:tc>
        <w:tc>
          <w:tcPr>
            <w:tcW w:w="982"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500,000.00</w:t>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美亚秦安</w:t>
            </w:r>
          </w:p>
        </w:tc>
        <w:tc>
          <w:tcPr>
            <w:tcW w:w="1330" w:type="dxa"/>
            <w:tcBorders>
              <w:top w:val="single" w:sz="4" w:space="0" w:color="000000"/>
              <w:left w:val="single" w:sz="4" w:space="0" w:color="000000"/>
              <w:bottom w:val="single" w:sz="4" w:space="0" w:color="000000"/>
              <w:right w:val="single" w:sz="4" w:space="0" w:color="000000"/>
            </w:tcBorders>
          </w:tcPr>
          <w:p>
            <w:pP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1,000,000.00</w:t>
            </w:r>
            <w:r>
              <w:rPr>
                <w:rFonts w:ascii="Times New Roman"/>
                <w:sz w:val="18"/>
              </w:rPr>
            </w:r>
          </w:p>
        </w:tc>
        <w:tc>
          <w:tcPr>
            <w:tcW w:w="982"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1,000,000.00</w:t>
            </w:r>
            <w:r>
              <w:rPr>
                <w:rFonts w:ascii="Times New Roman"/>
                <w:sz w:val="18"/>
              </w:rPr>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美亚亿安</w:t>
            </w:r>
          </w:p>
        </w:tc>
        <w:tc>
          <w:tcPr>
            <w:tcW w:w="1330" w:type="dxa"/>
            <w:tcBorders>
              <w:top w:val="single" w:sz="4" w:space="0" w:color="000000"/>
              <w:left w:val="single" w:sz="4" w:space="0" w:color="000000"/>
              <w:bottom w:val="single" w:sz="4" w:space="0" w:color="000000"/>
              <w:right w:val="single" w:sz="4" w:space="0" w:color="000000"/>
            </w:tcBorders>
          </w:tcPr>
          <w:p>
            <w:pP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2,750,000.00</w:t>
            </w:r>
            <w:r>
              <w:rPr>
                <w:rFonts w:ascii="Times New Roman"/>
                <w:sz w:val="18"/>
              </w:rPr>
            </w:r>
          </w:p>
        </w:tc>
        <w:tc>
          <w:tcPr>
            <w:tcW w:w="982"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2,750,000.00</w:t>
            </w:r>
            <w:r>
              <w:rPr>
                <w:rFonts w:ascii="Times New Roman"/>
                <w:sz w:val="18"/>
              </w:rPr>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930,440,213.86</w:t>
            </w:r>
            <w:r>
              <w:rPr>
                <w:rFonts w:ascii="Times New Roman"/>
                <w:sz w:val="18"/>
              </w:rPr>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18,250,000.00</w:t>
            </w:r>
          </w:p>
        </w:tc>
        <w:tc>
          <w:tcPr>
            <w:tcW w:w="982"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948,690,213.86</w:t>
            </w:r>
            <w:r>
              <w:rPr>
                <w:rFonts w:ascii="Times New Roman"/>
                <w:sz w:val="18"/>
              </w:rPr>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23,154,000.00</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2）对联营、合营企业投资" w:id="524"/>
      <w:bookmarkEnd w:id="524"/>
      <w:r>
        <w:rPr>
          <w:b w:val="0"/>
          <w:bCs w:val="0"/>
        </w:rPr>
      </w:r>
      <w:r>
        <w:rPr/>
        <w:t>（</w:t>
      </w:r>
      <w:r>
        <w:rPr>
          <w:rFonts w:ascii="Times New Roman" w:hAnsi="Times New Roman" w:cs="Times New Roman" w:eastAsia="Times New Roman" w:hint="default"/>
        </w:rPr>
        <w:t>2</w:t>
      </w:r>
      <w:r>
        <w:rPr/>
        <w:t>）对联营、合营企业投资</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96"/>
        <w:gridCol w:w="797"/>
        <w:gridCol w:w="797"/>
        <w:gridCol w:w="797"/>
        <w:gridCol w:w="799"/>
        <w:gridCol w:w="797"/>
        <w:gridCol w:w="799"/>
        <w:gridCol w:w="797"/>
        <w:gridCol w:w="799"/>
        <w:gridCol w:w="797"/>
        <w:gridCol w:w="799"/>
        <w:gridCol w:w="797"/>
      </w:tblGrid>
      <w:tr>
        <w:trPr>
          <w:trHeight w:val="401" w:hRule="exact"/>
        </w:trPr>
        <w:tc>
          <w:tcPr>
            <w:tcW w:w="796"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2" w:right="0"/>
              <w:jc w:val="left"/>
              <w:rPr>
                <w:rFonts w:ascii="宋体" w:hAnsi="宋体" w:cs="宋体" w:eastAsia="宋体" w:hint="default"/>
                <w:sz w:val="18"/>
                <w:szCs w:val="18"/>
              </w:rPr>
            </w:pPr>
            <w:r>
              <w:rPr>
                <w:rFonts w:ascii="宋体" w:hAnsi="宋体" w:cs="宋体" w:eastAsia="宋体" w:hint="default"/>
                <w:sz w:val="18"/>
                <w:szCs w:val="18"/>
              </w:rPr>
              <w:t>投资单位</w:t>
            </w:r>
          </w:p>
        </w:tc>
        <w:tc>
          <w:tcPr>
            <w:tcW w:w="797"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307" w:lineRule="auto"/>
              <w:ind w:left="33" w:right="31"/>
              <w:jc w:val="center"/>
              <w:rPr>
                <w:rFonts w:ascii="Times New Roman" w:hAnsi="Times New Roman" w:cs="Times New Roman" w:eastAsia="Times New Roman" w:hint="default"/>
                <w:sz w:val="18"/>
                <w:szCs w:val="18"/>
              </w:rPr>
            </w:pPr>
            <w:r>
              <w:rPr>
                <w:rFonts w:ascii="宋体" w:hAnsi="宋体" w:cs="宋体" w:eastAsia="宋体" w:hint="default"/>
                <w:sz w:val="18"/>
                <w:szCs w:val="18"/>
              </w:rPr>
              <w:t>期初余额 </w:t>
            </w:r>
            <w:r>
              <w:rPr>
                <w:rFonts w:ascii="Times New Roman" w:hAnsi="Times New Roman" w:cs="Times New Roman" w:eastAsia="Times New Roman" w:hint="default"/>
                <w:sz w:val="18"/>
                <w:szCs w:val="18"/>
              </w:rPr>
              <w:t>(</w:t>
            </w:r>
            <w:r>
              <w:rPr>
                <w:rFonts w:ascii="宋体" w:hAnsi="宋体" w:cs="宋体" w:eastAsia="宋体" w:hint="default"/>
                <w:sz w:val="18"/>
                <w:szCs w:val="18"/>
              </w:rPr>
              <w:t>账面价 值</w:t>
            </w:r>
            <w:r>
              <w:rPr>
                <w:rFonts w:ascii="Times New Roman" w:hAnsi="Times New Roman" w:cs="Times New Roman" w:eastAsia="Times New Roman" w:hint="default"/>
                <w:sz w:val="18"/>
                <w:szCs w:val="18"/>
              </w:rPr>
              <w:t>)</w:t>
            </w:r>
          </w:p>
        </w:tc>
        <w:tc>
          <w:tcPr>
            <w:tcW w:w="6382" w:type="dxa"/>
            <w:gridSpan w:val="8"/>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9"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2"/>
              <w:ind w:right="0"/>
              <w:jc w:val="left"/>
              <w:rPr>
                <w:rFonts w:ascii="宋体" w:hAnsi="宋体" w:cs="宋体" w:eastAsia="宋体" w:hint="default"/>
                <w:sz w:val="19"/>
                <w:szCs w:val="19"/>
              </w:rPr>
            </w:pPr>
          </w:p>
          <w:p>
            <w:pPr>
              <w:pStyle w:val="TableParagraph"/>
              <w:spacing w:line="307" w:lineRule="auto"/>
              <w:ind w:left="33" w:right="35"/>
              <w:jc w:val="center"/>
              <w:rPr>
                <w:rFonts w:ascii="Times New Roman" w:hAnsi="Times New Roman" w:cs="Times New Roman" w:eastAsia="Times New Roman" w:hint="default"/>
                <w:sz w:val="18"/>
                <w:szCs w:val="18"/>
              </w:rPr>
            </w:pPr>
            <w:r>
              <w:rPr>
                <w:rFonts w:ascii="宋体" w:hAnsi="宋体" w:cs="宋体" w:eastAsia="宋体" w:hint="default"/>
                <w:sz w:val="18"/>
                <w:szCs w:val="18"/>
              </w:rPr>
              <w:t>期末余额 </w:t>
            </w:r>
            <w:r>
              <w:rPr>
                <w:rFonts w:ascii="Times New Roman" w:hAnsi="Times New Roman" w:cs="Times New Roman" w:eastAsia="Times New Roman" w:hint="default"/>
                <w:sz w:val="18"/>
                <w:szCs w:val="18"/>
              </w:rPr>
              <w:t>(</w:t>
            </w:r>
            <w:r>
              <w:rPr>
                <w:rFonts w:ascii="宋体" w:hAnsi="宋体" w:cs="宋体" w:eastAsia="宋体" w:hint="default"/>
                <w:sz w:val="18"/>
                <w:szCs w:val="18"/>
              </w:rPr>
              <w:t>账面价 值</w:t>
            </w:r>
            <w:r>
              <w:rPr>
                <w:rFonts w:ascii="Times New Roman" w:hAnsi="Times New Roman" w:cs="Times New Roman" w:eastAsia="Times New Roman" w:hint="default"/>
                <w:sz w:val="18"/>
                <w:szCs w:val="18"/>
              </w:rPr>
              <w:t>)</w:t>
            </w:r>
          </w:p>
        </w:tc>
        <w:tc>
          <w:tcPr>
            <w:tcW w:w="797"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314" w:lineRule="auto"/>
              <w:ind w:left="33" w:right="31"/>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7" w:hRule="exact"/>
        </w:trPr>
        <w:tc>
          <w:tcPr>
            <w:tcW w:w="796" w:type="dxa"/>
            <w:vMerge/>
            <w:tcBorders>
              <w:left w:val="single" w:sz="4" w:space="0" w:color="000000"/>
              <w:bottom w:val="single" w:sz="4" w:space="0" w:color="000000"/>
              <w:right w:val="single" w:sz="4" w:space="0" w:color="000000"/>
            </w:tcBorders>
            <w:shd w:val="clear" w:color="auto" w:fill="D4D4D4"/>
          </w:tcPr>
          <w:p>
            <w:pPr/>
          </w:p>
        </w:tc>
        <w:tc>
          <w:tcPr>
            <w:tcW w:w="797" w:type="dxa"/>
            <w:vMerge/>
            <w:tcBorders>
              <w:left w:val="single" w:sz="4" w:space="0" w:color="000000"/>
              <w:bottom w:val="single" w:sz="4" w:space="0" w:color="000000"/>
              <w:right w:val="single" w:sz="4" w:space="0" w:color="000000"/>
            </w:tcBorders>
            <w:shd w:val="clear" w:color="auto" w:fill="D4D4D4"/>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3"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9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33" w:right="35"/>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79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3" w:right="35"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49"/>
              <w:ind w:left="33" w:right="31"/>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3" w:right="35"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9" w:type="dxa"/>
            <w:vMerge/>
            <w:tcBorders>
              <w:left w:val="single" w:sz="4" w:space="0" w:color="000000"/>
              <w:bottom w:val="single" w:sz="4" w:space="0" w:color="000000"/>
              <w:right w:val="single" w:sz="4" w:space="0" w:color="000000"/>
            </w:tcBorders>
            <w:shd w:val="clear" w:color="auto" w:fill="D4D4D4"/>
          </w:tcPr>
          <w:p>
            <w:pPr/>
          </w:p>
        </w:tc>
        <w:tc>
          <w:tcPr>
            <w:tcW w:w="797" w:type="dxa"/>
            <w:vMerge/>
            <w:tcBorders>
              <w:left w:val="single" w:sz="4" w:space="0" w:color="000000"/>
              <w:bottom w:val="single" w:sz="4" w:space="0" w:color="000000"/>
              <w:right w:val="single" w:sz="4" w:space="0" w:color="000000"/>
            </w:tcBorders>
            <w:shd w:val="clear" w:color="auto" w:fill="D4D4D4"/>
          </w:tcPr>
          <w:p>
            <w:pPr/>
          </w:p>
        </w:tc>
      </w:tr>
      <w:tr>
        <w:trPr>
          <w:trHeight w:val="401" w:hRule="exact"/>
        </w:trPr>
        <w:tc>
          <w:tcPr>
            <w:tcW w:w="9570" w:type="dxa"/>
            <w:gridSpan w:val="1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3" w:hRule="exact"/>
        </w:trPr>
        <w:tc>
          <w:tcPr>
            <w:tcW w:w="9570" w:type="dxa"/>
            <w:gridSpan w:val="1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bl>
    <w:p>
      <w:pPr>
        <w:spacing w:after="0" w:line="240" w:lineRule="auto"/>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797"/>
        <w:gridCol w:w="797"/>
        <w:gridCol w:w="797"/>
        <w:gridCol w:w="797"/>
        <w:gridCol w:w="799"/>
        <w:gridCol w:w="797"/>
        <w:gridCol w:w="799"/>
        <w:gridCol w:w="797"/>
        <w:gridCol w:w="799"/>
        <w:gridCol w:w="797"/>
        <w:gridCol w:w="799"/>
        <w:gridCol w:w="797"/>
      </w:tblGrid>
      <w:tr>
        <w:trPr>
          <w:trHeight w:val="1025"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厦门服云 信息科技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9,422,855</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.85</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191,300.3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9,614,156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.21</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41"/>
              <w:jc w:val="both"/>
              <w:rPr>
                <w:rFonts w:ascii="宋体" w:hAnsi="宋体" w:cs="宋体" w:eastAsia="宋体" w:hint="default"/>
                <w:sz w:val="18"/>
                <w:szCs w:val="18"/>
              </w:rPr>
            </w:pPr>
            <w:r>
              <w:rPr>
                <w:rFonts w:ascii="宋体" w:hAnsi="宋体" w:cs="宋体" w:eastAsia="宋体" w:hint="default"/>
                <w:sz w:val="18"/>
                <w:szCs w:val="18"/>
              </w:rPr>
              <w:t>厦门正信 世纪信息 科技有限 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1,760,007</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.37</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-30,380.2</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6</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1,729,627</w:t>
            </w:r>
          </w:p>
          <w:p>
            <w:pPr>
              <w:pStyle w:val="TableParagraph"/>
              <w:spacing w:line="240" w:lineRule="auto" w:before="102"/>
              <w:ind w:right="26"/>
              <w:jc w:val="right"/>
              <w:rPr>
                <w:rFonts w:ascii="Times New Roman" w:hAnsi="Times New Roman" w:cs="Times New Roman" w:eastAsia="Times New Roman" w:hint="default"/>
                <w:sz w:val="18"/>
                <w:szCs w:val="18"/>
              </w:rPr>
            </w:pPr>
            <w:r>
              <w:rPr>
                <w:rFonts w:ascii="Times New Roman"/>
                <w:spacing w:val="-4"/>
                <w:w w:val="95"/>
                <w:sz w:val="18"/>
              </w:rPr>
              <w:t>.11</w:t>
            </w:r>
            <w:r>
              <w:rPr>
                <w:rFonts w:ascii="Times New Roman"/>
                <w:w w:val="95"/>
                <w:sz w:val="18"/>
              </w:rPr>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133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厦门市美 亚梧桐投 资管理有 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946,461.6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-229,758.</w:t>
            </w:r>
            <w:r>
              <w:rPr>
                <w:rFonts w:ascii="Times New Roman"/>
                <w:sz w:val="18"/>
              </w:rPr>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70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716,702.9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41"/>
              <w:jc w:val="both"/>
              <w:rPr>
                <w:rFonts w:ascii="宋体" w:hAnsi="宋体" w:cs="宋体" w:eastAsia="宋体" w:hint="default"/>
                <w:sz w:val="18"/>
                <w:szCs w:val="18"/>
              </w:rPr>
            </w:pPr>
            <w:r>
              <w:rPr>
                <w:rFonts w:ascii="宋体" w:hAnsi="宋体" w:cs="宋体" w:eastAsia="宋体" w:hint="default"/>
                <w:sz w:val="18"/>
                <w:szCs w:val="18"/>
              </w:rPr>
              <w:t>沈阳城市 公共安全 科技有限 公司</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2,338,800</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-309,555.</w:t>
            </w:r>
            <w:r>
              <w:rPr>
                <w:rFonts w:ascii="Times New Roman"/>
                <w:sz w:val="18"/>
              </w:rPr>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42</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2,029,244</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.58</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1961"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41"/>
              <w:jc w:val="left"/>
              <w:rPr>
                <w:rFonts w:ascii="Times New Roman" w:hAnsi="Times New Roman" w:cs="Times New Roman" w:eastAsia="Times New Roman" w:hint="default"/>
                <w:sz w:val="18"/>
                <w:szCs w:val="18"/>
              </w:rPr>
            </w:pPr>
            <w:r>
              <w:rPr>
                <w:rFonts w:ascii="宋体" w:hAnsi="宋体" w:cs="宋体" w:eastAsia="宋体" w:hint="default"/>
                <w:sz w:val="18"/>
                <w:szCs w:val="18"/>
              </w:rPr>
              <w:t>厦门市柏 科晔济投 资管理合 伙企业 </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 伙</w:t>
            </w:r>
            <w:r>
              <w:rPr>
                <w:rFonts w:ascii="Times New Roman" w:hAnsi="Times New Roman" w:cs="Times New Roman" w:eastAsia="Times New Roman" w:hint="default"/>
                <w:sz w:val="18"/>
                <w:szCs w:val="18"/>
              </w:rPr>
              <w:t>)</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2,000,000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41"/>
              <w:jc w:val="both"/>
              <w:rPr>
                <w:rFonts w:ascii="宋体" w:hAnsi="宋体" w:cs="宋体" w:eastAsia="宋体" w:hint="default"/>
                <w:sz w:val="18"/>
                <w:szCs w:val="18"/>
              </w:rPr>
            </w:pPr>
            <w:r>
              <w:rPr>
                <w:rFonts w:ascii="宋体" w:hAnsi="宋体" w:cs="宋体" w:eastAsia="宋体" w:hint="default"/>
                <w:sz w:val="18"/>
                <w:szCs w:val="18"/>
              </w:rPr>
              <w:t>厦门本思 信息服务 有限公司</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1,225,000</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-56,940.0</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5</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1,168,059</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.95</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79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12,129,32</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4.90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5,563,800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-435,334.</w:t>
            </w:r>
            <w:r>
              <w:rPr>
                <w:rFonts w:ascii="Times New Roman"/>
                <w:sz w:val="18"/>
              </w:rPr>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07</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17,257,79</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0.83</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79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12,129,32</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4.90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5,563,800</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-435,334.</w:t>
            </w:r>
            <w:r>
              <w:rPr>
                <w:rFonts w:ascii="Times New Roman"/>
                <w:sz w:val="18"/>
              </w:rPr>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07</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17,257,79</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0.83</w:t>
            </w:r>
          </w:p>
        </w:tc>
        <w:tc>
          <w:tcPr>
            <w:tcW w:w="797"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3）其他说明" w:id="525"/>
      <w:bookmarkEnd w:id="525"/>
      <w:r>
        <w:rPr>
          <w:b w:val="0"/>
          <w:bCs w:val="0"/>
        </w:rPr>
      </w:r>
      <w:r>
        <w:rPr/>
        <w:t>（</w:t>
      </w:r>
      <w:r>
        <w:rPr>
          <w:rFonts w:ascii="Times New Roman" w:hAnsi="Times New Roman" w:cs="Times New Roman" w:eastAsia="Times New Roman" w:hint="default"/>
        </w:rPr>
        <w:t>3</w:t>
      </w:r>
      <w:r>
        <w:rPr/>
        <w:t>）其他说明</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4、营业收入和营业成本" w:id="526"/>
      <w:bookmarkEnd w:id="526"/>
      <w:r>
        <w:rPr>
          <w:b w:val="0"/>
          <w:bCs w:val="0"/>
        </w:rPr>
      </w:r>
      <w:r>
        <w:rPr>
          <w:rFonts w:ascii="Times New Roman" w:hAnsi="Times New Roman" w:cs="Times New Roman" w:eastAsia="Times New Roman" w:hint="default"/>
        </w:rPr>
        <w:t>4</w:t>
      </w:r>
      <w:r>
        <w:rPr/>
        <w:t>、营业收入和营业成本</w:t>
      </w:r>
      <w:r>
        <w:rPr>
          <w:b w:val="0"/>
          <w:bCs w:val="0"/>
        </w:rPr>
      </w:r>
    </w:p>
    <w:p>
      <w:pPr>
        <w:spacing w:line="240" w:lineRule="auto" w:before="10"/>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96"/>
        <w:gridCol w:w="1835"/>
        <w:gridCol w:w="1913"/>
        <w:gridCol w:w="1913"/>
        <w:gridCol w:w="1915"/>
      </w:tblGrid>
      <w:tr>
        <w:trPr>
          <w:trHeight w:val="206" w:hRule="exact"/>
        </w:trPr>
        <w:tc>
          <w:tcPr>
            <w:tcW w:w="1996" w:type="dxa"/>
            <w:tcBorders>
              <w:top w:val="single" w:sz="4" w:space="0" w:color="000000"/>
              <w:left w:val="single" w:sz="4" w:space="0" w:color="000000"/>
              <w:bottom w:val="nil" w:sz="6" w:space="0" w:color="auto"/>
              <w:right w:val="single" w:sz="4" w:space="0" w:color="000000"/>
            </w:tcBorders>
            <w:shd w:val="clear" w:color="auto" w:fill="D4D4D4"/>
          </w:tcPr>
          <w:p>
            <w:pPr/>
          </w:p>
        </w:tc>
        <w:tc>
          <w:tcPr>
            <w:tcW w:w="3748"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8"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6" w:hRule="exact"/>
        </w:trPr>
        <w:tc>
          <w:tcPr>
            <w:tcW w:w="1996"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748" w:type="dxa"/>
            <w:gridSpan w:val="2"/>
            <w:vMerge/>
            <w:tcBorders>
              <w:left w:val="single" w:sz="4" w:space="0" w:color="000000"/>
              <w:bottom w:val="single" w:sz="4" w:space="0" w:color="000000"/>
              <w:right w:val="single" w:sz="4" w:space="0" w:color="000000"/>
            </w:tcBorders>
            <w:shd w:val="clear" w:color="auto" w:fill="D4D4D4"/>
          </w:tcPr>
          <w:p>
            <w:pPr/>
          </w:p>
        </w:tc>
        <w:tc>
          <w:tcPr>
            <w:tcW w:w="3828" w:type="dxa"/>
            <w:gridSpan w:val="2"/>
            <w:vMerge/>
            <w:tcBorders>
              <w:left w:val="single" w:sz="4" w:space="0" w:color="000000"/>
              <w:bottom w:val="single" w:sz="4" w:space="0" w:color="000000"/>
              <w:right w:val="single" w:sz="4" w:space="0" w:color="000000"/>
            </w:tcBorders>
            <w:shd w:val="clear" w:color="auto" w:fill="D4D4D4"/>
          </w:tcPr>
          <w:p>
            <w:pPr/>
          </w:p>
        </w:tc>
      </w:tr>
      <w:tr>
        <w:trPr>
          <w:trHeight w:val="196" w:hRule="exact"/>
        </w:trPr>
        <w:tc>
          <w:tcPr>
            <w:tcW w:w="1996" w:type="dxa"/>
            <w:vMerge/>
            <w:tcBorders>
              <w:left w:val="single" w:sz="4" w:space="0" w:color="000000"/>
              <w:bottom w:val="nil" w:sz="6" w:space="0" w:color="auto"/>
              <w:right w:val="single" w:sz="4" w:space="0" w:color="000000"/>
            </w:tcBorders>
            <w:shd w:val="clear" w:color="auto" w:fill="D4D4D4"/>
          </w:tcPr>
          <w:p>
            <w:pPr/>
          </w:p>
        </w:tc>
        <w:tc>
          <w:tcPr>
            <w:tcW w:w="1835"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5"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0"/>
              <w:ind w:left="4"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6" w:hRule="exact"/>
        </w:trPr>
        <w:tc>
          <w:tcPr>
            <w:tcW w:w="1996" w:type="dxa"/>
            <w:tcBorders>
              <w:top w:val="nil" w:sz="6" w:space="0" w:color="auto"/>
              <w:left w:val="single" w:sz="4" w:space="0" w:color="000000"/>
              <w:bottom w:val="single" w:sz="4" w:space="0" w:color="000000"/>
              <w:right w:val="single" w:sz="4" w:space="0" w:color="000000"/>
            </w:tcBorders>
            <w:shd w:val="clear" w:color="auto" w:fill="D4D4D4"/>
          </w:tcPr>
          <w:p>
            <w:pPr/>
          </w:p>
        </w:tc>
        <w:tc>
          <w:tcPr>
            <w:tcW w:w="1835" w:type="dxa"/>
            <w:vMerge/>
            <w:tcBorders>
              <w:left w:val="single" w:sz="4" w:space="0" w:color="000000"/>
              <w:bottom w:val="single" w:sz="4" w:space="0" w:color="000000"/>
              <w:right w:val="single" w:sz="4" w:space="0" w:color="000000"/>
            </w:tcBorders>
            <w:shd w:val="clear" w:color="auto" w:fill="D4D4D4"/>
          </w:tcPr>
          <w:p>
            <w:pPr/>
          </w:p>
        </w:tc>
        <w:tc>
          <w:tcPr>
            <w:tcW w:w="1913" w:type="dxa"/>
            <w:vMerge/>
            <w:tcBorders>
              <w:left w:val="single" w:sz="4" w:space="0" w:color="000000"/>
              <w:bottom w:val="single" w:sz="4" w:space="0" w:color="000000"/>
              <w:right w:val="single" w:sz="4" w:space="0" w:color="000000"/>
            </w:tcBorders>
            <w:shd w:val="clear" w:color="auto" w:fill="D4D4D4"/>
          </w:tcPr>
          <w:p>
            <w:pPr/>
          </w:p>
        </w:tc>
        <w:tc>
          <w:tcPr>
            <w:tcW w:w="1913" w:type="dxa"/>
            <w:vMerge/>
            <w:tcBorders>
              <w:left w:val="single" w:sz="4" w:space="0" w:color="000000"/>
              <w:bottom w:val="single" w:sz="4" w:space="0" w:color="000000"/>
              <w:right w:val="single" w:sz="4" w:space="0" w:color="000000"/>
            </w:tcBorders>
            <w:shd w:val="clear" w:color="auto" w:fill="D4D4D4"/>
          </w:tcPr>
          <w:p>
            <w:pPr/>
          </w:p>
        </w:tc>
        <w:tc>
          <w:tcPr>
            <w:tcW w:w="1915" w:type="dxa"/>
            <w:vMerge/>
            <w:tcBorders>
              <w:left w:val="single" w:sz="4" w:space="0" w:color="000000"/>
              <w:bottom w:val="single" w:sz="4" w:space="0" w:color="000000"/>
              <w:right w:val="single" w:sz="4" w:space="0" w:color="000000"/>
            </w:tcBorders>
            <w:shd w:val="clear" w:color="auto" w:fill="D4D4D4"/>
          </w:tcPr>
          <w:p>
            <w:pPr/>
          </w:p>
        </w:tc>
      </w:tr>
      <w:tr>
        <w:trPr>
          <w:trHeight w:val="401" w:hRule="exact"/>
        </w:trPr>
        <w:tc>
          <w:tcPr>
            <w:tcW w:w="19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35"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1,471,476,193.20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823,200,513.61</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1,127,311,008.80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572,448,029.77</w:t>
            </w:r>
            <w:r>
              <w:rPr>
                <w:rFonts w:ascii="Times New Roman"/>
                <w:sz w:val="18"/>
              </w:rPr>
            </w:r>
          </w:p>
        </w:tc>
      </w:tr>
      <w:tr>
        <w:trPr>
          <w:trHeight w:val="403" w:hRule="exact"/>
        </w:trPr>
        <w:tc>
          <w:tcPr>
            <w:tcW w:w="19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35"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4,390,831.38</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2,879,610.52</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3,158,260.14</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3,389,274.31</w:t>
            </w:r>
            <w:r>
              <w:rPr>
                <w:rFonts w:ascii="Times New Roman"/>
                <w:sz w:val="18"/>
              </w:rPr>
            </w:r>
          </w:p>
        </w:tc>
      </w:tr>
      <w:tr>
        <w:trPr>
          <w:trHeight w:val="403" w:hRule="exact"/>
        </w:trPr>
        <w:tc>
          <w:tcPr>
            <w:tcW w:w="19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5" w:type="dxa"/>
            <w:tcBorders>
              <w:top w:val="single" w:sz="4" w:space="0" w:color="000000"/>
              <w:left w:val="single" w:sz="12"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1,475,867,024.58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826,080,124.13</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1,130,469,268.94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575,837,304.08</w:t>
            </w:r>
            <w:r>
              <w:rPr>
                <w:rFonts w:ascii="Times New Roman"/>
                <w:sz w:val="18"/>
              </w:rPr>
            </w:r>
          </w:p>
        </w:tc>
      </w:tr>
    </w:tbl>
    <w:p>
      <w:pPr>
        <w:spacing w:before="49"/>
        <w:ind w:left="152" w:right="986" w:firstLine="0"/>
        <w:jc w:val="left"/>
        <w:rPr>
          <w:rFonts w:ascii="宋体" w:hAnsi="宋体" w:cs="宋体" w:eastAsia="宋体" w:hint="default"/>
          <w:sz w:val="18"/>
          <w:szCs w:val="18"/>
        </w:rPr>
      </w:pPr>
      <w:r>
        <w:rPr>
          <w:rFonts w:ascii="宋体" w:hAnsi="宋体" w:cs="宋体" w:eastAsia="宋体" w:hint="default"/>
          <w:sz w:val="18"/>
          <w:szCs w:val="18"/>
        </w:rPr>
        <w:t>是否已执行新收入准则</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9"/>
        <w:rPr>
          <w:rFonts w:ascii="宋体" w:hAnsi="宋体" w:cs="宋体" w:eastAsia="宋体" w:hint="default"/>
          <w:sz w:val="25"/>
          <w:szCs w:val="25"/>
        </w:rPr>
      </w:pPr>
    </w:p>
    <w:p>
      <w:pPr>
        <w:spacing w:line="360" w:lineRule="auto" w:before="44"/>
        <w:ind w:left="152" w:right="8954" w:firstLine="0"/>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3"/>
          <w:sz w:val="18"/>
          <w:szCs w:val="18"/>
        </w:rPr>
        <w:t> </w:t>
      </w:r>
      <w:r>
        <w:rPr>
          <w:rFonts w:ascii="宋体" w:hAnsi="宋体" w:cs="宋体" w:eastAsia="宋体" w:hint="default"/>
          <w:sz w:val="18"/>
          <w:szCs w:val="18"/>
        </w:rPr>
        <w:t>否</w:t>
      </w:r>
      <w:r>
        <w:rPr>
          <w:rFonts w:ascii="宋体" w:hAnsi="宋体" w:cs="宋体" w:eastAsia="宋体" w:hint="default"/>
          <w:sz w:val="18"/>
          <w:szCs w:val="18"/>
        </w:rPr>
        <w:t> 其他说明：</w:t>
      </w:r>
    </w:p>
    <w:p>
      <w:pPr>
        <w:spacing w:line="240" w:lineRule="auto" w:before="2"/>
        <w:rPr>
          <w:rFonts w:ascii="宋体" w:hAnsi="宋体" w:cs="宋体" w:eastAsia="宋体" w:hint="default"/>
          <w:sz w:val="20"/>
          <w:szCs w:val="20"/>
        </w:rPr>
      </w:pPr>
    </w:p>
    <w:p>
      <w:pPr>
        <w:pStyle w:val="Heading4"/>
        <w:spacing w:line="240" w:lineRule="auto"/>
        <w:ind w:right="986"/>
        <w:jc w:val="left"/>
        <w:rPr>
          <w:b w:val="0"/>
          <w:bCs w:val="0"/>
        </w:rPr>
      </w:pPr>
      <w:bookmarkStart w:name="5、投资收益" w:id="527"/>
      <w:bookmarkEnd w:id="527"/>
      <w:r>
        <w:rPr>
          <w:b w:val="0"/>
          <w:bCs w:val="0"/>
        </w:rPr>
      </w:r>
      <w:r>
        <w:rPr>
          <w:rFonts w:ascii="Times New Roman" w:hAnsi="Times New Roman" w:cs="Times New Roman" w:eastAsia="Times New Roman" w:hint="default"/>
        </w:rPr>
        <w:t>5</w:t>
      </w:r>
      <w:r>
        <w:rPr/>
        <w:t>、投资收益</w:t>
      </w:r>
      <w:r>
        <w:rPr>
          <w:b w:val="0"/>
          <w:bCs w:val="0"/>
        </w:rPr>
      </w:r>
    </w:p>
    <w:p>
      <w:pPr>
        <w:spacing w:line="240" w:lineRule="auto" w:before="12"/>
        <w:rPr>
          <w:rFonts w:ascii="宋体" w:hAnsi="宋体" w:cs="宋体" w:eastAsia="宋体" w:hint="default"/>
          <w:b/>
          <w:bCs/>
          <w:sz w:val="22"/>
          <w:szCs w:val="22"/>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1"/>
        <w:gridCol w:w="3071"/>
        <w:gridCol w:w="3185"/>
      </w:tblGrid>
      <w:tr>
        <w:trPr>
          <w:trHeight w:val="401" w:hRule="exact"/>
        </w:trPr>
        <w:tc>
          <w:tcPr>
            <w:tcW w:w="33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3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3071" w:type="dxa"/>
            <w:tcBorders>
              <w:top w:val="single" w:sz="4" w:space="0" w:color="000000"/>
              <w:left w:val="single" w:sz="9" w:space="0" w:color="D4D4D4"/>
              <w:bottom w:val="single" w:sz="4" w:space="0" w:color="000000"/>
              <w:right w:val="single" w:sz="4" w:space="0" w:color="000000"/>
            </w:tcBorders>
          </w:tcPr>
          <w:p>
            <w:pP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30,000,000.00</w:t>
            </w:r>
          </w:p>
        </w:tc>
      </w:tr>
      <w:tr>
        <w:trPr>
          <w:trHeight w:val="401" w:hRule="exact"/>
        </w:trPr>
        <w:tc>
          <w:tcPr>
            <w:tcW w:w="33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071"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-435,334.07</w:t>
            </w:r>
            <w:r>
              <w:rPr>
                <w:rFonts w:ascii="Times New Roman"/>
                <w:sz w:val="18"/>
              </w:rPr>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-2,020,647.25</w:t>
            </w:r>
            <w:r>
              <w:rPr>
                <w:rFonts w:ascii="Times New Roman"/>
                <w:sz w:val="18"/>
              </w:rPr>
            </w:r>
          </w:p>
        </w:tc>
      </w:tr>
      <w:tr>
        <w:trPr>
          <w:trHeight w:val="403" w:hRule="exact"/>
        </w:trPr>
        <w:tc>
          <w:tcPr>
            <w:tcW w:w="33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071" w:type="dxa"/>
            <w:tcBorders>
              <w:top w:val="single" w:sz="4" w:space="0" w:color="000000"/>
              <w:left w:val="single" w:sz="9" w:space="0" w:color="D4D4D4"/>
              <w:bottom w:val="single" w:sz="4" w:space="0" w:color="000000"/>
              <w:right w:val="single" w:sz="4" w:space="0" w:color="000000"/>
            </w:tcBorders>
          </w:tcPr>
          <w:p>
            <w:pP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1,069,435.14</w:t>
            </w:r>
            <w:r>
              <w:rPr>
                <w:rFonts w:ascii="Times New Roman"/>
                <w:sz w:val="18"/>
              </w:rPr>
            </w:r>
          </w:p>
        </w:tc>
      </w:tr>
      <w:tr>
        <w:trPr>
          <w:trHeight w:val="401" w:hRule="exact"/>
        </w:trPr>
        <w:tc>
          <w:tcPr>
            <w:tcW w:w="33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3071" w:type="dxa"/>
            <w:tcBorders>
              <w:top w:val="single" w:sz="4" w:space="0" w:color="000000"/>
              <w:left w:val="single" w:sz="9" w:space="0" w:color="D4D4D4"/>
              <w:bottom w:val="single" w:sz="4" w:space="0" w:color="000000"/>
              <w:right w:val="single" w:sz="4" w:space="0" w:color="000000"/>
            </w:tcBorders>
          </w:tcPr>
          <w:p>
            <w:pP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1,537,500.00</w:t>
            </w:r>
            <w:r>
              <w:rPr>
                <w:rFonts w:ascii="Times New Roman"/>
                <w:sz w:val="18"/>
              </w:rPr>
            </w:r>
          </w:p>
        </w:tc>
      </w:tr>
      <w:tr>
        <w:trPr>
          <w:trHeight w:val="403" w:hRule="exact"/>
        </w:trPr>
        <w:tc>
          <w:tcPr>
            <w:tcW w:w="33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3071" w:type="dxa"/>
            <w:tcBorders>
              <w:top w:val="single" w:sz="4" w:space="0" w:color="000000"/>
              <w:left w:val="single" w:sz="9" w:space="0" w:color="D4D4D4"/>
              <w:bottom w:val="single" w:sz="4" w:space="0" w:color="000000"/>
              <w:right w:val="single" w:sz="4" w:space="0" w:color="000000"/>
            </w:tcBorders>
          </w:tcPr>
          <w:p>
            <w:pP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65,449,779.62</w:t>
            </w:r>
          </w:p>
        </w:tc>
      </w:tr>
      <w:tr>
        <w:trPr>
          <w:trHeight w:val="401" w:hRule="exact"/>
        </w:trPr>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其他权益工具投资持有期间的投资收益</w:t>
            </w:r>
          </w:p>
        </w:tc>
        <w:tc>
          <w:tcPr>
            <w:tcW w:w="3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1,438,319.35</w:t>
            </w:r>
            <w:r>
              <w:rPr>
                <w:rFonts w:ascii="Times New Roman"/>
                <w:sz w:val="18"/>
              </w:rPr>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业绩承诺补偿款</w:t>
            </w:r>
          </w:p>
        </w:tc>
        <w:tc>
          <w:tcPr>
            <w:tcW w:w="3071" w:type="dxa"/>
            <w:tcBorders>
              <w:top w:val="single" w:sz="4" w:space="0" w:color="000000"/>
              <w:left w:val="single" w:sz="4" w:space="0" w:color="000000"/>
              <w:bottom w:val="single" w:sz="4" w:space="0" w:color="000000"/>
              <w:right w:val="single" w:sz="4" w:space="0" w:color="000000"/>
            </w:tcBorders>
          </w:tcPr>
          <w:p>
            <w:pP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10,045,572.00</w:t>
            </w:r>
          </w:p>
        </w:tc>
      </w:tr>
      <w:tr>
        <w:trPr>
          <w:trHeight w:val="403" w:hRule="exact"/>
        </w:trPr>
        <w:tc>
          <w:tcPr>
            <w:tcW w:w="33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1,002,985.28</w:t>
            </w:r>
            <w:r>
              <w:rPr>
                <w:rFonts w:ascii="Times New Roman"/>
                <w:sz w:val="18"/>
              </w:rPr>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106,081,639.51</w:t>
            </w:r>
            <w:r>
              <w:rPr>
                <w:rFonts w:ascii="Times New Roman"/>
                <w:sz w:val="18"/>
              </w:rPr>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6、其他" w:id="528"/>
      <w:bookmarkEnd w:id="528"/>
      <w:r>
        <w:rPr>
          <w:b w:val="0"/>
          <w:bCs w:val="0"/>
        </w:rPr>
      </w:r>
      <w:r>
        <w:rPr>
          <w:rFonts w:ascii="Times New Roman" w:hAnsi="Times New Roman" w:cs="Times New Roman" w:eastAsia="Times New Roman" w:hint="default"/>
        </w:rPr>
        <w:t>6</w:t>
      </w:r>
      <w:r>
        <w:rPr/>
        <w:t>、其他</w:t>
      </w:r>
      <w:r>
        <w:rPr>
          <w:b w:val="0"/>
          <w:bCs w:val="0"/>
        </w:rPr>
      </w:r>
    </w:p>
    <w:p>
      <w:pPr>
        <w:spacing w:line="240" w:lineRule="auto" w:before="8"/>
        <w:rPr>
          <w:rFonts w:ascii="宋体" w:hAnsi="宋体" w:cs="宋体" w:eastAsia="宋体" w:hint="default"/>
          <w:b/>
          <w:bCs/>
          <w:sz w:val="22"/>
          <w:szCs w:val="22"/>
        </w:rPr>
      </w:pPr>
    </w:p>
    <w:p>
      <w:pPr>
        <w:pStyle w:val="Heading2"/>
        <w:spacing w:line="240" w:lineRule="auto"/>
        <w:ind w:right="986"/>
        <w:jc w:val="left"/>
        <w:rPr>
          <w:b w:val="0"/>
          <w:bCs w:val="0"/>
        </w:rPr>
      </w:pPr>
      <w:bookmarkStart w:name="十八、补充资料" w:id="529"/>
      <w:bookmarkEnd w:id="529"/>
      <w:r>
        <w:rPr>
          <w:b w:val="0"/>
          <w:bCs w:val="0"/>
        </w:rPr>
      </w:r>
      <w:r>
        <w:rPr/>
        <w:t>十八、补充资料</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6"/>
        <w:jc w:val="left"/>
        <w:rPr>
          <w:b w:val="0"/>
          <w:bCs w:val="0"/>
        </w:rPr>
      </w:pPr>
      <w:bookmarkStart w:name="1、当期非经常性损益明细表" w:id="530"/>
      <w:bookmarkEnd w:id="530"/>
      <w:r>
        <w:rPr>
          <w:b w:val="0"/>
          <w:bCs w:val="0"/>
        </w:rPr>
      </w:r>
      <w:r>
        <w:rPr>
          <w:rFonts w:ascii="Times New Roman" w:hAnsi="Times New Roman" w:cs="Times New Roman" w:eastAsia="Times New Roman" w:hint="default"/>
        </w:rPr>
        <w:t>1</w:t>
      </w:r>
      <w:r>
        <w:rPr/>
        <w:t>、当期非经常性损益明细表</w:t>
      </w:r>
      <w:r>
        <w:rPr>
          <w:b w:val="0"/>
          <w:bCs w:val="0"/>
        </w:rPr>
      </w:r>
    </w:p>
    <w:p>
      <w:pPr>
        <w:spacing w:line="240" w:lineRule="auto" w:before="10"/>
        <w:rPr>
          <w:rFonts w:ascii="宋体" w:hAnsi="宋体" w:cs="宋体" w:eastAsia="宋体" w:hint="default"/>
          <w:b/>
          <w:bCs/>
          <w:sz w:val="22"/>
          <w:szCs w:val="22"/>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before="117"/>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spacing w:before="44"/>
        <w:ind w:left="0" w:right="1139" w:firstLine="0"/>
        <w:jc w:val="right"/>
        <w:rPr>
          <w:rFonts w:ascii="宋体" w:hAnsi="宋体" w:cs="宋体" w:eastAsia="宋体" w:hint="default"/>
          <w:sz w:val="18"/>
          <w:szCs w:val="18"/>
        </w:rPr>
      </w:pPr>
      <w:r>
        <w:rPr/>
        <w:pict>
          <v:shape style="position:absolute;margin-left:57pt;margin-top:-127.928284pt;width:478.6pt;height:239.4pt;mso-position-horizontal-relative:page;mso-position-vertical-relative:paragraph;z-index:22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312"/>
                    <w:gridCol w:w="1644"/>
                    <w:gridCol w:w="4601"/>
                  </w:tblGrid>
                  <w:tr>
                    <w:trPr>
                      <w:trHeight w:val="403" w:hRule="exact"/>
                    </w:trPr>
                    <w:tc>
                      <w:tcPr>
                        <w:tcW w:w="33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 w:right="7"/>
                          <w:jc w:val="center"/>
                          <w:rPr>
                            <w:rFonts w:ascii="宋体" w:hAnsi="宋体" w:cs="宋体" w:eastAsia="宋体" w:hint="default"/>
                            <w:sz w:val="18"/>
                            <w:szCs w:val="18"/>
                          </w:rPr>
                        </w:pPr>
                        <w:r>
                          <w:rPr>
                            <w:rFonts w:ascii="宋体" w:hAnsi="宋体" w:cs="宋体" w:eastAsia="宋体" w:hint="default"/>
                            <w:sz w:val="18"/>
                            <w:szCs w:val="18"/>
                          </w:rPr>
                          <w:t>项目</w:t>
                        </w:r>
                      </w:p>
                    </w:tc>
                    <w:tc>
                      <w:tcPr>
                        <w:tcW w:w="16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46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1" w:hRule="exact"/>
                    </w:trPr>
                    <w:tc>
                      <w:tcPr>
                        <w:tcW w:w="33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644"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0"/>
                          <w:ind w:right="20"/>
                          <w:jc w:val="right"/>
                          <w:rPr>
                            <w:rFonts w:ascii="Arial" w:hAnsi="Arial" w:cs="Arial" w:eastAsia="Arial" w:hint="default"/>
                            <w:sz w:val="18"/>
                            <w:szCs w:val="18"/>
                          </w:rPr>
                        </w:pPr>
                        <w:r>
                          <w:rPr>
                            <w:rFonts w:ascii="Arial"/>
                            <w:spacing w:val="-1"/>
                            <w:sz w:val="18"/>
                          </w:rPr>
                          <w:t>208,884.48</w:t>
                        </w:r>
                      </w:p>
                    </w:tc>
                    <w:tc>
                      <w:tcPr>
                        <w:tcW w:w="4601"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33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1"/>
                          <w:ind w:left="12" w:right="48"/>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1644"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30,625,248.85</w:t>
                        </w:r>
                      </w:p>
                    </w:tc>
                    <w:tc>
                      <w:tcPr>
                        <w:tcW w:w="46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644"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0"/>
                          <w:ind w:right="19"/>
                          <w:jc w:val="right"/>
                          <w:rPr>
                            <w:rFonts w:ascii="Arial" w:hAnsi="Arial" w:cs="Arial" w:eastAsia="Arial" w:hint="default"/>
                            <w:sz w:val="18"/>
                            <w:szCs w:val="18"/>
                          </w:rPr>
                        </w:pPr>
                        <w:r>
                          <w:rPr>
                            <w:rFonts w:ascii="Arial"/>
                            <w:spacing w:val="-1"/>
                            <w:sz w:val="18"/>
                          </w:rPr>
                          <w:t>-1,325,870.22</w:t>
                        </w:r>
                      </w:p>
                    </w:tc>
                    <w:tc>
                      <w:tcPr>
                        <w:tcW w:w="4601" w:type="dxa"/>
                        <w:tcBorders>
                          <w:top w:val="single" w:sz="4" w:space="0" w:color="000000"/>
                          <w:left w:val="single" w:sz="4" w:space="0" w:color="000000"/>
                          <w:bottom w:val="single" w:sz="4" w:space="0" w:color="000000"/>
                          <w:right w:val="single" w:sz="4" w:space="0" w:color="000000"/>
                        </w:tcBorders>
                      </w:tcPr>
                      <w:p>
                        <w:pPr/>
                      </w:p>
                    </w:tc>
                  </w:tr>
                  <w:tr>
                    <w:trPr>
                      <w:trHeight w:val="475" w:hRule="exact"/>
                    </w:trPr>
                    <w:tc>
                      <w:tcPr>
                        <w:tcW w:w="3312" w:type="dxa"/>
                        <w:tcBorders>
                          <w:top w:val="single" w:sz="4" w:space="0" w:color="000000"/>
                          <w:left w:val="single" w:sz="4" w:space="0" w:color="000000"/>
                          <w:bottom w:val="nil" w:sz="6" w:space="0" w:color="auto"/>
                          <w:right w:val="single" w:sz="4" w:space="0" w:color="000000"/>
                        </w:tcBorders>
                        <w:shd w:val="clear" w:color="auto" w:fill="D4D4D4"/>
                      </w:tcPr>
                      <w:p>
                        <w:pPr/>
                      </w:p>
                    </w:tc>
                    <w:tc>
                      <w:tcPr>
                        <w:tcW w:w="1644" w:type="dxa"/>
                        <w:vMerge w:val="restart"/>
                        <w:tcBorders>
                          <w:top w:val="single" w:sz="4" w:space="0" w:color="000000"/>
                          <w:left w:val="single" w:sz="9" w:space="0" w:color="D4D4D4"/>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598" w:right="0"/>
                          <w:jc w:val="left"/>
                          <w:rPr>
                            <w:rFonts w:ascii="Times New Roman" w:hAnsi="Times New Roman" w:cs="Times New Roman" w:eastAsia="Times New Roman" w:hint="default"/>
                            <w:sz w:val="18"/>
                            <w:szCs w:val="18"/>
                          </w:rPr>
                        </w:pPr>
                        <w:r>
                          <w:rPr>
                            <w:rFonts w:ascii="Times New Roman"/>
                            <w:sz w:val="18"/>
                          </w:rPr>
                          <w:t>-1,255,696.03</w:t>
                        </w:r>
                      </w:p>
                    </w:tc>
                    <w:tc>
                      <w:tcPr>
                        <w:tcW w:w="4601" w:type="dxa"/>
                        <w:vMerge w:val="restart"/>
                        <w:tcBorders>
                          <w:top w:val="single" w:sz="4" w:space="0" w:color="000000"/>
                          <w:left w:val="single" w:sz="4" w:space="0" w:color="000000"/>
                          <w:right w:val="single" w:sz="4" w:space="0" w:color="000000"/>
                        </w:tcBorders>
                      </w:tcPr>
                      <w:p>
                        <w:pPr>
                          <w:pStyle w:val="TableParagraph"/>
                          <w:spacing w:line="312" w:lineRule="auto" w:before="51"/>
                          <w:ind w:left="23" w:right="65"/>
                          <w:jc w:val="both"/>
                          <w:rPr>
                            <w:rFonts w:ascii="宋体" w:hAnsi="宋体" w:cs="宋体" w:eastAsia="宋体" w:hint="default"/>
                            <w:sz w:val="18"/>
                            <w:szCs w:val="18"/>
                          </w:rPr>
                        </w:pPr>
                        <w:r>
                          <w:rPr>
                            <w:rFonts w:ascii="宋体" w:hAnsi="宋体" w:cs="宋体" w:eastAsia="宋体" w:hint="default"/>
                            <w:sz w:val="18"/>
                            <w:szCs w:val="18"/>
                          </w:rPr>
                          <w:t>本年其他符合非经常性损益定义的损益项目</w:t>
                        </w:r>
                        <w:r>
                          <w:rPr>
                            <w:rFonts w:ascii="Times New Roman" w:hAnsi="Times New Roman" w:cs="Times New Roman" w:eastAsia="Times New Roman" w:hint="default"/>
                            <w:sz w:val="18"/>
                            <w:szCs w:val="18"/>
                          </w:rPr>
                          <w:t>-1,255,696.03</w:t>
                        </w:r>
                        <w:r>
                          <w:rPr>
                            <w:rFonts w:ascii="Times New Roman" w:hAnsi="Times New Roman" w:cs="Times New Roman" w:eastAsia="Times New Roman" w:hint="default"/>
                            <w:spacing w:val="1"/>
                            <w:sz w:val="18"/>
                            <w:szCs w:val="18"/>
                          </w:rPr>
                          <w:t> </w:t>
                        </w:r>
                        <w:r>
                          <w:rPr>
                            <w:rFonts w:ascii="宋体" w:hAnsi="宋体" w:cs="宋体" w:eastAsia="宋体" w:hint="default"/>
                            <w:spacing w:val="-2"/>
                            <w:sz w:val="18"/>
                            <w:szCs w:val="18"/>
                          </w:rPr>
                          <w:t>元，为本公司本期实现对中检美亚非同一控制下企业合并</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对以前持有中检美亚的长期股权投资成本按照公允价值进 行重新计量产生的投资收益。</w:t>
                        </w:r>
                      </w:p>
                    </w:tc>
                  </w:tr>
                  <w:tr>
                    <w:trPr>
                      <w:trHeight w:val="391" w:hRule="exact"/>
                    </w:trPr>
                    <w:tc>
                      <w:tcPr>
                        <w:tcW w:w="3312"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644" w:type="dxa"/>
                        <w:vMerge/>
                        <w:tcBorders>
                          <w:left w:val="single" w:sz="9" w:space="0" w:color="D4D4D4"/>
                          <w:right w:val="single" w:sz="4" w:space="0" w:color="000000"/>
                        </w:tcBorders>
                      </w:tcPr>
                      <w:p>
                        <w:pPr/>
                      </w:p>
                    </w:tc>
                    <w:tc>
                      <w:tcPr>
                        <w:tcW w:w="4601" w:type="dxa"/>
                        <w:vMerge/>
                        <w:tcBorders>
                          <w:left w:val="single" w:sz="4" w:space="0" w:color="000000"/>
                          <w:right w:val="single" w:sz="4" w:space="0" w:color="000000"/>
                        </w:tcBorders>
                      </w:tcPr>
                      <w:p>
                        <w:pPr/>
                      </w:p>
                    </w:tc>
                  </w:tr>
                  <w:tr>
                    <w:trPr>
                      <w:trHeight w:val="473" w:hRule="exact"/>
                    </w:trPr>
                    <w:tc>
                      <w:tcPr>
                        <w:tcW w:w="3312" w:type="dxa"/>
                        <w:tcBorders>
                          <w:top w:val="nil" w:sz="6" w:space="0" w:color="auto"/>
                          <w:left w:val="single" w:sz="4" w:space="0" w:color="000000"/>
                          <w:bottom w:val="single" w:sz="4" w:space="0" w:color="000000"/>
                          <w:right w:val="single" w:sz="4" w:space="0" w:color="000000"/>
                        </w:tcBorders>
                        <w:shd w:val="clear" w:color="auto" w:fill="D4D4D4"/>
                      </w:tcPr>
                      <w:p>
                        <w:pPr/>
                      </w:p>
                    </w:tc>
                    <w:tc>
                      <w:tcPr>
                        <w:tcW w:w="1644" w:type="dxa"/>
                        <w:vMerge/>
                        <w:tcBorders>
                          <w:left w:val="single" w:sz="9" w:space="0" w:color="D4D4D4"/>
                          <w:bottom w:val="single" w:sz="4" w:space="0" w:color="000000"/>
                          <w:right w:val="single" w:sz="4" w:space="0" w:color="000000"/>
                        </w:tcBorders>
                      </w:tcPr>
                      <w:p>
                        <w:pPr/>
                      </w:p>
                    </w:tc>
                    <w:tc>
                      <w:tcPr>
                        <w:tcW w:w="4601" w:type="dxa"/>
                        <w:vMerge/>
                        <w:tcBorders>
                          <w:left w:val="single" w:sz="4" w:space="0" w:color="000000"/>
                          <w:bottom w:val="single" w:sz="4" w:space="0" w:color="000000"/>
                          <w:right w:val="single" w:sz="4" w:space="0" w:color="000000"/>
                        </w:tcBorders>
                      </w:tcPr>
                      <w:p>
                        <w:pPr/>
                      </w:p>
                    </w:tc>
                  </w:tr>
                  <w:tr>
                    <w:trPr>
                      <w:trHeight w:val="401" w:hRule="exact"/>
                    </w:trPr>
                    <w:tc>
                      <w:tcPr>
                        <w:tcW w:w="33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644"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3,102,958.29</w:t>
                        </w:r>
                        <w:r>
                          <w:rPr>
                            <w:rFonts w:ascii="Times New Roman"/>
                            <w:sz w:val="18"/>
                          </w:rPr>
                        </w:r>
                      </w:p>
                    </w:tc>
                    <w:tc>
                      <w:tcPr>
                        <w:tcW w:w="46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1644"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2,525,761.54</w:t>
                        </w:r>
                        <w:r>
                          <w:rPr>
                            <w:rFonts w:ascii="Times New Roman"/>
                            <w:sz w:val="18"/>
                          </w:rPr>
                        </w:r>
                      </w:p>
                    </w:tc>
                    <w:tc>
                      <w:tcPr>
                        <w:tcW w:w="46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44" w:type="dxa"/>
                        <w:tcBorders>
                          <w:top w:val="single" w:sz="4" w:space="0" w:color="000000"/>
                          <w:left w:val="single" w:sz="9" w:space="0" w:color="D4D4D4"/>
                          <w:bottom w:val="single" w:sz="4" w:space="0" w:color="000000"/>
                          <w:right w:val="single" w:sz="10" w:space="0" w:color="D4D4D4"/>
                        </w:tcBorders>
                      </w:tcPr>
                      <w:p>
                        <w:pPr>
                          <w:pStyle w:val="TableParagraph"/>
                          <w:spacing w:line="240" w:lineRule="auto" w:before="91"/>
                          <w:ind w:right="13"/>
                          <w:jc w:val="right"/>
                          <w:rPr>
                            <w:rFonts w:ascii="Times New Roman" w:hAnsi="Times New Roman" w:cs="Times New Roman" w:eastAsia="Times New Roman" w:hint="default"/>
                            <w:sz w:val="18"/>
                            <w:szCs w:val="18"/>
                          </w:rPr>
                        </w:pPr>
                        <w:r>
                          <w:rPr>
                            <w:rFonts w:ascii="Times New Roman"/>
                            <w:spacing w:val="-1"/>
                            <w:sz w:val="18"/>
                          </w:rPr>
                          <w:t>22,623,847.25</w:t>
                        </w:r>
                      </w:p>
                    </w:tc>
                    <w:tc>
                      <w:tcPr>
                        <w:tcW w:w="460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9"/>
          <w:szCs w:val="29"/>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pacing w:val="-3"/>
          <w:sz w:val="18"/>
          <w:szCs w:val="18"/>
        </w:rPr>
        <w:t>对公司根据《公开发行证券的公司信息披露解释性公告第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6"/>
          <w:sz w:val="18"/>
          <w:szCs w:val="18"/>
        </w:rPr>
        <w:t> </w:t>
      </w:r>
      <w:r>
        <w:rPr>
          <w:rFonts w:ascii="宋体" w:hAnsi="宋体" w:cs="宋体" w:eastAsia="宋体" w:hint="default"/>
          <w:spacing w:val="-7"/>
          <w:sz w:val="18"/>
          <w:szCs w:val="18"/>
        </w:rPr>
        <w:t>号</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非经常性损益》定义界定的非经常性损益项目，以及把《公</w:t>
      </w:r>
    </w:p>
    <w:p>
      <w:pPr>
        <w:spacing w:before="60"/>
        <w:ind w:left="152" w:right="986" w:firstLine="0"/>
        <w:jc w:val="left"/>
        <w:rPr>
          <w:rFonts w:ascii="宋体" w:hAnsi="宋体" w:cs="宋体" w:eastAsia="宋体" w:hint="default"/>
          <w:sz w:val="18"/>
          <w:szCs w:val="18"/>
        </w:rPr>
      </w:pPr>
      <w:r>
        <w:rPr>
          <w:rFonts w:ascii="宋体" w:hAnsi="宋体" w:cs="宋体" w:eastAsia="宋体" w:hint="default"/>
          <w:sz w:val="18"/>
          <w:szCs w:val="18"/>
        </w:rPr>
        <w:t>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4"/>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非经常性损益》中列举的非经常性损益项目界定为经常性损益的项目，应</w:t>
      </w:r>
    </w:p>
    <w:p>
      <w:pPr>
        <w:spacing w:after="0"/>
        <w:jc w:val="left"/>
        <w:rPr>
          <w:rFonts w:ascii="宋体" w:hAnsi="宋体" w:cs="宋体" w:eastAsia="宋体" w:hint="default"/>
          <w:sz w:val="18"/>
          <w:szCs w:val="18"/>
        </w:rPr>
        <w:sectPr>
          <w:pgSz w:w="11910" w:h="16840"/>
          <w:pgMar w:header="745" w:footer="982" w:top="1060" w:bottom="1180" w:left="980" w:right="0"/>
        </w:sectPr>
      </w:pPr>
    </w:p>
    <w:p>
      <w:pPr>
        <w:spacing w:line="240" w:lineRule="auto" w:before="9"/>
        <w:rPr>
          <w:rFonts w:ascii="宋体" w:hAnsi="宋体" w:cs="宋体" w:eastAsia="宋体" w:hint="default"/>
          <w:sz w:val="25"/>
          <w:szCs w:val="25"/>
        </w:rPr>
      </w:pPr>
    </w:p>
    <w:p>
      <w:pPr>
        <w:spacing w:before="44"/>
        <w:ind w:left="152" w:right="986" w:firstLine="0"/>
        <w:jc w:val="left"/>
        <w:rPr>
          <w:rFonts w:ascii="宋体" w:hAnsi="宋体" w:cs="宋体" w:eastAsia="宋体" w:hint="default"/>
          <w:sz w:val="18"/>
          <w:szCs w:val="18"/>
        </w:rPr>
      </w:pPr>
      <w:r>
        <w:rPr>
          <w:rFonts w:ascii="宋体" w:hAnsi="宋体" w:cs="宋体" w:eastAsia="宋体" w:hint="default"/>
          <w:sz w:val="18"/>
          <w:szCs w:val="18"/>
        </w:rPr>
        <w:t>说明原因。</w:t>
      </w:r>
    </w:p>
    <w:p>
      <w:pPr>
        <w:spacing w:before="117"/>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324"/>
        <w:gridCol w:w="1718"/>
        <w:gridCol w:w="4526"/>
      </w:tblGrid>
      <w:tr>
        <w:trPr>
          <w:trHeight w:val="403" w:hRule="exact"/>
        </w:trPr>
        <w:tc>
          <w:tcPr>
            <w:tcW w:w="332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1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225" w:right="0"/>
              <w:jc w:val="left"/>
              <w:rPr>
                <w:rFonts w:ascii="宋体" w:hAnsi="宋体" w:cs="宋体" w:eastAsia="宋体" w:hint="default"/>
                <w:sz w:val="18"/>
                <w:szCs w:val="18"/>
              </w:rPr>
            </w:pPr>
            <w:r>
              <w:rPr>
                <w:rFonts w:ascii="宋体" w:hAnsi="宋体" w:cs="宋体" w:eastAsia="宋体" w:hint="default"/>
                <w:sz w:val="18"/>
                <w:szCs w:val="18"/>
              </w:rPr>
              <w:t>涉及金额（元）</w:t>
            </w:r>
          </w:p>
        </w:tc>
        <w:tc>
          <w:tcPr>
            <w:tcW w:w="45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713" w:hRule="exact"/>
        </w:trPr>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软件增值税退税</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52" w:right="0"/>
              <w:jc w:val="left"/>
              <w:rPr>
                <w:rFonts w:ascii="Times New Roman" w:hAnsi="Times New Roman" w:cs="Times New Roman" w:eastAsia="Times New Roman" w:hint="default"/>
                <w:sz w:val="18"/>
                <w:szCs w:val="18"/>
              </w:rPr>
            </w:pPr>
            <w:r>
              <w:rPr>
                <w:rFonts w:ascii="Times New Roman"/>
                <w:sz w:val="18"/>
              </w:rPr>
              <w:t>40,919,616.39</w:t>
            </w:r>
          </w:p>
        </w:tc>
        <w:tc>
          <w:tcPr>
            <w:tcW w:w="45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9"/>
              <w:jc w:val="left"/>
              <w:rPr>
                <w:rFonts w:ascii="宋体" w:hAnsi="宋体" w:cs="宋体" w:eastAsia="宋体" w:hint="default"/>
                <w:sz w:val="18"/>
                <w:szCs w:val="18"/>
              </w:rPr>
            </w:pPr>
            <w:r>
              <w:rPr>
                <w:rFonts w:ascii="宋体" w:hAnsi="宋体" w:cs="宋体" w:eastAsia="宋体" w:hint="default"/>
                <w:spacing w:val="-2"/>
                <w:sz w:val="18"/>
                <w:szCs w:val="18"/>
              </w:rPr>
              <w:t>退税政策为长期的政策，本集团的软件增值税退税属于经</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常性发生的补助</w:t>
            </w:r>
          </w:p>
        </w:tc>
      </w:tr>
    </w:tbl>
    <w:p>
      <w:pPr>
        <w:spacing w:line="240" w:lineRule="auto" w:before="3"/>
        <w:rPr>
          <w:rFonts w:ascii="宋体" w:hAnsi="宋体" w:cs="宋体" w:eastAsia="宋体" w:hint="default"/>
          <w:sz w:val="19"/>
          <w:szCs w:val="19"/>
        </w:rPr>
      </w:pPr>
    </w:p>
    <w:p>
      <w:pPr>
        <w:pStyle w:val="Heading4"/>
        <w:spacing w:line="240" w:lineRule="auto" w:before="36"/>
        <w:ind w:right="986"/>
        <w:jc w:val="left"/>
        <w:rPr>
          <w:b w:val="0"/>
          <w:bCs w:val="0"/>
        </w:rPr>
      </w:pPr>
      <w:bookmarkStart w:name="2、净资产收益率及每股收益" w:id="531"/>
      <w:bookmarkEnd w:id="531"/>
      <w:r>
        <w:rPr>
          <w:b w:val="0"/>
          <w:bCs w:val="0"/>
        </w:rPr>
      </w:r>
      <w:r>
        <w:rPr>
          <w:rFonts w:ascii="Times New Roman" w:hAnsi="Times New Roman" w:cs="Times New Roman" w:eastAsia="Times New Roman" w:hint="default"/>
        </w:rPr>
        <w:t>2</w:t>
      </w:r>
      <w:r>
        <w:rPr/>
        <w:t>、净资产收益率及每股收益</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545"/>
        <w:gridCol w:w="2186"/>
        <w:gridCol w:w="1913"/>
        <w:gridCol w:w="1913"/>
      </w:tblGrid>
      <w:tr>
        <w:trPr>
          <w:trHeight w:val="206" w:hRule="exact"/>
        </w:trPr>
        <w:tc>
          <w:tcPr>
            <w:tcW w:w="3545" w:type="dxa"/>
            <w:tcBorders>
              <w:top w:val="single" w:sz="4" w:space="0" w:color="000000"/>
              <w:left w:val="single" w:sz="4" w:space="0" w:color="000000"/>
              <w:bottom w:val="nil" w:sz="6" w:space="0" w:color="auto"/>
              <w:right w:val="single" w:sz="4" w:space="0" w:color="000000"/>
            </w:tcBorders>
            <w:shd w:val="clear" w:color="auto" w:fill="D4D4D4"/>
          </w:tcPr>
          <w:p>
            <w:pPr/>
          </w:p>
        </w:tc>
        <w:tc>
          <w:tcPr>
            <w:tcW w:w="2186" w:type="dxa"/>
            <w:tcBorders>
              <w:top w:val="single" w:sz="4" w:space="0" w:color="000000"/>
              <w:left w:val="single" w:sz="4" w:space="0" w:color="000000"/>
              <w:bottom w:val="nil" w:sz="6" w:space="0" w:color="auto"/>
              <w:right w:val="single" w:sz="4" w:space="0" w:color="000000"/>
            </w:tcBorders>
            <w:shd w:val="clear" w:color="auto" w:fill="D4D4D4"/>
          </w:tcPr>
          <w:p>
            <w:pPr/>
          </w:p>
        </w:tc>
        <w:tc>
          <w:tcPr>
            <w:tcW w:w="3826"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192" w:hRule="exact"/>
        </w:trPr>
        <w:tc>
          <w:tcPr>
            <w:tcW w:w="3545"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1" w:right="7"/>
              <w:jc w:val="center"/>
              <w:rPr>
                <w:rFonts w:ascii="宋体" w:hAnsi="宋体" w:cs="宋体" w:eastAsia="宋体" w:hint="default"/>
                <w:sz w:val="18"/>
                <w:szCs w:val="18"/>
              </w:rPr>
            </w:pPr>
            <w:r>
              <w:rPr>
                <w:rFonts w:ascii="宋体" w:hAnsi="宋体" w:cs="宋体" w:eastAsia="宋体" w:hint="default"/>
                <w:sz w:val="18"/>
                <w:szCs w:val="18"/>
              </w:rPr>
              <w:t>报告期利润</w:t>
            </w:r>
          </w:p>
        </w:tc>
        <w:tc>
          <w:tcPr>
            <w:tcW w:w="2186"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49"/>
              <w:ind w:left="187"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26" w:type="dxa"/>
            <w:gridSpan w:val="2"/>
            <w:vMerge/>
            <w:tcBorders>
              <w:left w:val="single" w:sz="4" w:space="0" w:color="000000"/>
              <w:bottom w:val="single" w:sz="4" w:space="0" w:color="000000"/>
              <w:right w:val="single" w:sz="4" w:space="0" w:color="000000"/>
            </w:tcBorders>
            <w:shd w:val="clear" w:color="auto" w:fill="D4D4D4"/>
          </w:tcPr>
          <w:p>
            <w:pPr/>
          </w:p>
        </w:tc>
      </w:tr>
      <w:tr>
        <w:trPr>
          <w:trHeight w:val="199" w:hRule="exact"/>
        </w:trPr>
        <w:tc>
          <w:tcPr>
            <w:tcW w:w="3545" w:type="dxa"/>
            <w:vMerge/>
            <w:tcBorders>
              <w:left w:val="single" w:sz="4" w:space="0" w:color="000000"/>
              <w:bottom w:val="nil" w:sz="6" w:space="0" w:color="auto"/>
              <w:right w:val="single" w:sz="4" w:space="0" w:color="000000"/>
            </w:tcBorders>
            <w:shd w:val="clear" w:color="auto" w:fill="D4D4D4"/>
          </w:tcPr>
          <w:p>
            <w:pPr/>
          </w:p>
        </w:tc>
        <w:tc>
          <w:tcPr>
            <w:tcW w:w="2186" w:type="dxa"/>
            <w:vMerge/>
            <w:tcBorders>
              <w:left w:val="single" w:sz="4" w:space="0" w:color="000000"/>
              <w:bottom w:val="nil" w:sz="6" w:space="0" w:color="auto"/>
              <w:right w:val="single" w:sz="4" w:space="0" w:color="000000"/>
            </w:tcBorders>
            <w:shd w:val="clear" w:color="auto" w:fill="D4D4D4"/>
          </w:tcPr>
          <w:p>
            <w:pPr/>
          </w:p>
        </w:tc>
        <w:tc>
          <w:tcPr>
            <w:tcW w:w="1913"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13"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r>
      <w:tr>
        <w:trPr>
          <w:trHeight w:val="206" w:hRule="exact"/>
        </w:trPr>
        <w:tc>
          <w:tcPr>
            <w:tcW w:w="3545" w:type="dxa"/>
            <w:tcBorders>
              <w:top w:val="nil" w:sz="6" w:space="0" w:color="auto"/>
              <w:left w:val="single" w:sz="4" w:space="0" w:color="000000"/>
              <w:bottom w:val="single" w:sz="4" w:space="0" w:color="000000"/>
              <w:right w:val="single" w:sz="4" w:space="0" w:color="000000"/>
            </w:tcBorders>
            <w:shd w:val="clear" w:color="auto" w:fill="D4D4D4"/>
          </w:tcPr>
          <w:p>
            <w:pPr/>
          </w:p>
        </w:tc>
        <w:tc>
          <w:tcPr>
            <w:tcW w:w="2186" w:type="dxa"/>
            <w:tcBorders>
              <w:top w:val="nil" w:sz="6" w:space="0" w:color="auto"/>
              <w:left w:val="single" w:sz="4" w:space="0" w:color="000000"/>
              <w:bottom w:val="single" w:sz="4" w:space="0" w:color="000000"/>
              <w:right w:val="single" w:sz="4" w:space="0" w:color="000000"/>
            </w:tcBorders>
            <w:shd w:val="clear" w:color="auto" w:fill="D4D4D4"/>
          </w:tcPr>
          <w:p>
            <w:pPr/>
          </w:p>
        </w:tc>
        <w:tc>
          <w:tcPr>
            <w:tcW w:w="1913" w:type="dxa"/>
            <w:vMerge/>
            <w:tcBorders>
              <w:left w:val="single" w:sz="4" w:space="0" w:color="000000"/>
              <w:bottom w:val="single" w:sz="4" w:space="0" w:color="000000"/>
              <w:right w:val="single" w:sz="4" w:space="0" w:color="000000"/>
            </w:tcBorders>
            <w:shd w:val="clear" w:color="auto" w:fill="D4D4D4"/>
          </w:tcPr>
          <w:p>
            <w:pPr/>
          </w:p>
        </w:tc>
        <w:tc>
          <w:tcPr>
            <w:tcW w:w="1913" w:type="dxa"/>
            <w:vMerge/>
            <w:tcBorders>
              <w:left w:val="single" w:sz="4" w:space="0" w:color="000000"/>
              <w:bottom w:val="single" w:sz="4" w:space="0" w:color="000000"/>
              <w:right w:val="single" w:sz="4" w:space="0" w:color="000000"/>
            </w:tcBorders>
            <w:shd w:val="clear" w:color="auto" w:fill="D4D4D4"/>
          </w:tcPr>
          <w:p>
            <w:pPr/>
          </w:p>
        </w:tc>
      </w:tr>
      <w:tr>
        <w:trPr>
          <w:trHeight w:val="403" w:hRule="exact"/>
        </w:trPr>
        <w:tc>
          <w:tcPr>
            <w:tcW w:w="354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218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10.52%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0.36</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0.36</w:t>
            </w:r>
            <w:r>
              <w:rPr>
                <w:rFonts w:ascii="Times New Roman"/>
                <w:sz w:val="18"/>
              </w:rPr>
            </w:r>
          </w:p>
        </w:tc>
      </w:tr>
      <w:tr>
        <w:trPr>
          <w:trHeight w:val="713" w:hRule="exact"/>
        </w:trPr>
        <w:tc>
          <w:tcPr>
            <w:tcW w:w="354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4" w:lineRule="auto" w:before="49"/>
              <w:ind w:left="12" w:right="101"/>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 的净利润</w:t>
            </w:r>
          </w:p>
        </w:tc>
        <w:tc>
          <w:tcPr>
            <w:tcW w:w="2186" w:type="dxa"/>
            <w:tcBorders>
              <w:top w:val="single" w:sz="4" w:space="0" w:color="000000"/>
              <w:left w:val="single" w:sz="10" w:space="0" w:color="D4D4D4"/>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9.70%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0.34</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0.33</w:t>
            </w:r>
            <w:r>
              <w:rPr>
                <w:rFonts w:ascii="Times New Roman"/>
                <w:sz w:val="18"/>
              </w:rPr>
            </w:r>
          </w:p>
        </w:tc>
      </w:tr>
    </w:tbl>
    <w:p>
      <w:pPr>
        <w:spacing w:line="240" w:lineRule="auto" w:before="3"/>
        <w:rPr>
          <w:rFonts w:ascii="宋体" w:hAnsi="宋体" w:cs="宋体" w:eastAsia="宋体" w:hint="default"/>
          <w:b/>
          <w:bCs/>
          <w:sz w:val="19"/>
          <w:szCs w:val="19"/>
        </w:rPr>
      </w:pPr>
    </w:p>
    <w:p>
      <w:pPr>
        <w:pStyle w:val="Heading4"/>
        <w:spacing w:line="240" w:lineRule="auto" w:before="36"/>
        <w:ind w:right="986"/>
        <w:jc w:val="left"/>
        <w:rPr>
          <w:b w:val="0"/>
          <w:bCs w:val="0"/>
        </w:rPr>
      </w:pPr>
      <w:bookmarkStart w:name="3、境内外会计准则下会计数据差异" w:id="532"/>
      <w:bookmarkEnd w:id="532"/>
      <w:r>
        <w:rPr>
          <w:b w:val="0"/>
          <w:bCs w:val="0"/>
        </w:rPr>
      </w:r>
      <w:r>
        <w:rPr>
          <w:rFonts w:ascii="Times New Roman" w:hAnsi="Times New Roman" w:cs="Times New Roman" w:eastAsia="Times New Roman" w:hint="default"/>
        </w:rPr>
        <w:t>3</w:t>
      </w:r>
      <w:r>
        <w:rPr/>
        <w:t>、境内外会计准则下会计数据差异</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6"/>
        <w:jc w:val="left"/>
        <w:rPr>
          <w:b w:val="0"/>
          <w:bCs w:val="0"/>
        </w:rPr>
      </w:pPr>
      <w:bookmarkStart w:name="（1）同时按照国际会计准则与按中国会计准则披露的财务报告中净利润和净资产差异情况" w:id="533"/>
      <w:bookmarkEnd w:id="533"/>
      <w:r>
        <w:rPr>
          <w:b w:val="0"/>
          <w:bCs w:val="0"/>
        </w:rPr>
      </w:r>
      <w:r>
        <w:rPr/>
        <w:t>（</w:t>
      </w:r>
      <w:r>
        <w:rPr>
          <w:rFonts w:ascii="Times New Roman" w:hAnsi="Times New Roman" w:cs="Times New Roman" w:eastAsia="Times New Roman" w:hint="default"/>
        </w:rPr>
        <w:t>1</w:t>
      </w:r>
      <w:r>
        <w:rPr/>
        <w:t>）同时按照国际会计准则与按中国会计准则披露的财务报告中净利润和净资产差异情况</w:t>
      </w:r>
      <w:r>
        <w:rPr>
          <w:b w:val="0"/>
          <w:bCs w:val="0"/>
        </w:rPr>
      </w:r>
    </w:p>
    <w:p>
      <w:pPr>
        <w:spacing w:line="240" w:lineRule="auto" w:before="2"/>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p>
    <w:p>
      <w:pPr>
        <w:pStyle w:val="Heading4"/>
        <w:spacing w:line="240" w:lineRule="auto" w:before="120"/>
        <w:ind w:right="986"/>
        <w:jc w:val="left"/>
        <w:rPr>
          <w:b w:val="0"/>
          <w:bCs w:val="0"/>
        </w:rPr>
      </w:pPr>
      <w:bookmarkStart w:name="（2）同时按照境外会计准则与按中国会计准则披露的财务报告中净利润和净资产差异情况" w:id="534"/>
      <w:bookmarkEnd w:id="534"/>
      <w:r>
        <w:rPr>
          <w:b w:val="0"/>
          <w:bCs w:val="0"/>
        </w:rPr>
      </w:r>
      <w:r>
        <w:rPr/>
        <w:t>（</w:t>
      </w:r>
      <w:r>
        <w:rPr>
          <w:rFonts w:ascii="Times New Roman" w:hAnsi="Times New Roman" w:cs="Times New Roman" w:eastAsia="Times New Roman" w:hint="default"/>
        </w:rPr>
        <w:t>2</w:t>
      </w:r>
      <w:r>
        <w:rPr/>
        <w:t>）同时按照境外会计准则与按中国会计准则披露的财务报告中净利润和净资产差异情况</w:t>
      </w:r>
      <w:r>
        <w:rPr>
          <w:b w:val="0"/>
          <w:bCs w:val="0"/>
        </w:rPr>
      </w:r>
    </w:p>
    <w:p>
      <w:pPr>
        <w:spacing w:line="240" w:lineRule="auto" w:before="4"/>
        <w:rPr>
          <w:rFonts w:ascii="宋体" w:hAnsi="宋体" w:cs="宋体" w:eastAsia="宋体" w:hint="default"/>
          <w:b/>
          <w:bCs/>
          <w:sz w:val="26"/>
          <w:szCs w:val="26"/>
        </w:rPr>
      </w:pPr>
    </w:p>
    <w:p>
      <w:pPr>
        <w:spacing w:before="0"/>
        <w:ind w:left="152" w:right="986" w:firstLine="0"/>
        <w:jc w:val="left"/>
        <w:rPr>
          <w:rFonts w:ascii="宋体" w:hAnsi="宋体" w:cs="宋体" w:eastAsia="宋体" w:hint="default"/>
          <w:sz w:val="18"/>
          <w:szCs w:val="18"/>
        </w:rPr>
      </w:pPr>
      <w:r>
        <w:rPr>
          <w:rFonts w:ascii="宋体" w:hAnsi="宋体" w:cs="宋体" w:eastAsia="宋体" w:hint="default"/>
          <w:sz w:val="18"/>
          <w:szCs w:val="18"/>
        </w:rPr>
        <w:t>□ 适用 √</w:t>
      </w:r>
      <w:r>
        <w:rPr>
          <w:rFonts w:ascii="宋体" w:hAnsi="宋体" w:cs="宋体" w:eastAsia="宋体" w:hint="default"/>
          <w:spacing w:val="3"/>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p>
    <w:p>
      <w:pPr>
        <w:pStyle w:val="Heading4"/>
        <w:spacing w:line="259" w:lineRule="auto" w:before="118"/>
        <w:ind w:right="986"/>
        <w:jc w:val="left"/>
        <w:rPr>
          <w:b w:val="0"/>
          <w:bCs w:val="0"/>
        </w:rPr>
      </w:pPr>
      <w:bookmarkStart w:name="（3）境内外会计准则下会计数据差异原因说明，对已经境外审计机构审计的数据进行差异" w:id="535"/>
      <w:bookmarkEnd w:id="535"/>
      <w:r>
        <w:rPr>
          <w:b w:val="0"/>
          <w:bCs w:val="0"/>
        </w:rPr>
      </w:r>
      <w:r>
        <w:rPr/>
        <w:t>（</w:t>
      </w:r>
      <w:r>
        <w:rPr>
          <w:rFonts w:ascii="Times New Roman" w:hAnsi="Times New Roman" w:cs="Times New Roman" w:eastAsia="Times New Roman" w:hint="default"/>
        </w:rPr>
        <w:t>3</w:t>
      </w:r>
      <w:r>
        <w:rPr/>
        <w:t>）境内外会计准则下会计数据差异原因说明，对已经境外审计机构审计的数据进行差异调节的，应注</w:t>
      </w:r>
      <w:r>
        <w:rPr>
          <w:spacing w:val="-65"/>
        </w:rPr>
        <w:t> </w:t>
      </w:r>
      <w:r>
        <w:rPr>
          <w:spacing w:val="-65"/>
        </w:rPr>
      </w:r>
      <w:r>
        <w:rPr/>
        <w:t>明该境外机构的名称</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986"/>
        <w:jc w:val="left"/>
        <w:rPr>
          <w:b w:val="0"/>
          <w:bCs w:val="0"/>
        </w:rPr>
      </w:pPr>
      <w:bookmarkStart w:name="4、其他" w:id="536"/>
      <w:bookmarkEnd w:id="536"/>
      <w:r>
        <w:rPr>
          <w:b w:val="0"/>
          <w:bCs w:val="0"/>
        </w:rPr>
      </w:r>
      <w:r>
        <w:rPr>
          <w:rFonts w:ascii="Times New Roman" w:hAnsi="Times New Roman" w:cs="Times New Roman" w:eastAsia="Times New Roman" w:hint="default"/>
        </w:rPr>
        <w:t>4</w:t>
      </w:r>
      <w:r>
        <w:rPr/>
        <w:t>、其他</w:t>
      </w:r>
      <w:r>
        <w:rPr>
          <w:b w:val="0"/>
          <w:bCs w:val="0"/>
        </w:rPr>
      </w:r>
    </w:p>
    <w:p>
      <w:pPr>
        <w:spacing w:after="0" w:line="240" w:lineRule="auto"/>
        <w:jc w:val="left"/>
        <w:sectPr>
          <w:pgSz w:w="11910" w:h="16840"/>
          <w:pgMar w:header="745" w:footer="982" w:top="1060" w:bottom="1180" w:left="980" w:right="0"/>
        </w:sect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pStyle w:val="Heading1"/>
        <w:spacing w:line="240" w:lineRule="auto"/>
        <w:ind w:left="3364" w:right="986"/>
        <w:jc w:val="left"/>
        <w:rPr>
          <w:b w:val="0"/>
          <w:bCs w:val="0"/>
        </w:rPr>
      </w:pPr>
      <w:bookmarkStart w:name="第十三节备查文件目录" w:id="537"/>
      <w:bookmarkEnd w:id="537"/>
      <w:r>
        <w:rPr>
          <w:b w:val="0"/>
          <w:bCs w:val="0"/>
        </w:rPr>
      </w:r>
      <w:r>
        <w:rPr/>
        <w:t>第十三节备查文件目录</w:t>
      </w:r>
      <w:r>
        <w:rPr>
          <w:b w:val="0"/>
          <w:bCs w:val="0"/>
        </w:rPr>
      </w:r>
    </w:p>
    <w:p>
      <w:pPr>
        <w:spacing w:line="240" w:lineRule="auto" w:before="10"/>
        <w:rPr>
          <w:rFonts w:ascii="宋体" w:hAnsi="宋体" w:cs="宋体" w:eastAsia="宋体" w:hint="default"/>
          <w:b/>
          <w:bCs/>
          <w:sz w:val="46"/>
          <w:szCs w:val="46"/>
        </w:rPr>
      </w:pPr>
    </w:p>
    <w:p>
      <w:pPr>
        <w:pStyle w:val="BodyText"/>
        <w:spacing w:line="408" w:lineRule="auto" w:before="0"/>
        <w:ind w:right="986" w:firstLine="420"/>
        <w:jc w:val="left"/>
      </w:pPr>
      <w:r>
        <w:rPr>
          <w:spacing w:val="-2"/>
        </w:rPr>
        <w:t>一、公司法定代表人、主管会计工作负责人、会计机构负责人（会计主管人员）签名并盖章的财务报</w:t>
      </w:r>
      <w:r>
        <w:rPr>
          <w:w w:val="100"/>
        </w:rPr>
        <w:t> </w:t>
      </w:r>
      <w:r>
        <w:rPr/>
        <w:t>表。</w:t>
      </w:r>
    </w:p>
    <w:p>
      <w:pPr>
        <w:pStyle w:val="BodyText"/>
        <w:spacing w:line="513" w:lineRule="auto" w:before="166"/>
        <w:ind w:left="572" w:right="986"/>
        <w:jc w:val="left"/>
      </w:pPr>
      <w:r>
        <w:rPr/>
        <w:t>二、会计师事务所盖章、注册会计师签名并盖章的审计报告原件。</w:t>
      </w:r>
      <w:r>
        <w:rPr>
          <w:w w:val="100"/>
        </w:rPr>
        <w:t> </w:t>
      </w:r>
      <w:r>
        <w:rPr>
          <w:spacing w:val="-2"/>
        </w:rPr>
        <w:t>三、报告期内在中国证监会指定网站上公开披露过的本公司所有文件的正本及公告的原稿。</w:t>
      </w:r>
      <w:r>
        <w:rPr>
          <w:spacing w:val="-28"/>
        </w:rPr>
        <w:t> </w:t>
      </w:r>
      <w:r>
        <w:rPr>
          <w:spacing w:val="-28"/>
        </w:rPr>
      </w:r>
      <w:r>
        <w:rPr/>
        <w:t>四、公司法定代表人签名的</w:t>
      </w:r>
      <w:r>
        <w:rPr>
          <w:rFonts w:ascii="Times New Roman" w:hAnsi="Times New Roman" w:cs="Times New Roman" w:eastAsia="Times New Roman" w:hint="default"/>
        </w:rPr>
        <w:t>2019</w:t>
      </w:r>
      <w:r>
        <w:rPr/>
        <w:t>年年度报告全文及其摘要。</w:t>
      </w:r>
    </w:p>
    <w:p>
      <w:pPr>
        <w:pStyle w:val="BodyText"/>
        <w:spacing w:line="513" w:lineRule="auto" w:before="32"/>
        <w:ind w:left="572" w:right="6434"/>
        <w:jc w:val="left"/>
      </w:pPr>
      <w:r>
        <w:rPr/>
        <w:t>五、其他相关资料。</w:t>
      </w:r>
      <w:r>
        <w:rPr>
          <w:w w:val="100"/>
        </w:rPr>
        <w:t> </w:t>
      </w:r>
      <w:r>
        <w:rPr>
          <w:spacing w:val="-2"/>
        </w:rPr>
        <w:t>以上备查文件的备置地点：公司证券部。</w:t>
      </w:r>
    </w:p>
    <w:sectPr>
      <w:pgSz w:w="11910" w:h="16840"/>
      <w:pgMar w:header="745" w:footer="982" w:top="1060" w:bottom="1180" w:left="9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MS UI Gothic">
    <w:altName w:val="MS UI Gothic"/>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49176" type="#_x0000_t75" stroked="false">
          <v:imagedata r:id="rId1" o:title=""/>
        </v:shape>
      </w:pict>
    </w:r>
    <w:r>
      <w:rPr/>
      <w:pict>
        <v:shape style="position:absolute;margin-left:533pt;margin-top:795.517944pt;width:6.5pt;height:11pt;mso-position-horizontal-relative:page;mso-position-vertical-relative:page;z-index:-134915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49128" type="#_x0000_t75" stroked="false">
          <v:imagedata r:id="rId1" o:title=""/>
        </v:shape>
      </w:pict>
    </w:r>
    <w:r>
      <w:rPr/>
      <w:pict>
        <v:shape style="position:absolute;margin-left:527.559998pt;margin-top:781.83490pt;width:13.15pt;height:11.05pt;mso-position-horizontal-relative:page;mso-position-vertical-relative:page;z-index:-13491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r>
                  <w:rPr>
                    <w:rFonts w:ascii="Times New Roman"/>
                    <w:spacing w:val="1"/>
                    <w:sz w:val="18"/>
                  </w:rPr>
                </w:r>
                <w:r>
                  <w:rPr>
                    <w:rFonts w:ascii="Times New Roman"/>
                    <w:sz w:val="18"/>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49080" type="#_x0000_t75" stroked="false">
          <v:imagedata r:id="rId1" o:title=""/>
        </v:shape>
      </w:pict>
    </w:r>
    <w:r>
      <w:rPr/>
      <w:pict>
        <v:shape style="position:absolute;margin-left:523pt;margin-top:781.83490pt;width:17.7pt;height:11.05pt;mso-position-horizontal-relative:page;mso-position-vertical-relative:page;z-index:-13490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100</w:t>
                </w:r>
                <w:r>
                  <w:rPr/>
                  <w:fldChar w:fldCharType="end"/>
                </w:r>
                <w:r>
                  <w:rPr>
                    <w:rFonts w:ascii="Times New Roman"/>
                    <w:spacing w:val="1"/>
                    <w:sz w:val="18"/>
                  </w:rPr>
                </w:r>
                <w:r>
                  <w:rPr>
                    <w:rFonts w:ascii="Times New Roman"/>
                    <w:sz w:val="18"/>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49032" type="#_x0000_t75" stroked="false">
          <v:imagedata r:id="rId1" o:title=""/>
        </v:shape>
      </w:pict>
    </w:r>
    <w:r>
      <w:rPr/>
      <w:pict>
        <v:shape style="position:absolute;margin-left:523.359985pt;margin-top:781.837891pt;width:17.3pt;height:11.05pt;mso-position-horizontal-relative:page;mso-position-vertical-relative:page;z-index:-134900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48984" type="#_x0000_t75" stroked="false">
          <v:imagedata r:id="rId1" o:title=""/>
        </v:shape>
      </w:pict>
    </w:r>
    <w:r>
      <w:rPr/>
      <w:pict>
        <v:shape style="position:absolute;margin-left:522.997009pt;margin-top:781.83490pt;width:17.7pt;height:11.05pt;mso-position-horizontal-relative:page;mso-position-vertical-relative:page;z-index:-13489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120</w:t>
                </w:r>
                <w:r>
                  <w:rPr/>
                  <w:fldChar w:fldCharType="end"/>
                </w:r>
                <w:r>
                  <w:rPr>
                    <w:rFonts w:ascii="Times New Roman"/>
                    <w:spacing w:val="1"/>
                    <w:sz w:val="18"/>
                  </w:rPr>
                </w:r>
                <w:r>
                  <w:rPr>
                    <w:rFonts w:ascii="Times New Roman"/>
                    <w:sz w:val="18"/>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48936" type="#_x0000_t75" stroked="false">
          <v:imagedata r:id="rId1" o:title=""/>
        </v:shape>
      </w:pict>
    </w:r>
    <w:r>
      <w:rPr/>
      <w:pict>
        <v:shape style="position:absolute;margin-left:524pt;margin-top:781.837891pt;width:15.7pt;height:11pt;mso-position-horizontal-relative:page;mso-position-vertical-relative:page;z-index:-134891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200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48888" type="#_x0000_t75" stroked="false">
          <v:imagedata r:id="rId1" o:title=""/>
        </v:shape>
      </w:pict>
    </w:r>
    <w:r>
      <w:rPr/>
      <w:pict>
        <v:shape style="position:absolute;margin-left:523pt;margin-top:781.83490pt;width:17.7pt;height:11.05pt;mso-position-horizontal-relative:page;mso-position-vertical-relative:page;z-index:-13488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201</w:t>
                </w:r>
                <w:r>
                  <w:rPr/>
                  <w:fldChar w:fldCharType="end"/>
                </w:r>
                <w:r>
                  <w:rPr>
                    <w:rFonts w:ascii="Times New Roman"/>
                    <w:spacing w:val="1"/>
                    <w:sz w:val="18"/>
                  </w:rPr>
                </w:r>
                <w:r>
                  <w:rPr>
                    <w:rFonts w:ascii="Times New Roman"/>
                    <w:sz w:val="18"/>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48840" type="#_x0000_t75" stroked="false">
          <v:imagedata r:id="rId1" o:title=""/>
        </v:shape>
      </w:pict>
    </w:r>
    <w:r>
      <w:rPr/>
      <w:pict>
        <v:shape style="position:absolute;margin-left:523pt;margin-top:781.83490pt;width:17.7pt;height:11.05pt;mso-position-horizontal-relative:page;mso-position-vertical-relative:page;z-index:-13488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249</w:t>
                </w:r>
                <w:r>
                  <w:rPr/>
                  <w:fldChar w:fldCharType="end"/>
                </w:r>
                <w:r>
                  <w:rPr>
                    <w:rFonts w:ascii="Times New Roman"/>
                    <w:spacing w:val="1"/>
                    <w:sz w:val="18"/>
                  </w:rPr>
                </w:r>
                <w:r>
                  <w:rPr>
                    <w:rFonts w:ascii="Times New Roman"/>
                    <w:sz w:val="18"/>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17pt;margin-top:36.265610pt;width:222.7pt;height:11.5pt;mso-position-horizontal-relative:page;mso-position-vertical-relative:page;z-index:-134920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厦门市美亚柏科信息股份有限公司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315"/>
      <w:ind w:left="152"/>
    </w:pPr>
    <w:rPr>
      <w:rFonts w:ascii="宋体" w:hAnsi="宋体" w:eastAsia="宋体"/>
      <w:b/>
      <w:bCs/>
      <w:sz w:val="24"/>
      <w:szCs w:val="24"/>
    </w:rPr>
  </w:style>
  <w:style w:styleId="BodyText" w:type="paragraph">
    <w:name w:val="Body Text"/>
    <w:basedOn w:val="Normal"/>
    <w:uiPriority w:val="1"/>
    <w:qFormat/>
    <w:pPr>
      <w:spacing w:before="46"/>
      <w:ind w:left="152"/>
    </w:pPr>
    <w:rPr>
      <w:rFonts w:ascii="宋体" w:hAnsi="宋体" w:eastAsia="宋体"/>
      <w:sz w:val="21"/>
      <w:szCs w:val="21"/>
    </w:rPr>
  </w:style>
  <w:style w:styleId="Heading1" w:type="paragraph">
    <w:name w:val="Heading 1"/>
    <w:basedOn w:val="Normal"/>
    <w:uiPriority w:val="1"/>
    <w:qFormat/>
    <w:pPr>
      <w:ind w:left="2238"/>
      <w:outlineLvl w:val="1"/>
    </w:pPr>
    <w:rPr>
      <w:rFonts w:ascii="宋体" w:hAnsi="宋体" w:eastAsia="宋体"/>
      <w:b/>
      <w:bCs/>
      <w:sz w:val="32"/>
      <w:szCs w:val="32"/>
    </w:rPr>
  </w:style>
  <w:style w:styleId="Heading2" w:type="paragraph">
    <w:name w:val="Heading 2"/>
    <w:basedOn w:val="Normal"/>
    <w:uiPriority w:val="1"/>
    <w:qFormat/>
    <w:pPr>
      <w:ind w:left="152"/>
      <w:outlineLvl w:val="2"/>
    </w:pPr>
    <w:rPr>
      <w:rFonts w:ascii="宋体" w:hAnsi="宋体" w:eastAsia="宋体"/>
      <w:b/>
      <w:bCs/>
      <w:sz w:val="24"/>
      <w:szCs w:val="24"/>
    </w:rPr>
  </w:style>
  <w:style w:styleId="Heading3" w:type="paragraph">
    <w:name w:val="Heading 3"/>
    <w:basedOn w:val="Normal"/>
    <w:uiPriority w:val="1"/>
    <w:qFormat/>
    <w:pPr>
      <w:ind w:left="572"/>
      <w:outlineLvl w:val="3"/>
    </w:pPr>
    <w:rPr>
      <w:rFonts w:ascii="宋体" w:hAnsi="宋体" w:eastAsia="宋体"/>
      <w:sz w:val="24"/>
      <w:szCs w:val="24"/>
    </w:rPr>
  </w:style>
  <w:style w:styleId="Heading4" w:type="paragraph">
    <w:name w:val="Heading 4"/>
    <w:basedOn w:val="Normal"/>
    <w:uiPriority w:val="1"/>
    <w:qFormat/>
    <w:pPr>
      <w:ind w:left="152"/>
      <w:outlineLvl w:val="4"/>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footer" Target="footer2.xml"/><Relationship Id="rId9" Type="http://schemas.openxmlformats.org/officeDocument/2006/relationships/hyperlink" Target="http://www.300188.cn/" TargetMode="External"/><Relationship Id="rId10" Type="http://schemas.openxmlformats.org/officeDocument/2006/relationships/hyperlink" Target="mailto:tzzgx@300188.cn" TargetMode="External"/><Relationship Id="rId11" Type="http://schemas.openxmlformats.org/officeDocument/2006/relationships/hyperlink" Target="http://www.cninfo.com.cn/"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hyperlink" Target="http://www.cninfo.c/" TargetMode="External"/><Relationship Id="rId22" Type="http://schemas.openxmlformats.org/officeDocument/2006/relationships/hyperlink" Target="http://www.cninfo.com.cn&#30340;/" TargetMode="External"/><Relationship Id="rId23" Type="http://schemas.openxmlformats.org/officeDocument/2006/relationships/image" Target="media/image12.png"/><Relationship Id="rId24" Type="http://schemas.openxmlformats.org/officeDocument/2006/relationships/footer" Target="footer3.xml"/><Relationship Id="rId25" Type="http://schemas.openxmlformats.org/officeDocument/2006/relationships/footer" Target="footer4.xml"/><Relationship Id="rId26" Type="http://schemas.openxmlformats.org/officeDocument/2006/relationships/footer" Target="footer5.xml"/><Relationship Id="rId27" Type="http://schemas.openxmlformats.org/officeDocument/2006/relationships/footer" Target="footer6.xml"/><Relationship Id="rId28" Type="http://schemas.openxmlformats.org/officeDocument/2006/relationships/footer" Target="footer7.xml"/><Relationship Id="rId29" Type="http://schemas.openxmlformats.org/officeDocument/2006/relationships/footer" Target="footer8.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_rels/footer7.xml.rels><?xml version="1.0" encoding="UTF-8" standalone="yes"?>
<Relationships xmlns="http://schemas.openxmlformats.org/package/2006/relationships"><Relationship Id="rId1" Type="http://schemas.openxmlformats.org/officeDocument/2006/relationships/image" Target="media/image1.jpeg"/></Relationships>

</file>

<file path=word/_rels/foot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邵</dc:creator>
  <dcterms:created xsi:type="dcterms:W3CDTF">2020-05-19T01:59:57Z</dcterms:created>
  <dcterms:modified xsi:type="dcterms:W3CDTF">2020-05-19T01:59:57Z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2020-03-30T00:00:00Z</vt:filetime>
  </property>
  <property fmtid="{D5CDD505-2E9C-101B-9397-08002B2CF9AE}" pid="3" name="Creator">
    <vt:lpwstr>Acrobat PDFMaker 15 Word 版</vt:lpwstr>
  </property>
  <property fmtid="{D5CDD505-2E9C-101B-9397-08002B2CF9AE}" pid="4" name="LastSaved">
    <vt:filetime>2020-05-18T00:00:00Z</vt:filetime>
  </property>
</Properties>
</file>